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center"/>
        <w:spacing w:line="600" w:lineRule="exact"/>
        <w:rPr>
          <w:rFonts w:hint="eastAsia" w:cs="宋体"/>
          <w:b/>
          <w:color w:val="000000"/>
          <w:spacing w:val="100"/>
          <w:sz w:val="48"/>
        </w:rPr>
      </w:pPr>
      <w:r>
        <w:rPr>
          <w:rFonts w:hint="eastAsia" w:cs="宋体"/>
          <w:b/>
          <w:color w:val="000000"/>
          <w:spacing w:val="100"/>
          <w:sz w:val="48"/>
        </w:rPr>
      </w:r>
      <w:r>
        <w:rPr>
          <w:rFonts w:hint="eastAsia" w:cs="宋体"/>
          <w:b/>
          <w:color w:val="000000"/>
          <w:spacing w:val="100"/>
          <w:sz w:val="48"/>
        </w:rPr>
      </w:r>
      <w:r/>
    </w:p>
    <w:p>
      <w:pPr>
        <w:pStyle w:val="928"/>
        <w:jc w:val="center"/>
        <w:spacing w:line="600" w:lineRule="exact"/>
        <w:rPr>
          <w:rFonts w:hint="eastAsia" w:cs="宋体"/>
          <w:b/>
          <w:color w:val="000000"/>
          <w:spacing w:val="100"/>
          <w:sz w:val="48"/>
        </w:rPr>
      </w:pPr>
      <w:r>
        <w:rPr>
          <w:rFonts w:hint="eastAsia" w:cs="宋体"/>
          <w:b/>
          <w:color w:val="000000"/>
          <w:spacing w:val="100"/>
          <w:sz w:val="48"/>
        </w:rPr>
      </w:r>
      <w:r/>
    </w:p>
    <w:p>
      <w:pPr>
        <w:pStyle w:val="928"/>
        <w:jc w:val="center"/>
        <w:spacing w:line="600" w:lineRule="exact"/>
        <w:rPr>
          <w:rFonts w:hint="eastAsia" w:cs="宋体"/>
          <w:b/>
          <w:color w:val="000000"/>
          <w:spacing w:val="100"/>
          <w:sz w:val="48"/>
        </w:rPr>
      </w:pPr>
      <w:r>
        <w:rPr>
          <w:rFonts w:hint="eastAsia" w:cs="宋体"/>
          <w:b/>
          <w:color w:val="000000"/>
          <w:spacing w:val="100"/>
          <w:sz w:val="48"/>
        </w:rPr>
      </w:r>
      <w:r/>
    </w:p>
    <w:p>
      <w:pPr>
        <w:pStyle w:val="928"/>
        <w:jc w:val="center"/>
        <w:spacing w:line="600" w:lineRule="exact"/>
        <w:rPr>
          <w:rFonts w:hint="eastAsia" w:cs="宋体"/>
          <w:b/>
          <w:color w:val="000000"/>
          <w:spacing w:val="100"/>
          <w:sz w:val="48"/>
        </w:rPr>
      </w:pPr>
      <w:r>
        <w:rPr>
          <w:rFonts w:hint="eastAsia" w:cs="宋体"/>
          <w:b/>
          <w:color w:val="000000"/>
          <w:spacing w:val="100"/>
          <w:sz w:val="48"/>
        </w:rPr>
        <w:t xml:space="preserve">服务采购</w:t>
      </w:r>
      <w:r/>
    </w:p>
    <w:p>
      <w:pPr>
        <w:pStyle w:val="928"/>
        <w:jc w:val="center"/>
        <w:spacing w:line="560" w:lineRule="exact"/>
        <w:rPr>
          <w:rFonts w:hint="eastAsia" w:cs="宋体"/>
          <w:b/>
          <w:color w:val="000000"/>
          <w:sz w:val="72"/>
        </w:rPr>
      </w:pPr>
      <w:r>
        <w:rPr>
          <w:rFonts w:hint="eastAsia" w:cs="宋体"/>
          <w:b/>
          <w:color w:val="000000"/>
          <w:sz w:val="72"/>
        </w:rPr>
      </w:r>
      <w:r/>
    </w:p>
    <w:p>
      <w:pPr>
        <w:pStyle w:val="928"/>
        <w:jc w:val="center"/>
        <w:spacing w:line="560" w:lineRule="exact"/>
        <w:rPr>
          <w:rFonts w:hint="eastAsia" w:cs="宋体"/>
          <w:b/>
          <w:color w:val="000000"/>
          <w:sz w:val="72"/>
        </w:rPr>
      </w:pPr>
      <w:r>
        <w:rPr>
          <w:rFonts w:hint="eastAsia" w:cs="宋体"/>
          <w:b/>
          <w:color w:val="000000"/>
          <w:sz w:val="72"/>
        </w:rPr>
      </w:r>
      <w:r/>
    </w:p>
    <w:p>
      <w:pPr>
        <w:pStyle w:val="928"/>
        <w:jc w:val="center"/>
        <w:spacing w:line="560" w:lineRule="exact"/>
        <w:rPr>
          <w:rFonts w:hint="eastAsia" w:cs="宋体"/>
          <w:b/>
          <w:color w:val="000000"/>
          <w:sz w:val="72"/>
        </w:rPr>
      </w:pPr>
      <w:r>
        <w:rPr>
          <w:rFonts w:hint="eastAsia" w:cs="宋体"/>
          <w:b/>
          <w:color w:val="000000"/>
          <w:sz w:val="72"/>
        </w:rPr>
      </w:r>
      <w:r/>
    </w:p>
    <w:p>
      <w:pPr>
        <w:pStyle w:val="928"/>
        <w:jc w:val="center"/>
        <w:spacing w:line="560" w:lineRule="exact"/>
        <w:rPr>
          <w:rFonts w:hint="eastAsia" w:cs="宋体"/>
          <w:b/>
          <w:color w:val="000000"/>
          <w:sz w:val="72"/>
        </w:rPr>
      </w:pPr>
      <w:r>
        <w:rPr>
          <w:rFonts w:hint="eastAsia" w:cs="宋体"/>
          <w:b/>
          <w:color w:val="000000"/>
          <w:sz w:val="72"/>
        </w:rPr>
      </w:r>
      <w:r/>
    </w:p>
    <w:p>
      <w:pPr>
        <w:pStyle w:val="928"/>
        <w:jc w:val="center"/>
        <w:spacing w:line="1320" w:lineRule="exact"/>
        <w:rPr>
          <w:rFonts w:hint="eastAsia" w:cs="宋体"/>
          <w:b/>
          <w:color w:val="000000"/>
          <w:sz w:val="84"/>
        </w:rPr>
      </w:pPr>
      <w:r>
        <w:rPr>
          <w:rFonts w:hint="eastAsia" w:cs="宋体"/>
          <w:b/>
          <w:color w:val="000000"/>
          <w:sz w:val="84"/>
        </w:rPr>
        <w:t xml:space="preserve">招 标 文 件</w:t>
      </w:r>
      <w:r/>
    </w:p>
    <w:p>
      <w:pPr>
        <w:pStyle w:val="928"/>
        <w:jc w:val="center"/>
        <w:spacing w:line="1320" w:lineRule="exact"/>
        <w:rPr>
          <w:rFonts w:hint="eastAsia" w:cs="宋体"/>
          <w:b/>
          <w:color w:val="000000"/>
          <w:sz w:val="84"/>
        </w:rPr>
      </w:pPr>
      <w:r>
        <w:rPr>
          <w:rFonts w:hint="eastAsia" w:cs="宋体"/>
          <w:b/>
          <w:color w:val="000000"/>
          <w:sz w:val="84"/>
        </w:rPr>
      </w:r>
      <w:r/>
    </w:p>
    <w:p>
      <w:pPr>
        <w:pStyle w:val="928"/>
        <w:jc w:val="center"/>
        <w:spacing w:line="1320" w:lineRule="exact"/>
        <w:rPr>
          <w:rFonts w:hint="eastAsia" w:cs="宋体"/>
          <w:b/>
          <w:color w:val="000000"/>
          <w:sz w:val="84"/>
        </w:rPr>
      </w:pPr>
      <w:r>
        <w:rPr>
          <w:rFonts w:hint="eastAsia" w:cs="宋体"/>
          <w:b/>
          <w:color w:val="000000"/>
          <w:sz w:val="84"/>
        </w:rPr>
      </w:r>
      <w:r/>
    </w:p>
    <w:p>
      <w:pPr>
        <w:pStyle w:val="928"/>
        <w:ind w:firstLine="1968"/>
        <w:spacing w:line="360" w:lineRule="auto"/>
        <w:rPr>
          <w:rFonts w:hint="eastAsia" w:cs="宋体"/>
          <w:b/>
          <w:color w:val="000000"/>
          <w:sz w:val="28"/>
          <w:szCs w:val="28"/>
        </w:rPr>
      </w:pPr>
      <w:r>
        <w:rPr>
          <w:rFonts w:hint="eastAsia" w:cs="宋体"/>
          <w:b/>
          <w:color w:val="000000"/>
          <w:sz w:val="28"/>
          <w:szCs w:val="28"/>
        </w:rPr>
        <w:t xml:space="preserve">采购招标编号：</w:t>
      </w:r>
      <w:r>
        <w:rPr>
          <w:rFonts w:hint="eastAsia" w:cs="宋体"/>
          <w:b/>
          <w:bCs/>
          <w:color w:val="000000"/>
          <w:sz w:val="28"/>
          <w:szCs w:val="28"/>
        </w:rPr>
        <w:t xml:space="preserve">JSZC-320585-SZLZ-G2026-0009</w:t>
      </w:r>
      <w:r>
        <w:rPr>
          <w:rFonts w:hint="eastAsia" w:cs="宋体"/>
          <w:b/>
          <w:color w:val="000000"/>
          <w:sz w:val="28"/>
          <w:szCs w:val="28"/>
        </w:rPr>
      </w:r>
      <w:r/>
    </w:p>
    <w:p>
      <w:pPr>
        <w:pStyle w:val="928"/>
        <w:ind w:firstLine="1968"/>
        <w:spacing w:line="360" w:lineRule="auto"/>
        <w:rPr>
          <w:rFonts w:hint="eastAsia" w:cs="宋体"/>
          <w:b/>
          <w:color w:val="000000"/>
          <w:sz w:val="28"/>
          <w:szCs w:val="28"/>
        </w:rPr>
      </w:pPr>
      <w:r>
        <w:rPr>
          <w:rFonts w:hint="eastAsia" w:cs="宋体"/>
          <w:b/>
          <w:color w:val="000000"/>
          <w:sz w:val="28"/>
          <w:szCs w:val="28"/>
        </w:rPr>
        <w:t xml:space="preserve">采购内容：</w:t>
      </w:r>
      <w:r>
        <w:rPr>
          <w:rFonts w:hint="eastAsia" w:cs="宋体"/>
          <w:b/>
          <w:bCs/>
          <w:color w:val="000000"/>
          <w:sz w:val="28"/>
          <w:szCs w:val="28"/>
        </w:rPr>
        <w:t xml:space="preserve">2026年监控及信息化系统维保</w:t>
      </w:r>
      <w:r>
        <w:rPr>
          <w:rFonts w:hint="eastAsia" w:cs="宋体"/>
          <w:b/>
          <w:color w:val="000000"/>
          <w:sz w:val="28"/>
          <w:szCs w:val="28"/>
        </w:rPr>
      </w:r>
      <w:r/>
    </w:p>
    <w:p>
      <w:pPr>
        <w:pStyle w:val="928"/>
        <w:ind w:firstLine="1968"/>
        <w:spacing w:line="360" w:lineRule="auto"/>
        <w:rPr>
          <w:rFonts w:hint="eastAsia" w:cs="宋体"/>
          <w:b/>
          <w:color w:val="000000"/>
          <w:sz w:val="28"/>
          <w:szCs w:val="28"/>
        </w:rPr>
      </w:pPr>
      <w:r>
        <w:rPr>
          <w:rFonts w:hint="eastAsia" w:cs="宋体"/>
          <w:b/>
          <w:color w:val="000000"/>
          <w:sz w:val="28"/>
          <w:szCs w:val="28"/>
        </w:rPr>
        <w:t xml:space="preserve">采购类型：服务类</w:t>
      </w:r>
      <w:r/>
    </w:p>
    <w:p>
      <w:pPr>
        <w:pStyle w:val="928"/>
        <w:ind w:firstLine="1968"/>
        <w:spacing w:line="360" w:lineRule="auto"/>
        <w:rPr>
          <w:rFonts w:hint="eastAsia" w:cs="宋体"/>
          <w:b/>
          <w:color w:val="000000"/>
          <w:sz w:val="28"/>
          <w:szCs w:val="28"/>
        </w:rPr>
      </w:pPr>
      <w:r>
        <w:rPr>
          <w:rFonts w:hint="eastAsia" w:cs="宋体"/>
          <w:b/>
          <w:color w:val="000000"/>
          <w:sz w:val="28"/>
          <w:szCs w:val="28"/>
        </w:rPr>
        <w:t xml:space="preserve">标的所属行业：</w:t>
      </w:r>
      <w:r>
        <w:rPr>
          <w:rFonts w:cs="宋体"/>
          <w:b/>
          <w:color w:val="000000"/>
          <w:sz w:val="28"/>
          <w:szCs w:val="28"/>
        </w:rPr>
        <w:t xml:space="preserve">软件和信息技术服务业</w:t>
      </w:r>
      <w:r>
        <w:rPr>
          <w:rFonts w:hint="eastAsia" w:cs="宋体"/>
          <w:b/>
          <w:color w:val="000000"/>
          <w:sz w:val="28"/>
          <w:szCs w:val="28"/>
        </w:rPr>
      </w:r>
      <w:r/>
    </w:p>
    <w:p>
      <w:pPr>
        <w:pStyle w:val="928"/>
        <w:ind w:firstLine="1968"/>
        <w:spacing w:line="360" w:lineRule="auto"/>
        <w:rPr>
          <w:rFonts w:hint="eastAsia" w:cs="宋体"/>
          <w:b/>
          <w:color w:val="000000"/>
          <w:sz w:val="28"/>
          <w:szCs w:val="28"/>
        </w:rPr>
      </w:pPr>
      <w:r>
        <w:rPr>
          <w:rFonts w:hint="eastAsia" w:cs="宋体"/>
          <w:b/>
          <w:color w:val="000000"/>
          <w:sz w:val="28"/>
          <w:szCs w:val="28"/>
        </w:rPr>
        <w:t xml:space="preserve">采购单位：</w:t>
      </w:r>
      <w:r>
        <w:rPr>
          <w:rFonts w:cs="宋体"/>
          <w:b/>
          <w:bCs/>
          <w:color w:val="000000"/>
          <w:sz w:val="28"/>
          <w:szCs w:val="28"/>
        </w:rPr>
        <w:t xml:space="preserve">太仓市公安局</w:t>
      </w:r>
      <w:r>
        <w:rPr>
          <w:rFonts w:hint="eastAsia" w:cs="宋体"/>
          <w:b/>
          <w:color w:val="000000"/>
          <w:sz w:val="28"/>
          <w:szCs w:val="28"/>
        </w:rPr>
      </w:r>
      <w:r/>
    </w:p>
    <w:p>
      <w:pPr>
        <w:pStyle w:val="928"/>
        <w:ind w:firstLine="1968"/>
        <w:spacing w:line="360" w:lineRule="auto"/>
        <w:rPr>
          <w:rFonts w:hint="eastAsia" w:cs="宋体"/>
          <w:b/>
          <w:color w:val="000000"/>
          <w:sz w:val="28"/>
          <w:szCs w:val="28"/>
        </w:rPr>
      </w:pPr>
      <w:r>
        <w:rPr>
          <w:rFonts w:hint="eastAsia" w:cs="宋体"/>
          <w:b/>
          <w:color w:val="000000"/>
          <w:sz w:val="28"/>
          <w:szCs w:val="28"/>
        </w:rPr>
        <w:t xml:space="preserve">招标服务单位：苏州乐族工程咨询有限公司</w:t>
      </w:r>
      <w:r/>
    </w:p>
    <w:p>
      <w:pPr>
        <w:pStyle w:val="928"/>
        <w:jc w:val="center"/>
        <w:rPr>
          <w:rFonts w:hint="eastAsia" w:cs="宋体"/>
          <w:b/>
          <w:color w:val="000000"/>
          <w:sz w:val="28"/>
          <w:szCs w:val="28"/>
        </w:rPr>
      </w:pPr>
      <w:r>
        <w:rPr>
          <w:rFonts w:hint="eastAsia" w:cs="宋体"/>
          <w:b/>
          <w:color w:val="000000"/>
          <w:sz w:val="28"/>
          <w:szCs w:val="28"/>
        </w:rPr>
      </w:r>
      <w:r/>
    </w:p>
    <w:p>
      <w:pPr>
        <w:pStyle w:val="928"/>
        <w:jc w:val="center"/>
        <w:rPr>
          <w:rFonts w:hint="eastAsia" w:cs="宋体"/>
          <w:b/>
          <w:bCs/>
          <w:color w:val="000000"/>
          <w:sz w:val="32"/>
        </w:rPr>
      </w:pPr>
      <w:r>
        <w:rPr>
          <w:rFonts w:hint="eastAsia" w:cs="宋体"/>
          <w:b/>
          <w:color w:val="000000"/>
          <w:sz w:val="28"/>
          <w:szCs w:val="28"/>
        </w:rPr>
        <w:t xml:space="preserve">二○二六年五月</w:t>
      </w:r>
      <w:r>
        <w:rPr>
          <w:rFonts w:hint="eastAsia" w:cs="宋体"/>
          <w:b/>
          <w:bCs/>
          <w:color w:val="000000"/>
          <w:sz w:val="32"/>
        </w:rPr>
      </w:r>
      <w:r/>
    </w:p>
    <w:p>
      <w:pPr>
        <w:pStyle w:val="928"/>
        <w:jc w:val="center"/>
        <w:rPr>
          <w:rFonts w:hint="eastAsia" w:cs="宋体"/>
          <w:color w:val="000000"/>
          <w:sz w:val="48"/>
        </w:rPr>
      </w:pPr>
      <w:r>
        <w:rPr>
          <w:rFonts w:hint="eastAsia" w:cs="宋体"/>
          <w:color w:val="000000"/>
          <w:sz w:val="48"/>
        </w:rPr>
      </w:r>
      <w:r/>
    </w:p>
    <w:p>
      <w:pPr>
        <w:pStyle w:val="928"/>
        <w:jc w:val="center"/>
        <w:rPr>
          <w:rFonts w:hint="eastAsia" w:cs="宋体"/>
          <w:color w:val="000000"/>
          <w:sz w:val="48"/>
        </w:rPr>
      </w:pPr>
      <w:r>
        <w:rPr>
          <w:rFonts w:hint="eastAsia" w:cs="宋体"/>
          <w:color w:val="000000"/>
          <w:sz w:val="48"/>
        </w:rPr>
      </w:r>
      <w:r/>
    </w:p>
    <w:p>
      <w:pPr>
        <w:pStyle w:val="928"/>
        <w:jc w:val="center"/>
        <w:rPr>
          <w:rFonts w:hint="eastAsia" w:cs="宋体"/>
          <w:color w:val="000000"/>
          <w:sz w:val="48"/>
        </w:rPr>
      </w:pPr>
      <w:r>
        <w:rPr>
          <w:rFonts w:hint="eastAsia" w:cs="宋体"/>
          <w:color w:val="000000"/>
          <w:sz w:val="48"/>
        </w:rPr>
        <w:t xml:space="preserve">总目录</w:t>
      </w:r>
      <w:r/>
    </w:p>
    <w:p>
      <w:pPr>
        <w:pStyle w:val="928"/>
        <w:rPr>
          <w:rFonts w:hint="eastAsia" w:cs="宋体"/>
          <w:color w:val="000000"/>
        </w:rPr>
      </w:pPr>
      <w:r>
        <w:rPr>
          <w:rFonts w:hint="eastAsia" w:cs="宋体"/>
          <w:color w:val="000000"/>
        </w:rPr>
      </w:r>
      <w:r/>
    </w:p>
    <w:p>
      <w:pPr>
        <w:pStyle w:val="928"/>
        <w:rPr>
          <w:rFonts w:hint="eastAsia" w:cs="宋体"/>
          <w:color w:val="000000"/>
        </w:rPr>
      </w:pPr>
      <w:r>
        <w:rPr>
          <w:rFonts w:hint="eastAsia" w:cs="宋体"/>
          <w:color w:val="000000"/>
        </w:rPr>
      </w:r>
      <w:r/>
    </w:p>
    <w:p>
      <w:pPr>
        <w:pStyle w:val="928"/>
        <w:ind w:firstLine="711"/>
        <w:spacing w:line="720" w:lineRule="auto"/>
        <w:rPr>
          <w:rFonts w:hint="eastAsia" w:cs="宋体"/>
          <w:b/>
          <w:bCs/>
          <w:color w:val="000000"/>
          <w:sz w:val="28"/>
        </w:rPr>
      </w:pPr>
      <w:r>
        <w:rPr>
          <w:rFonts w:hint="eastAsia" w:cs="宋体"/>
          <w:b/>
          <w:bCs/>
          <w:color w:val="000000"/>
          <w:sz w:val="28"/>
        </w:rPr>
        <w:t xml:space="preserve">第一章 招标公告</w:t>
      </w:r>
      <w:r/>
    </w:p>
    <w:p>
      <w:pPr>
        <w:pStyle w:val="928"/>
        <w:ind w:firstLine="711"/>
        <w:spacing w:line="720" w:lineRule="auto"/>
        <w:rPr>
          <w:rFonts w:hint="eastAsia" w:cs="宋体"/>
          <w:b/>
          <w:bCs/>
          <w:color w:val="000000"/>
          <w:sz w:val="28"/>
        </w:rPr>
      </w:pPr>
      <w:r>
        <w:rPr>
          <w:rFonts w:hint="eastAsia" w:cs="宋体"/>
          <w:b/>
          <w:bCs/>
          <w:color w:val="000000"/>
          <w:sz w:val="28"/>
        </w:rPr>
        <w:t xml:space="preserve">第二章 </w:t>
      </w:r>
      <w:r>
        <w:rPr>
          <w:rFonts w:hint="eastAsia" w:cs="宋体"/>
          <w:b/>
          <w:bCs/>
          <w:color w:val="000000"/>
          <w:sz w:val="28"/>
        </w:rPr>
        <w:fldChar w:fldCharType="begin"/>
      </w:r>
      <w:r>
        <w:rPr>
          <w:rFonts w:hint="eastAsia" w:cs="宋体"/>
          <w:b/>
          <w:bCs/>
          <w:color w:val="000000"/>
          <w:sz w:val="28"/>
        </w:rPr>
        <w:instrText xml:space="preserve"> HYPERLINK  \l "投标人须知" </w:instrText>
      </w:r>
      <w:r>
        <w:rPr>
          <w:rFonts w:hint="eastAsia" w:cs="宋体"/>
          <w:b/>
          <w:bCs/>
          <w:color w:val="000000"/>
          <w:sz w:val="28"/>
        </w:rPr>
        <w:fldChar w:fldCharType="separate"/>
      </w:r>
      <w:r>
        <w:rPr>
          <w:rStyle w:val="1023"/>
          <w:rFonts w:hint="eastAsia" w:cs="宋体"/>
          <w:b/>
          <w:bCs/>
          <w:color w:val="000000"/>
          <w:sz w:val="28"/>
          <w:u w:val="none"/>
        </w:rPr>
        <w:t xml:space="preserve">投标人须知</w:t>
      </w:r>
      <w:r>
        <w:rPr>
          <w:rFonts w:hint="eastAsia" w:cs="宋体"/>
          <w:b/>
          <w:bCs/>
          <w:color w:val="000000"/>
          <w:sz w:val="28"/>
        </w:rPr>
        <w:fldChar w:fldCharType="end"/>
      </w:r>
      <w:r>
        <w:rPr>
          <w:rFonts w:hint="eastAsia" w:cs="宋体"/>
          <w:b/>
          <w:bCs/>
          <w:color w:val="000000"/>
          <w:sz w:val="28"/>
        </w:rPr>
      </w:r>
      <w:r/>
    </w:p>
    <w:p>
      <w:pPr>
        <w:pStyle w:val="928"/>
        <w:ind w:firstLine="711"/>
        <w:spacing w:line="720" w:lineRule="auto"/>
        <w:rPr>
          <w:rFonts w:hint="eastAsia" w:cs="宋体"/>
          <w:b/>
          <w:bCs/>
          <w:color w:val="000000"/>
          <w:sz w:val="28"/>
        </w:rPr>
      </w:pPr>
      <w:r>
        <w:rPr>
          <w:rFonts w:hint="eastAsia" w:cs="宋体"/>
          <w:b/>
          <w:bCs/>
          <w:color w:val="000000"/>
          <w:sz w:val="28"/>
        </w:rPr>
        <w:t xml:space="preserve">第三章 </w:t>
      </w:r>
      <w:r>
        <w:rPr>
          <w:rFonts w:hint="eastAsia" w:cs="宋体"/>
          <w:b/>
          <w:bCs/>
          <w:color w:val="000000"/>
          <w:sz w:val="28"/>
        </w:rPr>
        <w:fldChar w:fldCharType="begin"/>
      </w:r>
      <w:r>
        <w:rPr>
          <w:rFonts w:hint="eastAsia" w:cs="宋体"/>
          <w:b/>
          <w:bCs/>
          <w:color w:val="000000"/>
          <w:sz w:val="28"/>
        </w:rPr>
        <w:instrText xml:space="preserve"> HYPERLINK  \l "投标文件格式" </w:instrText>
      </w:r>
      <w:r>
        <w:rPr>
          <w:rFonts w:hint="eastAsia" w:cs="宋体"/>
          <w:b/>
          <w:bCs/>
          <w:color w:val="000000"/>
          <w:sz w:val="28"/>
        </w:rPr>
        <w:fldChar w:fldCharType="separate"/>
      </w:r>
      <w:r>
        <w:rPr>
          <w:rStyle w:val="1023"/>
          <w:rFonts w:hint="eastAsia" w:cs="宋体"/>
          <w:b/>
          <w:bCs/>
          <w:color w:val="000000"/>
          <w:sz w:val="28"/>
          <w:u w:val="none"/>
        </w:rPr>
        <w:t xml:space="preserve">投标文件格式</w:t>
      </w:r>
      <w:r>
        <w:rPr>
          <w:rFonts w:hint="eastAsia" w:cs="宋体"/>
          <w:b/>
          <w:bCs/>
          <w:color w:val="000000"/>
          <w:sz w:val="28"/>
        </w:rPr>
        <w:fldChar w:fldCharType="end"/>
      </w:r>
      <w:r>
        <w:rPr>
          <w:rFonts w:hint="eastAsia" w:cs="宋体"/>
          <w:b/>
          <w:bCs/>
          <w:color w:val="000000"/>
          <w:sz w:val="28"/>
        </w:rPr>
      </w:r>
      <w:r/>
    </w:p>
    <w:p>
      <w:pPr>
        <w:pStyle w:val="928"/>
        <w:ind w:firstLine="711"/>
        <w:spacing w:line="720" w:lineRule="auto"/>
        <w:rPr>
          <w:rFonts w:hint="eastAsia" w:cs="宋体"/>
          <w:b/>
          <w:bCs/>
          <w:color w:val="000000"/>
          <w:sz w:val="28"/>
        </w:rPr>
      </w:pPr>
      <w:r>
        <w:rPr>
          <w:rFonts w:hint="eastAsia" w:cs="宋体"/>
          <w:b/>
          <w:bCs/>
          <w:color w:val="000000"/>
          <w:sz w:val="28"/>
        </w:rPr>
        <w:t xml:space="preserve">第四章 </w:t>
      </w:r>
      <w:r>
        <w:rPr>
          <w:rFonts w:hint="eastAsia" w:cs="宋体"/>
          <w:b/>
          <w:bCs/>
          <w:color w:val="000000"/>
          <w:sz w:val="28"/>
        </w:rPr>
        <w:fldChar w:fldCharType="begin"/>
      </w:r>
      <w:r>
        <w:rPr>
          <w:rFonts w:hint="eastAsia" w:cs="宋体"/>
          <w:b/>
          <w:bCs/>
          <w:color w:val="000000"/>
          <w:sz w:val="28"/>
        </w:rPr>
        <w:instrText xml:space="preserve"> HYPERLINK  \l "招标书" </w:instrText>
      </w:r>
      <w:r>
        <w:rPr>
          <w:rFonts w:hint="eastAsia" w:cs="宋体"/>
          <w:b/>
          <w:bCs/>
          <w:color w:val="000000"/>
          <w:sz w:val="28"/>
        </w:rPr>
        <w:fldChar w:fldCharType="separate"/>
      </w:r>
      <w:r>
        <w:rPr>
          <w:rStyle w:val="1023"/>
          <w:rFonts w:hint="eastAsia" w:cs="宋体"/>
          <w:b/>
          <w:bCs/>
          <w:color w:val="000000"/>
          <w:sz w:val="28"/>
          <w:u w:val="none"/>
        </w:rPr>
        <w:t xml:space="preserve">招标书</w:t>
      </w:r>
      <w:r>
        <w:rPr>
          <w:rFonts w:hint="eastAsia" w:cs="宋体"/>
          <w:b/>
          <w:bCs/>
          <w:color w:val="000000"/>
          <w:sz w:val="28"/>
        </w:rPr>
        <w:fldChar w:fldCharType="end"/>
      </w:r>
      <w:r>
        <w:rPr>
          <w:rFonts w:hint="eastAsia" w:cs="宋体"/>
          <w:b/>
          <w:bCs/>
          <w:color w:val="000000"/>
          <w:sz w:val="28"/>
        </w:rPr>
      </w:r>
      <w:r/>
    </w:p>
    <w:p>
      <w:pPr>
        <w:pStyle w:val="928"/>
        <w:ind w:firstLine="711"/>
        <w:spacing w:line="720" w:lineRule="auto"/>
        <w:rPr>
          <w:rFonts w:hint="eastAsia" w:cs="宋体"/>
          <w:b/>
          <w:bCs/>
          <w:color w:val="000000"/>
          <w:sz w:val="28"/>
        </w:rPr>
      </w:pPr>
      <w:r>
        <w:rPr>
          <w:rFonts w:hint="eastAsia" w:cs="宋体"/>
          <w:b/>
          <w:bCs/>
          <w:color w:val="000000"/>
          <w:sz w:val="28"/>
        </w:rPr>
        <w:t xml:space="preserve">第五章 </w:t>
      </w:r>
      <w:r>
        <w:rPr>
          <w:rFonts w:hint="eastAsia" w:cs="宋体"/>
          <w:b/>
          <w:bCs/>
          <w:color w:val="000000"/>
          <w:sz w:val="28"/>
        </w:rPr>
        <w:fldChar w:fldCharType="begin"/>
      </w:r>
      <w:r>
        <w:rPr>
          <w:rFonts w:hint="eastAsia" w:cs="宋体"/>
          <w:b/>
          <w:bCs/>
          <w:color w:val="000000"/>
          <w:sz w:val="28"/>
        </w:rPr>
        <w:instrText xml:space="preserve"> HYPERLINK  \l "合同一般条款" </w:instrText>
      </w:r>
      <w:r>
        <w:rPr>
          <w:rFonts w:hint="eastAsia" w:cs="宋体"/>
          <w:b/>
          <w:bCs/>
          <w:color w:val="000000"/>
          <w:sz w:val="28"/>
        </w:rPr>
        <w:fldChar w:fldCharType="separate"/>
      </w:r>
      <w:r>
        <w:rPr>
          <w:rStyle w:val="1023"/>
          <w:rFonts w:hint="eastAsia" w:cs="宋体"/>
          <w:b/>
          <w:bCs/>
          <w:color w:val="000000"/>
          <w:sz w:val="28"/>
          <w:u w:val="none"/>
        </w:rPr>
        <w:t xml:space="preserve">合同主要条款</w:t>
      </w:r>
      <w:r>
        <w:rPr>
          <w:rFonts w:hint="eastAsia" w:cs="宋体"/>
          <w:b/>
          <w:bCs/>
          <w:color w:val="000000"/>
          <w:sz w:val="28"/>
        </w:rPr>
        <w:fldChar w:fldCharType="end"/>
      </w:r>
      <w:r>
        <w:rPr>
          <w:rFonts w:hint="eastAsia" w:cs="宋体"/>
          <w:b/>
          <w:bCs/>
          <w:color w:val="000000"/>
          <w:sz w:val="28"/>
        </w:rPr>
      </w:r>
      <w:r/>
    </w:p>
    <w:p>
      <w:pPr>
        <w:pStyle w:val="928"/>
        <w:ind w:firstLine="711"/>
        <w:spacing w:line="720" w:lineRule="auto"/>
        <w:rPr>
          <w:rFonts w:hint="eastAsia" w:cs="宋体"/>
          <w:bCs/>
          <w:color w:val="000000"/>
          <w:sz w:val="28"/>
          <w:szCs w:val="28"/>
        </w:rPr>
      </w:pPr>
      <w:r>
        <w:rPr>
          <w:rFonts w:hint="eastAsia" w:cs="宋体"/>
          <w:b/>
          <w:bCs/>
          <w:color w:val="000000"/>
          <w:sz w:val="28"/>
          <w:szCs w:val="28"/>
        </w:rPr>
        <w:t xml:space="preserve">第六章 评分办法及标准</w:t>
      </w:r>
      <w:r>
        <w:rPr>
          <w:rFonts w:hint="eastAsia" w:cs="宋体"/>
          <w:bCs/>
          <w:color w:val="000000"/>
          <w:sz w:val="28"/>
          <w:szCs w:val="28"/>
        </w:rPr>
      </w:r>
      <w:r/>
    </w:p>
    <w:p>
      <w:pPr>
        <w:pStyle w:val="928"/>
        <w:jc w:val="center"/>
        <w:rPr>
          <w:rFonts w:hint="eastAsia" w:cs="宋体"/>
          <w:b/>
          <w:bCs/>
          <w:color w:val="000000"/>
          <w:spacing w:val="20"/>
          <w:sz w:val="30"/>
        </w:rPr>
      </w:pPr>
      <w:r>
        <w:rPr>
          <w:rFonts w:hint="eastAsia" w:cs="宋体"/>
          <w:b/>
          <w:bCs/>
          <w:color w:val="000000"/>
          <w:spacing w:val="20"/>
          <w:sz w:val="30"/>
        </w:rPr>
        <w:br w:type="page" w:clear="all"/>
        <w:t xml:space="preserve">前 附 表</w:t>
      </w:r>
      <w:r/>
    </w:p>
    <w:p>
      <w:pPr>
        <w:pStyle w:val="928"/>
        <w:ind w:firstLine="420"/>
        <w:spacing w:line="440" w:lineRule="exact"/>
        <w:rPr>
          <w:rFonts w:hint="eastAsia" w:cs="宋体"/>
          <w:color w:val="000000"/>
          <w:sz w:val="21"/>
          <w:szCs w:val="21"/>
        </w:rPr>
      </w:pPr>
      <w:r>
        <w:rPr>
          <w:rFonts w:hint="eastAsia" w:cs="宋体"/>
          <w:color w:val="000000"/>
          <w:sz w:val="21"/>
          <w:szCs w:val="21"/>
        </w:rPr>
        <w:t xml:space="preserve">下述关于要采购的</w:t>
      </w:r>
      <w:r>
        <w:rPr>
          <w:rFonts w:hint="eastAsia" w:cs="宋体"/>
          <w:b/>
          <w:bCs/>
          <w:color w:val="000000"/>
          <w:sz w:val="21"/>
          <w:szCs w:val="21"/>
        </w:rPr>
        <w:t xml:space="preserve">2026年监控及信息化系统维保</w:t>
      </w:r>
      <w:r>
        <w:rPr>
          <w:rFonts w:hint="eastAsia" w:cs="宋体"/>
          <w:color w:val="000000"/>
          <w:sz w:val="21"/>
          <w:szCs w:val="21"/>
        </w:rPr>
        <w:t xml:space="preserve">的具体资料是对招标文件投标人须知的具体补充和修改，如果有矛盾的话，应以本附表为准。</w:t>
      </w:r>
      <w:r/>
    </w:p>
    <w:tbl>
      <w:tblPr>
        <w:tblW w:w="0" w:type="auto"/>
        <w:jc w:val="center"/>
        <w:tblInd w:w="0"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序号</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内容</w:t>
            </w:r>
            <w:r/>
          </w:p>
        </w:tc>
        <w:tc>
          <w:tcPr>
            <w:tcW w:w="6820" w:type="dxa"/>
            <w:vAlign w:val="center"/>
            <w:textDirection w:val="lrTb"/>
            <w:noWrap w:val="false"/>
          </w:tcPr>
          <w:p>
            <w:pPr>
              <w:pStyle w:val="928"/>
              <w:jc w:val="center"/>
              <w:spacing w:line="460" w:lineRule="exact"/>
              <w:rPr>
                <w:rFonts w:hint="eastAsia" w:cs="宋体"/>
                <w:b/>
                <w:bCs/>
                <w:color w:val="000000"/>
                <w:sz w:val="21"/>
                <w:szCs w:val="21"/>
              </w:rPr>
            </w:pPr>
            <w:r>
              <w:rPr>
                <w:rFonts w:hint="eastAsia" w:cs="宋体"/>
                <w:b/>
                <w:bCs/>
                <w:color w:val="000000"/>
                <w:sz w:val="21"/>
                <w:szCs w:val="21"/>
              </w:rPr>
              <w:t xml:space="preserve">说明与要求</w:t>
            </w:r>
            <w:r/>
          </w:p>
        </w:tc>
      </w:tr>
      <w:tr>
        <w:trPr>
          <w:cantSplit/>
          <w:trHeight w:val="553"/>
        </w:trPr>
        <w:tc>
          <w:tcPr>
            <w:tcW w:w="766" w:type="dxa"/>
            <w:vAlign w:val="center"/>
            <w:vMerge w:val="restart"/>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1</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采购内容</w:t>
            </w:r>
            <w:r/>
          </w:p>
        </w:tc>
        <w:tc>
          <w:tcPr>
            <w:tcW w:w="6820" w:type="dxa"/>
            <w:vAlign w:val="center"/>
            <w:textDirection w:val="lrTb"/>
            <w:noWrap w:val="false"/>
          </w:tcPr>
          <w:p>
            <w:pPr>
              <w:pStyle w:val="928"/>
              <w:jc w:val="center"/>
              <w:spacing w:line="460" w:lineRule="exact"/>
              <w:rPr>
                <w:rFonts w:hint="eastAsia" w:cs="宋体"/>
                <w:color w:val="000000"/>
                <w:sz w:val="21"/>
                <w:szCs w:val="21"/>
              </w:rPr>
            </w:pPr>
            <w:r>
              <w:rPr>
                <w:rFonts w:hint="eastAsia" w:cs="宋体"/>
                <w:color w:val="000000"/>
                <w:sz w:val="21"/>
                <w:szCs w:val="21"/>
              </w:rPr>
              <w:t xml:space="preserve">2026年监控及信息化系统维保</w:t>
            </w:r>
            <w:r/>
          </w:p>
        </w:tc>
      </w:tr>
      <w:tr>
        <w:trPr>
          <w:cantSplit/>
          <w:trHeight w:val="389"/>
        </w:trPr>
        <w:tc>
          <w:tcPr>
            <w:tcW w:w="766" w:type="dxa"/>
            <w:vAlign w:val="center"/>
            <w:vMerge w:val="continue"/>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采购单位</w:t>
            </w:r>
            <w:r/>
          </w:p>
        </w:tc>
        <w:tc>
          <w:tcPr>
            <w:tcW w:w="6820" w:type="dxa"/>
            <w:vAlign w:val="center"/>
            <w:textDirection w:val="lrTb"/>
            <w:noWrap w:val="false"/>
          </w:tcPr>
          <w:p>
            <w:pPr>
              <w:pStyle w:val="928"/>
              <w:jc w:val="center"/>
              <w:spacing w:line="460" w:lineRule="exact"/>
              <w:rPr>
                <w:rFonts w:hint="eastAsia" w:cs="宋体"/>
                <w:color w:val="000000"/>
                <w:sz w:val="21"/>
                <w:szCs w:val="21"/>
              </w:rPr>
            </w:pPr>
            <w:r>
              <w:rPr>
                <w:rFonts w:cs="宋体"/>
                <w:color w:val="000000"/>
                <w:sz w:val="21"/>
                <w:szCs w:val="21"/>
              </w:rPr>
              <w:t xml:space="preserve">太仓市公安局</w:t>
            </w:r>
            <w:r>
              <w:rPr>
                <w:rFonts w:hint="eastAsia" w:cs="宋体"/>
                <w:color w:val="000000"/>
                <w:sz w:val="21"/>
                <w:szCs w:val="21"/>
              </w:rPr>
            </w:r>
            <w:r/>
          </w:p>
        </w:tc>
      </w:tr>
      <w:tr>
        <w:trPr>
          <w:cantSplit/>
          <w:trHeight w:val="652"/>
        </w:trPr>
        <w:tc>
          <w:tcPr>
            <w:tcW w:w="766" w:type="dxa"/>
            <w:vAlign w:val="center"/>
            <w:vMerge w:val="continue"/>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采购方式</w:t>
            </w:r>
            <w:r/>
          </w:p>
        </w:tc>
        <w:tc>
          <w:tcPr>
            <w:tcW w:w="6820" w:type="dxa"/>
            <w:vAlign w:val="center"/>
            <w:textDirection w:val="lrTb"/>
            <w:noWrap w:val="false"/>
          </w:tcPr>
          <w:p>
            <w:pPr>
              <w:pStyle w:val="928"/>
              <w:jc w:val="center"/>
              <w:spacing w:line="460" w:lineRule="exact"/>
              <w:rPr>
                <w:rFonts w:hint="eastAsia" w:cs="宋体"/>
                <w:color w:val="000000"/>
                <w:sz w:val="21"/>
                <w:szCs w:val="21"/>
              </w:rPr>
            </w:pPr>
            <w:r>
              <w:rPr>
                <w:rFonts w:hint="eastAsia" w:cs="宋体"/>
                <w:color w:val="000000"/>
                <w:sz w:val="21"/>
                <w:szCs w:val="21"/>
              </w:rPr>
              <w:t xml:space="preserve">公开招标</w:t>
            </w:r>
            <w:r/>
          </w:p>
        </w:tc>
      </w:tr>
      <w:tr>
        <w:trPr>
          <w:cantSplit/>
          <w:trHeight w:val="652"/>
        </w:trPr>
        <w:tc>
          <w:tcPr>
            <w:tcW w:w="766" w:type="dxa"/>
            <w:vAlign w:val="center"/>
            <w:vMerge w:val="continue"/>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资金来源</w:t>
            </w:r>
            <w:r/>
          </w:p>
        </w:tc>
        <w:tc>
          <w:tcPr>
            <w:tcW w:w="6820" w:type="dxa"/>
            <w:vAlign w:val="center"/>
            <w:textDirection w:val="lrTb"/>
            <w:noWrap w:val="false"/>
          </w:tcPr>
          <w:p>
            <w:pPr>
              <w:pStyle w:val="928"/>
              <w:jc w:val="center"/>
              <w:spacing w:line="460" w:lineRule="exact"/>
              <w:rPr>
                <w:rFonts w:hint="eastAsia" w:cs="宋体"/>
                <w:color w:val="000000"/>
                <w:sz w:val="21"/>
                <w:szCs w:val="21"/>
              </w:rPr>
            </w:pPr>
            <w:r>
              <w:rPr>
                <w:rFonts w:hint="eastAsia" w:cs="宋体"/>
                <w:color w:val="000000"/>
                <w:sz w:val="21"/>
                <w:szCs w:val="21"/>
              </w:rPr>
              <w:t xml:space="preserve">财政资金</w:t>
            </w:r>
            <w:r/>
          </w:p>
        </w:tc>
      </w:tr>
      <w:tr>
        <w:trPr>
          <w:cantSplit/>
          <w:trHeight w:val="612"/>
        </w:trPr>
        <w:tc>
          <w:tcPr>
            <w:tcW w:w="766" w:type="dxa"/>
            <w:vAlign w:val="center"/>
            <w:vMerge w:val="continue"/>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采购范围</w:t>
            </w:r>
            <w:r/>
          </w:p>
        </w:tc>
        <w:tc>
          <w:tcPr>
            <w:tcW w:w="6820" w:type="dxa"/>
            <w:vAlign w:val="center"/>
            <w:textDirection w:val="lrTb"/>
            <w:noWrap w:val="false"/>
          </w:tcPr>
          <w:p>
            <w:pPr>
              <w:pStyle w:val="928"/>
              <w:jc w:val="center"/>
              <w:spacing w:line="460" w:lineRule="exact"/>
              <w:rPr>
                <w:rFonts w:hint="eastAsia" w:cs="宋体"/>
                <w:color w:val="000000"/>
                <w:sz w:val="21"/>
                <w:szCs w:val="21"/>
              </w:rPr>
            </w:pPr>
            <w:r>
              <w:rPr>
                <w:rFonts w:hint="eastAsia" w:cs="宋体"/>
                <w:color w:val="000000"/>
                <w:sz w:val="21"/>
                <w:szCs w:val="21"/>
              </w:rPr>
              <w:t xml:space="preserve">2026年监控及信息化系统维保</w:t>
            </w:r>
            <w:r/>
          </w:p>
        </w:tc>
      </w:tr>
      <w:tr>
        <w:trPr>
          <w:cantSplit/>
          <w:trHeight w:val="414"/>
        </w:trPr>
        <w:tc>
          <w:tcPr>
            <w:tcW w:w="766" w:type="dxa"/>
            <w:vAlign w:val="center"/>
            <w:vMerge w:val="continue"/>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合同履行期限</w:t>
            </w:r>
            <w:r/>
          </w:p>
        </w:tc>
        <w:tc>
          <w:tcPr>
            <w:tcW w:w="6820" w:type="dxa"/>
            <w:vAlign w:val="center"/>
            <w:textDirection w:val="lrTb"/>
            <w:noWrap w:val="false"/>
          </w:tcPr>
          <w:p>
            <w:pPr>
              <w:pStyle w:val="928"/>
              <w:jc w:val="center"/>
              <w:spacing w:line="460" w:lineRule="exact"/>
              <w:rPr>
                <w:rFonts w:hint="eastAsia" w:cs="宋体"/>
                <w:color w:val="000000"/>
                <w:sz w:val="21"/>
                <w:szCs w:val="21"/>
              </w:rPr>
            </w:pPr>
            <w:r>
              <w:rPr>
                <w:rFonts w:hint="eastAsia" w:cs="宋体"/>
                <w:color w:val="000000"/>
                <w:sz w:val="21"/>
                <w:szCs w:val="21"/>
              </w:rPr>
              <w:t xml:space="preserve">一年</w:t>
            </w:r>
            <w:r/>
          </w:p>
        </w:tc>
      </w:tr>
      <w:tr>
        <w:trPr>
          <w:trHeight w:val="553"/>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2</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投标人资格条件</w:t>
            </w:r>
            <w:r/>
          </w:p>
        </w:tc>
        <w:tc>
          <w:tcPr>
            <w:tcW w:w="6820" w:type="dxa"/>
            <w:vAlign w:val="center"/>
            <w:textDirection w:val="lrTb"/>
            <w:noWrap w:val="false"/>
          </w:tcPr>
          <w:p>
            <w:pPr>
              <w:pStyle w:val="928"/>
              <w:jc w:val="left"/>
              <w:spacing w:line="460" w:lineRule="exact"/>
              <w:rPr>
                <w:rFonts w:hint="eastAsia" w:cs="宋体"/>
                <w:color w:val="000000"/>
                <w:sz w:val="21"/>
                <w:szCs w:val="21"/>
              </w:rPr>
            </w:pPr>
            <w:r>
              <w:rPr>
                <w:rFonts w:hint="eastAsia" w:cs="宋体"/>
                <w:color w:val="000000"/>
                <w:sz w:val="21"/>
                <w:szCs w:val="21"/>
              </w:rPr>
              <w:t xml:space="preserve">（一）满足《中华人民共和国政府采购法》第二十二条规定:</w:t>
            </w:r>
            <w:r/>
          </w:p>
          <w:p>
            <w:pPr>
              <w:pStyle w:val="928"/>
              <w:jc w:val="left"/>
              <w:spacing w:line="460" w:lineRule="exact"/>
              <w:rPr>
                <w:rFonts w:hint="eastAsia" w:cs="宋体"/>
                <w:color w:val="000000"/>
                <w:sz w:val="21"/>
                <w:szCs w:val="21"/>
              </w:rPr>
            </w:pPr>
            <w:r>
              <w:rPr>
                <w:rFonts w:hint="eastAsia" w:cs="宋体"/>
                <w:color w:val="000000"/>
                <w:sz w:val="21"/>
                <w:szCs w:val="21"/>
              </w:rPr>
              <w:t xml:space="preserve">1、具有独立承担民事责任的能力；</w:t>
            </w:r>
            <w:r/>
          </w:p>
          <w:p>
            <w:pPr>
              <w:pStyle w:val="928"/>
              <w:jc w:val="left"/>
              <w:spacing w:line="460" w:lineRule="exact"/>
              <w:rPr>
                <w:rFonts w:hint="eastAsia" w:cs="宋体"/>
                <w:color w:val="000000"/>
                <w:sz w:val="21"/>
                <w:szCs w:val="21"/>
              </w:rPr>
            </w:pPr>
            <w:r>
              <w:rPr>
                <w:rFonts w:hint="eastAsia" w:cs="宋体"/>
                <w:color w:val="000000"/>
                <w:sz w:val="21"/>
                <w:szCs w:val="21"/>
              </w:rPr>
              <w:t xml:space="preserve">2、具有良好的商业信誉和</w:t>
            </w:r>
            <w:r>
              <w:rPr>
                <w:rFonts w:hint="eastAsia" w:cs="宋体"/>
                <w:color w:val="000000"/>
                <w:sz w:val="21"/>
                <w:szCs w:val="21"/>
              </w:rPr>
              <w:t xml:space="preserve">健全的财务会计制度；</w:t>
            </w:r>
            <w:r/>
          </w:p>
          <w:p>
            <w:pPr>
              <w:pStyle w:val="928"/>
              <w:jc w:val="left"/>
              <w:spacing w:line="460" w:lineRule="exact"/>
              <w:rPr>
                <w:rFonts w:hint="eastAsia" w:cs="宋体"/>
                <w:color w:val="000000"/>
                <w:sz w:val="21"/>
                <w:szCs w:val="21"/>
              </w:rPr>
            </w:pPr>
            <w:r>
              <w:rPr>
                <w:rFonts w:hint="eastAsia" w:cs="宋体"/>
                <w:color w:val="000000"/>
                <w:sz w:val="21"/>
                <w:szCs w:val="21"/>
              </w:rPr>
              <w:t xml:space="preserve">3、具有履行合同所必需的专业技术能力；</w:t>
            </w:r>
            <w:r/>
          </w:p>
          <w:p>
            <w:pPr>
              <w:pStyle w:val="928"/>
              <w:jc w:val="left"/>
              <w:spacing w:line="460" w:lineRule="exact"/>
              <w:rPr>
                <w:rFonts w:hint="eastAsia" w:cs="宋体"/>
                <w:color w:val="000000"/>
                <w:sz w:val="21"/>
                <w:szCs w:val="21"/>
              </w:rPr>
            </w:pPr>
            <w:r>
              <w:rPr>
                <w:rFonts w:hint="eastAsia" w:cs="宋体"/>
                <w:color w:val="000000"/>
                <w:sz w:val="21"/>
                <w:szCs w:val="21"/>
              </w:rPr>
              <w:t xml:space="preserve">4、有依法缴纳税收和社会保障资金的良好记录；</w:t>
            </w:r>
            <w:r/>
          </w:p>
          <w:p>
            <w:pPr>
              <w:pStyle w:val="928"/>
              <w:jc w:val="left"/>
              <w:spacing w:line="460" w:lineRule="exact"/>
              <w:rPr>
                <w:rFonts w:hint="eastAsia" w:cs="宋体"/>
                <w:color w:val="000000"/>
                <w:sz w:val="21"/>
                <w:szCs w:val="21"/>
              </w:rPr>
            </w:pPr>
            <w:r>
              <w:rPr>
                <w:rFonts w:hint="eastAsia" w:cs="宋体"/>
                <w:color w:val="000000"/>
                <w:sz w:val="21"/>
                <w:szCs w:val="21"/>
              </w:rPr>
              <w:t xml:space="preserve">5、参加政府采购活动前三年内，在经营活动中没有重大违法记录；</w:t>
            </w:r>
            <w:r/>
          </w:p>
          <w:p>
            <w:pPr>
              <w:pStyle w:val="928"/>
              <w:jc w:val="left"/>
              <w:spacing w:line="460" w:lineRule="exact"/>
              <w:rPr>
                <w:rFonts w:hint="eastAsia" w:cs="宋体"/>
                <w:color w:val="000000"/>
                <w:sz w:val="21"/>
                <w:szCs w:val="21"/>
              </w:rPr>
            </w:pPr>
            <w:r>
              <w:rPr>
                <w:rFonts w:hint="eastAsia" w:cs="宋体"/>
                <w:color w:val="000000"/>
                <w:sz w:val="21"/>
                <w:szCs w:val="21"/>
              </w:rPr>
              <w:t xml:space="preserve">6、法律、行政法规规定的其他条件。</w:t>
            </w:r>
            <w:r/>
          </w:p>
          <w:p>
            <w:pPr>
              <w:pStyle w:val="928"/>
              <w:jc w:val="left"/>
              <w:spacing w:line="460" w:lineRule="exact"/>
              <w:rPr>
                <w:rFonts w:hint="eastAsia" w:cs="宋体"/>
                <w:color w:val="000000"/>
                <w:sz w:val="21"/>
                <w:szCs w:val="21"/>
              </w:rPr>
            </w:pPr>
            <w:r>
              <w:rPr>
                <w:rFonts w:hint="eastAsia" w:cs="宋体"/>
                <w:color w:val="000000"/>
                <w:sz w:val="21"/>
                <w:szCs w:val="21"/>
              </w:rPr>
              <w:t xml:space="preserve">（二）落实政府采购政策需满足的资格要求：</w:t>
            </w:r>
            <w:r>
              <w:rPr>
                <w:rFonts w:hint="eastAsia" w:cs="宋体"/>
                <w:color w:val="000000"/>
                <w:sz w:val="21"/>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olor w:val="000000"/>
                <w:sz w:val="21"/>
                <w:szCs w:val="21"/>
              </w:rPr>
              <w:t xml:space="preserve">。</w:t>
            </w:r>
            <w:r>
              <w:rPr>
                <w:rFonts w:hint="eastAsia" w:cs="宋体"/>
                <w:color w:val="000000"/>
                <w:sz w:val="21"/>
                <w:szCs w:val="21"/>
              </w:rPr>
            </w:r>
            <w:r/>
          </w:p>
          <w:p>
            <w:pPr>
              <w:pStyle w:val="928"/>
              <w:jc w:val="left"/>
              <w:spacing w:line="460" w:lineRule="exact"/>
              <w:rPr>
                <w:rFonts w:hint="eastAsia" w:cs="宋体"/>
                <w:color w:val="000000"/>
                <w:sz w:val="21"/>
                <w:szCs w:val="21"/>
              </w:rPr>
            </w:pPr>
            <w:r>
              <w:rPr>
                <w:rFonts w:hint="eastAsia" w:cs="宋体"/>
                <w:color w:val="000000"/>
                <w:sz w:val="21"/>
                <w:szCs w:val="21"/>
              </w:rPr>
              <w:t xml:space="preserve">（三）本项目的特定资格要求：无</w:t>
            </w:r>
            <w:r/>
          </w:p>
        </w:tc>
      </w:tr>
      <w:tr>
        <w:trPr>
          <w:trHeight w:val="557"/>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3</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招标文件获取</w:t>
            </w:r>
            <w:r/>
          </w:p>
        </w:tc>
        <w:tc>
          <w:tcPr>
            <w:tcW w:w="6820" w:type="dxa"/>
            <w:vAlign w:val="center"/>
            <w:textDirection w:val="lrTb"/>
            <w:noWrap w:val="false"/>
          </w:tcPr>
          <w:p>
            <w:pPr>
              <w:pStyle w:val="928"/>
              <w:jc w:val="left"/>
              <w:spacing w:line="460" w:lineRule="exact"/>
              <w:rPr>
                <w:rFonts w:cs="宋体"/>
                <w:color w:val="000000"/>
                <w:sz w:val="21"/>
              </w:rPr>
            </w:pPr>
            <w:r>
              <w:rPr>
                <w:rFonts w:hint="eastAsia" w:cs="宋体"/>
                <w:color w:val="000000"/>
                <w:sz w:val="21"/>
              </w:rPr>
              <w:t xml:space="preserve">1、时间：自招标文件公告发布之日起5个工作日。</w:t>
            </w:r>
            <w:r>
              <w:rPr>
                <w:rFonts w:cs="宋体"/>
                <w:color w:val="000000"/>
                <w:sz w:val="21"/>
              </w:rPr>
            </w:r>
            <w:r/>
          </w:p>
          <w:p>
            <w:pPr>
              <w:pStyle w:val="928"/>
              <w:jc w:val="left"/>
              <w:spacing w:line="460" w:lineRule="exact"/>
              <w:rPr>
                <w:rFonts w:hint="eastAsia" w:cs="宋体"/>
                <w:color w:val="000000"/>
                <w:sz w:val="21"/>
              </w:rPr>
            </w:pPr>
            <w:r>
              <w:rPr>
                <w:rFonts w:hint="eastAsia" w:cs="宋体"/>
                <w:color w:val="000000"/>
                <w:sz w:val="21"/>
              </w:rPr>
              <w:t xml:space="preserve">2、地点：苏采云政府采购一体化平台</w:t>
            </w:r>
            <w:r/>
          </w:p>
          <w:p>
            <w:pPr>
              <w:pStyle w:val="928"/>
              <w:jc w:val="left"/>
              <w:spacing w:line="460" w:lineRule="exact"/>
              <w:rPr>
                <w:rFonts w:hint="eastAsia" w:cs="宋体"/>
                <w:color w:val="000000"/>
                <w:sz w:val="21"/>
              </w:rPr>
            </w:pPr>
            <w:r>
              <w:rPr>
                <w:rFonts w:hint="eastAsia" w:cs="宋体"/>
                <w:color w:val="000000"/>
                <w:sz w:val="21"/>
              </w:rPr>
              <w:t xml:space="preserve">3、方式：苏采云政府采购一体化平台</w:t>
            </w:r>
            <w:r/>
          </w:p>
          <w:p>
            <w:pPr>
              <w:pStyle w:val="928"/>
              <w:jc w:val="left"/>
              <w:spacing w:line="460" w:lineRule="exact"/>
              <w:rPr>
                <w:rFonts w:hint="eastAsia" w:cs="宋体"/>
                <w:color w:val="000000"/>
                <w:sz w:val="21"/>
                <w:szCs w:val="21"/>
              </w:rPr>
            </w:pPr>
            <w:r>
              <w:rPr>
                <w:rFonts w:hint="eastAsia" w:cs="宋体"/>
                <w:color w:val="000000"/>
                <w:sz w:val="21"/>
              </w:rPr>
              <w:t xml:space="preserve">4、售价：0.00元</w:t>
            </w:r>
            <w:r>
              <w:rPr>
                <w:rFonts w:hint="eastAsia" w:cs="宋体"/>
                <w:color w:val="000000"/>
                <w:sz w:val="21"/>
                <w:szCs w:val="21"/>
              </w:rPr>
            </w:r>
            <w:r/>
          </w:p>
        </w:tc>
      </w:tr>
      <w:tr>
        <w:trPr>
          <w:trHeight w:val="543"/>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4</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财政预算</w:t>
            </w:r>
            <w:r/>
          </w:p>
        </w:tc>
        <w:tc>
          <w:tcPr>
            <w:tcW w:w="6820" w:type="dxa"/>
            <w:vAlign w:val="center"/>
            <w:textDirection w:val="lrTb"/>
            <w:noWrap w:val="false"/>
          </w:tcPr>
          <w:p>
            <w:pPr>
              <w:pStyle w:val="928"/>
              <w:jc w:val="center"/>
              <w:spacing w:line="460" w:lineRule="exact"/>
              <w:rPr>
                <w:rFonts w:hint="eastAsia" w:cs="宋体"/>
                <w:color w:val="000000"/>
                <w:sz w:val="21"/>
                <w:szCs w:val="21"/>
              </w:rPr>
            </w:pPr>
            <w:r>
              <w:rPr>
                <w:rFonts w:hint="eastAsia" w:cs="宋体"/>
                <w:color w:val="000000"/>
                <w:sz w:val="21"/>
                <w:szCs w:val="21"/>
              </w:rPr>
              <w:t xml:space="preserve">人民币642万元</w:t>
            </w:r>
            <w:r/>
          </w:p>
        </w:tc>
      </w:tr>
      <w:tr>
        <w:trPr>
          <w:trHeight w:val="640"/>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5</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投标保证金</w:t>
            </w:r>
            <w:r/>
          </w:p>
        </w:tc>
        <w:tc>
          <w:tcPr>
            <w:tcW w:w="6820" w:type="dxa"/>
            <w:vAlign w:val="center"/>
            <w:textDirection w:val="lrTb"/>
            <w:noWrap w:val="false"/>
          </w:tcPr>
          <w:p>
            <w:pPr>
              <w:pStyle w:val="928"/>
              <w:jc w:val="left"/>
              <w:spacing w:line="460" w:lineRule="exact"/>
              <w:rPr>
                <w:rFonts w:hint="eastAsia" w:cs="宋体"/>
                <w:color w:val="000000"/>
                <w:sz w:val="21"/>
                <w:szCs w:val="21"/>
                <w:lang w:eastAsia="en-US"/>
              </w:rPr>
            </w:pPr>
            <w:r>
              <w:rPr>
                <w:rFonts w:hint="eastAsia" w:cs="宋体"/>
                <w:color w:val="000000"/>
                <w:sz w:val="21"/>
                <w:szCs w:val="21"/>
                <w:lang w:eastAsia="en-US"/>
              </w:rPr>
              <w:t xml:space="preserve">无</w:t>
            </w:r>
            <w:r/>
          </w:p>
        </w:tc>
      </w:tr>
      <w:tr>
        <w:trPr>
          <w:trHeight w:val="710"/>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6</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履约保证金</w:t>
            </w:r>
            <w:r/>
          </w:p>
        </w:tc>
        <w:tc>
          <w:tcPr>
            <w:tcW w:w="6820" w:type="dxa"/>
            <w:vAlign w:val="center"/>
            <w:textDirection w:val="lrTb"/>
            <w:noWrap w:val="false"/>
          </w:tcPr>
          <w:p>
            <w:pPr>
              <w:pStyle w:val="928"/>
              <w:spacing w:line="360" w:lineRule="auto"/>
              <w:rPr>
                <w:rFonts w:hint="eastAsia" w:cs="宋体"/>
                <w:color w:val="000000"/>
                <w:sz w:val="21"/>
                <w:szCs w:val="21"/>
              </w:rPr>
            </w:pPr>
            <w:r>
              <w:rPr>
                <w:rFonts w:hint="eastAsia" w:cs="宋体"/>
                <w:color w:val="000000"/>
                <w:sz w:val="21"/>
                <w:szCs w:val="21"/>
              </w:rPr>
              <w:t xml:space="preserve">无</w:t>
            </w:r>
            <w:r/>
          </w:p>
        </w:tc>
      </w:tr>
      <w:tr>
        <w:trPr>
          <w:cantSplit/>
          <w:trHeight w:val="699"/>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7</w:t>
            </w:r>
            <w:r/>
          </w:p>
        </w:tc>
        <w:tc>
          <w:tcPr>
            <w:tcW w:w="1712" w:type="dxa"/>
            <w:vAlign w:val="center"/>
            <w:textDirection w:val="lrTb"/>
            <w:noWrap w:val="false"/>
          </w:tcPr>
          <w:p>
            <w:pPr>
              <w:pStyle w:val="928"/>
              <w:jc w:val="center"/>
              <w:spacing w:line="460" w:lineRule="exact"/>
              <w:rPr>
                <w:rFonts w:hint="eastAsia" w:cs="宋体"/>
                <w:bCs/>
                <w:color w:val="000000"/>
                <w:sz w:val="21"/>
                <w:szCs w:val="21"/>
              </w:rPr>
            </w:pPr>
            <w:r>
              <w:rPr>
                <w:rFonts w:hint="eastAsia" w:cs="宋体"/>
                <w:b/>
                <w:color w:val="000000"/>
                <w:sz w:val="21"/>
                <w:szCs w:val="21"/>
              </w:rPr>
              <w:t xml:space="preserve">电子投标文件编制要求</w:t>
            </w:r>
            <w:r>
              <w:rPr>
                <w:rFonts w:hint="eastAsia" w:cs="宋体"/>
                <w:bCs/>
                <w:color w:val="000000"/>
                <w:sz w:val="21"/>
                <w:szCs w:val="21"/>
              </w:rPr>
            </w:r>
            <w:r/>
          </w:p>
        </w:tc>
        <w:tc>
          <w:tcPr>
            <w:tcW w:w="6820" w:type="dxa"/>
            <w:vAlign w:val="center"/>
            <w:textDirection w:val="lrTb"/>
            <w:noWrap w:val="false"/>
          </w:tcPr>
          <w:p>
            <w:pPr>
              <w:pStyle w:val="928"/>
              <w:spacing w:line="460" w:lineRule="exact"/>
              <w:rPr>
                <w:rFonts w:hint="eastAsia" w:cs="宋体"/>
                <w:color w:val="000000"/>
                <w:sz w:val="21"/>
                <w:szCs w:val="21"/>
              </w:rPr>
            </w:pPr>
            <w:r>
              <w:rPr>
                <w:rFonts w:hint="eastAsia"/>
                <w:color w:val="000000"/>
                <w:sz w:val="21"/>
                <w:szCs w:val="21"/>
              </w:rPr>
              <w:t xml:space="preserve">投标人应使用招标文件要求的投标文件制作软件制作电子投标文件，电子投标文件按招标文件规定的格式制作，如果未按要求制作上传，可能导致投标无效</w:t>
            </w:r>
            <w:r>
              <w:rPr>
                <w:color w:val="000000"/>
                <w:sz w:val="21"/>
                <w:szCs w:val="21"/>
              </w:rPr>
              <w:t xml:space="preserve">。</w:t>
            </w:r>
            <w:r>
              <w:rPr>
                <w:rFonts w:hint="eastAsia" w:cs="宋体"/>
                <w:color w:val="000000"/>
                <w:sz w:val="21"/>
                <w:szCs w:val="21"/>
              </w:rPr>
            </w:r>
            <w:r/>
          </w:p>
        </w:tc>
      </w:tr>
      <w:tr>
        <w:trPr>
          <w:cantSplit/>
          <w:trHeight w:val="699"/>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8</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投标文件有效期</w:t>
            </w:r>
            <w:r/>
          </w:p>
        </w:tc>
        <w:tc>
          <w:tcPr>
            <w:tcW w:w="6820" w:type="dxa"/>
            <w:vAlign w:val="center"/>
            <w:textDirection w:val="lrTb"/>
            <w:noWrap w:val="false"/>
          </w:tcPr>
          <w:p>
            <w:pPr>
              <w:pStyle w:val="928"/>
              <w:spacing w:line="460" w:lineRule="exact"/>
              <w:rPr>
                <w:rFonts w:hint="eastAsia" w:cs="宋体"/>
                <w:color w:val="000000"/>
                <w:sz w:val="21"/>
                <w:szCs w:val="21"/>
              </w:rPr>
            </w:pPr>
            <w:r>
              <w:rPr>
                <w:rFonts w:hint="eastAsia" w:cs="宋体"/>
                <w:color w:val="000000"/>
                <w:sz w:val="21"/>
                <w:szCs w:val="21"/>
              </w:rPr>
              <w:t xml:space="preserve">60天</w:t>
            </w:r>
            <w:r/>
          </w:p>
        </w:tc>
      </w:tr>
      <w:tr>
        <w:trPr>
          <w:cantSplit/>
          <w:trHeight w:val="695"/>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9</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踏勘</w:t>
            </w:r>
            <w:r/>
          </w:p>
        </w:tc>
        <w:tc>
          <w:tcPr>
            <w:tcW w:w="6820" w:type="dxa"/>
            <w:vAlign w:val="center"/>
            <w:textDirection w:val="lrTb"/>
            <w:noWrap w:val="false"/>
          </w:tcPr>
          <w:p>
            <w:pPr>
              <w:pStyle w:val="928"/>
              <w:spacing w:line="460" w:lineRule="exact"/>
              <w:rPr>
                <w:rFonts w:hint="eastAsia" w:cs="宋体"/>
                <w:color w:val="000000"/>
                <w:sz w:val="21"/>
                <w:szCs w:val="21"/>
              </w:rPr>
            </w:pPr>
            <w:r>
              <w:rPr>
                <w:rFonts w:hint="eastAsia" w:cs="宋体"/>
                <w:color w:val="000000"/>
                <w:sz w:val="21"/>
                <w:szCs w:val="21"/>
              </w:rPr>
              <w:t xml:space="preserve">本项目不组织统一踏勘，由投标人自行踏勘</w:t>
            </w:r>
            <w:r>
              <w:rPr>
                <w:rFonts w:hint="eastAsia" w:cs="宋体"/>
                <w:color w:val="000000"/>
                <w:sz w:val="21"/>
                <w:szCs w:val="21"/>
              </w:rPr>
              <w:t xml:space="preserve">现场。</w:t>
            </w:r>
            <w:r/>
          </w:p>
        </w:tc>
      </w:tr>
      <w:tr>
        <w:trPr>
          <w:trHeight w:val="1002"/>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10</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招标文件的澄清与修改</w:t>
            </w:r>
            <w:r/>
          </w:p>
        </w:tc>
        <w:tc>
          <w:tcPr>
            <w:tcW w:w="6820" w:type="dxa"/>
            <w:vAlign w:val="center"/>
            <w:textDirection w:val="lrTb"/>
            <w:noWrap w:val="false"/>
          </w:tcPr>
          <w:p>
            <w:pPr>
              <w:pStyle w:val="1519"/>
              <w:jc w:val="both"/>
              <w:spacing w:before="0" w:beforeAutospacing="0" w:after="0" w:afterAutospacing="0" w:line="460" w:lineRule="exact"/>
              <w:rPr>
                <w:rFonts w:cs="宋体"/>
                <w:color w:val="000000"/>
                <w:sz w:val="21"/>
                <w:szCs w:val="21"/>
              </w:rPr>
            </w:pPr>
            <w:r>
              <w:rPr>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color w:val="000000"/>
                <w:sz w:val="21"/>
                <w:szCs w:val="21"/>
              </w:rPr>
              <w:t xml:space="preserve">；</w:t>
            </w:r>
            <w:r>
              <w:rPr>
                <w:color w:val="000000"/>
                <w:sz w:val="21"/>
                <w:szCs w:val="21"/>
              </w:rPr>
              <w:t xml:space="preserve">招标文件若有最新的答疑文件，投标供应商必须下载并使用该文件制作新的电子投标文件，否则将无法完成电子投标文件的上传及投标</w:t>
            </w:r>
            <w:r>
              <w:rPr>
                <w:color w:val="000000"/>
                <w:sz w:val="21"/>
                <w:szCs w:val="21"/>
              </w:rPr>
              <w:t xml:space="preserve">。</w:t>
            </w:r>
            <w:r>
              <w:rPr>
                <w:rFonts w:cs="宋体"/>
                <w:color w:val="000000"/>
                <w:sz w:val="21"/>
                <w:szCs w:val="21"/>
              </w:rPr>
            </w:r>
            <w:r/>
          </w:p>
        </w:tc>
      </w:tr>
      <w:tr>
        <w:trPr>
          <w:trHeight w:val="1002"/>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11</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投标文件的评价和比较方法</w:t>
            </w:r>
            <w:r/>
          </w:p>
        </w:tc>
        <w:tc>
          <w:tcPr>
            <w:tcW w:w="6820" w:type="dxa"/>
            <w:vAlign w:val="center"/>
            <w:textDirection w:val="lrTb"/>
            <w:noWrap w:val="false"/>
          </w:tcPr>
          <w:p>
            <w:pPr>
              <w:pStyle w:val="1519"/>
              <w:jc w:val="both"/>
              <w:spacing w:before="0" w:beforeAutospacing="0" w:after="0" w:afterAutospacing="0" w:line="460" w:lineRule="exact"/>
              <w:rPr>
                <w:rFonts w:cs="宋体"/>
                <w:color w:val="000000"/>
                <w:sz w:val="21"/>
                <w:szCs w:val="21"/>
              </w:rPr>
            </w:pPr>
            <w:r>
              <w:rPr>
                <w:rFonts w:cs="宋体"/>
                <w:color w:val="000000"/>
                <w:sz w:val="21"/>
                <w:szCs w:val="21"/>
              </w:rPr>
              <w:t xml:space="preserve">综合评分法，根据价格、方案等综合评比</w:t>
            </w:r>
            <w:r/>
          </w:p>
        </w:tc>
      </w:tr>
      <w:tr>
        <w:trPr>
          <w:trHeight w:val="1699"/>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12</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投标文件</w:t>
            </w:r>
            <w:r/>
          </w:p>
          <w:p>
            <w:pPr>
              <w:pStyle w:val="928"/>
              <w:jc w:val="center"/>
              <w:spacing w:line="460" w:lineRule="exact"/>
              <w:rPr>
                <w:rFonts w:hint="eastAsia" w:cs="宋体"/>
                <w:b/>
                <w:color w:val="000000"/>
                <w:sz w:val="21"/>
                <w:szCs w:val="21"/>
              </w:rPr>
            </w:pPr>
            <w:r>
              <w:rPr>
                <w:rFonts w:hint="eastAsia" w:cs="宋体"/>
                <w:b/>
                <w:color w:val="000000"/>
                <w:sz w:val="21"/>
                <w:szCs w:val="21"/>
              </w:rPr>
              <w:t xml:space="preserve">递交、开标</w:t>
            </w:r>
            <w:r/>
          </w:p>
        </w:tc>
        <w:tc>
          <w:tcPr>
            <w:tcW w:w="6820" w:type="dxa"/>
            <w:vAlign w:val="center"/>
            <w:textDirection w:val="lrTb"/>
            <w:noWrap w:val="false"/>
          </w:tcPr>
          <w:p>
            <w:pPr>
              <w:pStyle w:val="928"/>
              <w:spacing w:line="360" w:lineRule="auto"/>
              <w:rPr>
                <w:rFonts w:cs="宋体"/>
                <w:color w:val="000000"/>
                <w:sz w:val="21"/>
                <w:szCs w:val="21"/>
              </w:rPr>
            </w:pPr>
            <w:r>
              <w:rPr>
                <w:rFonts w:hint="eastAsia" w:cs="宋体"/>
                <w:color w:val="000000"/>
                <w:sz w:val="21"/>
                <w:szCs w:val="21"/>
              </w:rPr>
              <w:t xml:space="preserve">2026年06月22日上午09：30</w:t>
            </w:r>
            <w:r>
              <w:rPr>
                <w:rFonts w:hint="eastAsia" w:cs="宋体"/>
                <w:color w:val="000000"/>
                <w:sz w:val="21"/>
                <w:szCs w:val="21"/>
              </w:rPr>
              <w:t xml:space="preserve">（北京时间）</w:t>
            </w:r>
            <w:r>
              <w:rPr>
                <w:rFonts w:cs="宋体"/>
                <w:color w:val="000000"/>
                <w:sz w:val="21"/>
                <w:szCs w:val="21"/>
              </w:rPr>
            </w:r>
            <w:r/>
          </w:p>
          <w:p>
            <w:pPr>
              <w:pStyle w:val="928"/>
              <w:spacing w:line="360" w:lineRule="auto"/>
              <w:rPr>
                <w:rFonts w:hint="eastAsia" w:cs="宋体"/>
                <w:color w:val="000000"/>
                <w:sz w:val="21"/>
                <w:szCs w:val="21"/>
              </w:rPr>
            </w:pPr>
            <w:r>
              <w:rPr>
                <w:rFonts w:hint="eastAsia"/>
                <w:color w:val="000000"/>
                <w:sz w:val="21"/>
                <w:szCs w:val="21"/>
              </w:rPr>
              <w:t xml:space="preserve">地点：苏采云政府采购一体化平台</w:t>
            </w:r>
            <w:r>
              <w:rPr>
                <w:rFonts w:hint="eastAsia" w:cs="宋体"/>
                <w:color w:val="000000"/>
                <w:sz w:val="21"/>
                <w:szCs w:val="21"/>
              </w:rPr>
            </w:r>
            <w:r/>
          </w:p>
        </w:tc>
      </w:tr>
      <w:tr>
        <w:trPr>
          <w:trHeight w:val="557"/>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13</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代理</w:t>
            </w:r>
            <w:r>
              <w:rPr>
                <w:rFonts w:hint="eastAsia" w:cs="宋体"/>
                <w:b/>
                <w:color w:val="000000"/>
                <w:sz w:val="21"/>
                <w:szCs w:val="21"/>
              </w:rPr>
            </w:r>
            <w:r/>
          </w:p>
          <w:p>
            <w:pPr>
              <w:pStyle w:val="928"/>
              <w:jc w:val="center"/>
              <w:spacing w:line="460" w:lineRule="exact"/>
              <w:rPr>
                <w:rFonts w:hint="eastAsia" w:cs="宋体"/>
                <w:b/>
                <w:color w:val="000000"/>
                <w:sz w:val="21"/>
                <w:szCs w:val="21"/>
              </w:rPr>
            </w:pPr>
            <w:r>
              <w:rPr>
                <w:rFonts w:hint="eastAsia" w:cs="宋体"/>
                <w:b/>
                <w:color w:val="000000"/>
                <w:sz w:val="21"/>
                <w:szCs w:val="21"/>
              </w:rPr>
              <w:t xml:space="preserve">服务费</w:t>
            </w:r>
            <w:r/>
          </w:p>
        </w:tc>
        <w:tc>
          <w:tcPr>
            <w:tcW w:w="6820" w:type="dxa"/>
            <w:vAlign w:val="center"/>
            <w:textDirection w:val="lrTb"/>
            <w:noWrap w:val="false"/>
          </w:tcPr>
          <w:p>
            <w:pPr>
              <w:pStyle w:val="928"/>
              <w:spacing w:line="460" w:lineRule="exact"/>
              <w:rPr>
                <w:rFonts w:hint="eastAsia" w:cs="宋体"/>
                <w:color w:val="000000"/>
                <w:sz w:val="21"/>
                <w:szCs w:val="21"/>
              </w:rPr>
            </w:pPr>
            <w:r>
              <w:rPr>
                <w:rFonts w:hint="eastAsia" w:cs="宋体"/>
                <w:color w:val="000000"/>
                <w:sz w:val="21"/>
              </w:rPr>
              <w:t xml:space="preserve">根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金额为柒万零叁佰陆拾元整（70360.00</w:t>
            </w:r>
            <w:r>
              <w:rPr>
                <w:rFonts w:hint="eastAsia" w:cs="宋体"/>
                <w:color w:val="000000"/>
                <w:sz w:val="21"/>
              </w:rPr>
              <w:t xml:space="preserve">元）</w:t>
            </w:r>
            <w:r>
              <w:rPr>
                <w:rFonts w:hint="eastAsia" w:cs="宋体"/>
                <w:color w:val="000000"/>
                <w:sz w:val="21"/>
                <w:szCs w:val="21"/>
              </w:rPr>
              <w:t xml:space="preserve">。</w:t>
            </w:r>
            <w:r/>
          </w:p>
          <w:p>
            <w:pPr>
              <w:pStyle w:val="928"/>
              <w:spacing w:line="460" w:lineRule="exact"/>
              <w:rPr>
                <w:rFonts w:hint="eastAsia" w:cs="宋体"/>
                <w:color w:val="000000"/>
                <w:sz w:val="21"/>
                <w:szCs w:val="21"/>
              </w:rPr>
            </w:pPr>
            <w:r>
              <w:rPr>
                <w:rFonts w:hint="eastAsia" w:cs="宋体"/>
                <w:color w:val="000000"/>
                <w:sz w:val="21"/>
                <w:szCs w:val="21"/>
              </w:rPr>
              <w:t xml:space="preserve">账户：苏州乐族工程咨询有限公司</w:t>
              <w:br w:type="textWrapping" w:clear="all"/>
              <w:t xml:space="preserve">开户行：招商银行太仓支行</w:t>
              <w:br w:type="textWrapping" w:clear="all"/>
              <w:t xml:space="preserve">账户：512915826310001</w:t>
            </w:r>
            <w:r/>
          </w:p>
        </w:tc>
      </w:tr>
      <w:tr>
        <w:trPr>
          <w:trHeight w:val="558"/>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14</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导致废标因素</w:t>
            </w:r>
            <w:r/>
          </w:p>
        </w:tc>
        <w:tc>
          <w:tcPr>
            <w:tcW w:w="6820" w:type="dxa"/>
            <w:vAlign w:val="center"/>
            <w:textDirection w:val="lrTb"/>
            <w:noWrap w:val="false"/>
          </w:tcPr>
          <w:p>
            <w:pPr>
              <w:pStyle w:val="928"/>
              <w:ind w:firstLine="1"/>
              <w:spacing w:line="460" w:lineRule="exact"/>
              <w:rPr>
                <w:rFonts w:hint="eastAsia" w:cs="宋体"/>
                <w:color w:val="000000"/>
                <w:sz w:val="21"/>
                <w:szCs w:val="21"/>
              </w:rPr>
            </w:pPr>
            <w:r>
              <w:rPr>
                <w:rFonts w:hint="eastAsia" w:cs="宋体"/>
                <w:color w:val="000000"/>
                <w:sz w:val="21"/>
                <w:szCs w:val="21"/>
              </w:rPr>
              <w:t xml:space="preserve">出现下列情形之一的，为废标：</w:t>
            </w:r>
            <w:r/>
          </w:p>
          <w:p>
            <w:pPr>
              <w:pStyle w:val="928"/>
              <w:ind w:firstLine="1"/>
              <w:spacing w:line="460" w:lineRule="exact"/>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w:t>
            </w:r>
            <w:r>
              <w:rPr>
                <w:rFonts w:cs="宋体"/>
                <w:color w:val="000000"/>
                <w:sz w:val="21"/>
                <w:szCs w:val="21"/>
              </w:rPr>
              <w:t xml:space="preserve">符合专业条件的供应商或者对招标文件作实质响应的供应商不足三家的；</w:t>
            </w:r>
            <w:r/>
          </w:p>
          <w:p>
            <w:pPr>
              <w:pStyle w:val="928"/>
              <w:ind w:firstLine="1"/>
              <w:spacing w:line="460" w:lineRule="exact"/>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出现影响采购公正的违法、违规行为的；</w:t>
            </w:r>
            <w:r/>
          </w:p>
          <w:p>
            <w:pPr>
              <w:pStyle w:val="928"/>
              <w:ind w:firstLine="1"/>
              <w:spacing w:line="460" w:lineRule="exact"/>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w:t>
            </w:r>
            <w:r>
              <w:rPr>
                <w:rFonts w:cs="宋体"/>
                <w:color w:val="000000"/>
                <w:sz w:val="21"/>
                <w:szCs w:val="21"/>
              </w:rPr>
              <w:t xml:space="preserve">投标人的报价均超过了采购预算，采购人不能支付的；</w:t>
            </w:r>
            <w:r/>
          </w:p>
          <w:p>
            <w:pPr>
              <w:pStyle w:val="928"/>
              <w:ind w:firstLine="1"/>
              <w:spacing w:line="460" w:lineRule="exact"/>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因重大变故，采购任务取消的。</w:t>
            </w:r>
            <w:r/>
          </w:p>
          <w:p>
            <w:pPr>
              <w:pStyle w:val="928"/>
              <w:ind w:firstLine="1"/>
              <w:spacing w:line="460" w:lineRule="exact"/>
              <w:rPr>
                <w:rFonts w:hint="eastAsia"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r>
            <w:r/>
          </w:p>
        </w:tc>
      </w:tr>
      <w:tr>
        <w:trPr>
          <w:trHeight w:val="1539"/>
        </w:trPr>
        <w:tc>
          <w:tcPr>
            <w:tcW w:w="766"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15</w:t>
            </w:r>
            <w:r/>
          </w:p>
        </w:tc>
        <w:tc>
          <w:tcPr>
            <w:tcW w:w="1712" w:type="dxa"/>
            <w:vAlign w:val="center"/>
            <w:textDirection w:val="lrTb"/>
            <w:noWrap w:val="false"/>
          </w:tcPr>
          <w:p>
            <w:pPr>
              <w:pStyle w:val="928"/>
              <w:jc w:val="center"/>
              <w:spacing w:line="460" w:lineRule="exact"/>
              <w:rPr>
                <w:rFonts w:hint="eastAsia" w:cs="宋体"/>
                <w:b/>
                <w:color w:val="000000"/>
                <w:sz w:val="21"/>
                <w:szCs w:val="21"/>
              </w:rPr>
            </w:pPr>
            <w:r>
              <w:rPr>
                <w:rFonts w:hint="eastAsia" w:cs="宋体"/>
                <w:b/>
                <w:color w:val="000000"/>
                <w:sz w:val="21"/>
                <w:szCs w:val="21"/>
              </w:rPr>
              <w:t xml:space="preserve">导致无效标</w:t>
            </w:r>
            <w:r/>
          </w:p>
          <w:p>
            <w:pPr>
              <w:pStyle w:val="928"/>
              <w:jc w:val="center"/>
              <w:spacing w:line="460" w:lineRule="exact"/>
              <w:rPr>
                <w:rFonts w:hint="eastAsia" w:cs="宋体"/>
                <w:b/>
                <w:color w:val="000000"/>
                <w:sz w:val="21"/>
                <w:szCs w:val="21"/>
              </w:rPr>
            </w:pPr>
            <w:r>
              <w:rPr>
                <w:rFonts w:hint="eastAsia" w:cs="宋体"/>
                <w:b/>
                <w:color w:val="000000"/>
                <w:sz w:val="21"/>
                <w:szCs w:val="21"/>
              </w:rPr>
              <w:t xml:space="preserve">因素</w:t>
            </w:r>
            <w:r/>
          </w:p>
        </w:tc>
        <w:tc>
          <w:tcPr>
            <w:tcW w:w="6820" w:type="dxa"/>
            <w:vAlign w:val="center"/>
            <w:textDirection w:val="lrTb"/>
            <w:noWrap w:val="false"/>
          </w:tcPr>
          <w:p>
            <w:pPr>
              <w:pStyle w:val="928"/>
              <w:ind w:firstLine="1"/>
              <w:spacing w:line="460" w:lineRule="exact"/>
              <w:rPr>
                <w:color w:val="000000"/>
                <w:sz w:val="21"/>
                <w:szCs w:val="21"/>
              </w:rPr>
            </w:pPr>
            <w:r>
              <w:rPr>
                <w:rFonts w:hint="eastAsia" w:cs="宋体"/>
                <w:color w:val="000000"/>
                <w:sz w:val="21"/>
                <w:szCs w:val="21"/>
              </w:rPr>
              <w:t xml:space="preserve">投标文件属下列情况之一的，在资格性、符合性检查时按照无效投标处理：</w:t>
            </w:r>
            <w:r>
              <w:rPr>
                <w:color w:val="000000"/>
                <w:sz w:val="21"/>
                <w:szCs w:val="21"/>
              </w:rPr>
            </w:r>
            <w:r/>
          </w:p>
          <w:p>
            <w:pPr>
              <w:pStyle w:val="928"/>
              <w:ind w:firstLine="1"/>
              <w:spacing w:line="460" w:lineRule="exact"/>
              <w:rPr>
                <w:rFonts w:cs="宋体"/>
                <w:color w:val="000000"/>
                <w:sz w:val="21"/>
                <w:szCs w:val="21"/>
              </w:rPr>
            </w:pPr>
            <w:r>
              <w:rPr>
                <w:rFonts w:hint="eastAsia" w:cs="宋体"/>
                <w:color w:val="000000"/>
                <w:sz w:val="21"/>
                <w:szCs w:val="21"/>
              </w:rPr>
              <w:t xml:space="preserve">1、</w:t>
            </w:r>
            <w:r>
              <w:rPr>
                <w:rFonts w:cs="宋体"/>
                <w:color w:val="000000"/>
                <w:sz w:val="21"/>
                <w:szCs w:val="21"/>
              </w:rPr>
              <w:t xml:space="preserve">投标文件未按招标文件要求签署、盖章或电子签章的；</w:t>
            </w:r>
            <w:r/>
          </w:p>
          <w:p>
            <w:pPr>
              <w:pStyle w:val="928"/>
              <w:ind w:firstLine="1"/>
              <w:spacing w:line="460" w:lineRule="exact"/>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不具备招标文件中规定的资格要求的；</w:t>
            </w:r>
            <w:r/>
          </w:p>
          <w:p>
            <w:pPr>
              <w:pStyle w:val="928"/>
              <w:ind w:firstLine="1"/>
              <w:spacing w:line="460" w:lineRule="exact"/>
              <w:rPr>
                <w:rFonts w:cs="宋体"/>
                <w:color w:val="000000"/>
                <w:sz w:val="21"/>
                <w:szCs w:val="21"/>
              </w:rPr>
            </w:pPr>
            <w:r>
              <w:rPr>
                <w:rFonts w:hint="eastAsia" w:cs="宋体"/>
                <w:color w:val="000000"/>
                <w:sz w:val="21"/>
                <w:szCs w:val="21"/>
              </w:rPr>
              <w:t xml:space="preserve">3、</w:t>
            </w:r>
            <w:r>
              <w:rPr>
                <w:rFonts w:cs="宋体"/>
                <w:color w:val="000000"/>
                <w:sz w:val="21"/>
                <w:szCs w:val="21"/>
              </w:rPr>
              <w:t xml:space="preserve">报价超过招标文件中规定的预算金额或者最高限价的；</w:t>
            </w:r>
            <w:r/>
          </w:p>
          <w:p>
            <w:pPr>
              <w:pStyle w:val="928"/>
              <w:ind w:firstLine="1"/>
              <w:spacing w:line="460" w:lineRule="exact"/>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不同投标人的投标文件使用同一台电脑编制的；</w:t>
            </w:r>
            <w:r/>
          </w:p>
          <w:p>
            <w:pPr>
              <w:pStyle w:val="928"/>
              <w:ind w:firstLine="1"/>
              <w:spacing w:line="460" w:lineRule="exact"/>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w:t>
            </w:r>
            <w:r>
              <w:rPr>
                <w:rFonts w:cs="宋体"/>
                <w:color w:val="000000"/>
                <w:sz w:val="21"/>
                <w:szCs w:val="21"/>
              </w:rPr>
              <w:t xml:space="preserve">投标文件含有采购人不能接受的附加条件的；</w:t>
            </w:r>
            <w:r/>
          </w:p>
          <w:p>
            <w:pPr>
              <w:pStyle w:val="928"/>
              <w:ind w:firstLine="1"/>
              <w:spacing w:line="460" w:lineRule="exact"/>
              <w:rPr>
                <w:rFonts w:hint="eastAsia" w:cs="宋体"/>
                <w:color w:val="000000"/>
                <w:sz w:val="21"/>
                <w:szCs w:val="21"/>
              </w:rPr>
            </w:pP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法律、法规和招标文件规定的其他无效情形</w:t>
            </w:r>
            <w:r>
              <w:rPr>
                <w:color w:val="000000"/>
                <w:sz w:val="21"/>
                <w:szCs w:val="21"/>
              </w:rPr>
              <w:t xml:space="preserve">。</w:t>
            </w:r>
            <w:r>
              <w:rPr>
                <w:rFonts w:hint="eastAsia" w:cs="宋体"/>
                <w:color w:val="000000"/>
                <w:sz w:val="21"/>
                <w:szCs w:val="21"/>
              </w:rPr>
            </w:r>
            <w:r/>
          </w:p>
        </w:tc>
      </w:tr>
    </w:tbl>
    <w:p>
      <w:pPr>
        <w:pStyle w:val="929"/>
        <w:numPr>
          <w:ilvl w:val="0"/>
          <w:numId w:val="0"/>
        </w:numPr>
        <w:jc w:val="center"/>
        <w:tabs>
          <w:tab w:val="left" w:pos="432" w:leader="none"/>
        </w:tabs>
        <w:rPr>
          <w:rFonts w:hint="eastAsia" w:ascii="宋体" w:hAnsi="宋体" w:cs="宋体"/>
          <w:color w:val="000000"/>
        </w:rPr>
      </w:pPr>
      <w:r>
        <w:rPr>
          <w:rFonts w:hint="eastAsia" w:ascii="宋体" w:hAnsi="宋体" w:cs="宋体"/>
          <w:color w:val="000000"/>
        </w:rPr>
        <w:br w:type="page" w:clear="all"/>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7"/>
      </w:tblGrid>
      <w:tr>
        <w:trPr>
          <w:trHeight w:val="1491"/>
        </w:trPr>
        <w:tc>
          <w:tcPr>
            <w:tcW w:w="5000" w:type="pct"/>
            <w:vAlign w:val="top"/>
            <w:textDirection w:val="lrTb"/>
            <w:noWrap w:val="false"/>
          </w:tcPr>
          <w:p>
            <w:pPr>
              <w:pStyle w:val="928"/>
              <w:spacing w:line="360" w:lineRule="auto"/>
              <w:tabs>
                <w:tab w:val="left" w:pos="567" w:leader="none"/>
              </w:tabs>
              <w:rPr>
                <w:rFonts w:cs="宋体"/>
                <w:color w:val="000000"/>
                <w:sz w:val="21"/>
                <w:szCs w:val="21"/>
              </w:rPr>
            </w:pPr>
            <w:r/>
            <w:bookmarkStart w:id="0" w:name="OLE_LINK1"/>
            <w:r/>
            <w:bookmarkStart w:id="1" w:name="OLE_LINK6"/>
            <w:r>
              <w:rPr>
                <w:rFonts w:hint="eastAsia" w:cs="宋体"/>
                <w:color w:val="000000"/>
                <w:sz w:val="21"/>
                <w:szCs w:val="21"/>
              </w:rPr>
              <w:t xml:space="preserve">项目概况</w:t>
            </w:r>
            <w:r>
              <w:rPr>
                <w:rFonts w:cs="宋体"/>
                <w:color w:val="000000"/>
                <w:sz w:val="21"/>
                <w:szCs w:val="21"/>
              </w:rPr>
            </w:r>
            <w:r/>
          </w:p>
          <w:p>
            <w:pPr>
              <w:pStyle w:val="967"/>
              <w:spacing w:line="360" w:lineRule="auto"/>
              <w:rPr>
                <w:rFonts w:cs="宋体"/>
                <w:color w:val="000000"/>
              </w:rPr>
            </w:pPr>
            <w:r>
              <w:rPr>
                <w:rFonts w:hint="eastAsia" w:cs="宋体"/>
                <w:color w:val="000000"/>
                <w:sz w:val="21"/>
                <w:u w:val="single"/>
              </w:rPr>
              <w:t xml:space="preserve">2026年监控及信息化系统维保</w:t>
            </w:r>
            <w:r>
              <w:rPr>
                <w:rFonts w:hint="eastAsia" w:cs="宋体"/>
                <w:color w:val="000000"/>
                <w:sz w:val="21"/>
              </w:rPr>
              <w:t xml:space="preserve">招标项目的潜在投标人应在“苏采云政府采购一体化平台”中参与项目并下载获取电子招标文件，并于</w:t>
            </w:r>
            <w:r>
              <w:rPr>
                <w:rFonts w:hint="eastAsia" w:cs="宋体"/>
                <w:color w:val="000000"/>
                <w:sz w:val="21"/>
                <w:u w:val="single"/>
              </w:rPr>
              <w:t xml:space="preserve">2026年06月22日上午09：30</w:t>
            </w:r>
            <w:r>
              <w:rPr>
                <w:rFonts w:hint="eastAsia" w:cs="宋体"/>
                <w:color w:val="000000"/>
                <w:sz w:val="21"/>
              </w:rPr>
              <w:t xml:space="preserve">（北京时间）前上传电子投标文件。</w:t>
            </w:r>
            <w:r>
              <w:rPr>
                <w:rFonts w:cs="宋体"/>
                <w:color w:val="000000"/>
              </w:rPr>
            </w:r>
            <w:r/>
          </w:p>
        </w:tc>
      </w:tr>
    </w:tbl>
    <w:p>
      <w:pPr>
        <w:pStyle w:val="967"/>
        <w:ind w:firstLine="0"/>
        <w:spacing w:line="360" w:lineRule="auto"/>
        <w:rPr>
          <w:rFonts w:cs="宋体"/>
          <w:b/>
          <w:bCs/>
          <w:color w:val="000000"/>
          <w:sz w:val="21"/>
        </w:rPr>
      </w:pPr>
      <w:r>
        <w:rPr>
          <w:rFonts w:hint="eastAsia" w:cs="宋体"/>
          <w:b/>
          <w:bCs/>
          <w:color w:val="000000"/>
          <w:sz w:val="21"/>
        </w:rPr>
        <w:t xml:space="preserve">一、项目基本情况</w:t>
      </w:r>
      <w:r>
        <w:rPr>
          <w:rFonts w:hint="eastAsia" w:cs="宋体"/>
          <w:b/>
          <w:bCs/>
          <w:color w:val="000000"/>
          <w:sz w:val="21"/>
        </w:rPr>
        <w:t xml:space="preserve">：</w:t>
      </w:r>
      <w:r>
        <w:rPr>
          <w:rFonts w:cs="宋体"/>
          <w:b/>
          <w:bCs/>
          <w:color w:val="000000"/>
          <w:sz w:val="21"/>
        </w:rPr>
      </w:r>
      <w:r/>
    </w:p>
    <w:p>
      <w:pPr>
        <w:pStyle w:val="928"/>
        <w:ind w:left="420"/>
        <w:spacing w:line="360" w:lineRule="auto"/>
        <w:tabs>
          <w:tab w:val="left" w:pos="567" w:leader="none"/>
        </w:tabs>
        <w:rPr>
          <w:rFonts w:hint="eastAsia" w:cs="宋体"/>
          <w:color w:val="000000"/>
          <w:sz w:val="21"/>
          <w:szCs w:val="21"/>
        </w:rPr>
      </w:pPr>
      <w:r>
        <w:rPr>
          <w:rFonts w:hint="eastAsia" w:cs="宋体"/>
          <w:color w:val="000000"/>
          <w:sz w:val="21"/>
          <w:szCs w:val="21"/>
        </w:rPr>
        <w:t xml:space="preserve">项目编号：</w:t>
      </w:r>
      <w:r>
        <w:rPr>
          <w:rFonts w:hint="eastAsia" w:cs="宋体"/>
          <w:color w:val="000000"/>
          <w:sz w:val="21"/>
          <w:szCs w:val="21"/>
        </w:rPr>
        <w:t xml:space="preserve">JSZC-320585-SZLZ-G2026-0009</w:t>
      </w:r>
      <w:r>
        <w:rPr>
          <w:rFonts w:hint="eastAsia" w:cs="宋体"/>
          <w:color w:val="000000"/>
          <w:sz w:val="21"/>
          <w:szCs w:val="21"/>
        </w:rPr>
      </w:r>
      <w:r/>
    </w:p>
    <w:p>
      <w:pPr>
        <w:pStyle w:val="967"/>
        <w:spacing w:line="360" w:lineRule="auto"/>
        <w:rPr>
          <w:rFonts w:hint="eastAsia" w:cs="宋体"/>
          <w:color w:val="000000"/>
          <w:sz w:val="21"/>
        </w:rPr>
      </w:pPr>
      <w:r>
        <w:rPr>
          <w:rFonts w:hint="eastAsia" w:cs="宋体"/>
          <w:color w:val="000000"/>
          <w:sz w:val="21"/>
        </w:rPr>
        <w:t xml:space="preserve">项目名称：2026年监控及信息化系统维保</w:t>
      </w:r>
      <w:r/>
    </w:p>
    <w:p>
      <w:pPr>
        <w:pStyle w:val="967"/>
        <w:spacing w:line="360" w:lineRule="auto"/>
        <w:rPr>
          <w:rFonts w:cs="宋体"/>
          <w:color w:val="000000"/>
          <w:sz w:val="21"/>
        </w:rPr>
      </w:pPr>
      <w:r/>
      <w:bookmarkStart w:id="2" w:name="OLE_LINK3"/>
      <w:r>
        <w:rPr>
          <w:rFonts w:hint="eastAsia" w:cs="宋体"/>
          <w:bCs/>
          <w:color w:val="000000"/>
          <w:sz w:val="21"/>
        </w:rPr>
        <w:t xml:space="preserve">采购方式：公开招标</w:t>
      </w:r>
      <w:r>
        <w:rPr>
          <w:rFonts w:cs="宋体"/>
          <w:color w:val="000000"/>
          <w:sz w:val="21"/>
        </w:rPr>
      </w:r>
      <w:r/>
    </w:p>
    <w:p>
      <w:pPr>
        <w:pStyle w:val="967"/>
        <w:spacing w:line="360" w:lineRule="auto"/>
        <w:rPr>
          <w:rFonts w:cs="宋体"/>
          <w:color w:val="000000"/>
          <w:sz w:val="21"/>
        </w:rPr>
      </w:pPr>
      <w:r/>
      <w:bookmarkEnd w:id="2"/>
      <w:r>
        <w:rPr>
          <w:rFonts w:hint="eastAsia" w:cs="宋体"/>
          <w:color w:val="000000"/>
          <w:sz w:val="21"/>
        </w:rPr>
        <w:t xml:space="preserve">预算金额：人民币642万元</w:t>
      </w:r>
      <w:r>
        <w:rPr>
          <w:rFonts w:cs="宋体"/>
          <w:color w:val="000000"/>
          <w:sz w:val="21"/>
        </w:rPr>
      </w:r>
      <w:r/>
    </w:p>
    <w:p>
      <w:pPr>
        <w:pStyle w:val="967"/>
        <w:spacing w:line="360" w:lineRule="auto"/>
        <w:rPr>
          <w:rFonts w:hint="eastAsia" w:cs="宋体"/>
          <w:color w:val="000000"/>
          <w:sz w:val="21"/>
        </w:rPr>
      </w:pPr>
      <w:r>
        <w:rPr>
          <w:rFonts w:hint="eastAsia" w:cs="宋体"/>
          <w:color w:val="000000"/>
          <w:sz w:val="21"/>
        </w:rPr>
        <w:t xml:space="preserve">最高限价：人民币642万元（投标报价超过限价的为无效标）</w:t>
      </w:r>
      <w:r/>
    </w:p>
    <w:p>
      <w:pPr>
        <w:pStyle w:val="967"/>
        <w:spacing w:line="360" w:lineRule="auto"/>
        <w:rPr>
          <w:rFonts w:hint="eastAsia" w:cs="宋体"/>
          <w:color w:val="000000"/>
          <w:sz w:val="21"/>
        </w:rPr>
      </w:pPr>
      <w:r>
        <w:rPr>
          <w:rFonts w:hint="eastAsia" w:cs="宋体"/>
          <w:color w:val="000000"/>
          <w:sz w:val="21"/>
        </w:rPr>
        <w:t xml:space="preserve">采购需求：2026年监控及信息化系统维保，详见第四章 招标书。</w:t>
      </w:r>
      <w:r/>
    </w:p>
    <w:p>
      <w:pPr>
        <w:pStyle w:val="967"/>
        <w:spacing w:line="360" w:lineRule="auto"/>
        <w:rPr>
          <w:rFonts w:cs="宋体"/>
          <w:color w:val="000000"/>
          <w:sz w:val="21"/>
        </w:rPr>
      </w:pPr>
      <w:r>
        <w:rPr>
          <w:rFonts w:hint="eastAsia" w:cs="宋体"/>
          <w:color w:val="000000"/>
          <w:sz w:val="21"/>
        </w:rPr>
        <w:t xml:space="preserve">合同履行期限：一年。</w:t>
      </w:r>
      <w:r>
        <w:rPr>
          <w:rFonts w:cs="宋体"/>
          <w:color w:val="000000"/>
          <w:sz w:val="21"/>
        </w:rPr>
      </w:r>
      <w:r/>
    </w:p>
    <w:p>
      <w:pPr>
        <w:pStyle w:val="967"/>
        <w:spacing w:line="360" w:lineRule="auto"/>
        <w:rPr>
          <w:rFonts w:cs="宋体"/>
          <w:color w:val="000000"/>
          <w:sz w:val="21"/>
        </w:rPr>
      </w:pPr>
      <w:r>
        <w:rPr>
          <w:rFonts w:hint="eastAsia" w:cs="宋体"/>
          <w:color w:val="000000"/>
          <w:sz w:val="21"/>
        </w:rPr>
        <w:t xml:space="preserve">服务地点：采购人指定地点。</w:t>
      </w:r>
      <w:r>
        <w:rPr>
          <w:rFonts w:cs="宋体"/>
          <w:color w:val="000000"/>
          <w:sz w:val="21"/>
        </w:rPr>
      </w:r>
      <w:r/>
    </w:p>
    <w:p>
      <w:pPr>
        <w:pStyle w:val="967"/>
        <w:spacing w:line="360" w:lineRule="auto"/>
        <w:rPr>
          <w:rFonts w:hint="eastAsia" w:cs="宋体"/>
          <w:color w:val="000000"/>
          <w:sz w:val="21"/>
        </w:rPr>
      </w:pPr>
      <w:r>
        <w:rPr>
          <w:rFonts w:hint="eastAsia" w:cs="宋体"/>
          <w:color w:val="000000"/>
          <w:sz w:val="21"/>
        </w:rPr>
        <w:t xml:space="preserve">本项目不接受联合体投标</w:t>
      </w:r>
      <w:r/>
    </w:p>
    <w:p>
      <w:pPr>
        <w:pStyle w:val="967"/>
        <w:ind w:firstLine="0"/>
        <w:spacing w:line="360" w:lineRule="auto"/>
        <w:rPr>
          <w:rFonts w:cs="宋体"/>
          <w:b/>
          <w:bCs/>
          <w:color w:val="000000"/>
          <w:sz w:val="21"/>
        </w:rPr>
      </w:pPr>
      <w:r>
        <w:rPr>
          <w:rFonts w:hint="eastAsia" w:cs="宋体"/>
          <w:b/>
          <w:bCs/>
          <w:color w:val="000000"/>
          <w:sz w:val="21"/>
        </w:rPr>
        <w:t xml:space="preserve">二、申请人的资格要求：</w:t>
      </w:r>
      <w:r>
        <w:rPr>
          <w:rFonts w:cs="宋体"/>
          <w:b/>
          <w:bCs/>
          <w:color w:val="000000"/>
          <w:sz w:val="21"/>
        </w:rPr>
      </w:r>
      <w:r/>
    </w:p>
    <w:p>
      <w:pPr>
        <w:pStyle w:val="967"/>
        <w:spacing w:line="360" w:lineRule="auto"/>
        <w:rPr>
          <w:rFonts w:cs="宋体"/>
          <w:color w:val="000000"/>
          <w:sz w:val="21"/>
        </w:rPr>
      </w:pPr>
      <w:r>
        <w:rPr>
          <w:rFonts w:hint="eastAsia" w:cs="宋体"/>
          <w:color w:val="000000"/>
          <w:sz w:val="21"/>
        </w:rPr>
        <w:t xml:space="preserve">（一）满足《中华人民共和国政府采购法</w:t>
      </w:r>
      <w:r>
        <w:rPr>
          <w:rFonts w:hint="eastAsia" w:cs="宋体"/>
          <w:color w:val="000000"/>
          <w:sz w:val="21"/>
        </w:rPr>
        <w:t xml:space="preserve">》第二十二条规定</w:t>
      </w:r>
      <w:r>
        <w:rPr>
          <w:rFonts w:cs="宋体"/>
          <w:color w:val="000000"/>
          <w:sz w:val="21"/>
        </w:rPr>
      </w:r>
      <w:r/>
    </w:p>
    <w:p>
      <w:pPr>
        <w:pStyle w:val="967"/>
        <w:spacing w:line="360" w:lineRule="auto"/>
        <w:rPr>
          <w:rFonts w:cs="宋体"/>
          <w:color w:val="000000"/>
          <w:sz w:val="21"/>
        </w:rPr>
      </w:pPr>
      <w:r>
        <w:rPr>
          <w:rFonts w:cs="宋体"/>
          <w:color w:val="000000"/>
          <w:sz w:val="21"/>
        </w:rPr>
        <w:t xml:space="preserve">1、具有独立承担民事责任的能力（提供法人或者其他组织的营业执照等证明文件，自然人的身份证明）</w:t>
      </w:r>
      <w:r>
        <w:rPr>
          <w:rFonts w:hint="eastAsia" w:cs="宋体"/>
          <w:color w:val="000000"/>
          <w:sz w:val="21"/>
        </w:rPr>
        <w:t xml:space="preserve">；</w:t>
      </w:r>
      <w:r>
        <w:rPr>
          <w:rFonts w:cs="宋体"/>
          <w:color w:val="000000"/>
          <w:sz w:val="21"/>
        </w:rPr>
      </w:r>
      <w:r/>
    </w:p>
    <w:p>
      <w:pPr>
        <w:pStyle w:val="967"/>
        <w:spacing w:line="360" w:lineRule="auto"/>
        <w:rPr>
          <w:rFonts w:cs="宋体"/>
          <w:color w:val="000000"/>
          <w:sz w:val="21"/>
        </w:rPr>
      </w:pPr>
      <w:r>
        <w:rPr>
          <w:rFonts w:cs="宋体"/>
          <w:color w:val="000000"/>
          <w:sz w:val="21"/>
        </w:rPr>
        <w:t xml:space="preserve">2、具有良好的商业信誉和健全的财务会计制度（包括但不限于最近一期的财务报告，其他组织、自然人及成立未满</w:t>
      </w:r>
      <w:r>
        <w:rPr>
          <w:rFonts w:hint="eastAsia" w:cs="宋体"/>
          <w:color w:val="000000"/>
          <w:sz w:val="21"/>
        </w:rPr>
        <w:t xml:space="preserve">一年</w:t>
      </w:r>
      <w:r>
        <w:rPr>
          <w:rFonts w:cs="宋体"/>
          <w:color w:val="000000"/>
          <w:sz w:val="21"/>
        </w:rPr>
        <w:t xml:space="preserve">的法人应提供银行出具的资信证明）</w:t>
      </w:r>
      <w:r>
        <w:rPr>
          <w:rFonts w:hint="eastAsia" w:cs="宋体"/>
          <w:color w:val="000000"/>
          <w:sz w:val="21"/>
        </w:rPr>
        <w:t xml:space="preserve">；</w:t>
      </w:r>
      <w:r>
        <w:rPr>
          <w:rFonts w:cs="宋体"/>
          <w:color w:val="000000"/>
          <w:sz w:val="21"/>
        </w:rPr>
      </w:r>
      <w:r/>
    </w:p>
    <w:p>
      <w:pPr>
        <w:pStyle w:val="967"/>
        <w:spacing w:line="360" w:lineRule="auto"/>
        <w:rPr>
          <w:rFonts w:cs="宋体"/>
          <w:color w:val="000000"/>
          <w:sz w:val="21"/>
        </w:rPr>
      </w:pPr>
      <w:r>
        <w:rPr>
          <w:rFonts w:cs="宋体"/>
          <w:color w:val="000000"/>
          <w:sz w:val="21"/>
        </w:rPr>
        <w:t xml:space="preserve">3、具有履行合同所必需的设备和专业技术能力（提供履行合同所必需的设备和专业技术能力的证明材料）；</w:t>
      </w:r>
      <w:r/>
    </w:p>
    <w:p>
      <w:pPr>
        <w:pStyle w:val="967"/>
        <w:spacing w:line="360" w:lineRule="auto"/>
        <w:rPr>
          <w:rFonts w:cs="宋体"/>
          <w:color w:val="000000"/>
          <w:sz w:val="21"/>
        </w:rPr>
      </w:pPr>
      <w:r>
        <w:rPr>
          <w:rFonts w:cs="宋体"/>
          <w:color w:val="000000"/>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967"/>
        <w:spacing w:line="360" w:lineRule="auto"/>
        <w:rPr>
          <w:rFonts w:cs="宋体"/>
          <w:color w:val="000000"/>
          <w:sz w:val="21"/>
        </w:rPr>
      </w:pPr>
      <w:r>
        <w:rPr>
          <w:rFonts w:cs="宋体"/>
          <w:color w:val="000000"/>
          <w:sz w:val="21"/>
        </w:rPr>
        <w:t xml:space="preserve">5、参加政府采购活动前三年内，在经营活动中没有重大违法记录（提供参加本次政府采购活动前3年内在经营活动中没有重大违法记录的书面声明）（格式</w:t>
      </w:r>
      <w:r>
        <w:rPr>
          <w:rFonts w:cs="宋体"/>
          <w:color w:val="000000"/>
          <w:sz w:val="21"/>
        </w:rPr>
        <w:t xml:space="preserve">附后）；</w:t>
      </w:r>
      <w:r/>
    </w:p>
    <w:p>
      <w:pPr>
        <w:pStyle w:val="967"/>
        <w:spacing w:line="360" w:lineRule="auto"/>
        <w:rPr>
          <w:rFonts w:cs="宋体"/>
          <w:color w:val="000000"/>
          <w:sz w:val="21"/>
        </w:rPr>
      </w:pPr>
      <w:r>
        <w:rPr>
          <w:rFonts w:cs="宋体"/>
          <w:color w:val="000000"/>
          <w:sz w:val="21"/>
        </w:rPr>
        <w:t xml:space="preserve">6、法律、行政法规规定的其他条件</w:t>
      </w:r>
      <w:r>
        <w:rPr>
          <w:rFonts w:hint="eastAsia" w:cs="宋体"/>
          <w:color w:val="000000"/>
          <w:sz w:val="21"/>
        </w:rPr>
        <w:t xml:space="preserve">。</w:t>
      </w:r>
      <w:r>
        <w:rPr>
          <w:rFonts w:cs="宋体"/>
          <w:color w:val="000000"/>
          <w:sz w:val="21"/>
        </w:rPr>
      </w:r>
      <w:r/>
    </w:p>
    <w:p>
      <w:pPr>
        <w:pStyle w:val="967"/>
        <w:spacing w:line="360" w:lineRule="auto"/>
        <w:rPr>
          <w:rFonts w:cs="宋体"/>
          <w:color w:val="000000"/>
          <w:sz w:val="21"/>
        </w:rPr>
      </w:pPr>
      <w:r>
        <w:rPr>
          <w:rFonts w:hint="eastAsia" w:cs="宋体"/>
          <w:color w:val="000000"/>
          <w:sz w:val="21"/>
        </w:rPr>
        <w:t xml:space="preserve">（二）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cs="宋体"/>
          <w:color w:val="000000"/>
          <w:sz w:val="21"/>
        </w:rPr>
      </w:r>
      <w:r/>
    </w:p>
    <w:p>
      <w:pPr>
        <w:pStyle w:val="967"/>
        <w:spacing w:line="360" w:lineRule="auto"/>
        <w:rPr>
          <w:rFonts w:cs="宋体"/>
          <w:color w:val="000000"/>
          <w:sz w:val="21"/>
        </w:rPr>
      </w:pPr>
      <w:r>
        <w:rPr>
          <w:rFonts w:hint="eastAsia" w:cs="宋体"/>
          <w:color w:val="000000"/>
          <w:sz w:val="21"/>
        </w:rPr>
        <w:t xml:space="preserve">（三）本项目的特定资格要求：无</w:t>
      </w:r>
      <w:r>
        <w:rPr>
          <w:rFonts w:cs="宋体"/>
          <w:color w:val="000000"/>
          <w:sz w:val="21"/>
        </w:rPr>
      </w:r>
      <w:r/>
    </w:p>
    <w:p>
      <w:pPr>
        <w:pStyle w:val="967"/>
        <w:spacing w:line="360" w:lineRule="auto"/>
        <w:rPr>
          <w:rFonts w:cs="宋体"/>
          <w:color w:val="000000"/>
          <w:sz w:val="21"/>
        </w:rPr>
      </w:pPr>
      <w:r>
        <w:rPr>
          <w:rFonts w:hint="eastAsia" w:cs="宋体"/>
          <w:color w:val="000000"/>
          <w:sz w:val="21"/>
        </w:rPr>
        <w:t xml:space="preserve">（四）拒绝下述供应商参加本次采购活动：</w:t>
      </w:r>
      <w:r>
        <w:rPr>
          <w:rFonts w:cs="宋体"/>
          <w:color w:val="000000"/>
          <w:sz w:val="21"/>
        </w:rPr>
      </w:r>
      <w:r/>
    </w:p>
    <w:p>
      <w:pPr>
        <w:pStyle w:val="967"/>
        <w:spacing w:line="360" w:lineRule="auto"/>
        <w:rPr>
          <w:rFonts w:cs="宋体"/>
          <w:color w:val="000000"/>
          <w:sz w:val="21"/>
        </w:rPr>
      </w:pPr>
      <w:r>
        <w:rPr>
          <w:rFonts w:cs="宋体"/>
          <w:color w:val="000000"/>
          <w:sz w:val="21"/>
        </w:rPr>
        <w:t xml:space="preserve">1、供应商单位负责人为同一人或者存在直接控股、管理关系的不同供应商，不得参加同一合同项下的政府采购活动。</w:t>
      </w:r>
      <w:r/>
    </w:p>
    <w:p>
      <w:pPr>
        <w:pStyle w:val="967"/>
        <w:spacing w:line="360" w:lineRule="auto"/>
        <w:rPr>
          <w:rFonts w:cs="宋体"/>
          <w:color w:val="000000"/>
          <w:sz w:val="21"/>
        </w:rPr>
      </w:pPr>
      <w:r>
        <w:rPr>
          <w:rFonts w:cs="宋体"/>
          <w:color w:val="000000"/>
          <w:sz w:val="21"/>
        </w:rPr>
        <w:t xml:space="preserve">2、凡为采购项目提供整体设计、规范编制或者项目管理、监理、检测等服务的供应商，不得再参加本项目的采购活动。</w:t>
      </w:r>
      <w:r/>
    </w:p>
    <w:p>
      <w:pPr>
        <w:pStyle w:val="967"/>
        <w:spacing w:line="360" w:lineRule="auto"/>
        <w:rPr>
          <w:rFonts w:cs="宋体"/>
          <w:color w:val="000000"/>
          <w:sz w:val="21"/>
        </w:rPr>
      </w:pPr>
      <w:r>
        <w:rPr>
          <w:rFonts w:cs="宋体"/>
          <w:color w:val="000000"/>
          <w:sz w:val="21"/>
        </w:rPr>
        <w:t xml:space="preserve">3、法人的分支机构不得参加投标（除银行、保险、石油石化、电力、电信等行业特殊情况外）</w:t>
      </w:r>
      <w:r>
        <w:rPr>
          <w:rFonts w:hint="eastAsia" w:cs="宋体"/>
          <w:color w:val="000000"/>
          <w:sz w:val="21"/>
        </w:rPr>
        <w:t xml:space="preserve">。</w:t>
      </w:r>
      <w:r>
        <w:rPr>
          <w:rFonts w:cs="宋体"/>
          <w:color w:val="000000"/>
          <w:sz w:val="21"/>
        </w:rPr>
      </w:r>
      <w:r/>
    </w:p>
    <w:p>
      <w:pPr>
        <w:pStyle w:val="967"/>
        <w:spacing w:line="360" w:lineRule="auto"/>
        <w:rPr>
          <w:rFonts w:hint="eastAsia"/>
          <w:color w:val="000000"/>
          <w:sz w:val="21"/>
        </w:rPr>
      </w:pPr>
      <w:r>
        <w:rPr>
          <w:rFonts w:cs="宋体"/>
          <w:color w:val="000000"/>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w:t>
      </w:r>
      <w:r>
        <w:rPr>
          <w:rFonts w:cs="宋体"/>
          <w:color w:val="000000"/>
          <w:sz w:val="21"/>
        </w:rPr>
        <w:t xml:space="preserve">对供应商进行信用查询。对列入失信被执行人名单、重大税收违法</w:t>
      </w:r>
      <w:r>
        <w:rPr>
          <w:rFonts w:cs="宋体"/>
          <w:color w:val="000000"/>
          <w:sz w:val="21"/>
        </w:rPr>
        <w:t xml:space="preserve">案件当事人名单、政府采购严重违法失信行为记录名单的供应商，拒绝其参与政府采购活动</w:t>
      </w:r>
      <w:r>
        <w:rPr>
          <w:color w:val="000000"/>
          <w:sz w:val="21"/>
        </w:rPr>
        <w:t xml:space="preserve">。</w:t>
      </w:r>
      <w:r>
        <w:rPr>
          <w:rFonts w:hint="eastAsia"/>
          <w:color w:val="000000"/>
          <w:sz w:val="21"/>
        </w:rPr>
      </w:r>
      <w:r/>
    </w:p>
    <w:p>
      <w:pPr>
        <w:pStyle w:val="967"/>
        <w:ind w:firstLine="0"/>
        <w:spacing w:line="360" w:lineRule="auto"/>
        <w:rPr>
          <w:rFonts w:cs="宋体"/>
          <w:b/>
          <w:bCs/>
          <w:color w:val="000000"/>
          <w:sz w:val="21"/>
        </w:rPr>
      </w:pPr>
      <w:r>
        <w:rPr>
          <w:rFonts w:hint="eastAsia" w:cs="宋体"/>
          <w:b/>
          <w:bCs/>
          <w:color w:val="000000"/>
          <w:sz w:val="21"/>
        </w:rPr>
        <w:t xml:space="preserve">三、获取招标文件</w:t>
      </w:r>
      <w:r>
        <w:rPr>
          <w:rFonts w:cs="宋体"/>
          <w:b/>
          <w:bCs/>
          <w:color w:val="000000"/>
          <w:sz w:val="21"/>
        </w:rPr>
      </w:r>
      <w:r/>
    </w:p>
    <w:p>
      <w:pPr>
        <w:pStyle w:val="967"/>
        <w:spacing w:line="360" w:lineRule="auto"/>
        <w:rPr>
          <w:rFonts w:cs="宋体"/>
          <w:color w:val="000000"/>
          <w:sz w:val="21"/>
        </w:rPr>
      </w:pPr>
      <w:r>
        <w:rPr>
          <w:rFonts w:cs="宋体"/>
          <w:color w:val="000000"/>
          <w:sz w:val="21"/>
        </w:rPr>
        <w:t xml:space="preserve">1、时间：</w:t>
      </w:r>
      <w:r>
        <w:rPr>
          <w:rFonts w:hint="eastAsia" w:cs="宋体"/>
          <w:color w:val="000000"/>
          <w:sz w:val="21"/>
        </w:rPr>
        <w:t xml:space="preserve">自招标文件公告发布之日起5个工作日</w:t>
      </w:r>
      <w:r>
        <w:rPr>
          <w:rFonts w:hint="eastAsia" w:cs="宋体"/>
          <w:bCs/>
          <w:color w:val="000000"/>
          <w:sz w:val="21"/>
        </w:rPr>
        <w:t xml:space="preserve">。</w:t>
      </w:r>
      <w:r>
        <w:rPr>
          <w:rFonts w:cs="宋体"/>
          <w:color w:val="000000"/>
          <w:sz w:val="21"/>
        </w:rPr>
      </w:r>
      <w:r/>
    </w:p>
    <w:p>
      <w:pPr>
        <w:pStyle w:val="967"/>
        <w:spacing w:line="360" w:lineRule="auto"/>
        <w:rPr>
          <w:rFonts w:cs="宋体"/>
          <w:color w:val="000000"/>
          <w:sz w:val="21"/>
        </w:rPr>
      </w:pPr>
      <w:r>
        <w:rPr>
          <w:rFonts w:hint="eastAsia" w:cs="宋体"/>
          <w:color w:val="000000"/>
          <w:sz w:val="21"/>
        </w:rPr>
        <w:t xml:space="preserve">2、</w:t>
      </w:r>
      <w:r>
        <w:rPr>
          <w:rFonts w:cs="宋体"/>
          <w:color w:val="000000"/>
          <w:sz w:val="21"/>
        </w:rPr>
        <w:t xml:space="preserve">地点：</w:t>
      </w:r>
      <w:r>
        <w:rPr>
          <w:rFonts w:hint="eastAsia" w:cs="宋体"/>
          <w:color w:val="000000"/>
          <w:sz w:val="21"/>
        </w:rPr>
        <w:t xml:space="preserve">苏采云政府采购一体化平台</w:t>
      </w:r>
      <w:r>
        <w:rPr>
          <w:rFonts w:cs="宋体"/>
          <w:color w:val="000000"/>
          <w:sz w:val="21"/>
        </w:rPr>
      </w:r>
      <w:r/>
    </w:p>
    <w:p>
      <w:pPr>
        <w:pStyle w:val="967"/>
        <w:spacing w:line="360" w:lineRule="auto"/>
        <w:rPr>
          <w:rFonts w:hint="eastAsia" w:cs="宋体"/>
          <w:color w:val="000000"/>
          <w:sz w:val="21"/>
        </w:rPr>
      </w:pPr>
      <w:r>
        <w:rPr>
          <w:rFonts w:hint="eastAsia" w:cs="宋体"/>
          <w:color w:val="000000"/>
          <w:sz w:val="21"/>
        </w:rPr>
        <w:t xml:space="preserve">3、方式：苏采云政府采购一体化平台</w:t>
      </w:r>
      <w:r/>
    </w:p>
    <w:p>
      <w:pPr>
        <w:pStyle w:val="967"/>
        <w:spacing w:line="360" w:lineRule="auto"/>
        <w:rPr>
          <w:rFonts w:cs="宋体"/>
          <w:color w:val="000000"/>
          <w:sz w:val="21"/>
        </w:rPr>
      </w:pPr>
      <w:r>
        <w:rPr>
          <w:rFonts w:hint="eastAsia" w:cs="宋体"/>
          <w:color w:val="000000"/>
          <w:sz w:val="21"/>
        </w:rPr>
        <w:t xml:space="preserve">4、售价：0.00元</w:t>
      </w:r>
      <w:r>
        <w:rPr>
          <w:rFonts w:cs="宋体"/>
          <w:color w:val="000000"/>
          <w:sz w:val="21"/>
        </w:rPr>
      </w:r>
      <w:r/>
    </w:p>
    <w:p>
      <w:pPr>
        <w:pStyle w:val="967"/>
        <w:ind w:firstLine="0"/>
        <w:spacing w:line="360" w:lineRule="auto"/>
        <w:rPr>
          <w:rFonts w:cs="宋体"/>
          <w:b/>
          <w:bCs/>
          <w:color w:val="000000"/>
          <w:sz w:val="21"/>
        </w:rPr>
      </w:pPr>
      <w:r>
        <w:rPr>
          <w:rFonts w:hint="eastAsia" w:cs="宋体"/>
          <w:b/>
          <w:bCs/>
          <w:color w:val="000000"/>
          <w:sz w:val="21"/>
        </w:rPr>
        <w:t xml:space="preserve">四、提交电子投标文件截止时间、开标时间和地点</w:t>
      </w:r>
      <w:r>
        <w:rPr>
          <w:rFonts w:cs="宋体"/>
          <w:b/>
          <w:bCs/>
          <w:color w:val="000000"/>
          <w:sz w:val="21"/>
        </w:rPr>
      </w:r>
      <w:r/>
    </w:p>
    <w:p>
      <w:pPr>
        <w:pStyle w:val="967"/>
        <w:spacing w:line="360" w:lineRule="auto"/>
        <w:rPr>
          <w:rFonts w:cs="宋体"/>
          <w:color w:val="000000"/>
          <w:sz w:val="21"/>
        </w:rPr>
      </w:pPr>
      <w:r>
        <w:rPr>
          <w:rFonts w:hint="eastAsia" w:cs="宋体"/>
          <w:color w:val="000000"/>
          <w:sz w:val="21"/>
        </w:rPr>
        <w:t xml:space="preserve">2026年06月22日上午09：30</w:t>
      </w:r>
      <w:r>
        <w:rPr>
          <w:rFonts w:cs="宋体"/>
          <w:color w:val="000000"/>
          <w:sz w:val="21"/>
        </w:rPr>
        <w:t xml:space="preserve">（北京时</w:t>
      </w:r>
      <w:r>
        <w:rPr>
          <w:rFonts w:cs="宋体"/>
          <w:color w:val="000000"/>
          <w:sz w:val="21"/>
        </w:rPr>
        <w:t xml:space="preserve">间）</w:t>
      </w:r>
      <w:r/>
    </w:p>
    <w:p>
      <w:pPr>
        <w:pStyle w:val="967"/>
        <w:spacing w:line="360" w:lineRule="auto"/>
        <w:rPr>
          <w:rFonts w:cs="宋体"/>
          <w:color w:val="000000"/>
          <w:sz w:val="21"/>
        </w:rPr>
      </w:pPr>
      <w:r>
        <w:rPr>
          <w:rFonts w:cs="宋体"/>
          <w:color w:val="000000"/>
          <w:sz w:val="21"/>
        </w:rPr>
        <w:t xml:space="preserve">地点：苏采云政府采购一体化平台</w:t>
      </w:r>
      <w:r/>
    </w:p>
    <w:p>
      <w:pPr>
        <w:pStyle w:val="967"/>
        <w:ind w:firstLine="0"/>
        <w:spacing w:line="360" w:lineRule="auto"/>
        <w:rPr>
          <w:rFonts w:cs="宋体"/>
          <w:b/>
          <w:bCs/>
          <w:color w:val="000000"/>
          <w:sz w:val="21"/>
        </w:rPr>
      </w:pPr>
      <w:r>
        <w:rPr>
          <w:rFonts w:hint="eastAsia" w:cs="宋体"/>
          <w:b/>
          <w:bCs/>
          <w:color w:val="000000"/>
          <w:sz w:val="21"/>
        </w:rPr>
        <w:t xml:space="preserve">五、公告期限</w:t>
      </w:r>
      <w:r>
        <w:rPr>
          <w:rFonts w:cs="宋体"/>
          <w:b/>
          <w:bCs/>
          <w:color w:val="000000"/>
          <w:sz w:val="21"/>
        </w:rPr>
      </w:r>
      <w:r/>
    </w:p>
    <w:p>
      <w:pPr>
        <w:pStyle w:val="967"/>
        <w:spacing w:line="360" w:lineRule="auto"/>
        <w:rPr>
          <w:rFonts w:cs="宋体"/>
          <w:color w:val="000000"/>
          <w:sz w:val="21"/>
        </w:rPr>
      </w:pPr>
      <w:r>
        <w:rPr>
          <w:rFonts w:hint="eastAsia" w:cs="宋体"/>
          <w:color w:val="000000"/>
          <w:sz w:val="21"/>
        </w:rPr>
        <w:t xml:space="preserve">自本公告发布之日起</w:t>
      </w:r>
      <w:r>
        <w:rPr>
          <w:rFonts w:cs="宋体"/>
          <w:color w:val="000000"/>
          <w:sz w:val="21"/>
        </w:rPr>
        <w:t xml:space="preserve">5个工作日。</w:t>
      </w:r>
      <w:r/>
    </w:p>
    <w:p>
      <w:pPr>
        <w:pStyle w:val="967"/>
        <w:ind w:firstLine="0"/>
        <w:spacing w:line="360" w:lineRule="auto"/>
        <w:rPr>
          <w:rFonts w:cs="宋体"/>
          <w:b/>
          <w:bCs/>
          <w:color w:val="000000"/>
          <w:sz w:val="21"/>
        </w:rPr>
      </w:pPr>
      <w:r>
        <w:rPr>
          <w:rFonts w:hint="eastAsia" w:cs="宋体"/>
          <w:b/>
          <w:bCs/>
          <w:color w:val="000000"/>
          <w:sz w:val="21"/>
        </w:rPr>
        <w:t xml:space="preserve">六、其他补充事宜</w:t>
      </w:r>
      <w:r>
        <w:rPr>
          <w:rFonts w:cs="宋体"/>
          <w:b/>
          <w:bCs/>
          <w:color w:val="000000"/>
          <w:sz w:val="21"/>
        </w:rPr>
      </w:r>
      <w:r/>
    </w:p>
    <w:p>
      <w:pPr>
        <w:pStyle w:val="967"/>
        <w:spacing w:line="360" w:lineRule="auto"/>
        <w:rPr>
          <w:rFonts w:hint="eastAsia" w:cs="宋体"/>
          <w:color w:val="000000"/>
          <w:sz w:val="21"/>
        </w:rPr>
      </w:pPr>
      <w:r>
        <w:rPr>
          <w:rFonts w:hint="eastAsia" w:cs="宋体"/>
          <w:color w:val="000000"/>
          <w:sz w:val="21"/>
        </w:rPr>
        <w:t xml:space="preserve">1、本项目需要使用CA数字证书制作、上传电子投标文件完成电子投标，请供应商在参加投标活动前办理好CA数字证书申领及电子签章等操作。</w:t>
      </w:r>
      <w:r/>
    </w:p>
    <w:p>
      <w:pPr>
        <w:pStyle w:val="967"/>
        <w:spacing w:line="360" w:lineRule="auto"/>
        <w:rPr>
          <w:rFonts w:cs="宋体"/>
          <w:color w:val="000000"/>
          <w:sz w:val="21"/>
        </w:rPr>
      </w:pPr>
      <w:r>
        <w:rPr>
          <w:rFonts w:hint="eastAsia" w:cs="宋体"/>
          <w:color w:val="000000"/>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cs="宋体"/>
          <w:color w:val="000000"/>
          <w:sz w:val="21"/>
        </w:rPr>
      </w:r>
      <w:r/>
    </w:p>
    <w:p>
      <w:pPr>
        <w:pStyle w:val="967"/>
        <w:spacing w:line="360" w:lineRule="auto"/>
        <w:rPr>
          <w:rFonts w:hint="eastAsia" w:cs="宋体"/>
          <w:color w:val="000000"/>
          <w:sz w:val="21"/>
        </w:rPr>
      </w:pPr>
      <w:r>
        <w:rPr>
          <w:rFonts w:hint="eastAsia" w:cs="宋体"/>
          <w:color w:val="000000"/>
          <w:sz w:val="21"/>
        </w:rPr>
        <w:t xml:space="preserve">3、本项目采用不见面开标，投标人开标时无需到开标现场进行解密，采取网上开标大厅解密电子投标文件，投标人远程解密要求如下：</w:t>
      </w:r>
      <w:r/>
    </w:p>
    <w:p>
      <w:pPr>
        <w:pStyle w:val="967"/>
        <w:spacing w:line="360" w:lineRule="auto"/>
        <w:rPr>
          <w:rFonts w:hint="eastAsia" w:cs="宋体"/>
          <w:color w:val="000000"/>
          <w:sz w:val="21"/>
        </w:rPr>
      </w:pPr>
      <w:r>
        <w:rPr>
          <w:rFonts w:hint="eastAsia" w:cs="宋体"/>
          <w:color w:val="000000"/>
          <w:sz w:val="21"/>
        </w:rPr>
        <w:t xml:space="preserve">1）投标人使用CA数字证书进行远程解密，解密的CA数字证书与生成加密电子投标文件时的CA数字证书需为同一个CA数字证书，否则无法解密，造成的后果由投标人自行负责。</w:t>
      </w:r>
      <w:r/>
    </w:p>
    <w:p>
      <w:pPr>
        <w:pStyle w:val="967"/>
        <w:spacing w:line="360" w:lineRule="auto"/>
        <w:rPr>
          <w:rFonts w:hint="eastAsia" w:cs="宋体"/>
          <w:color w:val="000000"/>
          <w:sz w:val="21"/>
        </w:rPr>
      </w:pPr>
      <w:r>
        <w:rPr>
          <w:rFonts w:hint="eastAsia" w:cs="宋体"/>
          <w:color w:val="000000"/>
          <w:sz w:val="21"/>
        </w:rPr>
        <w:t xml:space="preserve">2）投标人登录苏采云系统，点击开标大厅，选择开标项目，完成不见面开标流程。</w:t>
      </w:r>
      <w:r/>
    </w:p>
    <w:p>
      <w:pPr>
        <w:pStyle w:val="967"/>
        <w:spacing w:line="360" w:lineRule="auto"/>
        <w:rPr>
          <w:rFonts w:hint="eastAsia" w:cs="宋体"/>
          <w:color w:val="000000"/>
          <w:sz w:val="21"/>
        </w:rPr>
      </w:pPr>
      <w:r>
        <w:rPr>
          <w:rFonts w:hint="eastAsia" w:cs="宋体"/>
          <w:color w:val="000000"/>
          <w:sz w:val="21"/>
        </w:rPr>
        <w:t xml:space="preserve">3）投标截止时间后根据系统提示解密电子投标文件。</w:t>
      </w:r>
      <w:r>
        <w:rPr>
          <w:rFonts w:hint="eastAsia" w:cs="宋体"/>
          <w:b/>
          <w:bCs/>
          <w:color w:val="000000"/>
          <w:sz w:val="21"/>
        </w:rPr>
        <w:t xml:space="preserve">解密时间为15分钟</w:t>
      </w:r>
      <w:r>
        <w:rPr>
          <w:rFonts w:hint="eastAsia" w:cs="宋体"/>
          <w:color w:val="000000"/>
          <w:sz w:val="21"/>
        </w:rPr>
        <w:t xml:space="preserve">，未在规定时间内完成解密，其投标文件将被拒绝，不参与后续投标流程。</w:t>
      </w:r>
      <w:r/>
    </w:p>
    <w:p>
      <w:pPr>
        <w:pStyle w:val="967"/>
        <w:spacing w:line="360" w:lineRule="auto"/>
        <w:rPr>
          <w:rFonts w:hint="eastAsia" w:cs="宋体"/>
          <w:color w:val="000000"/>
          <w:sz w:val="21"/>
        </w:rPr>
      </w:pPr>
      <w:r>
        <w:rPr>
          <w:rFonts w:hint="eastAsia" w:cs="宋体"/>
          <w:color w:val="000000"/>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67"/>
        <w:spacing w:line="360" w:lineRule="auto"/>
        <w:rPr>
          <w:rFonts w:hint="eastAsia" w:cs="宋体"/>
          <w:color w:val="000000"/>
          <w:sz w:val="21"/>
        </w:rPr>
      </w:pPr>
      <w:r>
        <w:rPr>
          <w:rFonts w:hint="eastAsia" w:cs="宋体"/>
          <w:color w:val="000000"/>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967"/>
        <w:spacing w:line="360" w:lineRule="auto"/>
        <w:rPr>
          <w:rFonts w:hint="eastAsia" w:cs="宋体"/>
          <w:color w:val="000000"/>
          <w:sz w:val="21"/>
        </w:rPr>
      </w:pPr>
      <w:r>
        <w:rPr>
          <w:rFonts w:hint="eastAsia" w:cs="宋体"/>
          <w:color w:val="000000"/>
          <w:sz w:val="21"/>
        </w:rPr>
        <w:t xml:space="preserve">5、有关供应商注册、报名、下载电子招标文件、制作上传电子投标文件、不见面开标及其他注意事项登录苏州政府采购网，在“下载中心”栏目下载“苏采云系统供应商操作手册”查阅。</w:t>
      </w:r>
      <w:r/>
    </w:p>
    <w:p>
      <w:pPr>
        <w:pStyle w:val="967"/>
        <w:spacing w:line="360" w:lineRule="auto"/>
        <w:rPr>
          <w:rFonts w:hint="eastAsia" w:cs="宋体"/>
          <w:color w:val="000000"/>
          <w:sz w:val="21"/>
        </w:rPr>
      </w:pPr>
      <w:r>
        <w:rPr>
          <w:rFonts w:hint="eastAsia" w:cs="宋体"/>
          <w:color w:val="000000"/>
          <w:sz w:val="21"/>
        </w:rPr>
        <w:t xml:space="preserve">6</w:t>
      </w:r>
      <w:r>
        <w:rPr>
          <w:rFonts w:hint="eastAsia" w:cs="宋体"/>
          <w:color w:val="000000"/>
          <w:sz w:val="21"/>
        </w:rPr>
        <w:t xml:space="preserve">、有关办理CA数字申领及电子签章事项，登录苏州政府采购网，点击页面底部苏采云图标，进入苏采云政府采购一体化平台，下载“新CA办理指南”文件查阅。</w:t>
      </w:r>
      <w:r/>
    </w:p>
    <w:p>
      <w:pPr>
        <w:pStyle w:val="967"/>
        <w:spacing w:line="360" w:lineRule="auto"/>
        <w:rPr>
          <w:rFonts w:cs="宋体"/>
          <w:color w:val="000000"/>
          <w:sz w:val="21"/>
        </w:rPr>
      </w:pPr>
      <w:r>
        <w:rPr>
          <w:rFonts w:hint="eastAsia" w:cs="宋体"/>
          <w:color w:val="000000"/>
          <w:sz w:val="21"/>
        </w:rPr>
        <w:t xml:space="preserve">7、</w:t>
      </w:r>
      <w:r>
        <w:rPr>
          <w:rFonts w:hint="eastAsia" w:cs="宋体"/>
          <w:color w:val="000000"/>
          <w:sz w:val="21"/>
        </w:rPr>
        <w:t xml:space="preserve">代理</w:t>
      </w:r>
      <w:r>
        <w:rPr>
          <w:rFonts w:hint="eastAsia" w:cs="宋体"/>
          <w:color w:val="000000"/>
          <w:sz w:val="21"/>
        </w:rPr>
        <w:t xml:space="preserve">服务费：根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采购人在代理机构交付</w:t>
      </w:r>
      <w:r>
        <w:rPr>
          <w:rFonts w:hint="eastAsia" w:cs="宋体"/>
          <w:color w:val="000000"/>
          <w:sz w:val="21"/>
        </w:rPr>
        <w:t xml:space="preserve">招标归档资料后30个工作日内一次性付清，本项目代理服务费金额为柒万零叁佰陆拾元整（70360.00元）。</w:t>
      </w:r>
      <w:r>
        <w:rPr>
          <w:rFonts w:cs="宋体"/>
          <w:color w:val="000000"/>
          <w:sz w:val="21"/>
        </w:rPr>
      </w:r>
      <w:r/>
    </w:p>
    <w:p>
      <w:pPr>
        <w:pStyle w:val="967"/>
        <w:spacing w:line="360" w:lineRule="auto"/>
        <w:rPr>
          <w:rFonts w:cs="宋体"/>
          <w:color w:val="000000"/>
          <w:sz w:val="21"/>
        </w:rPr>
      </w:pPr>
      <w:r>
        <w:rPr>
          <w:rFonts w:hint="eastAsia" w:cs="宋体"/>
          <w:color w:val="000000"/>
          <w:sz w:val="21"/>
        </w:rPr>
        <w:t xml:space="preserve">8、纸质投标文件份数：1正2副。（中标人在领取中标通知书后需向招标代理机构额外提供与投标所报电子文件一致的纸质投标书）</w:t>
      </w:r>
      <w:r>
        <w:rPr>
          <w:rFonts w:cs="宋体"/>
          <w:color w:val="000000"/>
          <w:sz w:val="21"/>
        </w:rPr>
      </w:r>
      <w:r/>
    </w:p>
    <w:p>
      <w:pPr>
        <w:pStyle w:val="967"/>
        <w:spacing w:line="360" w:lineRule="auto"/>
        <w:rPr>
          <w:rFonts w:hint="eastAsia" w:cs="宋体"/>
          <w:color w:val="000000"/>
          <w:sz w:val="21"/>
        </w:rPr>
      </w:pPr>
      <w:r>
        <w:rPr>
          <w:rFonts w:hint="eastAsia" w:cs="宋体"/>
          <w:color w:val="000000"/>
          <w:sz w:val="21"/>
        </w:rPr>
        <w:t xml:space="preserve">9、有关电子投标制作技术疑问，请咨询苏采云软件公司客服：18261002950、0512-69820854、0519-86722802</w:t>
      </w:r>
      <w:r/>
    </w:p>
    <w:p>
      <w:pPr>
        <w:pStyle w:val="967"/>
        <w:spacing w:line="360" w:lineRule="auto"/>
        <w:rPr>
          <w:rFonts w:hint="eastAsia" w:cs="宋体"/>
          <w:color w:val="000000"/>
          <w:sz w:val="21"/>
        </w:rPr>
      </w:pPr>
      <w:r>
        <w:rPr>
          <w:rFonts w:hint="eastAsia" w:cs="宋体"/>
          <w:color w:val="000000"/>
          <w:sz w:val="21"/>
        </w:rPr>
        <w:t xml:space="preserve">10、政府采购监督电话：0512-53512539</w:t>
      </w:r>
      <w:r/>
    </w:p>
    <w:p>
      <w:pPr>
        <w:pStyle w:val="967"/>
        <w:spacing w:line="360" w:lineRule="auto"/>
        <w:rPr>
          <w:rFonts w:hint="eastAsia" w:cs="宋体"/>
          <w:color w:val="000000"/>
          <w:sz w:val="21"/>
        </w:rPr>
      </w:pPr>
      <w:r>
        <w:rPr>
          <w:rFonts w:hint="eastAsia" w:cs="宋体"/>
          <w:color w:val="000000"/>
          <w:sz w:val="21"/>
        </w:rPr>
        <w:t xml:space="preserve">11、本次招标投标保证金：本项目无须缴纳投标保证金。</w:t>
      </w:r>
      <w:r/>
    </w:p>
    <w:p>
      <w:pPr>
        <w:pStyle w:val="967"/>
        <w:spacing w:line="360" w:lineRule="auto"/>
        <w:rPr>
          <w:rFonts w:hint="eastAsia" w:cs="宋体"/>
          <w:color w:val="000000"/>
          <w:sz w:val="21"/>
        </w:rPr>
      </w:pPr>
      <w:r>
        <w:rPr>
          <w:rFonts w:hint="eastAsia" w:cs="宋体"/>
          <w:color w:val="000000"/>
          <w:sz w:val="21"/>
        </w:rPr>
        <w:t xml:space="preserve">12、政府采购信用融资政策：中标供应商可凭</w:t>
      </w:r>
      <w:r>
        <w:rPr>
          <w:rFonts w:hint="eastAsia" w:cs="宋体"/>
          <w:color w:val="000000"/>
          <w:sz w:val="21"/>
        </w:rPr>
        <w:t xml:space="preserve">政府采购合同办理融资贷款，详情请见江苏政府采购网“政采贷”专栏。</w:t>
      </w:r>
      <w:r/>
    </w:p>
    <w:p>
      <w:pPr>
        <w:pStyle w:val="967"/>
        <w:spacing w:line="360" w:lineRule="auto"/>
        <w:rPr>
          <w:rFonts w:hint="eastAsia" w:cs="宋体"/>
          <w:color w:val="000000"/>
          <w:sz w:val="21"/>
        </w:rPr>
      </w:pPr>
      <w:r>
        <w:rPr>
          <w:rFonts w:hint="eastAsia" w:cs="宋体"/>
          <w:color w:val="000000"/>
          <w:sz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967"/>
        <w:ind w:firstLine="0"/>
        <w:spacing w:line="360" w:lineRule="auto"/>
        <w:rPr>
          <w:rFonts w:cs="宋体"/>
          <w:b/>
          <w:bCs/>
          <w:color w:val="000000"/>
          <w:sz w:val="21"/>
        </w:rPr>
      </w:pPr>
      <w:r>
        <w:rPr>
          <w:rFonts w:hint="eastAsia" w:cs="宋体"/>
          <w:b/>
          <w:bCs/>
          <w:color w:val="000000"/>
          <w:sz w:val="21"/>
        </w:rPr>
        <w:t xml:space="preserve">七、凡对本次招标提出询问，请按以下方式联系</w:t>
      </w:r>
      <w:r>
        <w:rPr>
          <w:rFonts w:cs="宋体"/>
          <w:b/>
          <w:bCs/>
          <w:color w:val="000000"/>
          <w:sz w:val="21"/>
        </w:rPr>
      </w:r>
      <w:r/>
    </w:p>
    <w:p>
      <w:pPr>
        <w:pStyle w:val="967"/>
        <w:spacing w:line="360" w:lineRule="auto"/>
        <w:rPr>
          <w:rFonts w:cs="宋体"/>
          <w:color w:val="000000"/>
          <w:sz w:val="21"/>
        </w:rPr>
      </w:pPr>
      <w:r>
        <w:rPr>
          <w:rFonts w:hint="eastAsia" w:cs="宋体"/>
          <w:color w:val="000000"/>
          <w:sz w:val="21"/>
        </w:rPr>
        <w:t xml:space="preserve">1、采购人信息</w:t>
      </w:r>
      <w:r>
        <w:rPr>
          <w:rFonts w:cs="宋体"/>
          <w:color w:val="000000"/>
          <w:sz w:val="21"/>
        </w:rPr>
      </w:r>
      <w:r/>
    </w:p>
    <w:p>
      <w:pPr>
        <w:pStyle w:val="967"/>
        <w:spacing w:line="360" w:lineRule="auto"/>
        <w:rPr>
          <w:rFonts w:cs="宋体"/>
          <w:color w:val="000000"/>
          <w:sz w:val="21"/>
          <w:u w:val="single"/>
        </w:rPr>
      </w:pPr>
      <w:r>
        <w:rPr>
          <w:rFonts w:hint="eastAsia" w:cs="宋体"/>
          <w:color w:val="000000"/>
          <w:sz w:val="21"/>
        </w:rPr>
        <w:t xml:space="preserve">名称:</w:t>
      </w:r>
      <w:r>
        <w:rPr>
          <w:rFonts w:hint="eastAsia" w:cs="宋体"/>
          <w:color w:val="000000"/>
          <w:sz w:val="21"/>
          <w:u w:val="single"/>
        </w:rPr>
        <w:t xml:space="preserve"> </w:t>
      </w:r>
      <w:r>
        <w:rPr>
          <w:rFonts w:cs="宋体"/>
          <w:color w:val="000000"/>
          <w:sz w:val="21"/>
          <w:u w:val="single"/>
        </w:rPr>
        <w:t xml:space="preserve">太仓市公安局</w:t>
      </w:r>
      <w:r>
        <w:rPr>
          <w:rFonts w:hint="eastAsia" w:cs="宋体"/>
          <w:color w:val="000000"/>
          <w:sz w:val="21"/>
          <w:u w:val="single"/>
        </w:rPr>
        <w:t xml:space="preserve"> </w:t>
      </w:r>
      <w:r>
        <w:rPr>
          <w:rFonts w:cs="宋体"/>
          <w:color w:val="000000"/>
          <w:sz w:val="21"/>
          <w:u w:val="single"/>
        </w:rPr>
      </w:r>
      <w:r/>
    </w:p>
    <w:p>
      <w:pPr>
        <w:pStyle w:val="967"/>
        <w:spacing w:line="360" w:lineRule="auto"/>
        <w:rPr>
          <w:rFonts w:cs="宋体"/>
          <w:color w:val="000000"/>
          <w:sz w:val="21"/>
        </w:rPr>
      </w:pPr>
      <w:r>
        <w:rPr>
          <w:rFonts w:hint="eastAsia" w:cs="宋体"/>
          <w:color w:val="000000"/>
          <w:sz w:val="21"/>
        </w:rPr>
        <w:t xml:space="preserve">地址:</w:t>
      </w:r>
      <w:r>
        <w:rPr>
          <w:rFonts w:hint="eastAsia" w:cs="宋体"/>
          <w:color w:val="000000"/>
          <w:sz w:val="21"/>
          <w:u w:val="single"/>
        </w:rPr>
        <w:t xml:space="preserve"> 太仓市娄东街道上海东路58号</w:t>
      </w:r>
      <w:r>
        <w:rPr>
          <w:rFonts w:hint="eastAsia" w:cs="宋体"/>
          <w:color w:val="000000"/>
          <w:sz w:val="21"/>
        </w:rPr>
        <w:t xml:space="preserve"> </w:t>
      </w:r>
      <w:r>
        <w:rPr>
          <w:rFonts w:cs="宋体"/>
          <w:color w:val="000000"/>
          <w:sz w:val="21"/>
        </w:rPr>
      </w:r>
      <w:r/>
    </w:p>
    <w:p>
      <w:pPr>
        <w:pStyle w:val="967"/>
        <w:spacing w:line="360" w:lineRule="auto"/>
        <w:rPr>
          <w:rFonts w:hint="eastAsia" w:cs="宋体"/>
          <w:color w:val="000000"/>
          <w:sz w:val="21"/>
          <w:u w:val="single"/>
        </w:rPr>
      </w:pPr>
      <w:r>
        <w:rPr>
          <w:rFonts w:hint="eastAsia" w:cs="宋体"/>
          <w:color w:val="000000"/>
          <w:sz w:val="21"/>
        </w:rPr>
        <w:t xml:space="preserve">联系方式:</w:t>
      </w:r>
      <w:r>
        <w:rPr>
          <w:rFonts w:hint="eastAsia" w:cs="宋体"/>
          <w:color w:val="000000"/>
          <w:sz w:val="21"/>
          <w:u w:val="single"/>
        </w:rPr>
        <w:t xml:space="preserve"> </w:t>
      </w:r>
      <w:r>
        <w:rPr>
          <w:rFonts w:hint="eastAsia" w:cs="宋体"/>
          <w:color w:val="000000"/>
          <w:sz w:val="21"/>
          <w:u w:val="single"/>
          <w:lang w:eastAsia="en-US"/>
        </w:rPr>
        <w:t xml:space="preserve">白润泽  </w:t>
      </w:r>
      <w:r>
        <w:rPr>
          <w:rFonts w:hint="eastAsia" w:cs="宋体"/>
          <w:color w:val="000000"/>
          <w:sz w:val="21"/>
          <w:u w:val="single"/>
        </w:rPr>
        <w:t xml:space="preserve">0512-33055606</w:t>
      </w:r>
      <w:r/>
    </w:p>
    <w:p>
      <w:pPr>
        <w:pStyle w:val="967"/>
        <w:spacing w:line="360" w:lineRule="auto"/>
        <w:rPr>
          <w:rFonts w:cs="宋体"/>
          <w:color w:val="000000"/>
          <w:sz w:val="21"/>
        </w:rPr>
      </w:pPr>
      <w:r>
        <w:rPr>
          <w:rFonts w:hint="eastAsia" w:cs="宋体"/>
          <w:color w:val="000000"/>
          <w:sz w:val="21"/>
        </w:rPr>
        <w:t xml:space="preserve">2、采购代理机构信息</w:t>
      </w:r>
      <w:r>
        <w:rPr>
          <w:rFonts w:cs="宋体"/>
          <w:color w:val="000000"/>
          <w:sz w:val="21"/>
        </w:rPr>
      </w:r>
      <w:r/>
    </w:p>
    <w:p>
      <w:pPr>
        <w:pStyle w:val="967"/>
        <w:spacing w:line="360" w:lineRule="auto"/>
        <w:rPr>
          <w:rFonts w:hint="eastAsia" w:cs="宋体"/>
          <w:color w:val="000000"/>
          <w:sz w:val="21"/>
        </w:rPr>
      </w:pPr>
      <w:r>
        <w:rPr>
          <w:rFonts w:hint="eastAsia" w:cs="宋体"/>
          <w:color w:val="000000"/>
          <w:sz w:val="21"/>
        </w:rPr>
        <w:t xml:space="preserve">名称:</w:t>
      </w:r>
      <w:r>
        <w:rPr>
          <w:rFonts w:hint="eastAsia" w:cs="宋体"/>
          <w:color w:val="000000"/>
          <w:sz w:val="21"/>
          <w:u w:val="single"/>
        </w:rPr>
        <w:t xml:space="preserve">  苏州乐族工程咨询有限公司</w:t>
      </w:r>
      <w:r>
        <w:rPr>
          <w:rFonts w:hint="eastAsia" w:cs="宋体"/>
          <w:color w:val="000000"/>
          <w:sz w:val="21"/>
        </w:rPr>
      </w:r>
      <w:r/>
    </w:p>
    <w:p>
      <w:pPr>
        <w:pStyle w:val="967"/>
        <w:spacing w:line="360" w:lineRule="auto"/>
        <w:rPr>
          <w:rFonts w:cs="宋体"/>
          <w:color w:val="000000"/>
          <w:sz w:val="21"/>
          <w:u w:val="single"/>
        </w:rPr>
      </w:pPr>
      <w:r>
        <w:rPr>
          <w:rFonts w:hint="eastAsia" w:cs="宋体"/>
          <w:color w:val="000000"/>
          <w:sz w:val="21"/>
        </w:rPr>
        <w:t xml:space="preserve">地址:</w:t>
      </w:r>
      <w:r>
        <w:rPr>
          <w:rFonts w:hint="eastAsia" w:cs="宋体"/>
          <w:color w:val="000000"/>
          <w:sz w:val="21"/>
          <w:u w:val="single"/>
        </w:rPr>
        <w:t xml:space="preserve">  </w:t>
      </w:r>
      <w:r>
        <w:rPr>
          <w:rFonts w:cs="宋体"/>
          <w:color w:val="000000"/>
          <w:sz w:val="21"/>
          <w:u w:val="single"/>
        </w:rPr>
        <w:t xml:space="preserve">太仓市富阳路8号听雨苑三楼</w:t>
      </w:r>
      <w:r/>
    </w:p>
    <w:p>
      <w:pPr>
        <w:pStyle w:val="967"/>
        <w:spacing w:line="360" w:lineRule="auto"/>
        <w:rPr>
          <w:rFonts w:cs="宋体"/>
          <w:color w:val="000000"/>
          <w:sz w:val="21"/>
        </w:rPr>
      </w:pPr>
      <w:r>
        <w:rPr>
          <w:rFonts w:hint="eastAsia" w:cs="宋体"/>
          <w:color w:val="000000"/>
          <w:sz w:val="21"/>
        </w:rPr>
        <w:t xml:space="preserve">联系方式:</w:t>
      </w:r>
      <w:r>
        <w:rPr>
          <w:rFonts w:hint="eastAsia" w:cs="宋体"/>
          <w:color w:val="000000"/>
          <w:sz w:val="21"/>
          <w:u w:val="single"/>
        </w:rPr>
        <w:t xml:space="preserve"> </w:t>
      </w:r>
      <w:r>
        <w:rPr>
          <w:rFonts w:hint="eastAsia" w:cs="宋体"/>
          <w:color w:val="000000"/>
          <w:sz w:val="21"/>
          <w:u w:val="single"/>
          <w:lang w:eastAsia="en-US"/>
        </w:rPr>
        <w:t xml:space="preserve">顾冬春</w:t>
      </w:r>
      <w:r>
        <w:rPr>
          <w:rFonts w:cs="宋体"/>
          <w:color w:val="000000"/>
          <w:sz w:val="21"/>
          <w:u w:val="single"/>
          <w:lang w:eastAsia="en-US"/>
        </w:rPr>
        <w:t xml:space="preserve"> </w:t>
      </w:r>
      <w:r>
        <w:rPr>
          <w:rFonts w:cs="宋体"/>
          <w:color w:val="000000"/>
          <w:sz w:val="21"/>
          <w:u w:val="single"/>
        </w:rPr>
        <w:t xml:space="preserve">15370181880</w:t>
      </w:r>
      <w:r>
        <w:rPr>
          <w:rFonts w:cs="宋体"/>
          <w:color w:val="000000"/>
          <w:sz w:val="21"/>
        </w:rPr>
      </w:r>
      <w:r/>
    </w:p>
    <w:p>
      <w:pPr>
        <w:pStyle w:val="967"/>
        <w:spacing w:line="360" w:lineRule="auto"/>
        <w:rPr>
          <w:rFonts w:cs="宋体"/>
          <w:color w:val="000000"/>
          <w:sz w:val="21"/>
        </w:rPr>
      </w:pPr>
      <w:r>
        <w:rPr>
          <w:rFonts w:hint="eastAsia" w:cs="宋体"/>
          <w:color w:val="000000"/>
          <w:sz w:val="21"/>
        </w:rPr>
        <w:t xml:space="preserve">3、项目联系方式</w:t>
      </w:r>
      <w:r>
        <w:rPr>
          <w:rFonts w:cs="宋体"/>
          <w:color w:val="000000"/>
          <w:sz w:val="21"/>
        </w:rPr>
      </w:r>
      <w:r/>
    </w:p>
    <w:p>
      <w:pPr>
        <w:pStyle w:val="967"/>
        <w:spacing w:line="360" w:lineRule="auto"/>
        <w:rPr>
          <w:rFonts w:hint="eastAsia" w:cs="宋体"/>
          <w:color w:val="000000"/>
          <w:sz w:val="21"/>
        </w:rPr>
      </w:pPr>
      <w:r>
        <w:rPr>
          <w:rFonts w:hint="eastAsia" w:cs="宋体"/>
          <w:color w:val="000000"/>
          <w:sz w:val="21"/>
        </w:rPr>
        <w:t xml:space="preserve">项目联系人：</w:t>
      </w:r>
      <w:r>
        <w:rPr>
          <w:rFonts w:hint="eastAsia" w:cs="宋体"/>
          <w:color w:val="000000"/>
          <w:sz w:val="21"/>
          <w:u w:val="single"/>
        </w:rPr>
        <w:t xml:space="preserve">顾冬春</w:t>
      </w:r>
      <w:r>
        <w:rPr>
          <w:rFonts w:hint="eastAsia" w:cs="宋体"/>
          <w:color w:val="000000"/>
          <w:sz w:val="21"/>
        </w:rPr>
      </w:r>
      <w:r/>
    </w:p>
    <w:p>
      <w:pPr>
        <w:pStyle w:val="928"/>
        <w:ind w:firstLine="420"/>
        <w:rPr>
          <w:rFonts w:hint="eastAsia" w:cs="宋体"/>
          <w:color w:val="000000"/>
          <w:sz w:val="21"/>
          <w:u w:val="single"/>
        </w:rPr>
      </w:pPr>
      <w:r>
        <w:rPr>
          <w:rFonts w:hint="eastAsia" w:cs="宋体"/>
          <w:color w:val="000000"/>
          <w:sz w:val="21"/>
        </w:rPr>
        <w:t xml:space="preserve">电话:</w:t>
      </w:r>
      <w:r>
        <w:rPr>
          <w:rFonts w:hint="eastAsia" w:cs="宋体"/>
          <w:color w:val="000000"/>
          <w:sz w:val="21"/>
          <w:u w:val="single"/>
        </w:rPr>
        <w:t xml:space="preserve"> </w:t>
      </w:r>
      <w:bookmarkEnd w:id="0"/>
      <w:r>
        <w:rPr>
          <w:rFonts w:cs="宋体"/>
          <w:color w:val="000000"/>
          <w:sz w:val="21"/>
          <w:u w:val="single"/>
        </w:rPr>
        <w:t xml:space="preserve">15370181880</w:t>
      </w:r>
      <w:r>
        <w:rPr>
          <w:rFonts w:hint="eastAsia" w:cs="宋体"/>
          <w:color w:val="000000"/>
          <w:sz w:val="21"/>
          <w:u w:val="single"/>
        </w:rPr>
      </w:r>
      <w:r/>
    </w:p>
    <w:p>
      <w:pPr>
        <w:pStyle w:val="929"/>
        <w:numPr>
          <w:ilvl w:val="0"/>
          <w:numId w:val="0"/>
        </w:numPr>
        <w:jc w:val="center"/>
        <w:tabs>
          <w:tab w:val="left" w:pos="432" w:leader="none"/>
        </w:tabs>
        <w:rPr>
          <w:rFonts w:hint="eastAsia" w:cs="宋体"/>
          <w:b w:val="0"/>
          <w:bCs/>
          <w:color w:val="000000"/>
          <w:szCs w:val="44"/>
        </w:rPr>
      </w:pPr>
      <w:r>
        <w:rPr>
          <w:rFonts w:hint="eastAsia" w:cs="宋体"/>
          <w:b w:val="0"/>
          <w:bCs/>
          <w:color w:val="000000"/>
          <w:sz w:val="21"/>
        </w:rPr>
        <w:br w:type="page" w:clear="all"/>
      </w:r>
      <w:bookmarkEnd w:id="1"/>
      <w:r>
        <w:rPr>
          <w:rFonts w:hint="eastAsia" w:ascii="宋体" w:hAnsi="宋体" w:cs="宋体"/>
          <w:color w:val="000000"/>
        </w:rPr>
        <w:t xml:space="preserve">第二章 </w:t>
      </w:r>
      <w:bookmarkStart w:id="3" w:name="投标人须知"/>
      <w:r>
        <w:rPr>
          <w:rFonts w:hint="eastAsia" w:ascii="宋体" w:hAnsi="宋体" w:cs="宋体"/>
          <w:color w:val="000000"/>
        </w:rPr>
        <w:t xml:space="preserve">投标人须知</w:t>
      </w:r>
      <w:bookmarkEnd w:id="3"/>
      <w:r>
        <w:rPr>
          <w:rFonts w:hint="eastAsia" w:cs="宋体"/>
          <w:b w:val="0"/>
          <w:bCs/>
          <w:color w:val="000000"/>
          <w:szCs w:val="44"/>
        </w:rPr>
      </w:r>
      <w:r/>
    </w:p>
    <w:p>
      <w:pPr>
        <w:pStyle w:val="928"/>
        <w:numPr>
          <w:ilvl w:val="0"/>
          <w:numId w:val="5"/>
        </w:numPr>
        <w:ind w:left="540" w:hanging="540"/>
        <w:spacing w:line="400" w:lineRule="exact"/>
        <w:tabs>
          <w:tab w:val="left" w:pos="420" w:leader="none"/>
          <w:tab w:val="left" w:pos="540" w:leader="none"/>
        </w:tabs>
        <w:rPr>
          <w:rFonts w:hint="eastAsia" w:cs="宋体"/>
          <w:b/>
          <w:bCs/>
          <w:color w:val="000000"/>
          <w:sz w:val="21"/>
          <w:szCs w:val="21"/>
        </w:rPr>
      </w:pPr>
      <w:r>
        <w:rPr>
          <w:rFonts w:hint="eastAsia" w:cs="宋体"/>
          <w:b/>
          <w:bCs/>
          <w:color w:val="000000"/>
          <w:sz w:val="21"/>
          <w:szCs w:val="21"/>
        </w:rPr>
        <w:t xml:space="preserve">说明和释义</w:t>
      </w:r>
      <w:r/>
    </w:p>
    <w:p>
      <w:pPr>
        <w:pStyle w:val="928"/>
        <w:numPr>
          <w:ilvl w:val="0"/>
          <w:numId w:val="11"/>
        </w:numPr>
        <w:ind w:left="540" w:hanging="540"/>
        <w:spacing w:line="400" w:lineRule="exact"/>
        <w:tabs>
          <w:tab w:val="left" w:pos="425" w:leader="none"/>
          <w:tab w:val="left" w:pos="540" w:leader="none"/>
        </w:tabs>
        <w:rPr>
          <w:rFonts w:hint="eastAsia" w:cs="宋体"/>
          <w:b/>
          <w:bCs/>
          <w:color w:val="000000"/>
          <w:sz w:val="21"/>
          <w:szCs w:val="21"/>
        </w:rPr>
      </w:pPr>
      <w:r>
        <w:rPr>
          <w:rFonts w:hint="eastAsia" w:cs="宋体"/>
          <w:b/>
          <w:bCs/>
          <w:color w:val="000000"/>
          <w:sz w:val="21"/>
          <w:szCs w:val="21"/>
        </w:rPr>
        <w:t xml:space="preserve">说明</w:t>
      </w:r>
      <w:r/>
    </w:p>
    <w:p>
      <w:pPr>
        <w:pStyle w:val="928"/>
        <w:numPr>
          <w:ilvl w:val="1"/>
          <w:numId w:val="11"/>
        </w:numPr>
        <w:ind w:left="540" w:hanging="540"/>
        <w:spacing w:line="400" w:lineRule="exact"/>
        <w:tabs>
          <w:tab w:val="left" w:pos="540" w:leader="none"/>
          <w:tab w:val="left" w:pos="567" w:leader="none"/>
        </w:tabs>
        <w:rPr>
          <w:rFonts w:hint="eastAsia" w:cs="宋体"/>
          <w:color w:val="000000"/>
          <w:sz w:val="21"/>
          <w:szCs w:val="21"/>
        </w:rPr>
      </w:pPr>
      <w:r>
        <w:rPr>
          <w:rFonts w:hint="eastAsia" w:cs="宋体"/>
          <w:color w:val="000000"/>
          <w:sz w:val="21"/>
          <w:szCs w:val="21"/>
        </w:rPr>
        <w:t xml:space="preserve">本招标文件仅适用于苏州乐族工程咨询有限公司组织的招标活动。</w:t>
      </w:r>
      <w:r/>
    </w:p>
    <w:p>
      <w:pPr>
        <w:pStyle w:val="928"/>
        <w:numPr>
          <w:ilvl w:val="1"/>
          <w:numId w:val="11"/>
        </w:numPr>
        <w:ind w:left="540" w:hanging="540"/>
        <w:spacing w:line="400" w:lineRule="exact"/>
        <w:tabs>
          <w:tab w:val="left" w:pos="540" w:leader="none"/>
          <w:tab w:val="left" w:pos="567" w:leader="none"/>
        </w:tabs>
        <w:rPr>
          <w:rFonts w:hint="eastAsia" w:cs="宋体"/>
          <w:color w:val="000000"/>
          <w:sz w:val="21"/>
          <w:szCs w:val="21"/>
        </w:rPr>
      </w:pPr>
      <w:r>
        <w:rPr>
          <w:rFonts w:hint="eastAsia" w:cs="宋体"/>
          <w:color w:val="000000"/>
          <w:sz w:val="21"/>
          <w:szCs w:val="21"/>
        </w:rPr>
        <w:t xml:space="preserve">本次招标活动及因本次招标产生的合同受中国法律制约和保护。</w:t>
      </w:r>
      <w:r/>
    </w:p>
    <w:p>
      <w:pPr>
        <w:pStyle w:val="928"/>
        <w:numPr>
          <w:ilvl w:val="1"/>
          <w:numId w:val="11"/>
        </w:numPr>
        <w:ind w:left="540" w:hanging="540"/>
        <w:spacing w:line="400" w:lineRule="exact"/>
        <w:tabs>
          <w:tab w:val="left" w:pos="540" w:leader="none"/>
          <w:tab w:val="left" w:pos="567" w:leader="none"/>
        </w:tabs>
        <w:rPr>
          <w:rFonts w:hint="eastAsia" w:cs="宋体"/>
          <w:color w:val="000000"/>
          <w:sz w:val="21"/>
          <w:szCs w:val="21"/>
        </w:rPr>
      </w:pPr>
      <w:r>
        <w:rPr>
          <w:rFonts w:hint="eastAsia" w:cs="宋体"/>
          <w:color w:val="000000"/>
          <w:sz w:val="21"/>
          <w:szCs w:val="21"/>
        </w:rPr>
        <w:t xml:space="preserve">本招标文件的解释</w:t>
      </w:r>
      <w:r>
        <w:rPr>
          <w:rFonts w:hint="eastAsia" w:cs="宋体"/>
          <w:color w:val="000000"/>
          <w:sz w:val="21"/>
          <w:szCs w:val="21"/>
        </w:rPr>
        <w:t xml:space="preserve">权属于苏州乐族工程咨询有限公司。</w:t>
      </w:r>
      <w:r/>
    </w:p>
    <w:p>
      <w:pPr>
        <w:pStyle w:val="928"/>
        <w:numPr>
          <w:ilvl w:val="0"/>
          <w:numId w:val="11"/>
        </w:numPr>
        <w:ind w:left="540" w:hanging="540"/>
        <w:spacing w:line="400" w:lineRule="exact"/>
        <w:tabs>
          <w:tab w:val="left" w:pos="425" w:leader="none"/>
          <w:tab w:val="left" w:pos="540" w:leader="none"/>
        </w:tabs>
        <w:rPr>
          <w:rFonts w:hint="eastAsia" w:cs="宋体"/>
          <w:b/>
          <w:bCs/>
          <w:color w:val="000000"/>
          <w:sz w:val="21"/>
          <w:szCs w:val="21"/>
        </w:rPr>
      </w:pPr>
      <w:r>
        <w:rPr>
          <w:rFonts w:hint="eastAsia" w:cs="宋体"/>
          <w:b/>
          <w:bCs/>
          <w:color w:val="000000"/>
          <w:sz w:val="21"/>
          <w:szCs w:val="21"/>
        </w:rPr>
        <w:t xml:space="preserve">词语释义</w:t>
      </w:r>
      <w:r/>
    </w:p>
    <w:p>
      <w:pPr>
        <w:pStyle w:val="943"/>
        <w:numPr>
          <w:ilvl w:val="0"/>
          <w:numId w:val="21"/>
        </w:numPr>
        <w:ind w:left="540" w:hanging="540"/>
        <w:jc w:val="both"/>
        <w:spacing w:line="400" w:lineRule="exact"/>
        <w:tabs>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采购人：指依法进行政府采购的国家机关、事业单位、团体组织。</w:t>
      </w:r>
      <w:r/>
    </w:p>
    <w:p>
      <w:pPr>
        <w:pStyle w:val="943"/>
        <w:numPr>
          <w:ilvl w:val="0"/>
          <w:numId w:val="21"/>
        </w:numPr>
        <w:ind w:left="540" w:hanging="540"/>
        <w:jc w:val="both"/>
        <w:spacing w:line="400" w:lineRule="exact"/>
        <w:tabs>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供应商：指向采购人提供货物、工程或服务的法人、其他组织或者自然人。</w:t>
      </w:r>
      <w:r/>
    </w:p>
    <w:p>
      <w:pPr>
        <w:pStyle w:val="943"/>
        <w:numPr>
          <w:ilvl w:val="0"/>
          <w:numId w:val="21"/>
        </w:numPr>
        <w:ind w:left="540" w:hanging="540"/>
        <w:jc w:val="both"/>
        <w:spacing w:line="400" w:lineRule="exact"/>
        <w:tabs>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w:t>
      </w:r>
      <w:r>
        <w:rPr>
          <w:rFonts w:hint="eastAsia" w:ascii="宋体" w:hAnsi="宋体" w:eastAsia="宋体" w:cs="宋体"/>
          <w:color w:val="000000"/>
          <w:sz w:val="21"/>
          <w:szCs w:val="21"/>
        </w:rPr>
        <w:t xml:space="preserve">标人：指参加政府采购货物服务投标活动的供应商。</w:t>
      </w:r>
      <w:r/>
    </w:p>
    <w:p>
      <w:pPr>
        <w:pStyle w:val="928"/>
        <w:numPr>
          <w:ilvl w:val="0"/>
          <w:numId w:val="21"/>
        </w:numPr>
        <w:ind w:left="540" w:hanging="540"/>
        <w:spacing w:line="400" w:lineRule="exact"/>
        <w:tabs>
          <w:tab w:val="left" w:pos="360" w:leader="none"/>
          <w:tab w:val="left" w:pos="540" w:leader="none"/>
        </w:tabs>
        <w:rPr>
          <w:rFonts w:hint="eastAsia" w:cs="宋体"/>
          <w:color w:val="000000"/>
          <w:sz w:val="21"/>
          <w:szCs w:val="21"/>
        </w:rPr>
      </w:pPr>
      <w:r>
        <w:rPr>
          <w:rFonts w:hint="eastAsia" w:cs="宋体"/>
          <w:color w:val="000000"/>
          <w:sz w:val="21"/>
          <w:szCs w:val="21"/>
        </w:rPr>
        <w:t xml:space="preserve">采购代理机构：指依法接受采购人委托，从事货物、工程和服务等政府采购招标代理业务的社会中介机构。</w:t>
      </w:r>
      <w:r/>
    </w:p>
    <w:p>
      <w:pPr>
        <w:pStyle w:val="928"/>
        <w:numPr>
          <w:ilvl w:val="0"/>
          <w:numId w:val="21"/>
        </w:numPr>
        <w:ind w:left="540" w:hanging="540"/>
        <w:spacing w:line="400" w:lineRule="exact"/>
        <w:tabs>
          <w:tab w:val="left" w:pos="360" w:leader="none"/>
          <w:tab w:val="left" w:pos="540" w:leader="none"/>
        </w:tabs>
        <w:rPr>
          <w:rFonts w:hint="eastAsia" w:cs="宋体"/>
          <w:color w:val="000000"/>
          <w:sz w:val="21"/>
          <w:szCs w:val="21"/>
        </w:rPr>
      </w:pPr>
      <w:r>
        <w:rPr>
          <w:rFonts w:hint="eastAsia" w:cs="宋体"/>
          <w:color w:val="000000"/>
          <w:sz w:val="21"/>
          <w:szCs w:val="21"/>
        </w:rPr>
        <w:t xml:space="preserve">招标采购单位：采购人及采购代理机构的统称。</w:t>
      </w:r>
      <w:r/>
    </w:p>
    <w:p>
      <w:pPr>
        <w:pStyle w:val="928"/>
        <w:numPr>
          <w:ilvl w:val="0"/>
          <w:numId w:val="21"/>
        </w:numPr>
        <w:ind w:left="540" w:hanging="540"/>
        <w:spacing w:line="400" w:lineRule="exact"/>
        <w:tabs>
          <w:tab w:val="left" w:pos="360" w:leader="none"/>
          <w:tab w:val="left" w:pos="540" w:leader="none"/>
        </w:tabs>
        <w:rPr>
          <w:rFonts w:hint="eastAsia" w:cs="宋体"/>
          <w:color w:val="000000"/>
          <w:sz w:val="21"/>
          <w:szCs w:val="21"/>
        </w:rPr>
      </w:pP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p>
    <w:p>
      <w:pPr>
        <w:pStyle w:val="928"/>
        <w:numPr>
          <w:ilvl w:val="0"/>
          <w:numId w:val="21"/>
        </w:numPr>
        <w:ind w:left="540" w:hanging="540"/>
        <w:spacing w:line="400" w:lineRule="exact"/>
        <w:tabs>
          <w:tab w:val="left" w:pos="360" w:leader="none"/>
          <w:tab w:val="left" w:pos="540" w:leader="none"/>
        </w:tabs>
        <w:rPr>
          <w:rFonts w:hint="eastAsia" w:cs="宋体"/>
          <w:color w:val="000000"/>
          <w:sz w:val="21"/>
          <w:szCs w:val="21"/>
        </w:rPr>
      </w:pPr>
      <w:r>
        <w:rPr>
          <w:rFonts w:hint="eastAsia" w:cs="宋体"/>
          <w:color w:val="000000"/>
          <w:sz w:val="21"/>
          <w:szCs w:val="21"/>
        </w:rPr>
        <w:t xml:space="preserve">响应：投标人根据采购人或采购代理机构发售的招标文件，编制投标文件并按规定投标的行为。</w:t>
      </w:r>
      <w:r/>
    </w:p>
    <w:p>
      <w:pPr>
        <w:pStyle w:val="928"/>
        <w:numPr>
          <w:ilvl w:val="0"/>
          <w:numId w:val="21"/>
        </w:numPr>
        <w:ind w:left="540" w:hanging="540"/>
        <w:spacing w:line="400" w:lineRule="exact"/>
        <w:tabs>
          <w:tab w:val="left" w:pos="360" w:leader="none"/>
          <w:tab w:val="left" w:pos="540" w:leader="none"/>
        </w:tabs>
        <w:rPr>
          <w:rFonts w:hint="eastAsia" w:cs="宋体"/>
          <w:color w:val="000000"/>
          <w:sz w:val="21"/>
          <w:szCs w:val="21"/>
        </w:rPr>
      </w:pPr>
      <w:r>
        <w:rPr>
          <w:rFonts w:hint="eastAsia" w:cs="宋体"/>
          <w:color w:val="000000"/>
          <w:sz w:val="21"/>
          <w:szCs w:val="21"/>
        </w:rPr>
        <w:t xml:space="preserve">知识产权：指专利权、商标权、著作权等无形财产专有权的统称。</w:t>
      </w:r>
      <w:r/>
    </w:p>
    <w:p>
      <w:pPr>
        <w:pStyle w:val="928"/>
        <w:numPr>
          <w:ilvl w:val="0"/>
          <w:numId w:val="21"/>
        </w:numPr>
        <w:ind w:left="540" w:hanging="540"/>
        <w:spacing w:line="400" w:lineRule="exact"/>
        <w:tabs>
          <w:tab w:val="left" w:pos="360" w:leader="none"/>
          <w:tab w:val="left" w:pos="540" w:leader="none"/>
        </w:tabs>
        <w:rPr>
          <w:rFonts w:hint="eastAsia" w:cs="宋体"/>
          <w:color w:val="000000"/>
          <w:sz w:val="21"/>
          <w:szCs w:val="21"/>
        </w:rPr>
      </w:pPr>
      <w:r>
        <w:rPr>
          <w:rFonts w:hint="eastAsia" w:cs="宋体"/>
          <w:color w:val="000000"/>
          <w:sz w:val="21"/>
          <w:szCs w:val="21"/>
        </w:rPr>
        <w:t xml:space="preserve">天：日历日。</w:t>
      </w:r>
      <w:r/>
    </w:p>
    <w:p>
      <w:pPr>
        <w:pStyle w:val="928"/>
        <w:numPr>
          <w:ilvl w:val="0"/>
          <w:numId w:val="21"/>
        </w:numPr>
        <w:ind w:left="540" w:hanging="540"/>
        <w:spacing w:line="400" w:lineRule="exact"/>
        <w:tabs>
          <w:tab w:val="left" w:pos="360" w:leader="none"/>
          <w:tab w:val="left" w:pos="540" w:leader="none"/>
        </w:tabs>
        <w:rPr>
          <w:rFonts w:hint="eastAsia" w:cs="宋体"/>
          <w:color w:val="000000"/>
          <w:sz w:val="21"/>
          <w:szCs w:val="21"/>
        </w:rPr>
      </w:pPr>
      <w:r>
        <w:rPr>
          <w:rFonts w:hint="eastAsia" w:cs="宋体"/>
          <w:color w:val="000000"/>
          <w:sz w:val="21"/>
          <w:szCs w:val="21"/>
        </w:rPr>
        <w:t xml:space="preserve">服务地点：</w:t>
      </w:r>
      <w:r>
        <w:rPr>
          <w:rFonts w:hint="eastAsia" w:cs="宋体"/>
          <w:color w:val="000000"/>
          <w:sz w:val="21"/>
          <w:szCs w:val="21"/>
          <w:lang w:val="zh-CN"/>
        </w:rPr>
        <w:t xml:space="preserve">合同中明确约定的服务项目所在地。</w:t>
      </w:r>
      <w:r>
        <w:rPr>
          <w:rFonts w:hint="eastAsia" w:cs="宋体"/>
          <w:color w:val="000000"/>
          <w:sz w:val="21"/>
          <w:szCs w:val="21"/>
        </w:rPr>
      </w:r>
      <w:r/>
    </w:p>
    <w:p>
      <w:pPr>
        <w:pStyle w:val="928"/>
        <w:numPr>
          <w:ilvl w:val="0"/>
          <w:numId w:val="21"/>
        </w:numPr>
        <w:ind w:left="540" w:hanging="540"/>
        <w:spacing w:line="400" w:lineRule="exact"/>
        <w:tabs>
          <w:tab w:val="left" w:pos="360" w:leader="none"/>
          <w:tab w:val="left" w:pos="540" w:leader="none"/>
        </w:tabs>
        <w:rPr>
          <w:rFonts w:hint="eastAsia" w:cs="宋体"/>
          <w:color w:val="000000"/>
          <w:sz w:val="21"/>
          <w:szCs w:val="21"/>
        </w:rPr>
      </w:pPr>
      <w:r>
        <w:rPr>
          <w:rFonts w:hint="eastAsia" w:cs="宋体"/>
          <w:color w:val="000000"/>
          <w:sz w:val="21"/>
          <w:szCs w:val="21"/>
        </w:rPr>
        <w:t xml:space="preserve">不可抗力：不能预见、不能避免并且不能克服的客观情况。</w:t>
      </w:r>
      <w:r/>
    </w:p>
    <w:p>
      <w:pPr>
        <w:pStyle w:val="928"/>
        <w:numPr>
          <w:ilvl w:val="0"/>
          <w:numId w:val="21"/>
        </w:numPr>
        <w:ind w:left="540" w:hanging="540"/>
        <w:spacing w:line="400" w:lineRule="exact"/>
        <w:tabs>
          <w:tab w:val="left" w:pos="360" w:leader="none"/>
          <w:tab w:val="left" w:pos="540" w:leader="none"/>
        </w:tabs>
        <w:rPr>
          <w:rFonts w:hint="eastAsia" w:cs="宋体"/>
          <w:color w:val="000000"/>
          <w:sz w:val="21"/>
          <w:szCs w:val="21"/>
        </w:rPr>
      </w:pPr>
      <w:r>
        <w:rPr>
          <w:rFonts w:hint="eastAsia" w:cs="宋体"/>
          <w:color w:val="000000"/>
          <w:sz w:val="21"/>
          <w:szCs w:val="21"/>
        </w:rPr>
        <w:t xml:space="preserve">实质性响应：满足有关本次采购标的、数量、质量、价款或者报酬、履行期限、履行地点和方式、违约责任和解决争议方法等要求。</w:t>
      </w:r>
      <w:r/>
    </w:p>
    <w:p>
      <w:pPr>
        <w:pStyle w:val="928"/>
        <w:numPr>
          <w:ilvl w:val="0"/>
          <w:numId w:val="21"/>
        </w:numPr>
        <w:ind w:left="540" w:hanging="540"/>
        <w:spacing w:line="400" w:lineRule="exact"/>
        <w:tabs>
          <w:tab w:val="left" w:pos="360" w:leader="none"/>
          <w:tab w:val="left" w:pos="540" w:leader="none"/>
        </w:tabs>
        <w:rPr>
          <w:rFonts w:hint="eastAsia" w:cs="宋体"/>
          <w:color w:val="000000"/>
          <w:sz w:val="21"/>
          <w:szCs w:val="21"/>
        </w:rPr>
      </w:pPr>
      <w:r>
        <w:rPr>
          <w:rFonts w:hint="eastAsia" w:cs="宋体"/>
          <w:color w:val="000000"/>
          <w:sz w:val="21"/>
          <w:szCs w:val="21"/>
        </w:rPr>
        <w:t xml:space="preserve">进口产品：通过中国海关报关验收进入中国境内且产自境外的产品。</w:t>
      </w:r>
      <w:r/>
    </w:p>
    <w:p>
      <w:pPr>
        <w:pStyle w:val="977"/>
        <w:numPr>
          <w:ilvl w:val="0"/>
          <w:numId w:val="21"/>
        </w:numPr>
        <w:ind w:left="540" w:hanging="540"/>
        <w:spacing w:line="400" w:lineRule="exact"/>
        <w:tabs>
          <w:tab w:val="left" w:pos="360" w:leader="none"/>
          <w:tab w:val="left" w:pos="540" w:leader="none"/>
        </w:tabs>
        <w:rPr>
          <w:rFonts w:hint="eastAsia" w:eastAsia="宋体" w:cs="宋体"/>
          <w:color w:val="000000"/>
          <w:sz w:val="21"/>
          <w:szCs w:val="21"/>
        </w:rPr>
      </w:pPr>
      <w:r>
        <w:rPr>
          <w:rFonts w:hint="eastAsia" w:eastAsia="宋体" w:cs="宋体"/>
          <w:color w:val="000000"/>
          <w:sz w:val="21"/>
          <w:szCs w:val="21"/>
        </w:rPr>
        <w:t xml:space="preserve">书面形式：指书面文字、合同书、信件和传真等可有形地表现所载内容的形式。</w:t>
      </w:r>
      <w:r/>
    </w:p>
    <w:p>
      <w:pPr>
        <w:pStyle w:val="928"/>
        <w:numPr>
          <w:ilvl w:val="0"/>
          <w:numId w:val="5"/>
        </w:numPr>
        <w:ind w:left="540" w:hanging="540"/>
        <w:spacing w:line="400" w:lineRule="exact"/>
        <w:tabs>
          <w:tab w:val="left" w:pos="420" w:leader="none"/>
          <w:tab w:val="left" w:pos="540" w:leader="none"/>
        </w:tabs>
        <w:rPr>
          <w:rFonts w:hint="eastAsia" w:cs="宋体"/>
          <w:b/>
          <w:bCs/>
          <w:color w:val="000000"/>
          <w:sz w:val="21"/>
          <w:szCs w:val="21"/>
        </w:rPr>
      </w:pPr>
      <w:r>
        <w:rPr>
          <w:rFonts w:hint="eastAsia" w:cs="宋体"/>
          <w:b/>
          <w:bCs/>
          <w:color w:val="000000"/>
          <w:sz w:val="21"/>
          <w:szCs w:val="21"/>
        </w:rPr>
        <w:t xml:space="preserve">投标人</w:t>
      </w:r>
      <w:r/>
    </w:p>
    <w:p>
      <w:pPr>
        <w:pStyle w:val="928"/>
        <w:numPr>
          <w:ilvl w:val="0"/>
          <w:numId w:val="7"/>
        </w:numPr>
        <w:ind w:left="540" w:hanging="540"/>
        <w:spacing w:line="400" w:lineRule="exact"/>
        <w:tabs>
          <w:tab w:val="left" w:pos="540" w:leader="none"/>
          <w:tab w:val="left" w:pos="709" w:leader="none"/>
        </w:tabs>
        <w:rPr>
          <w:rFonts w:hint="eastAsia" w:cs="宋体"/>
          <w:b/>
          <w:bCs/>
          <w:color w:val="000000"/>
          <w:sz w:val="21"/>
          <w:szCs w:val="21"/>
        </w:rPr>
      </w:pPr>
      <w:r>
        <w:rPr>
          <w:rFonts w:hint="eastAsia" w:cs="宋体"/>
          <w:b/>
          <w:bCs/>
          <w:color w:val="000000"/>
          <w:sz w:val="21"/>
          <w:szCs w:val="21"/>
        </w:rPr>
        <w:t xml:space="preserve">合格投标人的范围</w:t>
      </w:r>
      <w:r/>
    </w:p>
    <w:p>
      <w:pPr>
        <w:pStyle w:val="928"/>
        <w:numPr>
          <w:ilvl w:val="1"/>
          <w:numId w:val="7"/>
        </w:numPr>
        <w:spacing w:line="400" w:lineRule="exact"/>
        <w:tabs>
          <w:tab w:val="left" w:pos="851" w:leader="none"/>
        </w:tabs>
        <w:rPr>
          <w:rFonts w:hint="eastAsia" w:cs="宋体"/>
          <w:color w:val="000000"/>
          <w:sz w:val="21"/>
          <w:szCs w:val="21"/>
        </w:rPr>
      </w:pPr>
      <w:r>
        <w:rPr>
          <w:rFonts w:hint="eastAsia" w:cs="宋体"/>
          <w:color w:val="000000"/>
          <w:sz w:val="21"/>
          <w:szCs w:val="21"/>
        </w:rPr>
        <w:t xml:space="preserve">符合《中华人民共和国政府采购法》第二十二条第一款之规定。</w:t>
      </w:r>
      <w:r/>
    </w:p>
    <w:p>
      <w:pPr>
        <w:pStyle w:val="928"/>
        <w:numPr>
          <w:ilvl w:val="0"/>
          <w:numId w:val="7"/>
        </w:numPr>
        <w:ind w:left="540" w:hanging="540"/>
        <w:spacing w:line="400" w:lineRule="exact"/>
        <w:tabs>
          <w:tab w:val="left" w:pos="540" w:leader="none"/>
          <w:tab w:val="left" w:pos="709" w:leader="none"/>
        </w:tabs>
        <w:rPr>
          <w:rFonts w:hint="eastAsia" w:cs="宋体"/>
          <w:b/>
          <w:bCs/>
          <w:color w:val="000000"/>
          <w:sz w:val="21"/>
          <w:szCs w:val="21"/>
        </w:rPr>
      </w:pPr>
      <w:r>
        <w:rPr>
          <w:rFonts w:hint="eastAsia" w:cs="宋体"/>
          <w:b/>
          <w:bCs/>
          <w:color w:val="000000"/>
          <w:sz w:val="21"/>
          <w:szCs w:val="21"/>
        </w:rPr>
        <w:t xml:space="preserve">合格投标人的特定条件</w:t>
      </w:r>
      <w:r/>
    </w:p>
    <w:p>
      <w:pPr>
        <w:pStyle w:val="928"/>
        <w:numPr>
          <w:ilvl w:val="1"/>
          <w:numId w:val="7"/>
        </w:numPr>
        <w:spacing w:line="400" w:lineRule="exact"/>
        <w:tabs>
          <w:tab w:val="left" w:pos="540" w:leader="none"/>
          <w:tab w:val="left" w:pos="567" w:leader="none"/>
          <w:tab w:val="left" w:pos="851" w:leader="none"/>
        </w:tabs>
        <w:rPr>
          <w:rFonts w:hint="eastAsia" w:cs="宋体"/>
          <w:bCs/>
          <w:color w:val="000000"/>
          <w:sz w:val="21"/>
          <w:szCs w:val="21"/>
        </w:rPr>
      </w:pPr>
      <w:r>
        <w:rPr>
          <w:rFonts w:hint="eastAsia" w:cs="宋体"/>
          <w:color w:val="000000"/>
          <w:sz w:val="21"/>
          <w:szCs w:val="21"/>
        </w:rPr>
        <w:t xml:space="preserve">详见招标文件第一章 申请人的资格要求。</w:t>
      </w:r>
      <w:r>
        <w:rPr>
          <w:rFonts w:hint="eastAsia" w:cs="宋体"/>
          <w:bCs/>
          <w:color w:val="000000"/>
          <w:sz w:val="21"/>
          <w:szCs w:val="21"/>
        </w:rPr>
      </w:r>
      <w:r/>
    </w:p>
    <w:p>
      <w:pPr>
        <w:pStyle w:val="928"/>
        <w:numPr>
          <w:ilvl w:val="0"/>
          <w:numId w:val="7"/>
        </w:numPr>
        <w:ind w:left="540" w:hanging="540"/>
        <w:spacing w:line="400" w:lineRule="exact"/>
        <w:tabs>
          <w:tab w:val="left" w:pos="540" w:leader="none"/>
          <w:tab w:val="left" w:pos="709" w:leader="none"/>
        </w:tabs>
        <w:rPr>
          <w:rFonts w:hint="eastAsia" w:cs="宋体"/>
          <w:bCs/>
          <w:color w:val="000000"/>
          <w:sz w:val="21"/>
          <w:szCs w:val="21"/>
        </w:rPr>
      </w:pPr>
      <w:r>
        <w:rPr>
          <w:rFonts w:hint="eastAsia"/>
          <w:color w:val="000000"/>
          <w:sz w:val="21"/>
          <w:szCs w:val="21"/>
        </w:rPr>
        <w:t xml:space="preserve">投标人必须依法获取电子招标文件</w:t>
      </w:r>
      <w:r>
        <w:rPr>
          <w:rFonts w:hint="eastAsia"/>
          <w:color w:val="000000"/>
          <w:sz w:val="21"/>
          <w:szCs w:val="21"/>
        </w:rPr>
        <w:t xml:space="preserve">，否则不能参加本次招标活动</w:t>
      </w:r>
      <w:r>
        <w:rPr>
          <w:rFonts w:hint="eastAsia" w:cs="宋体"/>
          <w:color w:val="000000"/>
          <w:sz w:val="21"/>
          <w:szCs w:val="21"/>
        </w:rPr>
        <w:t xml:space="preserve">。</w:t>
      </w:r>
      <w:r>
        <w:rPr>
          <w:rFonts w:hint="eastAsia" w:cs="宋体"/>
          <w:bCs/>
          <w:color w:val="000000"/>
          <w:sz w:val="21"/>
          <w:szCs w:val="21"/>
        </w:rPr>
      </w:r>
      <w:r/>
    </w:p>
    <w:p>
      <w:pPr>
        <w:pStyle w:val="928"/>
        <w:numPr>
          <w:ilvl w:val="0"/>
          <w:numId w:val="7"/>
        </w:numPr>
        <w:ind w:left="540" w:hanging="540"/>
        <w:spacing w:line="400" w:lineRule="exact"/>
        <w:tabs>
          <w:tab w:val="left" w:pos="540" w:leader="none"/>
          <w:tab w:val="left" w:pos="709" w:leader="none"/>
        </w:tabs>
        <w:rPr>
          <w:rFonts w:hint="eastAsia" w:cs="宋体"/>
          <w:b/>
          <w:bCs/>
          <w:color w:val="000000"/>
          <w:sz w:val="21"/>
          <w:szCs w:val="21"/>
        </w:rPr>
      </w:pPr>
      <w:r>
        <w:rPr>
          <w:rFonts w:hint="eastAsia" w:cs="宋体"/>
          <w:b/>
          <w:bCs/>
          <w:color w:val="000000"/>
          <w:sz w:val="21"/>
          <w:szCs w:val="21"/>
        </w:rPr>
        <w:t xml:space="preserve">投标委托</w:t>
      </w:r>
      <w:r/>
    </w:p>
    <w:p>
      <w:pPr>
        <w:pStyle w:val="928"/>
        <w:numPr>
          <w:ilvl w:val="1"/>
          <w:numId w:val="7"/>
        </w:numPr>
        <w:spacing w:line="400" w:lineRule="exact"/>
        <w:tabs>
          <w:tab w:val="left" w:pos="851" w:leader="none"/>
        </w:tabs>
        <w:rPr>
          <w:rFonts w:hint="eastAsia" w:cs="宋体"/>
          <w:color w:val="000000"/>
          <w:sz w:val="21"/>
          <w:szCs w:val="21"/>
        </w:rPr>
      </w:pPr>
      <w:r>
        <w:rPr>
          <w:rFonts w:hint="eastAsia" w:cs="宋体"/>
          <w:color w:val="000000"/>
          <w:sz w:val="21"/>
          <w:szCs w:val="21"/>
        </w:rPr>
        <w:t xml:space="preserve">指全权代表投标人参加投标活动并签署投标文件的人，如果投标人代表不是法定代表人代表，须提供《法定代表人代表授权委托书》（详见统一格式）。</w:t>
      </w:r>
      <w:r/>
    </w:p>
    <w:p>
      <w:pPr>
        <w:pStyle w:val="928"/>
        <w:numPr>
          <w:ilvl w:val="0"/>
          <w:numId w:val="7"/>
        </w:numPr>
        <w:ind w:left="540" w:hanging="540"/>
        <w:spacing w:line="400" w:lineRule="exact"/>
        <w:tabs>
          <w:tab w:val="left" w:pos="540" w:leader="none"/>
          <w:tab w:val="left" w:pos="709" w:leader="none"/>
        </w:tabs>
        <w:rPr>
          <w:rFonts w:hint="eastAsia" w:cs="宋体"/>
          <w:b/>
          <w:bCs/>
          <w:color w:val="000000"/>
          <w:sz w:val="21"/>
          <w:szCs w:val="21"/>
        </w:rPr>
      </w:pPr>
      <w:r>
        <w:rPr>
          <w:rFonts w:hint="eastAsia" w:cs="宋体"/>
          <w:b/>
          <w:bCs/>
          <w:color w:val="000000"/>
          <w:sz w:val="21"/>
          <w:szCs w:val="21"/>
        </w:rPr>
        <w:t xml:space="preserve">投标费用</w:t>
      </w:r>
      <w:r/>
    </w:p>
    <w:p>
      <w:pPr>
        <w:pStyle w:val="928"/>
        <w:numPr>
          <w:ilvl w:val="1"/>
          <w:numId w:val="7"/>
        </w:numPr>
        <w:spacing w:line="400" w:lineRule="exact"/>
        <w:tabs>
          <w:tab w:val="left" w:pos="851" w:leader="none"/>
        </w:tabs>
        <w:rPr>
          <w:rFonts w:hint="eastAsia" w:cs="宋体"/>
          <w:color w:val="000000"/>
          <w:sz w:val="21"/>
          <w:szCs w:val="21"/>
        </w:rPr>
      </w:pPr>
      <w:r>
        <w:rPr>
          <w:rFonts w:hint="eastAsia" w:cs="宋体"/>
          <w:color w:val="000000"/>
          <w:sz w:val="21"/>
          <w:szCs w:val="21"/>
        </w:rPr>
        <w:t xml:space="preserve">无论投标过程的做法和结果如何，投标人自行承担所有与参加投标有关的全部费用。</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联合投标</w:t>
      </w:r>
      <w:r/>
    </w:p>
    <w:p>
      <w:pPr>
        <w:pStyle w:val="928"/>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本项目不接受联合体投标。</w:t>
      </w:r>
      <w:r/>
    </w:p>
    <w:p>
      <w:pPr>
        <w:pStyle w:val="928"/>
        <w:numPr>
          <w:ilvl w:val="0"/>
          <w:numId w:val="5"/>
        </w:numPr>
        <w:ind w:left="540" w:hanging="540"/>
        <w:spacing w:line="400" w:lineRule="exact"/>
        <w:tabs>
          <w:tab w:val="left" w:pos="420" w:leader="none"/>
          <w:tab w:val="left" w:pos="540" w:leader="none"/>
        </w:tabs>
        <w:rPr>
          <w:rFonts w:hint="eastAsia" w:cs="宋体"/>
          <w:b/>
          <w:bCs/>
          <w:color w:val="000000"/>
          <w:sz w:val="21"/>
          <w:szCs w:val="21"/>
        </w:rPr>
      </w:pPr>
      <w:r>
        <w:rPr>
          <w:rFonts w:hint="eastAsia" w:cs="宋体"/>
          <w:b/>
          <w:bCs/>
          <w:color w:val="000000"/>
          <w:sz w:val="21"/>
          <w:szCs w:val="21"/>
        </w:rPr>
        <w:t xml:space="preserve">招标文件的说明</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招标文件</w:t>
      </w:r>
      <w:r/>
    </w:p>
    <w:p>
      <w:pPr>
        <w:pStyle w:val="928"/>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olor w:val="000000"/>
          <w:sz w:val="21"/>
          <w:szCs w:val="21"/>
        </w:rPr>
        <w:t xml:space="preserve">招标文件由招</w:t>
      </w:r>
      <w:r>
        <w:rPr>
          <w:rFonts w:hint="eastAsia"/>
          <w:color w:val="000000"/>
          <w:sz w:val="21"/>
          <w:szCs w:val="21"/>
        </w:rPr>
        <w:t xml:space="preserve">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p>
    <w:p>
      <w:pPr>
        <w:pStyle w:val="928"/>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olor w:val="000000"/>
          <w:sz w:val="21"/>
          <w:szCs w:val="21"/>
        </w:rPr>
        <w:t xml:space="preserve">招标文件及其更正文件不是直接依法获取的，招标采购单位对招标文件及其补遗的真实性、完整性不承担任何责任</w:t>
      </w:r>
      <w:r>
        <w:rPr>
          <w:rFonts w:hint="eastAsia" w:cs="宋体"/>
          <w:color w:val="000000"/>
          <w:sz w:val="21"/>
          <w:szCs w:val="21"/>
        </w:rPr>
        <w:t xml:space="preserve">。</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现场</w:t>
      </w:r>
      <w:r>
        <w:rPr>
          <w:rFonts w:hint="eastAsia" w:cs="宋体"/>
          <w:b/>
          <w:color w:val="000000"/>
          <w:sz w:val="21"/>
          <w:szCs w:val="21"/>
        </w:rPr>
        <w:t xml:space="preserve">考察</w:t>
      </w:r>
      <w:r/>
    </w:p>
    <w:p>
      <w:pPr>
        <w:pStyle w:val="928"/>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pStyle w:val="928"/>
        <w:numPr>
          <w:ilvl w:val="1"/>
          <w:numId w:val="7"/>
        </w:numPr>
        <w:ind w:left="540" w:hanging="540"/>
        <w:spacing w:line="400" w:lineRule="exact"/>
        <w:tabs>
          <w:tab w:val="left" w:pos="540" w:leader="none"/>
          <w:tab w:val="left" w:pos="851" w:leader="none"/>
        </w:tabs>
        <w:rPr>
          <w:rFonts w:hint="eastAsia" w:cs="宋体"/>
          <w:color w:val="000000"/>
          <w:sz w:val="21"/>
          <w:szCs w:val="21"/>
        </w:rPr>
      </w:pPr>
      <w:r>
        <w:rPr>
          <w:rFonts w:hint="eastAsia" w:cs="宋体"/>
          <w:color w:val="000000"/>
          <w:sz w:val="21"/>
          <w:szCs w:val="21"/>
        </w:rPr>
        <w:t xml:space="preserve">投标人可向</w:t>
      </w:r>
      <w:r>
        <w:rPr>
          <w:rFonts w:hint="eastAsia" w:cs="宋体"/>
          <w:color w:val="000000"/>
          <w:sz w:val="21"/>
          <w:szCs w:val="21"/>
        </w:rPr>
        <w:t xml:space="preserve">招标采购单位索要有关现场的资料和数据，但招标采购单位对所提供的资料和数据不承担任何责任。投标人因提供的资料和数据而做出的推论、理解和结论招标采购单位概不负责。</w:t>
      </w:r>
      <w:r/>
    </w:p>
    <w:p>
      <w:pPr>
        <w:pStyle w:val="928"/>
        <w:numPr>
          <w:ilvl w:val="1"/>
          <w:numId w:val="7"/>
        </w:numPr>
        <w:ind w:left="540" w:hanging="540"/>
        <w:spacing w:line="400" w:lineRule="exact"/>
        <w:tabs>
          <w:tab w:val="left" w:pos="540" w:leader="none"/>
          <w:tab w:val="left" w:pos="851" w:leader="none"/>
        </w:tabs>
        <w:rPr>
          <w:rFonts w:hint="eastAsia"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cs="宋体"/>
          <w:bCs/>
          <w:color w:val="000000"/>
          <w:sz w:val="21"/>
          <w:szCs w:val="21"/>
        </w:rPr>
      </w:r>
      <w:r/>
    </w:p>
    <w:p>
      <w:pPr>
        <w:pStyle w:val="928"/>
        <w:numPr>
          <w:ilvl w:val="1"/>
          <w:numId w:val="7"/>
        </w:numPr>
        <w:ind w:left="540" w:hanging="540"/>
        <w:spacing w:line="400" w:lineRule="exact"/>
        <w:tabs>
          <w:tab w:val="left" w:pos="540" w:leader="none"/>
          <w:tab w:val="left" w:pos="851" w:leader="none"/>
        </w:tabs>
        <w:rPr>
          <w:rFonts w:hint="eastAsia" w:cs="宋体"/>
          <w:bCs/>
          <w:color w:val="000000"/>
          <w:sz w:val="21"/>
          <w:szCs w:val="21"/>
        </w:rPr>
      </w:pPr>
      <w:r>
        <w:rPr>
          <w:rFonts w:hint="eastAsia" w:cs="宋体"/>
          <w:color w:val="000000"/>
          <w:sz w:val="21"/>
          <w:szCs w:val="21"/>
        </w:rPr>
        <w:t xml:space="preserve">投标人应在现场考察时，熟悉现场及周围交通道路等情况，以获得一切可</w:t>
      </w:r>
      <w:r>
        <w:rPr>
          <w:rFonts w:hint="eastAsia" w:cs="宋体"/>
          <w:color w:val="000000"/>
          <w:sz w:val="21"/>
          <w:szCs w:val="21"/>
        </w:rPr>
        <w:t xml:space="preserve">能影响其投标的直接资料。投标人中标后，不得以不完全了解现场情况为理由而向招标采购单位提出任何索赔的要求，对此招标采购单位不承担任何责任并将不作任何答复与考虑。</w:t>
      </w:r>
      <w:r>
        <w:rPr>
          <w:rFonts w:hint="eastAsia" w:cs="宋体"/>
          <w:bCs/>
          <w:color w:val="000000"/>
          <w:sz w:val="21"/>
          <w:szCs w:val="21"/>
        </w:rPr>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招标文件的澄清和修改</w:t>
      </w:r>
      <w:r/>
    </w:p>
    <w:p>
      <w:pPr>
        <w:pStyle w:val="928"/>
        <w:numPr>
          <w:ilvl w:val="1"/>
          <w:numId w:val="7"/>
        </w:numPr>
        <w:ind w:left="540" w:hanging="540"/>
        <w:spacing w:line="400" w:lineRule="exact"/>
        <w:tabs>
          <w:tab w:val="left" w:pos="540" w:leader="none"/>
          <w:tab w:val="left" w:pos="851" w:leader="none"/>
        </w:tabs>
        <w:rPr>
          <w:rFonts w:hint="eastAsia" w:cs="宋体"/>
          <w:bCs/>
          <w:color w:val="000000"/>
          <w:sz w:val="21"/>
          <w:szCs w:val="21"/>
        </w:rPr>
      </w:pPr>
      <w:r>
        <w:rPr>
          <w:rFonts w:hint="eastAsia"/>
          <w:color w:val="000000"/>
          <w:sz w:val="21"/>
          <w:szCs w:val="21"/>
        </w:rPr>
        <w:t xml:space="preserve">投标人在获取招标文件后，若有疑问，应于</w:t>
      </w:r>
      <w:bookmarkStart w:id="4" w:name="_Hlk159337758"/>
      <w:r>
        <w:rPr>
          <w:rFonts w:hint="eastAsia"/>
          <w:color w:val="000000"/>
          <w:sz w:val="21"/>
          <w:szCs w:val="21"/>
        </w:rPr>
        <w:t xml:space="preserve">投标截止时间</w:t>
      </w:r>
      <w:bookmarkEnd w:id="4"/>
      <w:r>
        <w:rPr>
          <w:rFonts w:hint="eastAsia"/>
          <w:color w:val="000000"/>
          <w:sz w:val="21"/>
          <w:szCs w:val="21"/>
        </w:rPr>
        <w:t xml:space="preserve">之前，向采购代理机构提出，采购代理机构将予以解答</w:t>
      </w:r>
      <w:r>
        <w:rPr>
          <w:rFonts w:hint="eastAsia" w:cs="宋体"/>
          <w:bCs/>
          <w:color w:val="000000"/>
          <w:sz w:val="21"/>
          <w:szCs w:val="21"/>
        </w:rPr>
        <w:t xml:space="preserve">。</w:t>
      </w:r>
      <w:r/>
    </w:p>
    <w:p>
      <w:pPr>
        <w:pStyle w:val="928"/>
        <w:numPr>
          <w:ilvl w:val="1"/>
          <w:numId w:val="7"/>
        </w:numPr>
        <w:ind w:left="540" w:hanging="540"/>
        <w:spacing w:line="400" w:lineRule="exact"/>
        <w:tabs>
          <w:tab w:val="left" w:pos="540" w:leader="none"/>
          <w:tab w:val="left" w:pos="851" w:leader="none"/>
        </w:tabs>
        <w:rPr>
          <w:rFonts w:hint="eastAsia"/>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p>
    <w:p>
      <w:pPr>
        <w:pStyle w:val="928"/>
        <w:numPr>
          <w:ilvl w:val="1"/>
          <w:numId w:val="7"/>
        </w:numPr>
        <w:ind w:left="540" w:hanging="540"/>
        <w:spacing w:line="400" w:lineRule="exact"/>
        <w:tabs>
          <w:tab w:val="left" w:pos="540" w:leader="none"/>
          <w:tab w:val="left" w:pos="851" w:leader="none"/>
        </w:tabs>
        <w:rPr>
          <w:rFonts w:hint="eastAsia"/>
          <w:bCs/>
          <w:color w:val="000000"/>
          <w:sz w:val="21"/>
          <w:szCs w:val="21"/>
        </w:rPr>
      </w:pPr>
      <w:r>
        <w:rPr>
          <w:rFonts w:hint="eastAsia"/>
          <w:color w:val="000000"/>
          <w:sz w:val="21"/>
          <w:szCs w:val="21"/>
        </w:rPr>
        <w:t xml:space="preserve">迟于投标截止时间的询问和提交的疑问</w:t>
      </w:r>
      <w:r>
        <w:rPr>
          <w:rFonts w:hint="eastAsia"/>
          <w:bCs/>
          <w:color w:val="000000"/>
          <w:sz w:val="21"/>
          <w:szCs w:val="21"/>
        </w:rPr>
        <w:t xml:space="preserve">，采购人和采购代理机构有权拒绝回答，也不承担由此带来的对投标人投标结果的影响。</w:t>
      </w:r>
      <w:r/>
    </w:p>
    <w:p>
      <w:pPr>
        <w:pStyle w:val="928"/>
        <w:numPr>
          <w:ilvl w:val="1"/>
          <w:numId w:val="7"/>
        </w:numPr>
        <w:ind w:left="540" w:hanging="540"/>
        <w:spacing w:line="400" w:lineRule="exact"/>
        <w:tabs>
          <w:tab w:val="left" w:pos="540" w:leader="none"/>
          <w:tab w:val="left" w:pos="851" w:leader="none"/>
        </w:tabs>
        <w:rPr>
          <w:rFonts w:hint="eastAsia"/>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p>
    <w:p>
      <w:pPr>
        <w:pStyle w:val="928"/>
        <w:numPr>
          <w:ilvl w:val="1"/>
          <w:numId w:val="7"/>
        </w:numPr>
        <w:ind w:left="540" w:hanging="540"/>
        <w:spacing w:line="400" w:lineRule="exact"/>
        <w:tabs>
          <w:tab w:val="left" w:pos="540" w:leader="none"/>
          <w:tab w:val="left" w:pos="851" w:leader="none"/>
        </w:tabs>
        <w:rPr>
          <w:rFonts w:hint="eastAsia"/>
          <w:color w:val="000000"/>
          <w:sz w:val="21"/>
          <w:szCs w:val="21"/>
        </w:rPr>
      </w:pPr>
      <w:r>
        <w:rPr>
          <w:rFonts w:hint="eastAsia"/>
          <w:bCs/>
          <w:color w:val="000000"/>
          <w:sz w:val="21"/>
          <w:szCs w:val="21"/>
        </w:rPr>
        <w:t xml:space="preserve">为使投标人有足够的时间按招标文件的修改要求考虑</w:t>
      </w:r>
      <w:r>
        <w:rPr>
          <w:rFonts w:hint="eastAsia"/>
          <w:bCs/>
          <w:color w:val="000000"/>
          <w:sz w:val="21"/>
          <w:szCs w:val="21"/>
        </w:rPr>
        <w:t xml:space="preserve">修正投标文件，或出于其他原因，</w:t>
      </w:r>
      <w:r>
        <w:rPr>
          <w:rFonts w:hint="eastAsia"/>
          <w:color w:val="000000"/>
          <w:sz w:val="21"/>
          <w:szCs w:val="21"/>
        </w:rPr>
        <w:t xml:space="preserve">招标采购单位有权推迟投标截止日期和开标日期</w:t>
      </w:r>
      <w:r>
        <w:rPr>
          <w:rFonts w:hint="eastAsia"/>
          <w:bCs/>
          <w:color w:val="000000"/>
          <w:sz w:val="21"/>
          <w:szCs w:val="21"/>
        </w:rPr>
        <w:t xml:space="preserve">，并将此变更以补充通知的形式在网上发布公告。</w:t>
      </w:r>
      <w:r>
        <w:rPr>
          <w:rFonts w:hint="eastAsia"/>
          <w:color w:val="000000"/>
          <w:sz w:val="21"/>
          <w:szCs w:val="21"/>
        </w:rPr>
      </w:r>
      <w:r/>
    </w:p>
    <w:p>
      <w:pPr>
        <w:pStyle w:val="928"/>
        <w:numPr>
          <w:ilvl w:val="1"/>
          <w:numId w:val="7"/>
        </w:numPr>
        <w:ind w:left="540" w:hanging="540"/>
        <w:spacing w:line="400" w:lineRule="exact"/>
        <w:tabs>
          <w:tab w:val="left" w:pos="540" w:leader="none"/>
          <w:tab w:val="left" w:pos="851" w:leader="none"/>
        </w:tabs>
        <w:rPr>
          <w:rFonts w:hint="eastAsia"/>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rPr>
          <w:rFonts w:hint="eastAsia"/>
          <w:color w:val="000000"/>
          <w:sz w:val="21"/>
          <w:szCs w:val="21"/>
        </w:rPr>
      </w:r>
      <w:r/>
    </w:p>
    <w:p>
      <w:pPr>
        <w:pStyle w:val="928"/>
        <w:numPr>
          <w:ilvl w:val="1"/>
          <w:numId w:val="7"/>
        </w:numPr>
        <w:ind w:left="540" w:hanging="540"/>
        <w:spacing w:line="400" w:lineRule="exact"/>
        <w:tabs>
          <w:tab w:val="left" w:pos="540" w:leader="none"/>
          <w:tab w:val="left" w:pos="851"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w:t>
      </w:r>
      <w:r>
        <w:rPr>
          <w:rFonts w:hint="eastAsia"/>
          <w:color w:val="000000"/>
          <w:sz w:val="21"/>
          <w:szCs w:val="21"/>
        </w:rPr>
        <w:t xml:space="preserve">束作用。</w:t>
      </w:r>
      <w:r>
        <w:rPr>
          <w:color w:val="000000"/>
          <w:sz w:val="21"/>
          <w:szCs w:val="21"/>
        </w:rPr>
      </w:r>
      <w:r/>
    </w:p>
    <w:p>
      <w:pPr>
        <w:pStyle w:val="928"/>
        <w:numPr>
          <w:ilvl w:val="1"/>
          <w:numId w:val="7"/>
        </w:numPr>
        <w:ind w:left="540" w:hanging="540"/>
        <w:spacing w:line="400" w:lineRule="exact"/>
        <w:tabs>
          <w:tab w:val="left" w:pos="540" w:leader="none"/>
          <w:tab w:val="left" w:pos="851" w:leader="none"/>
        </w:tabs>
        <w:rPr>
          <w:color w:val="000000"/>
          <w:sz w:val="21"/>
          <w:szCs w:val="21"/>
        </w:rPr>
      </w:pPr>
      <w:r>
        <w:rPr>
          <w:rFonts w:hint="eastAsia"/>
          <w:color w:val="000000"/>
          <w:sz w:val="21"/>
          <w:szCs w:val="21"/>
        </w:rPr>
        <w:t xml:space="preserve">招标文件若有最新的答疑文件，投标供应商必须下载并使用该文件制作新的电子投标文件，否则将无法完成电子投标文件的上传及投标。</w:t>
      </w:r>
      <w:r>
        <w:rPr>
          <w:color w:val="000000"/>
          <w:sz w:val="21"/>
          <w:szCs w:val="21"/>
        </w:rPr>
      </w:r>
      <w:r/>
    </w:p>
    <w:p>
      <w:pPr>
        <w:pStyle w:val="928"/>
        <w:numPr>
          <w:ilvl w:val="0"/>
          <w:numId w:val="7"/>
        </w:numPr>
        <w:ind w:left="540" w:hanging="540"/>
        <w:spacing w:line="400" w:lineRule="exact"/>
        <w:tabs>
          <w:tab w:val="left" w:pos="540" w:leader="none"/>
          <w:tab w:val="left" w:pos="709" w:leader="none"/>
        </w:tabs>
        <w:rPr>
          <w:rFonts w:cs="宋体"/>
          <w:b/>
          <w:color w:val="000000"/>
          <w:sz w:val="21"/>
          <w:szCs w:val="21"/>
        </w:rPr>
      </w:pPr>
      <w:r>
        <w:rPr>
          <w:rFonts w:cs="宋体"/>
          <w:b/>
          <w:color w:val="000000"/>
          <w:sz w:val="21"/>
          <w:szCs w:val="21"/>
        </w:rPr>
        <w:t xml:space="preserve">质疑</w:t>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color w:val="000000"/>
          <w:sz w:val="21"/>
          <w:szCs w:val="21"/>
        </w:rPr>
        <w:t xml:space="preserve">；</w:t>
      </w:r>
      <w:r>
        <w:rPr>
          <w:color w:val="000000"/>
          <w:sz w:val="21"/>
          <w:szCs w:val="21"/>
        </w:rPr>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提出质疑的供应商应当是参与所质疑项目采购活动的供应商，未参加投标活动的供应商或在投标活动中自身权益未受到损害的供应商所提出的质疑不予受理。</w:t>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上述应知其权益受到损害之日是指：</w:t>
      </w:r>
      <w:r/>
    </w:p>
    <w:p>
      <w:pPr>
        <w:pStyle w:val="928"/>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p>
    <w:p>
      <w:pPr>
        <w:pStyle w:val="928"/>
        <w:spacing w:line="400" w:lineRule="exact"/>
        <w:tabs>
          <w:tab w:val="left" w:pos="540" w:leader="none"/>
        </w:tabs>
        <w:rPr>
          <w:color w:val="000000"/>
          <w:sz w:val="21"/>
          <w:szCs w:val="21"/>
        </w:rPr>
      </w:pPr>
      <w:r>
        <w:rPr>
          <w:color w:val="000000"/>
          <w:sz w:val="21"/>
          <w:szCs w:val="21"/>
        </w:rPr>
        <w:t xml:space="preserve">12.3.2对采</w:t>
      </w:r>
      <w:r>
        <w:rPr>
          <w:color w:val="000000"/>
          <w:sz w:val="21"/>
          <w:szCs w:val="21"/>
        </w:rPr>
        <w:t xml:space="preserve">购过程提出质疑的，自采购程序环节结束之日起计算；</w:t>
      </w:r>
      <w:r/>
    </w:p>
    <w:p>
      <w:pPr>
        <w:pStyle w:val="928"/>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供应商提出质疑应当提交质疑函和必要的证明材料。质疑函应当包括下列内容：</w:t>
      </w:r>
      <w:r/>
    </w:p>
    <w:p>
      <w:pPr>
        <w:pStyle w:val="928"/>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p>
    <w:p>
      <w:pPr>
        <w:pStyle w:val="928"/>
        <w:spacing w:line="400" w:lineRule="exact"/>
        <w:tabs>
          <w:tab w:val="left" w:pos="540" w:leader="none"/>
        </w:tabs>
        <w:rPr>
          <w:color w:val="000000"/>
          <w:sz w:val="21"/>
          <w:szCs w:val="21"/>
        </w:rPr>
      </w:pPr>
      <w:r>
        <w:rPr>
          <w:color w:val="000000"/>
          <w:sz w:val="21"/>
          <w:szCs w:val="21"/>
        </w:rPr>
        <w:t xml:space="preserve">12.4.2 质疑项目的名称、编号；</w:t>
      </w:r>
      <w:r/>
    </w:p>
    <w:p>
      <w:pPr>
        <w:pStyle w:val="928"/>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p>
    <w:p>
      <w:pPr>
        <w:pStyle w:val="928"/>
        <w:spacing w:line="400" w:lineRule="exact"/>
        <w:tabs>
          <w:tab w:val="left" w:pos="540" w:leader="none"/>
        </w:tabs>
        <w:rPr>
          <w:color w:val="000000"/>
          <w:sz w:val="21"/>
          <w:szCs w:val="21"/>
        </w:rPr>
      </w:pPr>
      <w:r>
        <w:rPr>
          <w:color w:val="000000"/>
          <w:sz w:val="21"/>
          <w:szCs w:val="21"/>
        </w:rPr>
        <w:t xml:space="preserve">12.4.4 事实依据；</w:t>
      </w:r>
      <w:r/>
    </w:p>
    <w:p>
      <w:pPr>
        <w:pStyle w:val="928"/>
        <w:spacing w:line="400" w:lineRule="exact"/>
        <w:tabs>
          <w:tab w:val="left" w:pos="540" w:leader="none"/>
        </w:tabs>
        <w:rPr>
          <w:color w:val="000000"/>
          <w:sz w:val="21"/>
          <w:szCs w:val="21"/>
        </w:rPr>
      </w:pPr>
      <w:r>
        <w:rPr>
          <w:color w:val="000000"/>
          <w:sz w:val="21"/>
          <w:szCs w:val="21"/>
        </w:rPr>
        <w:t xml:space="preserve">12.4.5 必要的法律依据；</w:t>
      </w:r>
      <w:r/>
    </w:p>
    <w:p>
      <w:pPr>
        <w:pStyle w:val="928"/>
        <w:spacing w:line="400" w:lineRule="exact"/>
        <w:tabs>
          <w:tab w:val="left" w:pos="540" w:leader="none"/>
        </w:tabs>
        <w:rPr>
          <w:color w:val="000000"/>
          <w:sz w:val="21"/>
          <w:szCs w:val="21"/>
        </w:rPr>
      </w:pPr>
      <w:r>
        <w:rPr>
          <w:color w:val="000000"/>
          <w:sz w:val="21"/>
          <w:szCs w:val="21"/>
        </w:rPr>
        <w:t xml:space="preserve">12.4.6 提出质疑的日期。</w:t>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质疑函的格式和内容应当符合财政部《政府采购供应商质疑函范本》要求，质疑函范本在财政部官网上提供下载。</w:t>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提交质疑函同时应当附如下证明材料：</w:t>
      </w:r>
      <w:r/>
    </w:p>
    <w:p>
      <w:pPr>
        <w:pStyle w:val="928"/>
        <w:spacing w:line="400" w:lineRule="exact"/>
        <w:tabs>
          <w:tab w:val="left" w:pos="540" w:leader="none"/>
        </w:tabs>
        <w:rPr>
          <w:color w:val="000000"/>
          <w:sz w:val="21"/>
          <w:szCs w:val="21"/>
        </w:rPr>
      </w:pPr>
      <w:r>
        <w:rPr>
          <w:color w:val="000000"/>
          <w:sz w:val="21"/>
          <w:szCs w:val="21"/>
        </w:rPr>
        <w:t xml:space="preserve">12.6.1对采购文件提出质疑的供应商提供参加本项目的“</w:t>
      </w:r>
      <w:r>
        <w:rPr>
          <w:rFonts w:hint="eastAsia" w:cs="宋体"/>
          <w:color w:val="000000"/>
          <w:sz w:val="21"/>
        </w:rPr>
        <w:t xml:space="preserve">投标供应商确认函</w:t>
      </w:r>
      <w:r>
        <w:rPr>
          <w:color w:val="000000"/>
          <w:sz w:val="21"/>
          <w:szCs w:val="21"/>
        </w:rPr>
        <w:t xml:space="preserve">”；</w:t>
      </w:r>
      <w:r/>
    </w:p>
    <w:p>
      <w:pPr>
        <w:pStyle w:val="928"/>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p>
    <w:p>
      <w:pPr>
        <w:pStyle w:val="928"/>
        <w:spacing w:line="400" w:lineRule="exact"/>
        <w:tabs>
          <w:tab w:val="left" w:pos="540" w:leader="none"/>
        </w:tabs>
        <w:rPr>
          <w:color w:val="000000"/>
          <w:sz w:val="21"/>
          <w:szCs w:val="21"/>
        </w:rPr>
      </w:pPr>
      <w:r>
        <w:rPr>
          <w:color w:val="000000"/>
          <w:sz w:val="21"/>
          <w:szCs w:val="21"/>
        </w:rPr>
        <w:t xml:space="preserve">12.6.3质疑供应商法定代表人身份证复印件加盖单位公章；</w:t>
      </w:r>
      <w:r/>
    </w:p>
    <w:p>
      <w:pPr>
        <w:pStyle w:val="928"/>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w:t>
      </w:r>
      <w:r>
        <w:rPr>
          <w:color w:val="000000"/>
          <w:sz w:val="21"/>
          <w:szCs w:val="21"/>
        </w:rPr>
        <w:t xml:space="preserve">者名称、代理事项、具体权限、期限和相关事项；</w:t>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供应商为自然人的，应当由本人签字；供应商为法人或者其他组织的，应当由法定</w:t>
      </w:r>
      <w:r>
        <w:rPr>
          <w:color w:val="000000"/>
          <w:sz w:val="21"/>
          <w:szCs w:val="21"/>
        </w:rPr>
        <w:t xml:space="preserve">代表人、主要负责人，或者其授权代表签字或者盖章，并加盖公章</w:t>
      </w:r>
      <w:r>
        <w:rPr>
          <w:rFonts w:hint="eastAsia"/>
          <w:color w:val="000000"/>
          <w:sz w:val="21"/>
          <w:szCs w:val="21"/>
        </w:rPr>
        <w:t xml:space="preserve">；</w:t>
      </w:r>
      <w:r>
        <w:rPr>
          <w:color w:val="000000"/>
          <w:sz w:val="21"/>
          <w:szCs w:val="21"/>
        </w:rPr>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供应商如对本项目提出质疑须在法定质疑期内一次性提出针对同一采购程序环节的质疑</w:t>
      </w:r>
      <w:r>
        <w:rPr>
          <w:rFonts w:hint="eastAsia"/>
          <w:color w:val="000000"/>
          <w:sz w:val="21"/>
          <w:szCs w:val="21"/>
        </w:rPr>
        <w:t xml:space="preserve">；</w:t>
      </w:r>
      <w:r>
        <w:rPr>
          <w:color w:val="000000"/>
          <w:sz w:val="21"/>
          <w:szCs w:val="21"/>
        </w:rPr>
      </w:r>
      <w:r/>
    </w:p>
    <w:p>
      <w:pPr>
        <w:pStyle w:val="928"/>
        <w:numPr>
          <w:ilvl w:val="1"/>
          <w:numId w:val="7"/>
        </w:numPr>
        <w:ind w:left="6804" w:hanging="6804"/>
        <w:spacing w:line="400" w:lineRule="exact"/>
        <w:tabs>
          <w:tab w:val="left" w:pos="540" w:leader="none"/>
          <w:tab w:val="left" w:pos="851" w:leader="none"/>
        </w:tabs>
        <w:rPr>
          <w:rFonts w:hint="eastAsia"/>
          <w:color w:val="000000"/>
          <w:sz w:val="21"/>
          <w:szCs w:val="21"/>
        </w:rPr>
      </w:pPr>
      <w:r>
        <w:rPr>
          <w:color w:val="000000"/>
          <w:sz w:val="21"/>
          <w:szCs w:val="21"/>
        </w:rPr>
        <w:t xml:space="preserve">接受质疑函联系方式见采购公告联系事项。</w:t>
      </w:r>
      <w:r>
        <w:rPr>
          <w:rFonts w:hint="eastAsia"/>
          <w:color w:val="000000"/>
          <w:sz w:val="21"/>
          <w:szCs w:val="21"/>
        </w:rPr>
      </w:r>
      <w:r/>
    </w:p>
    <w:p>
      <w:pPr>
        <w:pStyle w:val="928"/>
        <w:numPr>
          <w:ilvl w:val="0"/>
          <w:numId w:val="5"/>
        </w:numPr>
        <w:ind w:left="540" w:hanging="540"/>
        <w:spacing w:line="400" w:lineRule="exact"/>
        <w:tabs>
          <w:tab w:val="left" w:pos="420" w:leader="none"/>
          <w:tab w:val="left" w:pos="540" w:leader="none"/>
        </w:tabs>
        <w:rPr>
          <w:rFonts w:cs="宋体"/>
          <w:b/>
          <w:bCs/>
          <w:color w:val="000000"/>
          <w:sz w:val="21"/>
          <w:szCs w:val="21"/>
        </w:rPr>
      </w:pPr>
      <w:r>
        <w:rPr>
          <w:rFonts w:hint="eastAsia" w:cs="宋体"/>
          <w:b/>
          <w:bCs/>
          <w:color w:val="000000"/>
          <w:sz w:val="21"/>
          <w:szCs w:val="21"/>
        </w:rPr>
        <w:t xml:space="preserve">投标文件说明</w:t>
      </w:r>
      <w:r>
        <w:rPr>
          <w:rFonts w:cs="宋体"/>
          <w:b/>
          <w:bCs/>
          <w:color w:val="000000"/>
          <w:sz w:val="21"/>
          <w:szCs w:val="21"/>
        </w:rPr>
      </w:r>
      <w:r/>
    </w:p>
    <w:p>
      <w:pPr>
        <w:pStyle w:val="928"/>
        <w:numPr>
          <w:ilvl w:val="0"/>
          <w:numId w:val="7"/>
        </w:numPr>
        <w:ind w:left="540" w:hanging="540"/>
        <w:spacing w:line="400" w:lineRule="exact"/>
        <w:tabs>
          <w:tab w:val="left" w:pos="540" w:leader="none"/>
          <w:tab w:val="left" w:pos="709" w:leader="none"/>
        </w:tabs>
        <w:rPr>
          <w:rFonts w:cs="宋体"/>
          <w:b/>
          <w:color w:val="000000"/>
          <w:sz w:val="21"/>
          <w:szCs w:val="21"/>
        </w:rPr>
      </w:pPr>
      <w:r>
        <w:rPr>
          <w:rFonts w:cs="宋体"/>
          <w:b/>
          <w:color w:val="000000"/>
          <w:sz w:val="21"/>
          <w:szCs w:val="21"/>
        </w:rPr>
        <w:t xml:space="preserve">提示与要求</w:t>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无论是否递交投标文件，投标人都应将招标文件及以后的所有通知、文件等视为保密文件。</w:t>
      </w:r>
      <w:r/>
    </w:p>
    <w:p>
      <w:pPr>
        <w:pStyle w:val="928"/>
        <w:numPr>
          <w:ilvl w:val="0"/>
          <w:numId w:val="7"/>
        </w:numPr>
        <w:ind w:left="540" w:hanging="540"/>
        <w:spacing w:line="400" w:lineRule="exact"/>
        <w:tabs>
          <w:tab w:val="left" w:pos="540" w:leader="none"/>
          <w:tab w:val="left" w:pos="709" w:leader="none"/>
        </w:tabs>
        <w:rPr>
          <w:rFonts w:cs="宋体"/>
          <w:b/>
          <w:color w:val="000000"/>
          <w:sz w:val="21"/>
          <w:szCs w:val="21"/>
        </w:rPr>
      </w:pPr>
      <w:r>
        <w:rPr>
          <w:rFonts w:cs="宋体"/>
          <w:b/>
          <w:color w:val="000000"/>
          <w:sz w:val="21"/>
          <w:szCs w:val="21"/>
        </w:rPr>
        <w:t xml:space="preserve">投标文件计量单位和使用文字</w:t>
      </w:r>
      <w:r/>
    </w:p>
    <w:p>
      <w:pPr>
        <w:pStyle w:val="928"/>
        <w:numPr>
          <w:ilvl w:val="1"/>
          <w:numId w:val="7"/>
        </w:numPr>
        <w:ind w:left="540" w:hanging="540"/>
        <w:spacing w:line="400" w:lineRule="exact"/>
        <w:tabs>
          <w:tab w:val="left" w:pos="540" w:leader="none"/>
          <w:tab w:val="left" w:pos="851" w:leader="none"/>
        </w:tabs>
        <w:rPr>
          <w:color w:val="000000"/>
          <w:sz w:val="21"/>
          <w:szCs w:val="21"/>
        </w:rPr>
      </w:pPr>
      <w:r>
        <w:rPr>
          <w:color w:val="000000"/>
          <w:sz w:val="21"/>
          <w:szCs w:val="21"/>
        </w:rPr>
        <w:t xml:space="preserve">投标文件中所使用的计量单位，除招标文件中有特殊要求外，均应使用中华人民共和国法定计量单位。</w:t>
      </w:r>
      <w:r/>
    </w:p>
    <w:p>
      <w:pPr>
        <w:pStyle w:val="928"/>
        <w:numPr>
          <w:ilvl w:val="1"/>
          <w:numId w:val="7"/>
        </w:numPr>
        <w:ind w:left="540" w:hanging="540"/>
        <w:spacing w:line="400" w:lineRule="exact"/>
        <w:tabs>
          <w:tab w:val="left" w:pos="540" w:leader="none"/>
          <w:tab w:val="left" w:pos="851" w:leader="none"/>
        </w:tabs>
        <w:rPr>
          <w:rFonts w:hint="eastAsia"/>
          <w:color w:val="000000"/>
          <w:sz w:val="21"/>
          <w:szCs w:val="21"/>
        </w:rPr>
      </w:pPr>
      <w:r>
        <w:rPr>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color w:val="000000"/>
          <w:sz w:val="21"/>
          <w:szCs w:val="21"/>
        </w:rPr>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bookmarkStart w:id="5" w:name="_Toc217446047"/>
      <w:r>
        <w:rPr>
          <w:rFonts w:hint="eastAsia" w:cs="宋体"/>
          <w:b/>
          <w:color w:val="000000"/>
          <w:sz w:val="21"/>
          <w:szCs w:val="21"/>
        </w:rPr>
        <w:t xml:space="preserve">知识产权</w:t>
      </w:r>
      <w:bookmarkEnd w:id="5"/>
      <w:r>
        <w:rPr>
          <w:rFonts w:hint="eastAsia" w:cs="宋体"/>
          <w:b/>
          <w:color w:val="000000"/>
          <w:sz w:val="21"/>
          <w:szCs w:val="21"/>
        </w:rPr>
      </w:r>
      <w:r/>
    </w:p>
    <w:p>
      <w:pPr>
        <w:pStyle w:val="928"/>
        <w:numPr>
          <w:ilvl w:val="1"/>
          <w:numId w:val="7"/>
        </w:numPr>
        <w:ind w:left="540" w:hanging="540"/>
        <w:spacing w:line="400" w:lineRule="exact"/>
        <w:tabs>
          <w:tab w:val="left" w:pos="540" w:leader="none"/>
          <w:tab w:val="left" w:pos="851" w:leader="none"/>
        </w:tabs>
        <w:rPr>
          <w:rFonts w:hint="eastAsia"/>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w:t>
      </w:r>
      <w:r>
        <w:rPr>
          <w:rFonts w:hint="eastAsia"/>
          <w:color w:val="000000"/>
          <w:sz w:val="21"/>
          <w:szCs w:val="21"/>
        </w:rPr>
        <w:t xml:space="preserve">它知识产权而引起的法律和经济纠纷，如因专利权、商标权或其它知识产权而引起法律和经济纠纷，由投标人承担所有相关责任。</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投标文件的组成和顺序</w:t>
      </w:r>
      <w:r/>
    </w:p>
    <w:p>
      <w:pPr>
        <w:pStyle w:val="928"/>
        <w:ind w:firstLine="523"/>
        <w:spacing w:line="400" w:lineRule="exact"/>
        <w:tabs>
          <w:tab w:val="left" w:pos="0" w:leader="none"/>
        </w:tabs>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1</w:t>
      </w:r>
      <w:r>
        <w:rPr>
          <w:rFonts w:hint="eastAsia" w:cs="宋体"/>
          <w:color w:val="000000"/>
          <w:sz w:val="21"/>
          <w:szCs w:val="21"/>
        </w:rPr>
        <w:t xml:space="preserve">《开标一览表》(统一格式，用于唱标)；</w:t>
      </w:r>
      <w:r/>
    </w:p>
    <w:p>
      <w:pPr>
        <w:pStyle w:val="928"/>
        <w:ind w:firstLine="523"/>
        <w:spacing w:line="400" w:lineRule="exact"/>
        <w:tabs>
          <w:tab w:val="left" w:pos="0" w:leader="none"/>
        </w:tabs>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2</w:t>
      </w:r>
      <w:r>
        <w:rPr>
          <w:rFonts w:hint="eastAsia" w:cs="宋体"/>
          <w:color w:val="000000"/>
          <w:sz w:val="21"/>
          <w:szCs w:val="21"/>
        </w:rPr>
        <w:t xml:space="preserve">《投标报价分析表》（详见投标文件格式）。</w:t>
      </w:r>
      <w:r/>
    </w:p>
    <w:p>
      <w:pPr>
        <w:pStyle w:val="928"/>
        <w:ind w:left="540"/>
        <w:spacing w:line="400" w:lineRule="exact"/>
        <w:tabs>
          <w:tab w:val="left" w:pos="540" w:leader="none"/>
        </w:tabs>
        <w:rPr>
          <w:rFonts w:hint="eastAsia" w:cs="宋体"/>
          <w:b/>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3投标函（详见投标文件格式）；</w:t>
      </w:r>
      <w:r>
        <w:rPr>
          <w:rFonts w:hint="eastAsia" w:cs="宋体"/>
          <w:b/>
          <w:color w:val="000000"/>
          <w:sz w:val="21"/>
          <w:szCs w:val="21"/>
        </w:rPr>
      </w:r>
      <w:r/>
    </w:p>
    <w:p>
      <w:pPr>
        <w:pStyle w:val="928"/>
        <w:ind w:firstLine="523"/>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4</w:t>
      </w:r>
      <w:r>
        <w:rPr>
          <w:rFonts w:hint="eastAsia" w:cs="宋体"/>
          <w:color w:val="000000"/>
          <w:sz w:val="21"/>
          <w:szCs w:val="21"/>
        </w:rPr>
        <w:t xml:space="preserve">投标人《营业执照》副本复印件；</w:t>
      </w:r>
      <w:r/>
    </w:p>
    <w:p>
      <w:pPr>
        <w:pStyle w:val="928"/>
        <w:ind w:firstLine="523"/>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5</w:t>
      </w:r>
      <w:r>
        <w:rPr>
          <w:rFonts w:hint="eastAsia" w:cs="宋体"/>
          <w:color w:val="000000"/>
          <w:sz w:val="21"/>
          <w:szCs w:val="21"/>
        </w:rPr>
        <w:t xml:space="preserve">投标人法定代表人</w:t>
      </w:r>
      <w:r>
        <w:rPr>
          <w:rFonts w:hint="eastAsia" w:cs="宋体"/>
          <w:color w:val="000000"/>
          <w:sz w:val="21"/>
          <w:szCs w:val="21"/>
        </w:rPr>
        <w:t xml:space="preserve">授权委托书原件（如有授权）（详见投标文件格式）；</w:t>
      </w:r>
      <w:r/>
    </w:p>
    <w:p>
      <w:pPr>
        <w:pStyle w:val="928"/>
        <w:ind w:firstLine="523"/>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6</w:t>
      </w:r>
      <w:r>
        <w:rPr>
          <w:rFonts w:hint="eastAsia" w:cs="宋体"/>
          <w:color w:val="000000"/>
          <w:sz w:val="21"/>
          <w:szCs w:val="21"/>
        </w:rPr>
        <w:t xml:space="preserve">投标人法定代表人身份证复印件；</w:t>
      </w:r>
      <w:r/>
    </w:p>
    <w:p>
      <w:pPr>
        <w:pStyle w:val="928"/>
        <w:ind w:firstLine="523"/>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7</w:t>
      </w:r>
      <w:r>
        <w:rPr>
          <w:rFonts w:hint="eastAsia" w:cs="宋体"/>
          <w:color w:val="000000"/>
          <w:sz w:val="21"/>
          <w:szCs w:val="21"/>
        </w:rPr>
        <w:t xml:space="preserve">投标人代理人身份证复印件（如有授权）；</w:t>
      </w:r>
      <w:r/>
    </w:p>
    <w:p>
      <w:pPr>
        <w:pStyle w:val="928"/>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8</w:t>
      </w:r>
      <w:r>
        <w:rPr>
          <w:rFonts w:hint="eastAsia" w:cs="宋体"/>
          <w:color w:val="000000"/>
          <w:sz w:val="21"/>
          <w:szCs w:val="21"/>
        </w:rPr>
        <w:t xml:space="preserve">投标人资格证明文件（详见投标文件格式，并按要求提供资格证明材料，未提供或提供不全的为无效标）；</w:t>
      </w:r>
      <w:r/>
    </w:p>
    <w:p>
      <w:pPr>
        <w:pStyle w:val="928"/>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9</w:t>
      </w:r>
      <w:r>
        <w:rPr>
          <w:rFonts w:hint="eastAsia" w:cs="宋体"/>
          <w:color w:val="000000"/>
          <w:sz w:val="21"/>
          <w:szCs w:val="21"/>
        </w:rPr>
        <w:t xml:space="preserve">偏离</w:t>
      </w:r>
      <w:r>
        <w:rPr>
          <w:rFonts w:hint="eastAsia" w:cs="宋体"/>
          <w:color w:val="000000"/>
          <w:sz w:val="21"/>
          <w:szCs w:val="21"/>
        </w:rPr>
        <w:t xml:space="preserve">表（详见投标文件格式）</w:t>
      </w:r>
      <w:r>
        <w:rPr>
          <w:rFonts w:hint="eastAsia" w:cs="宋体"/>
          <w:color w:val="000000"/>
          <w:sz w:val="21"/>
          <w:szCs w:val="21"/>
        </w:rPr>
        <w:t xml:space="preserve">；</w:t>
      </w:r>
      <w:r/>
    </w:p>
    <w:p>
      <w:pPr>
        <w:pStyle w:val="928"/>
        <w:ind w:firstLine="525"/>
        <w:spacing w:line="400" w:lineRule="exact"/>
        <w:rPr>
          <w:rFonts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10</w:t>
      </w:r>
      <w:r>
        <w:rPr>
          <w:rFonts w:hint="eastAsia" w:cs="宋体"/>
          <w:color w:val="000000"/>
          <w:sz w:val="21"/>
          <w:szCs w:val="21"/>
        </w:rPr>
        <w:t xml:space="preserve">拟投入人员情况表</w:t>
      </w:r>
      <w:r>
        <w:rPr>
          <w:rFonts w:hint="eastAsia" w:cs="宋体"/>
          <w:color w:val="000000"/>
          <w:sz w:val="21"/>
          <w:szCs w:val="21"/>
        </w:rPr>
        <w:t xml:space="preserve">（详见投标文件格式</w:t>
      </w:r>
      <w:r>
        <w:rPr>
          <w:rFonts w:hint="eastAsia" w:cs="宋体"/>
          <w:color w:val="000000"/>
          <w:sz w:val="21"/>
          <w:szCs w:val="21"/>
        </w:rPr>
        <w:t xml:space="preserve"> </w:t>
      </w:r>
      <w:r>
        <w:rPr>
          <w:rFonts w:hint="eastAsia" w:cs="宋体"/>
          <w:color w:val="000000"/>
          <w:sz w:val="21"/>
          <w:szCs w:val="21"/>
        </w:rPr>
        <w:t xml:space="preserve">）；</w:t>
      </w:r>
      <w:r>
        <w:rPr>
          <w:rFonts w:cs="宋体"/>
          <w:color w:val="000000"/>
          <w:sz w:val="21"/>
          <w:szCs w:val="21"/>
        </w:rPr>
      </w:r>
      <w:r/>
    </w:p>
    <w:p>
      <w:pPr>
        <w:pStyle w:val="928"/>
        <w:ind w:firstLine="525"/>
        <w:spacing w:line="400" w:lineRule="exact"/>
        <w:rPr>
          <w:rFonts w:hint="eastAsia" w:cs="宋体"/>
          <w:color w:val="000000"/>
          <w:sz w:val="21"/>
          <w:szCs w:val="21"/>
        </w:rPr>
      </w:pPr>
      <w:r>
        <w:rPr>
          <w:rFonts w:hint="eastAsia" w:cs="宋体"/>
          <w:color w:val="000000"/>
          <w:sz w:val="21"/>
          <w:szCs w:val="21"/>
        </w:rPr>
        <w:t xml:space="preserve">16.11技术参数响应表</w:t>
      </w:r>
      <w:r>
        <w:rPr>
          <w:rFonts w:cs="宋体"/>
          <w:color w:val="000000"/>
          <w:sz w:val="21"/>
          <w:szCs w:val="21"/>
          <w:lang w:eastAsia="en-US"/>
        </w:rPr>
        <w:t xml:space="preserve">（</w:t>
      </w:r>
      <w:r>
        <w:rPr>
          <w:rFonts w:hint="eastAsia" w:cs="宋体"/>
          <w:color w:val="000000"/>
          <w:sz w:val="21"/>
          <w:szCs w:val="21"/>
        </w:rPr>
        <w:t xml:space="preserve">详见投标文件格式）</w:t>
      </w:r>
      <w:r>
        <w:rPr>
          <w:rFonts w:cs="宋体"/>
          <w:color w:val="000000"/>
          <w:sz w:val="21"/>
          <w:szCs w:val="21"/>
        </w:rPr>
        <w:t xml:space="preserve">；</w:t>
      </w:r>
      <w:r>
        <w:rPr>
          <w:rFonts w:hint="eastAsia" w:cs="宋体"/>
          <w:color w:val="000000"/>
          <w:sz w:val="21"/>
          <w:szCs w:val="21"/>
        </w:rPr>
      </w:r>
      <w:r/>
    </w:p>
    <w:p>
      <w:pPr>
        <w:pStyle w:val="928"/>
        <w:ind w:firstLine="525"/>
        <w:spacing w:line="400" w:lineRule="exact"/>
        <w:rPr>
          <w:rFonts w:hint="eastAsia" w:cs="宋体"/>
          <w:color w:val="000000"/>
          <w:sz w:val="21"/>
          <w:szCs w:val="21"/>
        </w:rPr>
      </w:pPr>
      <w:r>
        <w:rPr>
          <w:rFonts w:cs="仿宋"/>
          <w:color w:val="000000"/>
          <w:sz w:val="21"/>
          <w:szCs w:val="21"/>
        </w:rPr>
        <w:t xml:space="preserve">1</w:t>
      </w:r>
      <w:r>
        <w:rPr>
          <w:rFonts w:hint="eastAsia" w:cs="仿宋"/>
          <w:color w:val="000000"/>
          <w:sz w:val="21"/>
          <w:szCs w:val="21"/>
        </w:rPr>
        <w:t xml:space="preserve">6</w:t>
      </w:r>
      <w:r>
        <w:rPr>
          <w:rFonts w:cs="仿宋"/>
          <w:color w:val="000000"/>
          <w:sz w:val="21"/>
          <w:szCs w:val="21"/>
        </w:rPr>
        <w:t xml:space="preserve">.1</w:t>
      </w:r>
      <w:r>
        <w:rPr>
          <w:rFonts w:hint="eastAsia" w:cs="仿宋"/>
          <w:color w:val="000000"/>
          <w:sz w:val="21"/>
          <w:szCs w:val="21"/>
        </w:rPr>
        <w:t xml:space="preserve">2</w:t>
      </w:r>
      <w:r>
        <w:rPr>
          <w:rFonts w:cs="宋体"/>
          <w:color w:val="000000"/>
          <w:sz w:val="21"/>
          <w:szCs w:val="21"/>
          <w:lang w:eastAsia="en-US"/>
        </w:rPr>
        <w:t xml:space="preserve">类似业绩一览表（</w:t>
      </w:r>
      <w:r>
        <w:rPr>
          <w:rFonts w:hint="eastAsia" w:cs="宋体"/>
          <w:color w:val="000000"/>
          <w:sz w:val="21"/>
          <w:szCs w:val="21"/>
        </w:rPr>
        <w:t xml:space="preserve">详见投标文件格式）</w:t>
      </w:r>
      <w:r>
        <w:rPr>
          <w:rFonts w:cs="宋体"/>
          <w:color w:val="000000"/>
          <w:sz w:val="21"/>
          <w:szCs w:val="21"/>
        </w:rPr>
        <w:t xml:space="preserve">；</w:t>
      </w:r>
      <w:r>
        <w:rPr>
          <w:rFonts w:hint="eastAsia" w:cs="宋体"/>
          <w:color w:val="000000"/>
          <w:sz w:val="21"/>
          <w:szCs w:val="21"/>
        </w:rPr>
      </w:r>
      <w:r/>
    </w:p>
    <w:p>
      <w:pPr>
        <w:pStyle w:val="928"/>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1</w:t>
      </w:r>
      <w:r>
        <w:rPr>
          <w:rFonts w:hint="eastAsia" w:cs="宋体"/>
          <w:color w:val="000000"/>
          <w:sz w:val="21"/>
          <w:szCs w:val="21"/>
        </w:rPr>
        <w:t xml:space="preserve">3服务方案等（格式自拟）</w:t>
      </w:r>
      <w:r>
        <w:rPr>
          <w:rFonts w:hint="eastAsia" w:cs="宋体"/>
          <w:color w:val="000000"/>
          <w:sz w:val="21"/>
          <w:szCs w:val="21"/>
        </w:rPr>
        <w:t xml:space="preserve">；</w:t>
      </w:r>
      <w:r>
        <w:rPr>
          <w:rFonts w:hint="eastAsia" w:cs="宋体"/>
          <w:color w:val="000000"/>
          <w:sz w:val="21"/>
          <w:szCs w:val="21"/>
        </w:rPr>
      </w:r>
      <w:r/>
    </w:p>
    <w:p>
      <w:pPr>
        <w:pStyle w:val="928"/>
        <w:ind w:firstLine="525"/>
        <w:spacing w:line="400" w:lineRule="exact"/>
        <w:rPr>
          <w:rFonts w:hint="eastAsia" w:cs="宋体"/>
          <w:color w:val="000000"/>
          <w:sz w:val="21"/>
          <w:szCs w:val="21"/>
        </w:rPr>
      </w:pPr>
      <w:r>
        <w:rPr>
          <w:rFonts w:hint="eastAsia" w:cs="宋体"/>
          <w:color w:val="000000"/>
          <w:sz w:val="21"/>
          <w:szCs w:val="21"/>
        </w:rPr>
        <w:t xml:space="preserve">1</w:t>
      </w:r>
      <w:r>
        <w:rPr>
          <w:rFonts w:cs="宋体"/>
          <w:color w:val="000000"/>
          <w:sz w:val="21"/>
          <w:szCs w:val="21"/>
        </w:rPr>
        <w:t xml:space="preserve">6</w:t>
      </w:r>
      <w:r>
        <w:rPr>
          <w:rFonts w:hint="eastAsia" w:cs="宋体"/>
          <w:color w:val="000000"/>
          <w:sz w:val="21"/>
          <w:szCs w:val="21"/>
        </w:rPr>
        <w:t xml:space="preserve">.</w:t>
      </w:r>
      <w:r>
        <w:rPr>
          <w:rFonts w:cs="宋体"/>
          <w:color w:val="000000"/>
          <w:sz w:val="21"/>
          <w:szCs w:val="21"/>
        </w:rPr>
        <w:t xml:space="preserve">1</w:t>
      </w:r>
      <w:r>
        <w:rPr>
          <w:rFonts w:hint="eastAsia" w:cs="宋体"/>
          <w:color w:val="000000"/>
          <w:sz w:val="21"/>
          <w:szCs w:val="21"/>
        </w:rPr>
        <w:t xml:space="preserve">4其他参与评审的资料等（格式自拟）；</w:t>
      </w:r>
      <w:r/>
    </w:p>
    <w:p>
      <w:pPr>
        <w:pStyle w:val="943"/>
        <w:ind w:firstLine="0"/>
        <w:jc w:val="both"/>
        <w:spacing w:line="400" w:lineRule="exact"/>
        <w:tabs>
          <w:tab w:val="left" w:pos="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注：投标人必须提交上述1</w:t>
      </w:r>
      <w:r>
        <w:rPr>
          <w:rFonts w:ascii="宋体" w:hAnsi="宋体" w:eastAsia="宋体" w:cs="宋体"/>
          <w:bCs/>
          <w:color w:val="000000"/>
          <w:sz w:val="21"/>
          <w:szCs w:val="21"/>
        </w:rPr>
        <w:t xml:space="preserve">6</w:t>
      </w:r>
      <w:r>
        <w:rPr>
          <w:rFonts w:hint="eastAsia" w:ascii="宋体" w:hAnsi="宋体" w:eastAsia="宋体" w:cs="宋体"/>
          <w:bCs/>
          <w:color w:val="000000"/>
          <w:sz w:val="21"/>
          <w:szCs w:val="21"/>
        </w:rPr>
        <w:t xml:space="preserve">.1—1</w:t>
      </w:r>
      <w:r>
        <w:rPr>
          <w:rFonts w:ascii="宋体" w:hAnsi="宋体" w:eastAsia="宋体" w:cs="宋体"/>
          <w:bCs/>
          <w:color w:val="000000"/>
          <w:sz w:val="21"/>
          <w:szCs w:val="21"/>
        </w:rPr>
        <w:t xml:space="preserve">6</w:t>
      </w:r>
      <w:r>
        <w:rPr>
          <w:rFonts w:hint="eastAsia" w:ascii="宋体" w:hAnsi="宋体" w:eastAsia="宋体" w:cs="宋体"/>
          <w:bCs/>
          <w:color w:val="000000"/>
          <w:sz w:val="21"/>
          <w:szCs w:val="21"/>
        </w:rPr>
        <w:t xml:space="preserve">.10款规定的资料。否则，投标文件将因资格性条件不符或未实质性响应招标文件而被拒绝；</w:t>
      </w:r>
      <w:r/>
    </w:p>
    <w:p>
      <w:pPr>
        <w:pStyle w:val="928"/>
        <w:numPr>
          <w:ilvl w:val="0"/>
          <w:numId w:val="7"/>
        </w:numPr>
        <w:ind w:left="540" w:hanging="540"/>
        <w:spacing w:line="400" w:lineRule="exact"/>
        <w:tabs>
          <w:tab w:val="left" w:pos="540" w:leader="none"/>
          <w:tab w:val="left" w:pos="709" w:leader="none"/>
        </w:tabs>
        <w:rPr>
          <w:rFonts w:cs="宋体"/>
          <w:b/>
          <w:color w:val="000000"/>
          <w:sz w:val="21"/>
          <w:szCs w:val="21"/>
        </w:rPr>
      </w:pPr>
      <w:r>
        <w:rPr>
          <w:rFonts w:hint="eastAsia" w:cs="宋体"/>
          <w:b/>
          <w:color w:val="000000"/>
          <w:sz w:val="21"/>
          <w:szCs w:val="21"/>
        </w:rPr>
        <w:t xml:space="preserve">对本次投标的详细说明的编制</w:t>
      </w:r>
      <w:r>
        <w:rPr>
          <w:rFonts w:cs="宋体"/>
          <w:b/>
          <w:color w:val="000000"/>
          <w:sz w:val="21"/>
          <w:szCs w:val="21"/>
        </w:rPr>
      </w:r>
      <w:r/>
    </w:p>
    <w:p>
      <w:pPr>
        <w:pStyle w:val="928"/>
        <w:numPr>
          <w:ilvl w:val="0"/>
          <w:numId w:val="22"/>
        </w:numPr>
        <w:spacing w:line="400" w:lineRule="exact"/>
        <w:tabs>
          <w:tab w:val="left" w:pos="540" w:leader="none"/>
        </w:tabs>
        <w:rPr>
          <w:rFonts w:hint="eastAsia"/>
          <w:color w:val="000000"/>
          <w:sz w:val="21"/>
          <w:szCs w:val="21"/>
        </w:rPr>
      </w:pPr>
      <w:r>
        <w:rPr>
          <w:rFonts w:hint="eastAsia"/>
          <w:color w:val="000000"/>
          <w:sz w:val="21"/>
          <w:szCs w:val="21"/>
        </w:rPr>
        <w:t xml:space="preserve">电子投标文件编制要求：投标</w:t>
      </w:r>
      <w:r>
        <w:rPr>
          <w:rFonts w:hint="eastAsia"/>
          <w:color w:val="000000"/>
          <w:sz w:val="21"/>
          <w:szCs w:val="21"/>
        </w:rPr>
        <w:t xml:space="preserve">人应使用招标文件要求的投标文件制作软件制作电子投标文件，电子投标文件按招标文件规定的格式制作，如果未按要求制作上传，可能导致投标无效。</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投标报价（编制）要求的说明</w:t>
      </w:r>
      <w:r/>
    </w:p>
    <w:p>
      <w:pPr>
        <w:pStyle w:val="928"/>
        <w:numPr>
          <w:ilvl w:val="0"/>
          <w:numId w:val="23"/>
        </w:numPr>
        <w:spacing w:line="400" w:lineRule="exact"/>
        <w:tabs>
          <w:tab w:val="left" w:pos="540" w:leader="none"/>
        </w:tabs>
        <w:rPr>
          <w:rFonts w:hint="eastAsia"/>
          <w:color w:val="000000"/>
          <w:sz w:val="21"/>
          <w:szCs w:val="21"/>
        </w:rPr>
      </w:pPr>
      <w:r>
        <w:rPr>
          <w:rFonts w:hint="eastAsia"/>
          <w:color w:val="000000"/>
          <w:sz w:val="21"/>
          <w:szCs w:val="21"/>
        </w:rPr>
        <w:t xml:space="preserve">除非合同中另有规定，投标人对《开标一览表》中的全部货物和服务的报价应包括完成本项工作所需的</w:t>
      </w:r>
      <w:r>
        <w:rPr>
          <w:rFonts w:hint="eastAsia" w:cs="宋体"/>
          <w:color w:val="000000"/>
          <w:sz w:val="21"/>
          <w:szCs w:val="21"/>
        </w:rPr>
        <w:t xml:space="preserve">一切费用，包括但不限于</w:t>
      </w:r>
      <w:bookmarkStart w:id="6" w:name="OLE_LINK13"/>
      <w:r>
        <w:rPr>
          <w:rFonts w:hint="eastAsia" w:cs="宋体"/>
          <w:color w:val="000000"/>
          <w:sz w:val="21"/>
          <w:szCs w:val="21"/>
        </w:rPr>
        <w:t xml:space="preserve">系统维护维修、设备维护维修、检测、调试、应急支撑、验收、售后、保险、人员、交通、食宿、加班等工作所发生的全部费用以及投标人企业利润</w:t>
      </w:r>
      <w:r>
        <w:rPr>
          <w:rFonts w:hint="eastAsia" w:cs="宋体"/>
          <w:color w:val="000000"/>
          <w:sz w:val="21"/>
          <w:szCs w:val="21"/>
        </w:rPr>
        <w:t xml:space="preserve">、税金和政策性文件规定及合同包含的所有风险、责任等各项应有费用</w:t>
      </w:r>
      <w:bookmarkEnd w:id="6"/>
      <w:r>
        <w:rPr>
          <w:rFonts w:hint="eastAsia"/>
          <w:color w:val="000000"/>
          <w:sz w:val="21"/>
          <w:szCs w:val="21"/>
        </w:rPr>
        <w:t xml:space="preserve">。</w:t>
      </w:r>
      <w:r/>
    </w:p>
    <w:p>
      <w:pPr>
        <w:pStyle w:val="928"/>
        <w:numPr>
          <w:ilvl w:val="0"/>
          <w:numId w:val="23"/>
        </w:numPr>
        <w:spacing w:line="400" w:lineRule="exact"/>
        <w:tabs>
          <w:tab w:val="left" w:pos="540" w:leader="none"/>
        </w:tabs>
        <w:rPr>
          <w:color w:val="000000"/>
          <w:sz w:val="21"/>
          <w:szCs w:val="21"/>
        </w:rPr>
      </w:pPr>
      <w:r>
        <w:rPr>
          <w:rFonts w:hint="eastAsia"/>
          <w:color w:val="000000"/>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rPr>
          <w:color w:val="000000"/>
          <w:sz w:val="21"/>
          <w:szCs w:val="21"/>
        </w:rPr>
      </w:r>
      <w:r/>
    </w:p>
    <w:p>
      <w:pPr>
        <w:pStyle w:val="928"/>
        <w:numPr>
          <w:ilvl w:val="0"/>
          <w:numId w:val="23"/>
        </w:numPr>
        <w:spacing w:line="400" w:lineRule="exact"/>
        <w:tabs>
          <w:tab w:val="left" w:pos="540" w:leader="none"/>
        </w:tabs>
        <w:rPr>
          <w:rFonts w:hint="eastAsia"/>
          <w:color w:val="000000"/>
          <w:sz w:val="21"/>
          <w:szCs w:val="21"/>
        </w:rPr>
      </w:pPr>
      <w:r>
        <w:rPr>
          <w:rFonts w:hint="eastAsia"/>
          <w:color w:val="000000"/>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928"/>
        <w:numPr>
          <w:ilvl w:val="0"/>
          <w:numId w:val="23"/>
        </w:numPr>
        <w:spacing w:line="400" w:lineRule="exact"/>
        <w:tabs>
          <w:tab w:val="left" w:pos="540" w:leader="none"/>
        </w:tabs>
        <w:rPr>
          <w:rFonts w:hint="eastAsia"/>
          <w:color w:val="000000"/>
          <w:sz w:val="21"/>
          <w:szCs w:val="21"/>
        </w:rPr>
      </w:pPr>
      <w:r>
        <w:rPr>
          <w:rFonts w:hint="eastAsia"/>
          <w:color w:val="000000"/>
          <w:sz w:val="21"/>
          <w:szCs w:val="21"/>
        </w:rPr>
        <w:t xml:space="preserve">一项投标内容只允许一个报价，招标采购单位不接受任何有选择性的投标报价。</w:t>
      </w:r>
      <w:r/>
    </w:p>
    <w:p>
      <w:pPr>
        <w:pStyle w:val="928"/>
        <w:numPr>
          <w:ilvl w:val="0"/>
          <w:numId w:val="23"/>
        </w:numPr>
        <w:spacing w:line="400" w:lineRule="exact"/>
        <w:tabs>
          <w:tab w:val="left" w:pos="540" w:leader="none"/>
        </w:tabs>
        <w:rPr>
          <w:rFonts w:hint="eastAsia"/>
          <w:color w:val="000000"/>
          <w:sz w:val="21"/>
          <w:szCs w:val="21"/>
        </w:rPr>
      </w:pPr>
      <w:r>
        <w:rPr>
          <w:rFonts w:hint="eastAsia"/>
          <w:color w:val="000000"/>
          <w:sz w:val="21"/>
          <w:szCs w:val="21"/>
        </w:rPr>
        <w:t xml:space="preserve">投标文件</w:t>
      </w:r>
      <w:r>
        <w:rPr>
          <w:rFonts w:hint="eastAsia"/>
          <w:color w:val="000000"/>
          <w:sz w:val="21"/>
          <w:szCs w:val="21"/>
        </w:rPr>
        <w:t xml:space="preserve">报价中的单价和总价全部采用人民币表示，除非合同的特殊条款另有规定。</w:t>
      </w:r>
      <w:r/>
    </w:p>
    <w:p>
      <w:pPr>
        <w:pStyle w:val="928"/>
        <w:numPr>
          <w:ilvl w:val="0"/>
          <w:numId w:val="23"/>
        </w:numPr>
        <w:spacing w:line="400" w:lineRule="exact"/>
        <w:tabs>
          <w:tab w:val="left" w:pos="540" w:leader="none"/>
        </w:tabs>
        <w:rPr>
          <w:rFonts w:hint="eastAsia"/>
          <w:color w:val="000000"/>
          <w:sz w:val="21"/>
          <w:szCs w:val="21"/>
        </w:rPr>
      </w:pPr>
      <w:r>
        <w:rPr>
          <w:rFonts w:hint="eastAsia"/>
          <w:color w:val="000000"/>
          <w:sz w:val="21"/>
          <w:szCs w:val="21"/>
        </w:rPr>
        <w:t xml:space="preserve">最低的投标报价或最高的折扣比例是中标的重要条件，但不是中标的唯一条件。</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投标保证金</w:t>
      </w:r>
      <w:r/>
    </w:p>
    <w:p>
      <w:pPr>
        <w:pStyle w:val="928"/>
        <w:numPr>
          <w:ilvl w:val="0"/>
          <w:numId w:val="24"/>
        </w:numPr>
        <w:spacing w:line="400" w:lineRule="exact"/>
        <w:tabs>
          <w:tab w:val="left" w:pos="540" w:leader="none"/>
        </w:tabs>
        <w:rPr>
          <w:rFonts w:hint="eastAsia" w:cs="宋体"/>
          <w:color w:val="000000"/>
          <w:sz w:val="21"/>
          <w:szCs w:val="21"/>
        </w:rPr>
      </w:pPr>
      <w:r>
        <w:rPr>
          <w:rFonts w:hint="eastAsia"/>
          <w:color w:val="000000"/>
          <w:sz w:val="21"/>
          <w:szCs w:val="21"/>
        </w:rPr>
        <w:t xml:space="preserve">根据《关于做好政府采购支持企业发展有关事项的通知（苏财购〔2020〕52号）》文件规定取消政府采购投标保证金。</w:t>
      </w:r>
      <w:r>
        <w:rPr>
          <w:rFonts w:hint="eastAsia" w:cs="宋体"/>
          <w:color w:val="000000"/>
          <w:sz w:val="21"/>
          <w:szCs w:val="21"/>
        </w:rPr>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投标文件的有效期</w:t>
      </w:r>
      <w:r/>
    </w:p>
    <w:p>
      <w:pPr>
        <w:pStyle w:val="928"/>
        <w:numPr>
          <w:ilvl w:val="0"/>
          <w:numId w:val="25"/>
        </w:numPr>
        <w:spacing w:line="400" w:lineRule="exact"/>
        <w:tabs>
          <w:tab w:val="left" w:pos="540" w:leader="none"/>
        </w:tabs>
        <w:rPr>
          <w:rFonts w:hint="eastAsia"/>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w:t>
      </w:r>
      <w:r>
        <w:rPr>
          <w:rFonts w:hint="eastAsia"/>
          <w:color w:val="000000"/>
          <w:sz w:val="21"/>
          <w:szCs w:val="21"/>
        </w:rPr>
        <w:t xml:space="preserve">限的投标文件，将被认定为未实质性响应招标文件要求。</w:t>
      </w:r>
      <w:r/>
    </w:p>
    <w:p>
      <w:pPr>
        <w:pStyle w:val="928"/>
        <w:numPr>
          <w:ilvl w:val="0"/>
          <w:numId w:val="25"/>
        </w:numPr>
        <w:spacing w:line="400" w:lineRule="exact"/>
        <w:tabs>
          <w:tab w:val="left" w:pos="540" w:leader="none"/>
        </w:tabs>
        <w:rPr>
          <w:rFonts w:hint="eastAsia"/>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投标文件的份数和签署</w:t>
      </w:r>
      <w:r/>
    </w:p>
    <w:p>
      <w:pPr>
        <w:pStyle w:val="928"/>
        <w:spacing w:line="400" w:lineRule="exact"/>
        <w:tabs>
          <w:tab w:val="left" w:pos="540" w:leader="none"/>
        </w:tabs>
        <w:rPr>
          <w:rFonts w:hint="eastAsia" w:cs="宋体"/>
          <w:color w:val="000000"/>
          <w:sz w:val="21"/>
          <w:szCs w:val="21"/>
        </w:rPr>
      </w:pPr>
      <w:r>
        <w:rPr>
          <w:rFonts w:hint="eastAsia"/>
          <w:color w:val="000000"/>
          <w:sz w:val="21"/>
          <w:szCs w:val="21"/>
        </w:rPr>
        <w:t xml:space="preserve">21.1投标单位应按照招标文件要求加盖电子章（公章、法人章等），否则视为无效标</w:t>
      </w:r>
      <w:r>
        <w:rPr>
          <w:rFonts w:hint="eastAsia" w:cs="宋体"/>
          <w:color w:val="000000"/>
          <w:sz w:val="21"/>
          <w:szCs w:val="21"/>
        </w:rPr>
        <w:t xml:space="preserve">。</w:t>
      </w:r>
      <w:r/>
    </w:p>
    <w:p>
      <w:pPr>
        <w:pStyle w:val="928"/>
        <w:numPr>
          <w:ilvl w:val="0"/>
          <w:numId w:val="5"/>
        </w:numPr>
        <w:ind w:left="540" w:hanging="540"/>
        <w:spacing w:line="400" w:lineRule="exact"/>
        <w:tabs>
          <w:tab w:val="left" w:pos="420" w:leader="none"/>
          <w:tab w:val="left" w:pos="540" w:leader="none"/>
        </w:tabs>
        <w:rPr>
          <w:rFonts w:hint="eastAsia" w:cs="宋体"/>
          <w:b/>
          <w:bCs/>
          <w:color w:val="000000"/>
          <w:sz w:val="21"/>
          <w:szCs w:val="21"/>
        </w:rPr>
      </w:pPr>
      <w:r>
        <w:rPr>
          <w:rFonts w:hint="eastAsia" w:cs="宋体"/>
          <w:b/>
          <w:bCs/>
          <w:color w:val="000000"/>
          <w:sz w:val="21"/>
          <w:szCs w:val="21"/>
        </w:rPr>
        <w:t xml:space="preserve">投标文件的提交、修改和撤回</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投标文件的上传、提交</w:t>
      </w:r>
      <w:r/>
    </w:p>
    <w:p>
      <w:pPr>
        <w:pStyle w:val="928"/>
        <w:numPr>
          <w:ilvl w:val="1"/>
          <w:numId w:val="26"/>
        </w:numPr>
        <w:spacing w:line="400" w:lineRule="exact"/>
        <w:tabs>
          <w:tab w:val="left" w:pos="540" w:leader="none"/>
        </w:tabs>
        <w:rPr>
          <w:rFonts w:hint="eastAsia" w:cs="宋体"/>
          <w:color w:val="000000"/>
          <w:sz w:val="21"/>
          <w:szCs w:val="21"/>
        </w:rPr>
      </w:pPr>
      <w:r>
        <w:rPr>
          <w:rFonts w:hint="eastAsia"/>
          <w:color w:val="000000"/>
          <w:sz w:val="21"/>
          <w:szCs w:val="21"/>
        </w:rPr>
        <w:t xml:space="preserve">投标人应将制作好的加密电子投</w:t>
      </w:r>
      <w:r>
        <w:rPr>
          <w:rFonts w:hint="eastAsia"/>
          <w:color w:val="000000"/>
          <w:sz w:val="21"/>
          <w:szCs w:val="21"/>
        </w:rPr>
        <w:t xml:space="preserve">标文件按要求在投标截止时间前上传到交易系统平台中</w:t>
      </w:r>
      <w:r>
        <w:rPr>
          <w:rFonts w:hint="eastAsia" w:cs="宋体"/>
          <w:color w:val="000000"/>
          <w:sz w:val="21"/>
          <w:szCs w:val="21"/>
        </w:rPr>
        <w:t xml:space="preserve">。</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投标截止时间</w:t>
      </w:r>
      <w:r/>
    </w:p>
    <w:p>
      <w:pPr>
        <w:pStyle w:val="928"/>
        <w:numPr>
          <w:ilvl w:val="1"/>
          <w:numId w:val="27"/>
        </w:numPr>
        <w:spacing w:line="400" w:lineRule="exact"/>
        <w:tabs>
          <w:tab w:val="left" w:pos="540" w:leader="none"/>
        </w:tabs>
        <w:rPr>
          <w:rFonts w:hint="eastAsia"/>
          <w:color w:val="000000"/>
          <w:sz w:val="21"/>
          <w:szCs w:val="21"/>
        </w:rPr>
      </w:pPr>
      <w:r>
        <w:rPr>
          <w:rFonts w:hint="eastAsia"/>
          <w:color w:val="000000"/>
          <w:sz w:val="21"/>
          <w:szCs w:val="21"/>
        </w:rPr>
        <w:t xml:space="preserve">电子投标文件必须按招标公告中规定的网上投标截止时间前提交，否则投标无效。</w:t>
      </w:r>
      <w:r/>
    </w:p>
    <w:p>
      <w:pPr>
        <w:pStyle w:val="928"/>
        <w:numPr>
          <w:ilvl w:val="1"/>
          <w:numId w:val="27"/>
        </w:numPr>
        <w:spacing w:line="400" w:lineRule="exact"/>
        <w:tabs>
          <w:tab w:val="left" w:pos="540" w:leader="none"/>
        </w:tabs>
        <w:rPr>
          <w:rFonts w:hint="eastAsia"/>
          <w:color w:val="000000"/>
          <w:sz w:val="21"/>
          <w:szCs w:val="21"/>
        </w:rPr>
      </w:pPr>
      <w:r>
        <w:rPr>
          <w:rFonts w:hint="eastAsia"/>
          <w:color w:val="000000"/>
          <w:sz w:val="21"/>
          <w:szCs w:val="21"/>
        </w:rPr>
        <w:t xml:space="preserve">采购代理机构推迟投标截止时间</w:t>
      </w:r>
      <w:r>
        <w:rPr>
          <w:rFonts w:hint="eastAsia"/>
          <w:color w:val="000000"/>
          <w:sz w:val="21"/>
          <w:szCs w:val="21"/>
        </w:rPr>
        <w:t xml:space="preserve">时，应以更正公告的形式，通知所有投标人。在这种情况下，采购代理机构和投标人的权利和义务将受到新的截止期的约束。</w:t>
      </w:r>
      <w:r/>
    </w:p>
    <w:p>
      <w:pPr>
        <w:pStyle w:val="928"/>
        <w:numPr>
          <w:ilvl w:val="1"/>
          <w:numId w:val="27"/>
        </w:numPr>
        <w:spacing w:line="400" w:lineRule="exact"/>
        <w:tabs>
          <w:tab w:val="left" w:pos="540" w:leader="none"/>
        </w:tabs>
        <w:rPr>
          <w:rFonts w:hint="eastAsia"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投标文件的修改和撤回</w:t>
      </w:r>
      <w:r/>
    </w:p>
    <w:p>
      <w:pPr>
        <w:pStyle w:val="928"/>
        <w:numPr>
          <w:ilvl w:val="1"/>
          <w:numId w:val="28"/>
        </w:numPr>
        <w:spacing w:line="400" w:lineRule="exact"/>
        <w:tabs>
          <w:tab w:val="left" w:pos="540" w:leader="none"/>
        </w:tabs>
        <w:rPr>
          <w:rFonts w:hint="eastAsia"/>
          <w:color w:val="000000"/>
          <w:sz w:val="21"/>
          <w:szCs w:val="21"/>
        </w:rPr>
      </w:pPr>
      <w:r>
        <w:rPr>
          <w:rFonts w:hint="eastAsia"/>
          <w:color w:val="000000"/>
          <w:sz w:val="21"/>
          <w:szCs w:val="21"/>
        </w:rPr>
        <w:t xml:space="preserve">投标人在提交投标文件截止时间前，可对其投标文件进行撤回或修改。</w:t>
      </w:r>
      <w:r/>
    </w:p>
    <w:p>
      <w:pPr>
        <w:pStyle w:val="928"/>
        <w:numPr>
          <w:ilvl w:val="1"/>
          <w:numId w:val="28"/>
        </w:numPr>
        <w:spacing w:line="400" w:lineRule="exact"/>
        <w:tabs>
          <w:tab w:val="left" w:pos="540" w:leader="none"/>
        </w:tabs>
        <w:rPr>
          <w:rFonts w:hint="eastAsia"/>
          <w:color w:val="000000"/>
          <w:sz w:val="21"/>
          <w:szCs w:val="21"/>
        </w:rPr>
      </w:pPr>
      <w:r>
        <w:rPr>
          <w:color w:val="000000"/>
          <w:sz w:val="21"/>
          <w:szCs w:val="21"/>
        </w:rPr>
        <w:t xml:space="preserve">开标后投标人不得撤回投标</w:t>
      </w:r>
      <w:r>
        <w:rPr>
          <w:rFonts w:hint="eastAsia"/>
          <w:color w:val="000000"/>
          <w:sz w:val="21"/>
          <w:szCs w:val="21"/>
        </w:rPr>
        <w:t xml:space="preserve">。</w:t>
      </w:r>
      <w:r/>
    </w:p>
    <w:p>
      <w:pPr>
        <w:pStyle w:val="928"/>
        <w:numPr>
          <w:ilvl w:val="0"/>
          <w:numId w:val="5"/>
        </w:numPr>
        <w:ind w:left="540" w:hanging="540"/>
        <w:spacing w:line="400" w:lineRule="exact"/>
        <w:tabs>
          <w:tab w:val="left" w:pos="420" w:leader="none"/>
          <w:tab w:val="left" w:pos="540" w:leader="none"/>
        </w:tabs>
        <w:rPr>
          <w:rFonts w:hint="eastAsia" w:cs="宋体"/>
          <w:b/>
          <w:bCs/>
          <w:color w:val="000000"/>
          <w:sz w:val="21"/>
          <w:szCs w:val="21"/>
        </w:rPr>
      </w:pPr>
      <w:r>
        <w:rPr>
          <w:rFonts w:hint="eastAsia" w:cs="宋体"/>
          <w:b/>
          <w:bCs/>
          <w:color w:val="000000"/>
          <w:sz w:val="21"/>
          <w:szCs w:val="21"/>
        </w:rPr>
        <w:t xml:space="preserve">开标和评标</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开标</w:t>
      </w:r>
      <w:r/>
    </w:p>
    <w:p>
      <w:pPr>
        <w:pStyle w:val="928"/>
        <w:numPr>
          <w:ilvl w:val="1"/>
          <w:numId w:val="29"/>
        </w:numPr>
        <w:spacing w:line="400" w:lineRule="exact"/>
        <w:tabs>
          <w:tab w:val="left" w:pos="540" w:leader="none"/>
        </w:tabs>
        <w:rPr>
          <w:rFonts w:hint="eastAsia"/>
          <w:color w:val="000000"/>
          <w:sz w:val="21"/>
          <w:szCs w:val="21"/>
        </w:rPr>
      </w:pPr>
      <w:r>
        <w:rPr>
          <w:rFonts w:hint="eastAsia"/>
          <w:color w:val="000000"/>
          <w:sz w:val="21"/>
          <w:szCs w:val="21"/>
        </w:rPr>
        <w:t xml:space="preserve">采购代理机构按采购公告规定的时间、地点主持不见面开标活动。开标仪式由采购代理机构主持。</w:t>
      </w:r>
      <w:r/>
    </w:p>
    <w:p>
      <w:pPr>
        <w:pStyle w:val="928"/>
        <w:numPr>
          <w:ilvl w:val="1"/>
          <w:numId w:val="29"/>
        </w:numPr>
        <w:spacing w:line="400" w:lineRule="exact"/>
        <w:tabs>
          <w:tab w:val="left" w:pos="540" w:leader="none"/>
        </w:tabs>
        <w:rPr>
          <w:rFonts w:hint="eastAsia"/>
          <w:color w:val="000000"/>
          <w:sz w:val="21"/>
          <w:szCs w:val="21"/>
        </w:rPr>
      </w:pPr>
      <w:r>
        <w:rPr>
          <w:rFonts w:hint="eastAsia"/>
          <w:color w:val="000000"/>
          <w:sz w:val="21"/>
          <w:szCs w:val="21"/>
        </w:rPr>
        <w:t xml:space="preserve">参加开标的投标法定代表人或授权代理人须在项目开标前登录苏采云不见面开标系统，进入网上不见面开标大厅，做好相关准备工作</w:t>
      </w:r>
      <w:r>
        <w:rPr>
          <w:color w:val="000000"/>
          <w:sz w:val="21"/>
          <w:szCs w:val="21"/>
        </w:rPr>
        <w:t xml:space="preserve">。</w:t>
      </w:r>
      <w:r>
        <w:rPr>
          <w:rFonts w:hint="eastAsia"/>
          <w:color w:val="000000"/>
          <w:sz w:val="21"/>
          <w:szCs w:val="21"/>
        </w:rPr>
      </w:r>
      <w:r/>
    </w:p>
    <w:p>
      <w:pPr>
        <w:pStyle w:val="928"/>
        <w:numPr>
          <w:ilvl w:val="1"/>
          <w:numId w:val="29"/>
        </w:numPr>
        <w:spacing w:line="400" w:lineRule="exact"/>
        <w:tabs>
          <w:tab w:val="left" w:pos="540" w:leader="none"/>
        </w:tabs>
        <w:rPr>
          <w:rFonts w:hint="eastAsia"/>
          <w:color w:val="000000"/>
          <w:sz w:val="21"/>
          <w:szCs w:val="21"/>
        </w:rPr>
      </w:pPr>
      <w:r>
        <w:rPr>
          <w:rFonts w:hint="eastAsia"/>
          <w:color w:val="000000"/>
          <w:sz w:val="21"/>
          <w:szCs w:val="21"/>
        </w:rPr>
        <w:t xml:space="preserve">本项目开标后在规定的解密时间内，投标人须自行登录网上开标大厅解密投标文件，解密时间为</w:t>
      </w:r>
      <w:r>
        <w:rPr>
          <w:color w:val="000000"/>
          <w:sz w:val="21"/>
          <w:szCs w:val="21"/>
        </w:rPr>
        <w:t xml:space="preserve">15分钟，因自身原因导致解密失败的，由投标人自行承担相关责任</w:t>
      </w:r>
      <w:r>
        <w:rPr>
          <w:rFonts w:hint="eastAsia"/>
          <w:color w:val="000000"/>
          <w:sz w:val="21"/>
          <w:szCs w:val="21"/>
        </w:rPr>
        <w:t xml:space="preserve">。</w:t>
      </w:r>
      <w:r/>
    </w:p>
    <w:p>
      <w:pPr>
        <w:pStyle w:val="928"/>
        <w:numPr>
          <w:ilvl w:val="1"/>
          <w:numId w:val="29"/>
        </w:numPr>
        <w:spacing w:line="400" w:lineRule="exact"/>
        <w:tabs>
          <w:tab w:val="left" w:pos="540" w:leader="none"/>
        </w:tabs>
        <w:rPr>
          <w:rFonts w:hint="eastAsia"/>
          <w:color w:val="000000"/>
          <w:sz w:val="21"/>
          <w:szCs w:val="21"/>
        </w:rPr>
      </w:pPr>
      <w:r>
        <w:rPr>
          <w:rFonts w:hint="eastAsia"/>
          <w:color w:val="000000"/>
          <w:sz w:val="21"/>
          <w:szCs w:val="21"/>
        </w:rPr>
        <w:t xml:space="preserve">招标采购单位在开标仪式上，将公布投标人的名称、投标价格及其投标的修改、投标的撤回等，并将作唱标记录。</w:t>
      </w:r>
      <w:r/>
    </w:p>
    <w:p>
      <w:pPr>
        <w:pStyle w:val="928"/>
        <w:numPr>
          <w:ilvl w:val="1"/>
          <w:numId w:val="29"/>
        </w:numPr>
        <w:spacing w:line="400" w:lineRule="exact"/>
        <w:tabs>
          <w:tab w:val="left" w:pos="540" w:leader="none"/>
        </w:tabs>
        <w:rPr>
          <w:rFonts w:hint="eastAsia"/>
          <w:color w:val="000000"/>
          <w:sz w:val="21"/>
          <w:szCs w:val="21"/>
        </w:rPr>
      </w:pPr>
      <w:r>
        <w:rPr>
          <w:rFonts w:hint="eastAsia" w:cs="Arial"/>
          <w:color w:val="000000"/>
          <w:sz w:val="21"/>
          <w:szCs w:val="21"/>
        </w:rPr>
        <w:t xml:space="preserve">投标人代表对开标过程和开标记录有疑义，以及认为采购人、采购代理机构相关工作人员有需要回避的情形的</w:t>
      </w:r>
      <w:r>
        <w:rPr>
          <w:rFonts w:hint="eastAsia" w:cs="Arial"/>
          <w:color w:val="000000"/>
          <w:sz w:val="21"/>
          <w:szCs w:val="21"/>
        </w:rPr>
        <w:t xml:space="preserve">，应通过不见面开标大厅提出询问或者回避申请。采购人、采购代理机构对投标人代表提出的询问或者回避申请应当及时处理</w:t>
      </w:r>
      <w:r>
        <w:rPr>
          <w:rFonts w:hint="eastAsia"/>
          <w:color w:val="000000"/>
          <w:sz w:val="21"/>
          <w:szCs w:val="21"/>
        </w:rPr>
        <w:t xml:space="preserve">。</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评标委员会</w:t>
      </w:r>
      <w:r/>
    </w:p>
    <w:p>
      <w:pPr>
        <w:pStyle w:val="928"/>
        <w:numPr>
          <w:ilvl w:val="1"/>
          <w:numId w:val="30"/>
        </w:numPr>
        <w:spacing w:line="400" w:lineRule="exact"/>
        <w:tabs>
          <w:tab w:val="left" w:pos="540" w:leader="none"/>
        </w:tabs>
        <w:rPr>
          <w:rFonts w:hint="eastAsia"/>
          <w:color w:val="000000"/>
          <w:sz w:val="21"/>
          <w:szCs w:val="21"/>
        </w:rPr>
      </w:pPr>
      <w:r>
        <w:rPr>
          <w:rFonts w:hint="eastAsia"/>
          <w:color w:val="000000"/>
          <w:sz w:val="21"/>
          <w:szCs w:val="21"/>
        </w:rPr>
        <w:t xml:space="preserve">评标委员</w:t>
      </w:r>
      <w:r>
        <w:rPr>
          <w:rFonts w:hint="eastAsia"/>
          <w:color w:val="000000"/>
          <w:sz w:val="21"/>
          <w:szCs w:val="21"/>
        </w:rPr>
        <w:t xml:space="preserve">会由招标采购单位依法组建，负责本项目的评标事务。</w:t>
      </w:r>
      <w:r/>
    </w:p>
    <w:p>
      <w:pPr>
        <w:pStyle w:val="928"/>
        <w:numPr>
          <w:ilvl w:val="1"/>
          <w:numId w:val="30"/>
        </w:numPr>
        <w:spacing w:line="400" w:lineRule="exact"/>
        <w:tabs>
          <w:tab w:val="left" w:pos="540" w:leader="none"/>
        </w:tabs>
        <w:rPr>
          <w:rFonts w:hint="eastAsia"/>
          <w:color w:val="000000"/>
          <w:sz w:val="21"/>
          <w:szCs w:val="21"/>
        </w:rPr>
      </w:pPr>
      <w:r>
        <w:rPr>
          <w:rFonts w:hint="eastAsia"/>
          <w:color w:val="000000"/>
          <w:sz w:val="21"/>
          <w:szCs w:val="21"/>
        </w:rPr>
        <w:t xml:space="preserve">评标委员会独立履行下列职责：</w:t>
      </w:r>
      <w:r/>
    </w:p>
    <w:p>
      <w:pPr>
        <w:pStyle w:val="943"/>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.2.1审查投标文件是否符合招标文件的要求，并作评价；</w:t>
      </w:r>
      <w:r/>
    </w:p>
    <w:p>
      <w:pPr>
        <w:pStyle w:val="943"/>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.2.2可要求投标供应商对投标文件有关事项作解释或澄清；</w:t>
      </w:r>
      <w:r/>
    </w:p>
    <w:p>
      <w:pPr>
        <w:pStyle w:val="943"/>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p>
    <w:p>
      <w:pPr>
        <w:pStyle w:val="943"/>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.2.4向招标采购单位或者有关部门报告非法干预评标工作的行为。</w:t>
      </w:r>
      <w:r/>
    </w:p>
    <w:p>
      <w:pPr>
        <w:pStyle w:val="928"/>
        <w:numPr>
          <w:ilvl w:val="1"/>
          <w:numId w:val="30"/>
        </w:numPr>
        <w:spacing w:line="400" w:lineRule="exact"/>
        <w:tabs>
          <w:tab w:val="left" w:pos="540" w:leader="none"/>
        </w:tabs>
        <w:rPr>
          <w:rFonts w:hint="eastAsia"/>
          <w:color w:val="000000"/>
          <w:sz w:val="21"/>
          <w:szCs w:val="21"/>
        </w:rPr>
      </w:pPr>
      <w:r>
        <w:rPr>
          <w:rFonts w:hint="eastAsia"/>
          <w:color w:val="000000"/>
          <w:sz w:val="21"/>
          <w:szCs w:val="21"/>
        </w:rPr>
        <w:t xml:space="preserve">评标委员会成员应当履行下列义务：</w:t>
      </w:r>
      <w:r/>
    </w:p>
    <w:p>
      <w:pPr>
        <w:pStyle w:val="943"/>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.3.1遵纪守法，客观、公正、廉洁地履行职责；</w:t>
      </w:r>
      <w:r/>
    </w:p>
    <w:p>
      <w:pPr>
        <w:pStyle w:val="943"/>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.3.2按照招标文件规定的评标办法和评标标准进行评标，对评审意见承担个人责任；</w:t>
      </w:r>
      <w:r/>
    </w:p>
    <w:p>
      <w:pPr>
        <w:pStyle w:val="943"/>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.3.3对评标过程和结果，以及投标人的商业秘密保密；</w:t>
      </w:r>
      <w:r/>
    </w:p>
    <w:p>
      <w:pPr>
        <w:pStyle w:val="943"/>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.3.4参与评标报告的起草；</w:t>
      </w:r>
      <w:r/>
    </w:p>
    <w:p>
      <w:pPr>
        <w:pStyle w:val="943"/>
        <w:ind w:firstLine="525"/>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.3.5配合相关部门的投诉处理工作；</w:t>
      </w:r>
      <w:r/>
    </w:p>
    <w:p>
      <w:pPr>
        <w:pStyle w:val="943"/>
        <w:ind w:firstLine="525"/>
        <w:jc w:val="both"/>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.3.6配合招标采购单位答复投标供应商提出的质疑</w:t>
      </w:r>
      <w:r>
        <w:rPr>
          <w:rFonts w:hint="eastAsia" w:ascii="宋体" w:hAnsi="宋体" w:eastAsia="宋体" w:cs="宋体"/>
          <w:color w:val="000000"/>
          <w:sz w:val="21"/>
          <w:szCs w:val="21"/>
        </w:rPr>
        <w:t xml:space="preserve">。</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评标内容的保密</w:t>
      </w:r>
      <w:r/>
    </w:p>
    <w:p>
      <w:pPr>
        <w:pStyle w:val="928"/>
        <w:numPr>
          <w:ilvl w:val="1"/>
          <w:numId w:val="31"/>
        </w:numPr>
        <w:spacing w:line="400" w:lineRule="exact"/>
        <w:tabs>
          <w:tab w:val="left" w:pos="540" w:leader="none"/>
        </w:tabs>
        <w:rPr>
          <w:rFonts w:hint="eastAsia"/>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p>
    <w:p>
      <w:pPr>
        <w:pStyle w:val="928"/>
        <w:numPr>
          <w:ilvl w:val="1"/>
          <w:numId w:val="31"/>
        </w:numPr>
        <w:spacing w:line="400" w:lineRule="exact"/>
        <w:tabs>
          <w:tab w:val="left" w:pos="540" w:leader="none"/>
        </w:tabs>
        <w:rPr>
          <w:rFonts w:hint="eastAsia"/>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p>
    <w:p>
      <w:pPr>
        <w:pStyle w:val="928"/>
        <w:numPr>
          <w:ilvl w:val="1"/>
          <w:numId w:val="31"/>
        </w:numPr>
        <w:spacing w:line="400" w:lineRule="exact"/>
        <w:tabs>
          <w:tab w:val="left" w:pos="540" w:leader="none"/>
        </w:tabs>
        <w:rPr>
          <w:rFonts w:hint="eastAsia" w:cs="宋体"/>
          <w:color w:val="000000"/>
          <w:sz w:val="21"/>
          <w:szCs w:val="21"/>
        </w:rPr>
      </w:pPr>
      <w:r>
        <w:rPr>
          <w:rFonts w:hint="eastAsia"/>
          <w:color w:val="000000"/>
          <w:sz w:val="21"/>
          <w:szCs w:val="21"/>
        </w:rPr>
        <w:t xml:space="preserve">在评标期间，招标采购单位</w:t>
      </w:r>
      <w:r>
        <w:rPr>
          <w:rFonts w:hint="eastAsia"/>
          <w:color w:val="000000"/>
          <w:sz w:val="21"/>
          <w:szCs w:val="21"/>
        </w:rPr>
        <w:t xml:space="preserve">将通过指定联络人与投标人进行联系</w:t>
      </w:r>
      <w:r>
        <w:rPr>
          <w:rFonts w:hint="eastAsia" w:cs="宋体"/>
          <w:color w:val="000000"/>
          <w:sz w:val="21"/>
          <w:szCs w:val="21"/>
        </w:rPr>
        <w:t xml:space="preserve">。</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对投标文件初审</w:t>
      </w:r>
      <w:r/>
    </w:p>
    <w:p>
      <w:pPr>
        <w:pStyle w:val="928"/>
        <w:numPr>
          <w:ilvl w:val="1"/>
          <w:numId w:val="32"/>
        </w:numPr>
        <w:spacing w:line="400" w:lineRule="exact"/>
        <w:tabs>
          <w:tab w:val="left" w:pos="540" w:leader="none"/>
        </w:tabs>
        <w:rPr>
          <w:color w:val="000000"/>
          <w:sz w:val="21"/>
          <w:szCs w:val="21"/>
        </w:rPr>
      </w:pPr>
      <w:r>
        <w:rPr>
          <w:color w:val="000000"/>
          <w:sz w:val="21"/>
          <w:szCs w:val="21"/>
        </w:rPr>
        <w:t xml:space="preserve">投标文件初审分为资格性检查和符合性检查。</w:t>
      </w:r>
      <w:r/>
    </w:p>
    <w:p>
      <w:pPr>
        <w:pStyle w:val="928"/>
        <w:ind w:left="360"/>
        <w:spacing w:line="400" w:lineRule="exact"/>
        <w:tabs>
          <w:tab w:val="left" w:pos="540" w:leader="none"/>
        </w:tabs>
        <w:rPr>
          <w:color w:val="000000"/>
          <w:sz w:val="21"/>
          <w:szCs w:val="21"/>
        </w:rPr>
      </w:pPr>
      <w:r>
        <w:rPr>
          <w:color w:val="000000"/>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pStyle w:val="928"/>
        <w:ind w:left="360"/>
        <w:spacing w:line="400" w:lineRule="exact"/>
        <w:tabs>
          <w:tab w:val="left" w:pos="540" w:leader="none"/>
        </w:tabs>
        <w:rPr>
          <w:color w:val="000000"/>
          <w:sz w:val="21"/>
          <w:szCs w:val="21"/>
        </w:rPr>
      </w:pPr>
      <w:r>
        <w:rPr>
          <w:color w:val="000000"/>
          <w:sz w:val="21"/>
          <w:szCs w:val="21"/>
        </w:rPr>
        <w:t xml:space="preserve">28.1.2关于信用记录查询：</w:t>
      </w:r>
      <w:r/>
    </w:p>
    <w:p>
      <w:pPr>
        <w:pStyle w:val="928"/>
        <w:ind w:left="360"/>
        <w:spacing w:line="400" w:lineRule="exact"/>
        <w:tabs>
          <w:tab w:val="left" w:pos="540" w:leader="none"/>
        </w:tabs>
        <w:rPr>
          <w:color w:val="000000"/>
          <w:sz w:val="21"/>
          <w:szCs w:val="21"/>
        </w:rPr>
      </w:pPr>
      <w:r>
        <w:rPr>
          <w:rFonts w:hint="eastAsia"/>
          <w:color w:val="000000"/>
          <w:sz w:val="21"/>
          <w:szCs w:val="21"/>
        </w:rPr>
        <w:t xml:space="preserve">根据政府采购法及相关法规，以及《国务院关于建立完善守信联合激</w:t>
      </w:r>
      <w:r>
        <w:rPr>
          <w:rFonts w:hint="eastAsia"/>
          <w:color w:val="000000"/>
          <w:sz w:val="21"/>
          <w:szCs w:val="21"/>
        </w:rPr>
        <w:t xml:space="preserve">励和失信联合惩戒制度加快推进社会诚信建设的指导意见》（国发〔</w:t>
      </w:r>
      <w:r>
        <w:rPr>
          <w:color w:val="000000"/>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28"/>
        <w:ind w:left="360"/>
        <w:spacing w:line="400" w:lineRule="exact"/>
        <w:tabs>
          <w:tab w:val="left" w:pos="540" w:leader="none"/>
        </w:tabs>
        <w:rPr>
          <w:color w:val="000000"/>
          <w:sz w:val="21"/>
          <w:szCs w:val="21"/>
        </w:rPr>
      </w:pPr>
      <w:r>
        <w:rPr>
          <w:color w:val="000000"/>
          <w:sz w:val="21"/>
          <w:szCs w:val="21"/>
        </w:rPr>
        <w:t xml:space="preserve">28.1.2.1查询时间：评标开始前</w:t>
      </w:r>
      <w:r/>
    </w:p>
    <w:p>
      <w:pPr>
        <w:pStyle w:val="928"/>
        <w:ind w:left="360"/>
        <w:spacing w:line="400" w:lineRule="exact"/>
        <w:tabs>
          <w:tab w:val="left" w:pos="540" w:leader="none"/>
        </w:tabs>
        <w:rPr>
          <w:color w:val="000000"/>
          <w:sz w:val="21"/>
          <w:szCs w:val="21"/>
        </w:rPr>
      </w:pPr>
      <w:r>
        <w:rPr>
          <w:color w:val="000000"/>
          <w:sz w:val="21"/>
          <w:szCs w:val="21"/>
        </w:rPr>
        <w:t xml:space="preserve">28.1.2.2查询渠道：通过“信用中国”网站、中国政府采购网等渠道查询相关主体信用记录。</w:t>
      </w:r>
      <w:r/>
    </w:p>
    <w:p>
      <w:pPr>
        <w:pStyle w:val="928"/>
        <w:ind w:left="360"/>
        <w:spacing w:line="400" w:lineRule="exact"/>
        <w:tabs>
          <w:tab w:val="left" w:pos="540" w:leader="none"/>
        </w:tabs>
        <w:rPr>
          <w:color w:val="000000"/>
          <w:sz w:val="21"/>
          <w:szCs w:val="21"/>
        </w:rPr>
      </w:pPr>
      <w:r>
        <w:rPr>
          <w:color w:val="000000"/>
          <w:sz w:val="21"/>
          <w:szCs w:val="21"/>
        </w:rPr>
        <w:t xml:space="preserve">28.1.2.3查询证据留存方式：对存在失信信息的供</w:t>
      </w:r>
      <w:r>
        <w:rPr>
          <w:color w:val="000000"/>
          <w:sz w:val="21"/>
          <w:szCs w:val="21"/>
        </w:rPr>
        <w:t xml:space="preserve">应商，采购人或者采购代理机构应填写《政府采购供应商失信信息确认函》，由失信供应商签名确认。同时，采购代理机构工作人员应根据失信信息，登陆到来源网站页面进行复</w:t>
      </w:r>
      <w:r>
        <w:rPr>
          <w:color w:val="000000"/>
          <w:sz w:val="21"/>
          <w:szCs w:val="21"/>
        </w:rPr>
        <w:t xml:space="preserve">核并打印，作为证据留存。</w:t>
      </w:r>
      <w:r/>
    </w:p>
    <w:p>
      <w:pPr>
        <w:pStyle w:val="928"/>
        <w:ind w:left="360"/>
        <w:spacing w:line="400" w:lineRule="exact"/>
        <w:tabs>
          <w:tab w:val="left" w:pos="540" w:leader="none"/>
        </w:tabs>
        <w:rPr>
          <w:color w:val="000000"/>
          <w:sz w:val="21"/>
          <w:szCs w:val="21"/>
        </w:rPr>
      </w:pPr>
      <w:r>
        <w:rPr>
          <w:color w:val="000000"/>
          <w:sz w:val="21"/>
          <w:szCs w:val="21"/>
        </w:rPr>
        <w:t xml:space="preserve">28.1.2.4信用记录使用规则：评审小组在对供应商进行资格性审查时，应根据查询结果对供应商的不良信用记录逐项甄别确认。</w:t>
      </w:r>
      <w:r/>
    </w:p>
    <w:p>
      <w:pPr>
        <w:pStyle w:val="928"/>
        <w:ind w:left="360"/>
        <w:spacing w:line="400" w:lineRule="exact"/>
        <w:tabs>
          <w:tab w:val="left" w:pos="540" w:leader="none"/>
        </w:tabs>
        <w:rPr>
          <w:color w:val="000000"/>
          <w:sz w:val="21"/>
          <w:szCs w:val="21"/>
        </w:rPr>
      </w:pPr>
      <w:r>
        <w:rPr>
          <w:color w:val="000000"/>
          <w:sz w:val="21"/>
          <w:szCs w:val="21"/>
        </w:rPr>
        <w:t xml:space="preserve">28.1.3符合性检查。依据招标文件的规定，从投标文件的有效性、完整性和对招标文件的响应程度进行审查，以确定是否对招标文件的实质性要求作出响应。</w:t>
      </w:r>
      <w:r/>
    </w:p>
    <w:p>
      <w:pPr>
        <w:pStyle w:val="928"/>
        <w:numPr>
          <w:ilvl w:val="1"/>
          <w:numId w:val="32"/>
        </w:numPr>
        <w:spacing w:line="400" w:lineRule="exact"/>
        <w:tabs>
          <w:tab w:val="left" w:pos="540" w:leader="none"/>
        </w:tabs>
        <w:rPr>
          <w:color w:val="000000"/>
          <w:sz w:val="21"/>
          <w:szCs w:val="21"/>
        </w:rPr>
      </w:pPr>
      <w:r>
        <w:rPr>
          <w:color w:val="000000"/>
          <w:sz w:val="21"/>
          <w:szCs w:val="21"/>
        </w:rPr>
        <w:t xml:space="preserve">开标后，评标委员会将审查投标文件是否实质性响应招标文件的要求、内容是否完</w:t>
      </w:r>
      <w:r>
        <w:rPr>
          <w:color w:val="000000"/>
          <w:sz w:val="21"/>
          <w:szCs w:val="21"/>
        </w:rPr>
        <w:t xml:space="preserve">整、价格构成有无计算错误、文件签署是否齐全等。投标文件属下列情况之一的，评标委员会将按无效投标处理：</w:t>
      </w:r>
      <w:r/>
    </w:p>
    <w:p>
      <w:pPr>
        <w:pStyle w:val="928"/>
        <w:ind w:left="360"/>
        <w:spacing w:line="400" w:lineRule="exact"/>
        <w:tabs>
          <w:tab w:val="left" w:pos="540" w:leader="none"/>
        </w:tabs>
        <w:rPr>
          <w:color w:val="000000"/>
          <w:sz w:val="21"/>
          <w:szCs w:val="21"/>
        </w:rPr>
      </w:pPr>
      <w:r>
        <w:rPr>
          <w:color w:val="000000"/>
          <w:sz w:val="21"/>
          <w:szCs w:val="21"/>
        </w:rPr>
        <w:t xml:space="preserve">28.2.1 不同投标人的投标文件由同一单位或者个人编制；</w:t>
      </w:r>
      <w:r/>
    </w:p>
    <w:p>
      <w:pPr>
        <w:pStyle w:val="928"/>
        <w:ind w:left="360"/>
        <w:spacing w:line="400" w:lineRule="exact"/>
        <w:tabs>
          <w:tab w:val="left" w:pos="540" w:leader="none"/>
        </w:tabs>
        <w:rPr>
          <w:color w:val="000000"/>
          <w:sz w:val="21"/>
          <w:szCs w:val="21"/>
        </w:rPr>
      </w:pPr>
      <w:r>
        <w:rPr>
          <w:color w:val="000000"/>
          <w:sz w:val="21"/>
          <w:szCs w:val="21"/>
        </w:rPr>
        <w:t xml:space="preserve">28.2.2不同投标人委托同一单位或者个人办理投标事宜；</w:t>
      </w:r>
      <w:r/>
    </w:p>
    <w:p>
      <w:pPr>
        <w:pStyle w:val="928"/>
        <w:ind w:left="360"/>
        <w:spacing w:line="400" w:lineRule="exact"/>
        <w:tabs>
          <w:tab w:val="left" w:pos="540" w:leader="none"/>
        </w:tabs>
        <w:rPr>
          <w:color w:val="000000"/>
          <w:sz w:val="21"/>
          <w:szCs w:val="21"/>
        </w:rPr>
      </w:pPr>
      <w:r>
        <w:rPr>
          <w:color w:val="000000"/>
          <w:sz w:val="21"/>
          <w:szCs w:val="21"/>
        </w:rPr>
        <w:t xml:space="preserve">28.2.3不同投标人的投标文件载明的项目管理成员或者联系人员为同一人；</w:t>
      </w:r>
      <w:r/>
    </w:p>
    <w:p>
      <w:pPr>
        <w:pStyle w:val="928"/>
        <w:ind w:left="360"/>
        <w:spacing w:line="400" w:lineRule="exact"/>
        <w:tabs>
          <w:tab w:val="left" w:pos="540" w:leader="none"/>
        </w:tabs>
        <w:rPr>
          <w:color w:val="000000"/>
          <w:sz w:val="21"/>
          <w:szCs w:val="21"/>
        </w:rPr>
      </w:pPr>
      <w:r>
        <w:rPr>
          <w:color w:val="000000"/>
          <w:sz w:val="21"/>
          <w:szCs w:val="21"/>
        </w:rPr>
        <w:t xml:space="preserve">28.2.4不同投标人的投标文件异常一致或者投标报价呈规律性差异；</w:t>
      </w:r>
      <w:r/>
    </w:p>
    <w:p>
      <w:pPr>
        <w:pStyle w:val="928"/>
        <w:ind w:left="360"/>
        <w:spacing w:line="400" w:lineRule="exact"/>
        <w:tabs>
          <w:tab w:val="left" w:pos="540" w:leader="none"/>
        </w:tabs>
        <w:rPr>
          <w:color w:val="000000"/>
          <w:sz w:val="21"/>
          <w:szCs w:val="21"/>
        </w:rPr>
      </w:pPr>
      <w:r>
        <w:rPr>
          <w:color w:val="000000"/>
          <w:sz w:val="21"/>
          <w:szCs w:val="21"/>
        </w:rPr>
        <w:t xml:space="preserve">28.2.5不同投标人的投标文件相互混装；</w:t>
      </w:r>
      <w:r/>
    </w:p>
    <w:p>
      <w:pPr>
        <w:pStyle w:val="928"/>
        <w:numPr>
          <w:ilvl w:val="1"/>
          <w:numId w:val="32"/>
        </w:numPr>
        <w:spacing w:line="400" w:lineRule="exact"/>
        <w:tabs>
          <w:tab w:val="left" w:pos="540" w:leader="none"/>
        </w:tabs>
        <w:rPr>
          <w:color w:val="000000"/>
          <w:sz w:val="21"/>
          <w:szCs w:val="21"/>
        </w:rPr>
      </w:pPr>
      <w:r>
        <w:rPr>
          <w:color w:val="000000"/>
          <w:sz w:val="21"/>
          <w:szCs w:val="21"/>
        </w:rPr>
        <w:t xml:space="preserve">在详细评标之前，评标委员会将首先审查每份投标书是否实质响应了招标文件的要求。实质上响应的投标应该是与招标文件的全部条款、条件和规格相符，没有</w:t>
      </w:r>
      <w:r>
        <w:rPr>
          <w:color w:val="000000"/>
          <w:sz w:val="21"/>
          <w:szCs w:val="21"/>
        </w:rPr>
        <w:t xml:space="preserve">重大偏离或保留。所谓重大偏离或保留是指影响合同的供货范围、质量和性能等；或者在实质上与招标文件不一致〔如货物和服</w:t>
      </w:r>
      <w:r>
        <w:rPr>
          <w:color w:val="000000"/>
          <w:sz w:val="21"/>
          <w:szCs w:val="21"/>
        </w:rPr>
        <w:t xml:space="preserve">务的质量、数量明显不能满足招标文件的要求〕，而且限制了合同中买方的权利或投标单位的义务。这些偏离或保留将会对其他实质上响应要求的投标单位的竞争地位产生不公正的影响。</w:t>
      </w:r>
      <w:r/>
    </w:p>
    <w:p>
      <w:pPr>
        <w:pStyle w:val="928"/>
        <w:numPr>
          <w:ilvl w:val="1"/>
          <w:numId w:val="32"/>
        </w:numPr>
        <w:spacing w:line="400" w:lineRule="exact"/>
        <w:tabs>
          <w:tab w:val="left" w:pos="540" w:leader="none"/>
        </w:tabs>
        <w:rPr>
          <w:color w:val="000000"/>
          <w:sz w:val="21"/>
          <w:szCs w:val="21"/>
        </w:rPr>
      </w:pPr>
      <w:r>
        <w:rPr>
          <w:color w:val="000000"/>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pStyle w:val="928"/>
        <w:numPr>
          <w:ilvl w:val="1"/>
          <w:numId w:val="32"/>
        </w:numPr>
        <w:spacing w:line="400" w:lineRule="exact"/>
        <w:tabs>
          <w:tab w:val="left" w:pos="540" w:leader="none"/>
        </w:tabs>
        <w:rPr>
          <w:color w:val="000000"/>
          <w:sz w:val="21"/>
          <w:szCs w:val="21"/>
        </w:rPr>
      </w:pPr>
      <w:r>
        <w:rPr>
          <w:color w:val="000000"/>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pStyle w:val="928"/>
        <w:numPr>
          <w:ilvl w:val="1"/>
          <w:numId w:val="32"/>
        </w:numPr>
        <w:spacing w:line="400" w:lineRule="exact"/>
        <w:tabs>
          <w:tab w:val="left" w:pos="540" w:leader="none"/>
        </w:tabs>
        <w:rPr>
          <w:color w:val="000000"/>
          <w:sz w:val="21"/>
          <w:szCs w:val="21"/>
        </w:rPr>
      </w:pPr>
      <w:r>
        <w:rPr>
          <w:color w:val="000000"/>
          <w:sz w:val="21"/>
          <w:szCs w:val="21"/>
        </w:rPr>
        <w:t xml:space="preserve">评标委员会将对确定为实质性响应的投标进行审核，看其是否有计算上或累加上的算术错误，修正错误的原则如下：</w:t>
      </w:r>
      <w:r/>
    </w:p>
    <w:p>
      <w:pPr>
        <w:pStyle w:val="928"/>
        <w:ind w:left="360"/>
        <w:spacing w:line="400" w:lineRule="exact"/>
        <w:tabs>
          <w:tab w:val="left" w:pos="540" w:leader="none"/>
        </w:tabs>
        <w:rPr>
          <w:color w:val="000000"/>
          <w:sz w:val="21"/>
          <w:szCs w:val="21"/>
        </w:rPr>
      </w:pPr>
      <w:r>
        <w:rPr>
          <w:color w:val="000000"/>
          <w:sz w:val="21"/>
          <w:szCs w:val="21"/>
        </w:rPr>
        <w:t xml:space="preserve">28.6.1投标文件中开标一览表（报价表）内容与投标文件中相应内容不一致的，以开标一览表（报价表）为准；</w:t>
      </w:r>
      <w:r/>
    </w:p>
    <w:p>
      <w:pPr>
        <w:pStyle w:val="928"/>
        <w:ind w:left="360"/>
        <w:spacing w:line="400" w:lineRule="exact"/>
        <w:tabs>
          <w:tab w:val="left" w:pos="540" w:leader="none"/>
        </w:tabs>
        <w:rPr>
          <w:color w:val="000000"/>
          <w:sz w:val="21"/>
          <w:szCs w:val="21"/>
        </w:rPr>
      </w:pPr>
      <w:r>
        <w:rPr>
          <w:color w:val="000000"/>
          <w:sz w:val="21"/>
          <w:szCs w:val="21"/>
        </w:rPr>
        <w:t xml:space="preserve">28.6.2大写金额和小写金额不一致的，以大写金额为准；</w:t>
      </w:r>
      <w:r/>
    </w:p>
    <w:p>
      <w:pPr>
        <w:pStyle w:val="928"/>
        <w:ind w:left="360"/>
        <w:spacing w:line="400" w:lineRule="exact"/>
        <w:tabs>
          <w:tab w:val="left" w:pos="540" w:leader="none"/>
        </w:tabs>
        <w:rPr>
          <w:color w:val="000000"/>
          <w:sz w:val="21"/>
          <w:szCs w:val="21"/>
        </w:rPr>
      </w:pPr>
      <w:r>
        <w:rPr>
          <w:color w:val="000000"/>
          <w:sz w:val="21"/>
          <w:szCs w:val="21"/>
        </w:rPr>
        <w:t xml:space="preserve">28.6.3单价金额小数点或者百分比有明显错位的，以开标</w:t>
      </w:r>
      <w:r>
        <w:rPr>
          <w:color w:val="000000"/>
          <w:sz w:val="21"/>
          <w:szCs w:val="21"/>
        </w:rPr>
        <w:t xml:space="preserve">一览表的总价为准，并修改单价；</w:t>
      </w:r>
      <w:r/>
    </w:p>
    <w:p>
      <w:pPr>
        <w:pStyle w:val="928"/>
        <w:ind w:left="360"/>
        <w:spacing w:line="400" w:lineRule="exact"/>
        <w:tabs>
          <w:tab w:val="left" w:pos="540" w:leader="none"/>
        </w:tabs>
        <w:rPr>
          <w:color w:val="000000"/>
          <w:sz w:val="21"/>
          <w:szCs w:val="21"/>
        </w:rPr>
      </w:pPr>
      <w:r>
        <w:rPr>
          <w:color w:val="000000"/>
          <w:sz w:val="21"/>
          <w:szCs w:val="21"/>
        </w:rPr>
        <w:t xml:space="preserve">28.6.4总价金额与按单价汇总金额不一致的，以单价金额计算结果为准。</w:t>
      </w:r>
      <w:r/>
    </w:p>
    <w:p>
      <w:pPr>
        <w:pStyle w:val="928"/>
        <w:ind w:left="360"/>
        <w:spacing w:line="400" w:lineRule="exact"/>
        <w:tabs>
          <w:tab w:val="left" w:pos="540" w:leader="none"/>
        </w:tabs>
        <w:rPr>
          <w:color w:val="000000"/>
          <w:sz w:val="21"/>
          <w:szCs w:val="21"/>
        </w:rPr>
      </w:pPr>
      <w:r>
        <w:rPr>
          <w:rFonts w:hint="eastAsia"/>
          <w:color w:val="000000"/>
          <w:sz w:val="21"/>
          <w:szCs w:val="21"/>
        </w:rPr>
        <w:t xml:space="preserve">同时出现两种以上不一致的，按照前款规定的顺序修正。</w:t>
      </w:r>
      <w:r>
        <w:rPr>
          <w:rFonts w:hint="eastAsia"/>
          <w:color w:val="000000"/>
          <w:sz w:val="21"/>
          <w:szCs w:val="21"/>
        </w:rPr>
        <w:t xml:space="preserve">修正后的报价按照本须知</w:t>
      </w:r>
      <w:r>
        <w:rPr>
          <w:color w:val="000000"/>
          <w:sz w:val="21"/>
          <w:szCs w:val="21"/>
        </w:rPr>
        <w:t xml:space="preserve">28.6条规定经投标人确认后产生约束力，投标人不确认的，其投标无效。</w:t>
      </w:r>
      <w:r/>
    </w:p>
    <w:p>
      <w:pPr>
        <w:pStyle w:val="928"/>
        <w:numPr>
          <w:ilvl w:val="1"/>
          <w:numId w:val="32"/>
        </w:numPr>
        <w:spacing w:line="400" w:lineRule="exact"/>
        <w:tabs>
          <w:tab w:val="left" w:pos="540" w:leader="none"/>
        </w:tabs>
        <w:rPr>
          <w:color w:val="000000"/>
          <w:sz w:val="21"/>
          <w:szCs w:val="21"/>
        </w:rPr>
      </w:pPr>
      <w:r>
        <w:rPr>
          <w:rFonts w:hint="eastAsia"/>
          <w:color w:val="000000"/>
          <w:sz w:val="21"/>
          <w:szCs w:val="21"/>
        </w:rPr>
        <w:t xml:space="preserve">根据（财库〔2026〕2号）关于推动解决政府采购异常低价问题的通知。</w:t>
      </w:r>
      <w:r>
        <w:rPr>
          <w:color w:val="000000"/>
          <w:sz w:val="21"/>
          <w:szCs w:val="21"/>
        </w:rPr>
      </w:r>
      <w:r/>
    </w:p>
    <w:p>
      <w:pPr>
        <w:pStyle w:val="928"/>
        <w:ind w:left="440"/>
        <w:spacing w:line="400" w:lineRule="exact"/>
        <w:tabs>
          <w:tab w:val="left" w:pos="540" w:leader="none"/>
        </w:tabs>
        <w:rPr>
          <w:rFonts w:hint="eastAsia"/>
          <w:color w:val="000000"/>
          <w:sz w:val="21"/>
          <w:szCs w:val="21"/>
        </w:rPr>
      </w:pPr>
      <w:r>
        <w:rPr>
          <w:rFonts w:hint="eastAsia"/>
          <w:color w:val="000000"/>
          <w:sz w:val="21"/>
          <w:szCs w:val="21"/>
        </w:rPr>
        <w:t xml:space="preserve">28.7.1政府采购评审中出现下列情形之一的，评审委员会应当启动异常低价投标（响应）审查程序：</w:t>
      </w:r>
      <w:r/>
    </w:p>
    <w:p>
      <w:pPr>
        <w:pStyle w:val="928"/>
        <w:ind w:left="440"/>
        <w:spacing w:line="400" w:lineRule="exact"/>
        <w:tabs>
          <w:tab w:val="left" w:pos="540" w:leader="none"/>
        </w:tabs>
        <w:rPr>
          <w:rFonts w:hint="eastAsia"/>
          <w:color w:val="000000"/>
          <w:sz w:val="21"/>
          <w:szCs w:val="21"/>
        </w:rPr>
      </w:pPr>
      <w:r>
        <w:rPr>
          <w:rFonts w:hint="eastAsia"/>
          <w:color w:val="000000"/>
          <w:sz w:val="21"/>
          <w:szCs w:val="21"/>
        </w:rPr>
        <w:t xml:space="preserve">28.7.1.1投标（响应）报价低于全部通过符合性审查供应商投标（响应）报价平均值50%的，即投标（响应）报价&lt;全部通过符合性审查供应商投标（响</w:t>
      </w:r>
      <w:r>
        <w:rPr>
          <w:rFonts w:hint="eastAsia"/>
          <w:color w:val="000000"/>
          <w:sz w:val="21"/>
          <w:szCs w:val="21"/>
        </w:rPr>
        <w:t xml:space="preserve">应）报价平均值×50%；</w:t>
      </w:r>
      <w:r/>
    </w:p>
    <w:p>
      <w:pPr>
        <w:pStyle w:val="928"/>
        <w:ind w:left="440"/>
        <w:spacing w:line="400" w:lineRule="exact"/>
        <w:tabs>
          <w:tab w:val="left" w:pos="540" w:leader="none"/>
        </w:tabs>
        <w:rPr>
          <w:rFonts w:hint="eastAsia"/>
          <w:color w:val="000000"/>
          <w:sz w:val="21"/>
          <w:szCs w:val="21"/>
        </w:rPr>
      </w:pPr>
      <w:r>
        <w:rPr>
          <w:rFonts w:hint="eastAsia"/>
          <w:color w:val="000000"/>
          <w:sz w:val="21"/>
          <w:szCs w:val="21"/>
        </w:rPr>
        <w:t xml:space="preserve">28.7.1.2投标（响应）报价低于通过符合性审查的次低报价供应商投标（响应）报价50%的，即投标（响应）报价&lt;通过符合性审查的次低报价供应商投标（响应）报价×50%；</w:t>
      </w:r>
      <w:r/>
    </w:p>
    <w:p>
      <w:pPr>
        <w:pStyle w:val="928"/>
        <w:ind w:left="440"/>
        <w:spacing w:line="400" w:lineRule="exact"/>
        <w:tabs>
          <w:tab w:val="left" w:pos="540" w:leader="none"/>
        </w:tabs>
        <w:rPr>
          <w:rFonts w:hint="eastAsia"/>
          <w:color w:val="000000"/>
          <w:sz w:val="21"/>
          <w:szCs w:val="21"/>
        </w:rPr>
      </w:pPr>
      <w:r>
        <w:rPr>
          <w:rFonts w:hint="eastAsia"/>
          <w:color w:val="000000"/>
          <w:sz w:val="21"/>
          <w:szCs w:val="21"/>
        </w:rPr>
        <w:t xml:space="preserve">28.7.1.3投标（响应）报价低于采购项目最高限价45%的，即投标（响应）报价&lt;采购项目最高限价×45%；</w:t>
      </w:r>
      <w:r/>
    </w:p>
    <w:p>
      <w:pPr>
        <w:pStyle w:val="928"/>
        <w:ind w:left="440"/>
        <w:spacing w:line="400" w:lineRule="exact"/>
        <w:tabs>
          <w:tab w:val="left" w:pos="540" w:leader="none"/>
        </w:tabs>
        <w:rPr>
          <w:rFonts w:hint="eastAsia"/>
          <w:color w:val="000000"/>
          <w:sz w:val="21"/>
          <w:szCs w:val="21"/>
        </w:rPr>
      </w:pPr>
      <w:r>
        <w:rPr>
          <w:rFonts w:hint="eastAsia"/>
          <w:color w:val="000000"/>
          <w:sz w:val="21"/>
          <w:szCs w:val="21"/>
        </w:rPr>
        <w:t xml:space="preserve">28.7.1.4评审委员会基于专业判断，认为供应商报价过低，有可能影响产品质量或者不能诚信履约的其他情形。</w:t>
      </w:r>
      <w:r/>
    </w:p>
    <w:p>
      <w:pPr>
        <w:pStyle w:val="928"/>
        <w:ind w:left="440"/>
        <w:spacing w:line="400" w:lineRule="exact"/>
        <w:tabs>
          <w:tab w:val="left" w:pos="540" w:leader="none"/>
        </w:tabs>
        <w:rPr>
          <w:rFonts w:hint="eastAsia"/>
          <w:color w:val="000000"/>
          <w:sz w:val="21"/>
          <w:szCs w:val="21"/>
        </w:rPr>
      </w:pPr>
      <w:r>
        <w:rPr>
          <w:rFonts w:hint="eastAsia"/>
          <w:color w:val="000000"/>
          <w:sz w:val="21"/>
          <w:szCs w:val="21"/>
        </w:rPr>
        <w:t xml:space="preserve">28.7.2评审委员会启动异常低价投标（响应）审查后</w:t>
      </w:r>
      <w:r>
        <w:rPr>
          <w:rFonts w:hint="eastAsia"/>
          <w:color w:val="000000"/>
          <w:sz w:val="21"/>
          <w:szCs w:val="21"/>
        </w:rPr>
        <w:t xml:space="preserve">，属于前述第1项至第4项情形的，应当要求相关供应商在评审现场合理的时间内对投标（响应）价格作出解释，提供项目具体成本测算等与报价合理性相关的书面说明及必要的</w:t>
      </w:r>
      <w:r>
        <w:rPr>
          <w:rFonts w:hint="eastAsia"/>
          <w:color w:val="000000"/>
          <w:sz w:val="21"/>
          <w:szCs w:val="21"/>
        </w:rPr>
        <w:t xml:space="preserve">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8"/>
        <w:ind w:left="440"/>
        <w:spacing w:line="400" w:lineRule="exact"/>
        <w:tabs>
          <w:tab w:val="left" w:pos="540" w:leader="none"/>
        </w:tabs>
        <w:rPr>
          <w:rFonts w:hint="eastAsia"/>
          <w:color w:val="000000"/>
          <w:sz w:val="21"/>
          <w:szCs w:val="21"/>
        </w:rPr>
      </w:pPr>
      <w:r>
        <w:rPr>
          <w:rFonts w:hint="eastAsia"/>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w:t>
      </w:r>
      <w:r>
        <w:rPr>
          <w:rFonts w:hint="eastAsia"/>
          <w:color w:val="000000"/>
          <w:sz w:val="21"/>
          <w:szCs w:val="21"/>
        </w:rPr>
        <w:t xml:space="preserve">明、证明材料不能证明其报价合理性的，评审委员会应当将其作为无效投标（响应）处理。</w:t>
      </w:r>
      <w:r/>
    </w:p>
    <w:p>
      <w:pPr>
        <w:pStyle w:val="928"/>
        <w:ind w:left="440"/>
        <w:spacing w:line="400" w:lineRule="exact"/>
        <w:tabs>
          <w:tab w:val="left" w:pos="540" w:leader="none"/>
        </w:tabs>
        <w:rPr>
          <w:rFonts w:hint="eastAsia"/>
          <w:color w:val="000000"/>
          <w:sz w:val="21"/>
          <w:szCs w:val="21"/>
        </w:rPr>
      </w:pPr>
      <w:r>
        <w:rPr>
          <w:rFonts w:hint="eastAsia"/>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8"/>
        <w:ind w:left="440"/>
        <w:spacing w:line="400" w:lineRule="exact"/>
        <w:tabs>
          <w:tab w:val="left" w:pos="540" w:leader="none"/>
        </w:tabs>
        <w:rPr>
          <w:rFonts w:hint="eastAsia"/>
          <w:color w:val="000000"/>
          <w:sz w:val="21"/>
          <w:szCs w:val="21"/>
        </w:rPr>
      </w:pPr>
      <w:r>
        <w:rPr>
          <w:rFonts w:hint="eastAsia"/>
          <w:color w:val="000000"/>
          <w:sz w:val="21"/>
          <w:szCs w:val="21"/>
        </w:rPr>
        <w:t xml:space="preserve">异常低价投标（响应）审查的启动原因、审查意见和审查结果应当在评审</w:t>
      </w:r>
      <w:r>
        <w:rPr>
          <w:rFonts w:hint="eastAsia"/>
          <w:color w:val="000000"/>
          <w:sz w:val="21"/>
          <w:szCs w:val="21"/>
        </w:rPr>
        <w:t xml:space="preserve">报告中记录，并随供应商提供的相关书面说明及证明材料，以及评审委员会有关互联网浏览、查询历史一并归档。</w:t>
      </w:r>
      <w:r/>
    </w:p>
    <w:p>
      <w:pPr>
        <w:pStyle w:val="928"/>
        <w:ind w:left="440"/>
        <w:spacing w:line="400" w:lineRule="exact"/>
        <w:tabs>
          <w:tab w:val="left" w:pos="540" w:leader="none"/>
        </w:tabs>
        <w:rPr>
          <w:color w:val="000000"/>
          <w:sz w:val="21"/>
          <w:szCs w:val="21"/>
        </w:rPr>
      </w:pPr>
      <w:r>
        <w:rPr>
          <w:rFonts w:hint="eastAsia"/>
          <w:color w:val="000000"/>
          <w:sz w:val="21"/>
          <w:szCs w:val="21"/>
        </w:rPr>
        <w:t xml:space="preserve">28.7.3各级财政部门应当加强对评审专家的指导</w:t>
      </w:r>
      <w:r>
        <w:rPr>
          <w:rFonts w:hint="eastAsia"/>
          <w:color w:val="000000"/>
          <w:sz w:val="21"/>
          <w:szCs w:val="21"/>
        </w:rPr>
        <w:t xml:space="preserve">和监管，进一步压实评审专家的责任。财政部门在投诉处理、监督检查中发现评审委员会未按规定对异常低价开展审查的，依法予以纠正并追究评审专家的法律责任。</w:t>
      </w:r>
      <w:r>
        <w:rPr>
          <w:color w:val="000000"/>
          <w:sz w:val="21"/>
          <w:szCs w:val="21"/>
        </w:rPr>
      </w:r>
      <w:r/>
    </w:p>
    <w:p>
      <w:pPr>
        <w:pStyle w:val="928"/>
        <w:numPr>
          <w:ilvl w:val="1"/>
          <w:numId w:val="32"/>
        </w:numPr>
        <w:spacing w:line="400" w:lineRule="exact"/>
        <w:tabs>
          <w:tab w:val="left" w:pos="540" w:leader="none"/>
        </w:tabs>
        <w:rPr>
          <w:color w:val="000000"/>
          <w:sz w:val="21"/>
          <w:szCs w:val="21"/>
        </w:rPr>
      </w:pPr>
      <w:r>
        <w:rPr>
          <w:color w:val="000000"/>
          <w:sz w:val="21"/>
          <w:szCs w:val="21"/>
        </w:rPr>
        <w:t xml:space="preserve">对不同文字文本投标文件的解释发生异议的，以中文文本为准。</w:t>
      </w:r>
      <w:r/>
    </w:p>
    <w:p>
      <w:pPr>
        <w:pStyle w:val="928"/>
        <w:numPr>
          <w:ilvl w:val="1"/>
          <w:numId w:val="32"/>
        </w:numPr>
        <w:spacing w:line="400" w:lineRule="exact"/>
        <w:tabs>
          <w:tab w:val="left" w:pos="540" w:leader="none"/>
        </w:tabs>
        <w:rPr>
          <w:color w:val="000000"/>
          <w:sz w:val="21"/>
          <w:szCs w:val="21"/>
        </w:rPr>
      </w:pPr>
      <w:r>
        <w:rPr>
          <w:color w:val="000000"/>
          <w:sz w:val="21"/>
          <w:szCs w:val="21"/>
        </w:rPr>
        <w:t xml:space="preserve">评标委员会对投标文件的判定，只依据投标内容本身，不依靠开标后的任何外来证明。</w:t>
      </w:r>
      <w:r/>
    </w:p>
    <w:p>
      <w:pPr>
        <w:pStyle w:val="928"/>
        <w:numPr>
          <w:ilvl w:val="1"/>
          <w:numId w:val="32"/>
        </w:numPr>
        <w:spacing w:line="400" w:lineRule="exact"/>
        <w:tabs>
          <w:tab w:val="left" w:pos="540" w:leader="none"/>
        </w:tabs>
        <w:rPr>
          <w:color w:val="000000"/>
          <w:sz w:val="21"/>
          <w:szCs w:val="21"/>
        </w:rPr>
      </w:pPr>
      <w:r>
        <w:rPr>
          <w:color w:val="000000"/>
          <w:sz w:val="21"/>
          <w:szCs w:val="21"/>
        </w:rPr>
        <w:t xml:space="preserve">评标委员会将拒绝被确定为非实质性响应的投标，投标人不能通过修正或撤销不符之处而使其投标成为实</w:t>
      </w:r>
      <w:r>
        <w:rPr>
          <w:color w:val="000000"/>
          <w:sz w:val="21"/>
          <w:szCs w:val="21"/>
        </w:rPr>
        <w:t xml:space="preserve">质性响应的投标</w:t>
      </w:r>
      <w:r>
        <w:rPr>
          <w:rFonts w:hint="eastAsia"/>
          <w:color w:val="000000"/>
          <w:sz w:val="21"/>
          <w:szCs w:val="21"/>
        </w:rPr>
        <w:t xml:space="preserve">。</w:t>
      </w:r>
      <w:r>
        <w:rPr>
          <w:color w:val="000000"/>
          <w:sz w:val="21"/>
          <w:szCs w:val="21"/>
        </w:rPr>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投标的澄清</w:t>
      </w:r>
      <w:r/>
    </w:p>
    <w:p>
      <w:pPr>
        <w:pStyle w:val="928"/>
        <w:numPr>
          <w:ilvl w:val="1"/>
          <w:numId w:val="33"/>
        </w:numPr>
        <w:spacing w:line="400" w:lineRule="exact"/>
        <w:tabs>
          <w:tab w:val="left" w:pos="540" w:leader="none"/>
        </w:tabs>
        <w:rPr>
          <w:rFonts w:hint="eastAsia"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无效投标和废标</w:t>
      </w:r>
      <w:r/>
    </w:p>
    <w:p>
      <w:pPr>
        <w:pStyle w:val="928"/>
        <w:numPr>
          <w:ilvl w:val="1"/>
          <w:numId w:val="34"/>
        </w:numPr>
        <w:spacing w:line="400" w:lineRule="exact"/>
        <w:tabs>
          <w:tab w:val="left" w:pos="540" w:leader="none"/>
        </w:tabs>
        <w:rPr>
          <w:rFonts w:cs="宋体"/>
          <w:color w:val="000000"/>
          <w:sz w:val="21"/>
          <w:szCs w:val="21"/>
        </w:rPr>
      </w:pPr>
      <w:r>
        <w:rPr>
          <w:rFonts w:cs="宋体"/>
          <w:color w:val="000000"/>
          <w:sz w:val="21"/>
          <w:szCs w:val="21"/>
        </w:rPr>
        <w:t xml:space="preserve">无效投标的具体情形有：</w:t>
      </w:r>
      <w:r/>
    </w:p>
    <w:p>
      <w:pPr>
        <w:pStyle w:val="928"/>
        <w:ind w:left="709"/>
        <w:spacing w:line="400" w:lineRule="exact"/>
        <w:rPr>
          <w:rFonts w:cs="宋体"/>
          <w:color w:val="000000"/>
          <w:sz w:val="21"/>
          <w:szCs w:val="21"/>
        </w:rPr>
      </w:pPr>
      <w:r>
        <w:rPr>
          <w:rFonts w:cs="宋体"/>
          <w:color w:val="000000"/>
          <w:sz w:val="21"/>
          <w:szCs w:val="21"/>
        </w:rPr>
        <w:t xml:space="preserve">30.1.1投标文件未按招标文件要求签署、盖章或电子签章的；</w:t>
      </w:r>
      <w:r/>
    </w:p>
    <w:p>
      <w:pPr>
        <w:pStyle w:val="928"/>
        <w:ind w:left="709"/>
        <w:spacing w:line="400" w:lineRule="exact"/>
        <w:rPr>
          <w:rFonts w:cs="宋体"/>
          <w:color w:val="000000"/>
          <w:sz w:val="21"/>
          <w:szCs w:val="21"/>
        </w:rPr>
      </w:pPr>
      <w:r>
        <w:rPr>
          <w:rFonts w:cs="宋体"/>
          <w:color w:val="000000"/>
          <w:sz w:val="21"/>
          <w:szCs w:val="21"/>
        </w:rPr>
        <w:t xml:space="preserve">30.1.2不具备招标文件中规定的资格要求的</w:t>
      </w:r>
      <w:r>
        <w:rPr>
          <w:rFonts w:cs="宋体"/>
          <w:color w:val="000000"/>
          <w:sz w:val="21"/>
          <w:szCs w:val="21"/>
        </w:rPr>
        <w:t xml:space="preserve">；</w:t>
      </w:r>
      <w:r/>
    </w:p>
    <w:p>
      <w:pPr>
        <w:pStyle w:val="928"/>
        <w:ind w:left="709"/>
        <w:spacing w:line="400" w:lineRule="exact"/>
        <w:rPr>
          <w:rFonts w:cs="宋体"/>
          <w:color w:val="000000"/>
          <w:sz w:val="21"/>
          <w:szCs w:val="21"/>
        </w:rPr>
      </w:pPr>
      <w:r>
        <w:rPr>
          <w:rFonts w:cs="宋体"/>
          <w:color w:val="000000"/>
          <w:sz w:val="21"/>
          <w:szCs w:val="21"/>
        </w:rPr>
        <w:t xml:space="preserve">30.1.3报价超过招标文件中规定的预算金额或者最高限价的；</w:t>
      </w:r>
      <w:r/>
    </w:p>
    <w:p>
      <w:pPr>
        <w:pStyle w:val="928"/>
        <w:ind w:left="709"/>
        <w:spacing w:line="400" w:lineRule="exact"/>
        <w:rPr>
          <w:rFonts w:cs="宋体"/>
          <w:color w:val="000000"/>
          <w:sz w:val="21"/>
          <w:szCs w:val="21"/>
        </w:rPr>
      </w:pPr>
      <w:r>
        <w:rPr>
          <w:rFonts w:cs="宋体"/>
          <w:color w:val="000000"/>
          <w:sz w:val="21"/>
          <w:szCs w:val="21"/>
        </w:rPr>
        <w:t xml:space="preserve">30.1.4不同投标人的投标文件使用同一台电脑编制的；</w:t>
      </w:r>
      <w:r/>
    </w:p>
    <w:p>
      <w:pPr>
        <w:pStyle w:val="928"/>
        <w:ind w:left="709"/>
        <w:spacing w:line="400" w:lineRule="exact"/>
        <w:rPr>
          <w:rFonts w:cs="宋体"/>
          <w:color w:val="000000"/>
          <w:sz w:val="21"/>
          <w:szCs w:val="21"/>
        </w:rPr>
      </w:pPr>
      <w:r>
        <w:rPr>
          <w:rFonts w:cs="宋体"/>
          <w:color w:val="000000"/>
          <w:sz w:val="21"/>
          <w:szCs w:val="21"/>
        </w:rPr>
        <w:t xml:space="preserve">30.1.5投标文件含有采购人不能接受</w:t>
      </w:r>
      <w:r>
        <w:rPr>
          <w:rFonts w:cs="宋体"/>
          <w:color w:val="000000"/>
          <w:sz w:val="21"/>
          <w:szCs w:val="21"/>
        </w:rPr>
        <w:t xml:space="preserve">的附加条件的；</w:t>
      </w:r>
      <w:r/>
    </w:p>
    <w:p>
      <w:pPr>
        <w:pStyle w:val="928"/>
        <w:ind w:left="709"/>
        <w:spacing w:line="400" w:lineRule="exact"/>
        <w:rPr>
          <w:rFonts w:cs="宋体"/>
          <w:color w:val="000000"/>
          <w:sz w:val="21"/>
          <w:szCs w:val="21"/>
        </w:rPr>
      </w:pPr>
      <w:r>
        <w:rPr>
          <w:rFonts w:cs="宋体"/>
          <w:color w:val="000000"/>
          <w:sz w:val="21"/>
          <w:szCs w:val="21"/>
        </w:rPr>
        <w:t xml:space="preserve">30.1.6法律、法规和招标文件规定的其他无效情形。</w:t>
      </w:r>
      <w:r/>
    </w:p>
    <w:p>
      <w:pPr>
        <w:pStyle w:val="928"/>
        <w:numPr>
          <w:ilvl w:val="1"/>
          <w:numId w:val="34"/>
        </w:numPr>
        <w:spacing w:line="400" w:lineRule="exact"/>
        <w:tabs>
          <w:tab w:val="left" w:pos="540" w:leader="none"/>
        </w:tabs>
        <w:rPr>
          <w:rFonts w:cs="宋体"/>
          <w:color w:val="000000"/>
          <w:sz w:val="21"/>
          <w:szCs w:val="21"/>
        </w:rPr>
      </w:pPr>
      <w:r>
        <w:rPr>
          <w:rFonts w:cs="宋体"/>
          <w:color w:val="000000"/>
          <w:sz w:val="21"/>
          <w:szCs w:val="21"/>
        </w:rPr>
        <w:t xml:space="preserve">在招标采购中，出现下列情形之一的，应予废标：</w:t>
      </w:r>
      <w:r/>
    </w:p>
    <w:p>
      <w:pPr>
        <w:pStyle w:val="928"/>
        <w:ind w:left="709"/>
        <w:spacing w:line="400" w:lineRule="exact"/>
        <w:rPr>
          <w:rFonts w:cs="宋体"/>
          <w:color w:val="000000"/>
          <w:sz w:val="21"/>
          <w:szCs w:val="21"/>
        </w:rPr>
      </w:pPr>
      <w:r>
        <w:rPr>
          <w:rFonts w:cs="宋体"/>
          <w:color w:val="000000"/>
          <w:sz w:val="21"/>
          <w:szCs w:val="21"/>
        </w:rPr>
        <w:t xml:space="preserve">30.2.1符合专业条件的供应商或者对招标文件作实质响应的供应商不足三家的；</w:t>
      </w:r>
      <w:r/>
    </w:p>
    <w:p>
      <w:pPr>
        <w:pStyle w:val="928"/>
        <w:ind w:left="709"/>
        <w:spacing w:line="400" w:lineRule="exact"/>
        <w:rPr>
          <w:rFonts w:cs="宋体"/>
          <w:color w:val="000000"/>
          <w:sz w:val="21"/>
          <w:szCs w:val="21"/>
        </w:rPr>
      </w:pPr>
      <w:r>
        <w:rPr>
          <w:rFonts w:cs="宋体"/>
          <w:color w:val="000000"/>
          <w:sz w:val="21"/>
          <w:szCs w:val="21"/>
        </w:rPr>
        <w:t xml:space="preserve">30.2.2出现影响采购公正的违法、违规行为的；</w:t>
      </w:r>
      <w:r/>
    </w:p>
    <w:p>
      <w:pPr>
        <w:pStyle w:val="928"/>
        <w:ind w:left="709"/>
        <w:spacing w:line="400" w:lineRule="exact"/>
        <w:rPr>
          <w:rFonts w:cs="宋体"/>
          <w:color w:val="000000"/>
          <w:sz w:val="21"/>
          <w:szCs w:val="21"/>
        </w:rPr>
      </w:pPr>
      <w:r>
        <w:rPr>
          <w:rFonts w:cs="宋体"/>
          <w:color w:val="000000"/>
          <w:sz w:val="21"/>
          <w:szCs w:val="21"/>
        </w:rPr>
        <w:t xml:space="preserve">30.2.3投标人的报价均超过了采购预算，采购人不能支付的；</w:t>
      </w:r>
      <w:r/>
    </w:p>
    <w:p>
      <w:pPr>
        <w:pStyle w:val="928"/>
        <w:ind w:left="709"/>
        <w:spacing w:line="400" w:lineRule="exact"/>
        <w:rPr>
          <w:rFonts w:cs="宋体"/>
          <w:color w:val="000000"/>
          <w:sz w:val="21"/>
          <w:szCs w:val="21"/>
        </w:rPr>
      </w:pPr>
      <w:r>
        <w:rPr>
          <w:rFonts w:cs="宋体"/>
          <w:color w:val="000000"/>
          <w:sz w:val="21"/>
          <w:szCs w:val="21"/>
        </w:rPr>
        <w:t xml:space="preserve">30.2.4因重大变故，采购任务取消的。</w:t>
      </w:r>
      <w:r/>
    </w:p>
    <w:p>
      <w:pPr>
        <w:pStyle w:val="928"/>
        <w:numPr>
          <w:ilvl w:val="1"/>
          <w:numId w:val="34"/>
        </w:numPr>
        <w:spacing w:line="400" w:lineRule="exact"/>
        <w:tabs>
          <w:tab w:val="left" w:pos="540" w:leader="none"/>
        </w:tabs>
        <w:rPr>
          <w:rFonts w:hint="eastAsia"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t xml:space="preserve">。</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投标文件的评价和比较</w:t>
      </w:r>
      <w:r/>
    </w:p>
    <w:p>
      <w:pPr>
        <w:pStyle w:val="928"/>
        <w:numPr>
          <w:ilvl w:val="1"/>
          <w:numId w:val="35"/>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p>
    <w:p>
      <w:pPr>
        <w:pStyle w:val="928"/>
        <w:numPr>
          <w:ilvl w:val="1"/>
          <w:numId w:val="35"/>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评价和比较采用的办法见前附表，具体内容详见招标文件第六章。</w:t>
      </w:r>
      <w:r/>
    </w:p>
    <w:p>
      <w:pPr>
        <w:pStyle w:val="928"/>
        <w:numPr>
          <w:ilvl w:val="1"/>
          <w:numId w:val="35"/>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最低的投标报价或最高的折扣比例是中标的重要条件，但不是唯一条件。</w:t>
      </w:r>
      <w:r/>
    </w:p>
    <w:p>
      <w:pPr>
        <w:pStyle w:val="928"/>
        <w:numPr>
          <w:ilvl w:val="0"/>
          <w:numId w:val="5"/>
        </w:numPr>
        <w:ind w:left="540" w:hanging="540"/>
        <w:spacing w:line="400" w:lineRule="exact"/>
        <w:tabs>
          <w:tab w:val="left" w:pos="420" w:leader="none"/>
          <w:tab w:val="left" w:pos="540" w:leader="none"/>
        </w:tabs>
        <w:rPr>
          <w:rFonts w:hint="eastAsia" w:cs="宋体"/>
          <w:b/>
          <w:bCs/>
          <w:color w:val="000000"/>
          <w:sz w:val="21"/>
          <w:szCs w:val="21"/>
        </w:rPr>
      </w:pPr>
      <w:r>
        <w:rPr>
          <w:rFonts w:hint="eastAsia" w:cs="宋体"/>
          <w:b/>
          <w:bCs/>
          <w:color w:val="000000"/>
          <w:sz w:val="21"/>
          <w:szCs w:val="21"/>
        </w:rPr>
        <w:t xml:space="preserve">签订合同</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中标单位的确认</w:t>
      </w:r>
      <w:r/>
    </w:p>
    <w:p>
      <w:pPr>
        <w:pStyle w:val="928"/>
        <w:numPr>
          <w:ilvl w:val="1"/>
          <w:numId w:val="36"/>
        </w:numPr>
        <w:spacing w:line="400" w:lineRule="exact"/>
        <w:tabs>
          <w:tab w:val="left" w:pos="540" w:leader="none"/>
        </w:tabs>
        <w:rPr>
          <w:rFonts w:hint="eastAsia"/>
          <w:color w:val="000000"/>
          <w:sz w:val="21"/>
          <w:szCs w:val="21"/>
        </w:rPr>
      </w:pPr>
      <w:r>
        <w:rPr>
          <w:color w:val="000000"/>
          <w:sz w:val="21"/>
          <w:szCs w:val="21"/>
        </w:rPr>
        <w:t xml:space="preserve">评</w:t>
      </w:r>
      <w:r>
        <w:rPr>
          <w:rFonts w:hint="eastAsia"/>
          <w:color w:val="000000"/>
          <w:sz w:val="21"/>
          <w:szCs w:val="21"/>
        </w:rPr>
        <w:t xml:space="preserve">标委员会按招标文件规定的评标方法和标准进行详细评审后，按招标采购单位的委托确定一名中标单位。</w:t>
      </w:r>
      <w:r/>
    </w:p>
    <w:p>
      <w:pPr>
        <w:pStyle w:val="928"/>
        <w:numPr>
          <w:ilvl w:val="1"/>
          <w:numId w:val="36"/>
        </w:numPr>
        <w:spacing w:line="400" w:lineRule="exact"/>
        <w:tabs>
          <w:tab w:val="left" w:pos="540" w:leader="none"/>
        </w:tabs>
        <w:rPr>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w:t>
      </w:r>
      <w:r>
        <w:rPr>
          <w:color w:val="000000"/>
          <w:sz w:val="21"/>
          <w:szCs w:val="21"/>
        </w:rPr>
      </w:r>
      <w:r/>
    </w:p>
    <w:p>
      <w:pPr>
        <w:pStyle w:val="928"/>
        <w:numPr>
          <w:ilvl w:val="1"/>
          <w:numId w:val="36"/>
        </w:numPr>
        <w:spacing w:line="400" w:lineRule="exact"/>
        <w:tabs>
          <w:tab w:val="left" w:pos="540" w:leader="none"/>
        </w:tabs>
        <w:rPr>
          <w:rFonts w:hint="eastAsia"/>
          <w:color w:val="000000"/>
          <w:sz w:val="21"/>
          <w:szCs w:val="21"/>
        </w:rPr>
      </w:pPr>
      <w:r>
        <w:rPr>
          <w:rFonts w:hint="eastAsia"/>
          <w:color w:val="000000"/>
          <w:sz w:val="21"/>
          <w:szCs w:val="21"/>
        </w:rPr>
        <w:t xml:space="preserve">各投标单位如对公示结果有异议，应在发布中标公告后7个工作日内，以书面形式向招标采购单位提出质疑，同时该质疑应有投标单位法定代表人或参加投标的代</w:t>
      </w:r>
      <w:r>
        <w:rPr>
          <w:rFonts w:hint="eastAsia"/>
          <w:color w:val="000000"/>
          <w:sz w:val="21"/>
          <w:szCs w:val="21"/>
        </w:rPr>
        <w:t xml:space="preserve">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合同授予标准</w:t>
      </w:r>
      <w:r/>
    </w:p>
    <w:p>
      <w:pPr>
        <w:pStyle w:val="928"/>
        <w:numPr>
          <w:ilvl w:val="1"/>
          <w:numId w:val="37"/>
        </w:numPr>
        <w:spacing w:line="400" w:lineRule="exact"/>
        <w:tabs>
          <w:tab w:val="left" w:pos="540" w:leader="none"/>
        </w:tabs>
        <w:rPr>
          <w:rFonts w:hint="eastAsia"/>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w:t>
      </w:r>
      <w:r>
        <w:rPr>
          <w:rFonts w:hint="eastAsia"/>
          <w:color w:val="000000"/>
          <w:sz w:val="21"/>
          <w:szCs w:val="21"/>
        </w:rPr>
        <w:t xml:space="preserve">人必须具有实施本合同的能力和资源。</w:t>
      </w:r>
      <w:r/>
    </w:p>
    <w:p>
      <w:pPr>
        <w:pStyle w:val="928"/>
        <w:numPr>
          <w:ilvl w:val="1"/>
          <w:numId w:val="37"/>
        </w:numPr>
        <w:spacing w:line="400" w:lineRule="exact"/>
        <w:tabs>
          <w:tab w:val="left" w:pos="540" w:leader="none"/>
        </w:tabs>
        <w:rPr>
          <w:rFonts w:hint="eastAsia"/>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pStyle w:val="928"/>
        <w:numPr>
          <w:ilvl w:val="1"/>
          <w:numId w:val="37"/>
        </w:numPr>
        <w:spacing w:line="400" w:lineRule="exact"/>
        <w:tabs>
          <w:tab w:val="left" w:pos="540" w:leader="none"/>
        </w:tabs>
        <w:rPr>
          <w:rFonts w:hint="eastAsia"/>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中标通知书</w:t>
      </w:r>
      <w:r/>
    </w:p>
    <w:p>
      <w:pPr>
        <w:pStyle w:val="928"/>
        <w:numPr>
          <w:ilvl w:val="1"/>
          <w:numId w:val="38"/>
        </w:numPr>
        <w:spacing w:line="400" w:lineRule="exact"/>
        <w:tabs>
          <w:tab w:val="left" w:pos="540" w:leader="none"/>
        </w:tabs>
        <w:rPr>
          <w:rFonts w:hint="eastAsia"/>
          <w:color w:val="000000"/>
          <w:sz w:val="21"/>
          <w:szCs w:val="21"/>
        </w:rPr>
      </w:pPr>
      <w:r>
        <w:rPr>
          <w:rFonts w:hint="eastAsia"/>
          <w:color w:val="000000"/>
          <w:sz w:val="21"/>
          <w:szCs w:val="21"/>
        </w:rPr>
        <w:t xml:space="preserve">确定出中标供应商后投标文</w:t>
      </w:r>
      <w:r>
        <w:rPr>
          <w:rFonts w:hint="eastAsia"/>
          <w:color w:val="000000"/>
          <w:sz w:val="21"/>
          <w:szCs w:val="21"/>
        </w:rPr>
        <w:t xml:space="preserve">件有效期截止前，招标采购单位应当向中标供应商发出中标通知书，中标通知书对采购人和中标供应商具有同等法律效力。中标通知书发出后，采购人改变中标结果，或者中标供应商放弃中标，</w:t>
      </w:r>
      <w:r>
        <w:rPr>
          <w:rFonts w:hint="eastAsia"/>
          <w:color w:val="000000"/>
          <w:sz w:val="21"/>
          <w:szCs w:val="21"/>
        </w:rPr>
        <w:t xml:space="preserve">应当承担相应的法律责任。</w:t>
      </w:r>
      <w:r/>
    </w:p>
    <w:p>
      <w:pPr>
        <w:pStyle w:val="928"/>
        <w:numPr>
          <w:ilvl w:val="1"/>
          <w:numId w:val="38"/>
        </w:numPr>
        <w:spacing w:line="400" w:lineRule="exact"/>
        <w:tabs>
          <w:tab w:val="left" w:pos="540" w:leader="none"/>
        </w:tabs>
        <w:rPr>
          <w:color w:val="000000"/>
          <w:sz w:val="21"/>
          <w:szCs w:val="21"/>
        </w:rPr>
      </w:pPr>
      <w:r>
        <w:rPr>
          <w:bCs/>
          <w:color w:val="000000"/>
          <w:sz w:val="21"/>
          <w:szCs w:val="21"/>
        </w:rPr>
        <w:t xml:space="preserve">中标通知书在中标公告发布后将发布在业务系统中，中标通知书发布之日视为中标供应商领取之日，中标供应商自行在业务系统中下载打印。</w:t>
      </w:r>
      <w:r>
        <w:rPr>
          <w:color w:val="000000"/>
          <w:sz w:val="21"/>
          <w:szCs w:val="21"/>
        </w:rPr>
      </w:r>
      <w:r/>
    </w:p>
    <w:p>
      <w:pPr>
        <w:pStyle w:val="928"/>
        <w:numPr>
          <w:ilvl w:val="1"/>
          <w:numId w:val="38"/>
        </w:numPr>
        <w:spacing w:line="400" w:lineRule="exact"/>
        <w:tabs>
          <w:tab w:val="left" w:pos="540" w:leader="none"/>
        </w:tabs>
        <w:rPr>
          <w:rFonts w:hint="eastAsia"/>
          <w:color w:val="000000"/>
          <w:sz w:val="21"/>
          <w:szCs w:val="21"/>
        </w:rPr>
      </w:pPr>
      <w:r>
        <w:rPr>
          <w:rFonts w:hint="eastAsia"/>
          <w:color w:val="000000"/>
          <w:sz w:val="21"/>
          <w:szCs w:val="21"/>
        </w:rPr>
        <w:t xml:space="preserve">中标通知书将成为合同的组成部分。</w:t>
      </w:r>
      <w:r/>
    </w:p>
    <w:p>
      <w:pPr>
        <w:pStyle w:val="928"/>
        <w:numPr>
          <w:ilvl w:val="1"/>
          <w:numId w:val="38"/>
        </w:numPr>
        <w:spacing w:line="400" w:lineRule="exact"/>
        <w:tabs>
          <w:tab w:val="left" w:pos="540" w:leader="none"/>
        </w:tabs>
        <w:rPr>
          <w:rFonts w:hint="eastAsia"/>
          <w:color w:val="000000"/>
          <w:sz w:val="21"/>
          <w:szCs w:val="21"/>
        </w:rPr>
      </w:pPr>
      <w:r>
        <w:rPr>
          <w:rFonts w:hint="eastAsia"/>
          <w:color w:val="000000"/>
          <w:sz w:val="21"/>
          <w:szCs w:val="21"/>
        </w:rPr>
        <w:t xml:space="preserve">招标采购单位对未中标供应商不承担解释未中标原因的义务。</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履约保证金</w:t>
      </w:r>
      <w:r/>
    </w:p>
    <w:p>
      <w:pPr>
        <w:pStyle w:val="928"/>
        <w:numPr>
          <w:ilvl w:val="1"/>
          <w:numId w:val="39"/>
        </w:numPr>
        <w:spacing w:line="400" w:lineRule="exact"/>
        <w:tabs>
          <w:tab w:val="left" w:pos="540" w:leader="none"/>
        </w:tabs>
        <w:rPr>
          <w:rFonts w:hint="eastAsia"/>
          <w:color w:val="000000"/>
          <w:sz w:val="21"/>
          <w:szCs w:val="21"/>
        </w:rPr>
      </w:pPr>
      <w:r>
        <w:rPr>
          <w:rFonts w:hint="eastAsia"/>
          <w:color w:val="000000"/>
          <w:sz w:val="21"/>
          <w:szCs w:val="21"/>
        </w:rPr>
        <w:t xml:space="preserve">履约保证金按投标须知前附表规定执行。</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合同的签订</w:t>
      </w:r>
      <w:r/>
    </w:p>
    <w:p>
      <w:pPr>
        <w:pStyle w:val="928"/>
        <w:numPr>
          <w:ilvl w:val="1"/>
          <w:numId w:val="40"/>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中标供应商应按中标通知书中规定的时间和地点，由法定代</w:t>
      </w:r>
      <w:r>
        <w:rPr>
          <w:rFonts w:hint="eastAsia" w:cs="宋体"/>
          <w:color w:val="000000"/>
          <w:sz w:val="21"/>
          <w:szCs w:val="21"/>
        </w:rPr>
        <w:t xml:space="preserve">表人或代理人与采购人代表签订合同。否则按放弃中标权处理。</w:t>
      </w:r>
      <w:r/>
    </w:p>
    <w:p>
      <w:pPr>
        <w:pStyle w:val="928"/>
        <w:numPr>
          <w:ilvl w:val="1"/>
          <w:numId w:val="41"/>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p>
    <w:p>
      <w:pPr>
        <w:pStyle w:val="928"/>
        <w:numPr>
          <w:ilvl w:val="1"/>
          <w:numId w:val="41"/>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rPr>
          <w:rFonts w:cs="宋体"/>
          <w:color w:val="000000"/>
          <w:sz w:val="21"/>
          <w:szCs w:val="21"/>
        </w:rPr>
      </w:r>
      <w:r/>
    </w:p>
    <w:p>
      <w:pPr>
        <w:pStyle w:val="928"/>
        <w:numPr>
          <w:ilvl w:val="1"/>
          <w:numId w:val="41"/>
        </w:numPr>
        <w:ind w:left="540" w:hanging="540"/>
        <w:spacing w:line="400" w:lineRule="exact"/>
        <w:tabs>
          <w:tab w:val="left" w:pos="540" w:leader="none"/>
        </w:tabs>
        <w:rPr>
          <w:rFonts w:hint="eastAsia" w:cs="宋体"/>
          <w:color w:val="000000"/>
          <w:sz w:val="21"/>
          <w:szCs w:val="21"/>
        </w:rPr>
      </w:pPr>
      <w:r>
        <w:rPr>
          <w:rFonts w:hint="eastAsia"/>
          <w:color w:val="000000"/>
          <w:sz w:val="21"/>
          <w:szCs w:val="21"/>
        </w:rPr>
        <w:t xml:space="preserve">本项目不得转包、分包。</w:t>
      </w:r>
      <w:r>
        <w:rPr>
          <w:rFonts w:hint="eastAsia" w:cs="宋体"/>
          <w:color w:val="000000"/>
          <w:sz w:val="21"/>
          <w:szCs w:val="21"/>
        </w:rPr>
      </w:r>
      <w:r/>
    </w:p>
    <w:p>
      <w:pPr>
        <w:pStyle w:val="928"/>
        <w:numPr>
          <w:ilvl w:val="0"/>
          <w:numId w:val="5"/>
        </w:numPr>
        <w:ind w:left="540" w:hanging="540"/>
        <w:spacing w:line="400" w:lineRule="exact"/>
        <w:tabs>
          <w:tab w:val="left" w:pos="420" w:leader="none"/>
          <w:tab w:val="left" w:pos="540" w:leader="none"/>
        </w:tabs>
        <w:rPr>
          <w:rFonts w:hint="eastAsia" w:cs="宋体"/>
          <w:b/>
          <w:bCs/>
          <w:color w:val="000000"/>
          <w:sz w:val="21"/>
          <w:szCs w:val="21"/>
        </w:rPr>
      </w:pPr>
      <w:r>
        <w:rPr>
          <w:rFonts w:hint="eastAsia" w:cs="宋体"/>
          <w:b/>
          <w:bCs/>
          <w:color w:val="000000"/>
          <w:sz w:val="21"/>
          <w:szCs w:val="21"/>
        </w:rPr>
        <w:t xml:space="preserve">其他事项</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招标代理服务费</w:t>
      </w:r>
      <w:r/>
    </w:p>
    <w:p>
      <w:pPr>
        <w:pStyle w:val="928"/>
        <w:numPr>
          <w:ilvl w:val="1"/>
          <w:numId w:val="42"/>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按前附表的规定支付招标代理服务费</w:t>
      </w:r>
      <w:r>
        <w:rPr>
          <w:rFonts w:hint="eastAsia" w:cs="宋体"/>
          <w:color w:val="000000"/>
          <w:sz w:val="21"/>
          <w:szCs w:val="21"/>
        </w:rPr>
        <w:t xml:space="preserve">。</w:t>
      </w:r>
      <w:r>
        <w:rPr>
          <w:rFonts w:hint="eastAsia" w:cs="宋体"/>
          <w:color w:val="000000"/>
          <w:sz w:val="21"/>
          <w:szCs w:val="21"/>
        </w:rPr>
      </w:r>
      <w:r/>
    </w:p>
    <w:p>
      <w:pPr>
        <w:pStyle w:val="928"/>
        <w:numPr>
          <w:ilvl w:val="0"/>
          <w:numId w:val="7"/>
        </w:numPr>
        <w:ind w:left="540" w:hanging="540"/>
        <w:spacing w:line="400" w:lineRule="exact"/>
        <w:tabs>
          <w:tab w:val="left" w:pos="540" w:leader="none"/>
          <w:tab w:val="left" w:pos="709" w:leader="none"/>
        </w:tabs>
        <w:rPr>
          <w:rFonts w:hint="eastAsia" w:cs="宋体"/>
          <w:b/>
          <w:bCs/>
          <w:color w:val="000000"/>
          <w:sz w:val="21"/>
          <w:szCs w:val="21"/>
        </w:rPr>
      </w:pPr>
      <w:r>
        <w:rPr>
          <w:rFonts w:hint="eastAsia" w:cs="宋体"/>
          <w:b/>
          <w:color w:val="000000"/>
          <w:sz w:val="21"/>
          <w:szCs w:val="21"/>
        </w:rPr>
        <w:t xml:space="preserve">监督</w:t>
      </w:r>
      <w:r>
        <w:rPr>
          <w:rFonts w:hint="eastAsia" w:cs="宋体"/>
          <w:b/>
          <w:bCs/>
          <w:color w:val="000000"/>
          <w:sz w:val="21"/>
          <w:szCs w:val="21"/>
        </w:rPr>
      </w:r>
      <w:r/>
    </w:p>
    <w:p>
      <w:pPr>
        <w:pStyle w:val="928"/>
        <w:numPr>
          <w:ilvl w:val="1"/>
          <w:numId w:val="43"/>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政府有关监督部门将对招投标全过程进行监督。</w:t>
      </w:r>
      <w:r/>
    </w:p>
    <w:p>
      <w:pPr>
        <w:pStyle w:val="928"/>
        <w:numPr>
          <w:ilvl w:val="0"/>
          <w:numId w:val="7"/>
        </w:numPr>
        <w:ind w:left="540" w:hanging="540"/>
        <w:spacing w:line="400" w:lineRule="exact"/>
        <w:tabs>
          <w:tab w:val="left" w:pos="540" w:leader="none"/>
          <w:tab w:val="left" w:pos="709" w:leader="none"/>
        </w:tabs>
        <w:rPr>
          <w:rFonts w:hint="eastAsia" w:cs="宋体"/>
          <w:b/>
          <w:color w:val="000000"/>
          <w:sz w:val="21"/>
          <w:szCs w:val="21"/>
        </w:rPr>
      </w:pPr>
      <w:r>
        <w:rPr>
          <w:rFonts w:hint="eastAsia" w:cs="宋体"/>
          <w:b/>
          <w:color w:val="000000"/>
          <w:sz w:val="21"/>
          <w:szCs w:val="21"/>
        </w:rPr>
        <w:t xml:space="preserve">未尽事宜</w:t>
      </w:r>
      <w:r/>
    </w:p>
    <w:p>
      <w:pPr>
        <w:pStyle w:val="928"/>
        <w:numPr>
          <w:ilvl w:val="1"/>
          <w:numId w:val="44"/>
        </w:numPr>
        <w:spacing w:line="400" w:lineRule="exact"/>
        <w:tabs>
          <w:tab w:val="left" w:pos="540" w:leader="none"/>
        </w:tabs>
        <w:rPr>
          <w:rFonts w:hint="eastAsia" w:cs="宋体"/>
          <w:color w:val="000000"/>
          <w:sz w:val="21"/>
          <w:szCs w:val="21"/>
        </w:rPr>
      </w:pPr>
      <w:r>
        <w:rPr>
          <w:rFonts w:hint="eastAsia" w:cs="宋体"/>
          <w:color w:val="000000"/>
          <w:sz w:val="21"/>
          <w:szCs w:val="21"/>
        </w:rPr>
        <w:t xml:space="preserve">按《中华人民共和国政府采购法》及其他有关法律法规的规定执行。</w:t>
      </w:r>
      <w:r/>
    </w:p>
    <w:p>
      <w:pPr>
        <w:pStyle w:val="929"/>
        <w:numPr>
          <w:ilvl w:val="0"/>
          <w:numId w:val="0"/>
        </w:numPr>
        <w:jc w:val="center"/>
        <w:tabs>
          <w:tab w:val="left" w:pos="432" w:leader="none"/>
        </w:tabs>
        <w:rPr>
          <w:rFonts w:hint="eastAsia" w:cs="宋体"/>
          <w:b w:val="0"/>
          <w:bCs/>
          <w:color w:val="000000"/>
          <w:szCs w:val="44"/>
        </w:rPr>
      </w:pPr>
      <w:r>
        <w:rPr>
          <w:rFonts w:hint="eastAsia" w:cs="宋体"/>
          <w:b w:val="0"/>
          <w:bCs/>
          <w:color w:val="000000"/>
          <w:szCs w:val="44"/>
        </w:rPr>
        <w:br w:type="page" w:clear="all"/>
      </w:r>
      <w:r>
        <w:rPr>
          <w:rFonts w:hint="eastAsia" w:ascii="宋体" w:hAnsi="宋体" w:cs="宋体"/>
          <w:color w:val="000000"/>
        </w:rPr>
        <w:t xml:space="preserve">第三章 </w:t>
      </w:r>
      <w:bookmarkStart w:id="7" w:name="投标文件格式"/>
      <w:r>
        <w:rPr>
          <w:rFonts w:hint="eastAsia" w:ascii="宋体" w:hAnsi="宋体" w:cs="宋体"/>
          <w:color w:val="000000"/>
        </w:rPr>
        <w:t xml:space="preserve">投标文件格式</w:t>
      </w:r>
      <w:bookmarkEnd w:id="7"/>
      <w:r>
        <w:rPr>
          <w:rFonts w:hint="eastAsia" w:cs="宋体"/>
          <w:b w:val="0"/>
          <w:bCs/>
          <w:color w:val="000000"/>
          <w:szCs w:val="44"/>
        </w:rPr>
      </w:r>
      <w:r/>
    </w:p>
    <w:p>
      <w:pPr>
        <w:pStyle w:val="928"/>
        <w:ind w:firstLine="422"/>
        <w:spacing w:line="400" w:lineRule="exact"/>
        <w:rPr>
          <w:rFonts w:hint="eastAsia" w:cs="宋体"/>
          <w:b/>
          <w:bCs/>
          <w:color w:val="000000"/>
          <w:sz w:val="21"/>
          <w:szCs w:val="21"/>
        </w:rPr>
      </w:pPr>
      <w:r>
        <w:rPr>
          <w:rFonts w:hint="eastAsia" w:cs="宋体"/>
          <w:b/>
          <w:bCs/>
          <w:color w:val="000000"/>
          <w:sz w:val="21"/>
          <w:szCs w:val="21"/>
        </w:rPr>
        <w:t xml:space="preserve">说明：</w:t>
      </w:r>
      <w:r/>
    </w:p>
    <w:p>
      <w:pPr>
        <w:pStyle w:val="928"/>
        <w:ind w:firstLine="420"/>
        <w:spacing w:line="400" w:lineRule="exact"/>
        <w:rPr>
          <w:rFonts w:hint="eastAsia" w:cs="宋体"/>
          <w:color w:val="000000"/>
          <w:sz w:val="21"/>
          <w:szCs w:val="21"/>
        </w:rPr>
      </w:pPr>
      <w:r>
        <w:rPr>
          <w:rFonts w:hint="eastAsia" w:cs="宋体"/>
          <w:color w:val="000000"/>
          <w:sz w:val="21"/>
          <w:szCs w:val="21"/>
        </w:rPr>
        <w:t xml:space="preserve">对本章所有的投标书格式，投标方可根据自身情况进行补充和修改，但补充和修改不得造成与本格式内容有实质性的违背。编制投标文件时，</w:t>
      </w:r>
      <w:r>
        <w:rPr>
          <w:rFonts w:hint="eastAsia" w:cs="宋体"/>
          <w:color w:val="000000"/>
          <w:sz w:val="21"/>
          <w:szCs w:val="21"/>
        </w:rPr>
        <w:t xml:space="preserve">请按评分项的打分要求，在标书内附注评分目录表，以便评委评分时查找到相对应的页码。</w:t>
      </w:r>
      <w:r/>
    </w:p>
    <w:p>
      <w:pPr>
        <w:pStyle w:val="928"/>
        <w:rPr>
          <w:rFonts w:hint="eastAsia" w:cs="宋体"/>
          <w:b/>
          <w:color w:val="000000"/>
          <w:sz w:val="21"/>
          <w:szCs w:val="21"/>
        </w:rPr>
      </w:pPr>
      <w:r>
        <w:rPr>
          <w:rFonts w:hint="eastAsia" w:cs="宋体"/>
          <w:b/>
          <w:color w:val="000000"/>
          <w:sz w:val="21"/>
          <w:szCs w:val="21"/>
        </w:rPr>
        <w:br w:type="page" w:clear="all"/>
        <w:t xml:space="preserve">附件1、投标函</w:t>
      </w:r>
      <w:r/>
    </w:p>
    <w:p>
      <w:pPr>
        <w:pStyle w:val="928"/>
        <w:ind w:left="480"/>
        <w:rPr>
          <w:rFonts w:hint="eastAsia" w:cs="宋体"/>
          <w:color w:val="000000"/>
          <w:sz w:val="21"/>
          <w:szCs w:val="21"/>
        </w:rPr>
      </w:pPr>
      <w:r>
        <w:rPr>
          <w:rFonts w:hint="eastAsia" w:cs="宋体"/>
          <w:color w:val="000000"/>
          <w:sz w:val="21"/>
          <w:szCs w:val="21"/>
        </w:rPr>
      </w:r>
      <w:r/>
    </w:p>
    <w:p>
      <w:pPr>
        <w:pStyle w:val="979"/>
        <w:ind w:left="0" w:firstLine="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苏州乐族工程咨询有限公司：</w:t>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我方全面研究了 </w:t>
      </w:r>
      <w:r>
        <w:rPr>
          <w:rFonts w:hint="eastAsia" w:ascii="宋体" w:hAnsi="宋体" w:cs="宋体"/>
          <w:color w:val="000000"/>
          <w:sz w:val="21"/>
          <w:szCs w:val="21"/>
          <w:u w:val="single"/>
        </w:rPr>
        <w:t xml:space="preserve">JSZC-320585-SZLZ-G2026-0009</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项目招标文件，</w:t>
      </w:r>
      <w:r>
        <w:rPr>
          <w:rFonts w:hint="eastAsia" w:ascii="宋体" w:hAnsi="宋体"/>
          <w:bCs/>
          <w:color w:val="000000"/>
          <w:sz w:val="21"/>
          <w:szCs w:val="21"/>
        </w:rPr>
        <w:t xml:space="preserve">决定参加贵单位组织的本项目投标</w:t>
      </w:r>
      <w:r>
        <w:rPr>
          <w:rFonts w:hint="eastAsia" w:ascii="宋体" w:hAnsi="宋体" w:cs="宋体"/>
          <w:bCs/>
          <w:color w:val="000000"/>
          <w:sz w:val="21"/>
          <w:szCs w:val="21"/>
        </w:rPr>
        <w:t xml:space="preserve">。</w:t>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p>
    <w:p>
      <w:pPr>
        <w:pStyle w:val="979"/>
        <w:ind w:left="0" w:firstLine="525"/>
        <w:spacing w:line="360" w:lineRule="auto"/>
        <w:rPr>
          <w:rFonts w:hint="eastAsia"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p>
    <w:p>
      <w:pPr>
        <w:pStyle w:val="1173"/>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173"/>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int="eastAsia" w:hAnsi="宋体" w:eastAsia="宋体" w:cs="宋体"/>
          <w:color w:val="000000"/>
          <w:sz w:val="21"/>
          <w:szCs w:val="21"/>
          <w:u w:val="single"/>
        </w:rPr>
        <w:t xml:space="preserve">  60  </w:t>
      </w:r>
      <w:r>
        <w:rPr>
          <w:rFonts w:hint="eastAsia" w:hAnsi="宋体" w:eastAsia="宋体" w:cs="宋体"/>
          <w:color w:val="000000"/>
          <w:sz w:val="21"/>
          <w:szCs w:val="21"/>
        </w:rPr>
        <w:t xml:space="preserve">天。</w:t>
      </w:r>
      <w:r/>
    </w:p>
    <w:p>
      <w:pPr>
        <w:pStyle w:val="1173"/>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p>
    <w:p>
      <w:pPr>
        <w:pStyle w:val="1173"/>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p>
    <w:p>
      <w:pPr>
        <w:pStyle w:val="1173"/>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7、我们愿意按招标文件的规定交纳投标保证金，并同意遵守招标文件中投标保证金的有关规定。</w:t>
      </w:r>
      <w:r/>
    </w:p>
    <w:p>
      <w:pPr>
        <w:pStyle w:val="1173"/>
        <w:ind w:firstLine="52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8、我们承诺该项投标在开标后的全过程中保持有效，不作任何更改和变动。</w:t>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9、我方愿意提供贵单位可能另外要求的，与投标有关的文件资料，并保证我方已提供和将要提供的文件资料是真实、准确的。</w:t>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投标人名称：        （盖章）</w:t>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通讯地址：</w:t>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邮政编码：</w:t>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联系电话：</w:t>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传    真：</w:t>
      </w:r>
      <w:r/>
    </w:p>
    <w:p>
      <w:pPr>
        <w:pStyle w:val="979"/>
        <w:ind w:left="0" w:firstLine="525"/>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日    期：</w:t>
      </w:r>
      <w:r/>
    </w:p>
    <w:p>
      <w:pPr>
        <w:pStyle w:val="928"/>
        <w:ind w:firstLine="525"/>
        <w:spacing w:line="360" w:lineRule="auto"/>
        <w:rPr>
          <w:rFonts w:hint="eastAsia"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p>
    <w:p>
      <w:pPr>
        <w:pStyle w:val="943"/>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43"/>
        <w:ind w:firstLine="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p>
    <w:p>
      <w:pPr>
        <w:pStyle w:val="943"/>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43"/>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rPr>
        <w:t xml:space="preserve"> 苏州乐族工程咨询有限公司</w:t>
      </w:r>
      <w:r>
        <w:rPr>
          <w:rFonts w:hint="eastAsia" w:ascii="宋体" w:hAnsi="宋体" w:eastAsia="宋体" w:cs="宋体"/>
          <w:i/>
          <w:color w:val="000000"/>
          <w:sz w:val="21"/>
          <w:szCs w:val="21"/>
          <w:u w:val="single"/>
        </w:rPr>
        <w:t xml:space="preserve"> </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JSZC-320585-SZLZ-G2026-0009</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w:t>
      </w:r>
      <w:r>
        <w:rPr>
          <w:rFonts w:hint="eastAsia" w:ascii="宋体" w:hAnsi="宋体" w:eastAsia="宋体"/>
          <w:color w:val="000000"/>
          <w:sz w:val="21"/>
          <w:szCs w:val="21"/>
        </w:rPr>
        <w:t xml:space="preserve">的招标活动</w:t>
      </w:r>
      <w:r>
        <w:rPr>
          <w:rFonts w:hint="eastAsia" w:ascii="宋体" w:hAnsi="宋体" w:eastAsia="宋体" w:cs="宋体"/>
          <w:color w:val="000000"/>
          <w:sz w:val="21"/>
          <w:szCs w:val="21"/>
        </w:rPr>
        <w:t xml:space="preserve">。代理人在开标、评标、合同谈判过程中所签署的一切文件和处理与这有关的一切事务，我均予以承认。</w:t>
      </w:r>
      <w:r/>
    </w:p>
    <w:p>
      <w:pPr>
        <w:pStyle w:val="943"/>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943"/>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p>
    <w:p>
      <w:pPr>
        <w:pStyle w:val="943"/>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943"/>
        <w:jc w:val="both"/>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p>
    <w:p>
      <w:pPr>
        <w:pStyle w:val="943"/>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943"/>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943"/>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43"/>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43"/>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4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年    月     日</w:t>
      </w:r>
      <w:r/>
    </w:p>
    <w:p>
      <w:pPr>
        <w:pStyle w:val="928"/>
        <w:rPr>
          <w:rFonts w:hint="eastAsia"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p>
    <w:p>
      <w:pPr>
        <w:pStyle w:val="928"/>
        <w:jc w:val="center"/>
        <w:spacing w:line="480" w:lineRule="auto"/>
        <w:rPr>
          <w:rFonts w:hint="eastAsia" w:cs="宋体"/>
          <w:b/>
          <w:color w:val="000000"/>
          <w:sz w:val="21"/>
          <w:szCs w:val="21"/>
        </w:rPr>
      </w:pPr>
      <w:r>
        <w:rPr>
          <w:rFonts w:hint="eastAsia" w:cs="宋体"/>
          <w:b/>
          <w:color w:val="000000"/>
          <w:sz w:val="21"/>
          <w:szCs w:val="21"/>
        </w:rPr>
        <w:t xml:space="preserve">开标一览表</w:t>
      </w:r>
      <w:r/>
    </w:p>
    <w:tbl>
      <w:tblPr>
        <w:tblW w:w="814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863"/>
        <w:gridCol w:w="6284"/>
      </w:tblGrid>
      <w:tr>
        <w:trPr>
          <w:trHeight w:val="567"/>
        </w:trPr>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6284" w:type="dxa"/>
            <w:vAlign w:val="center"/>
            <w:textDirection w:val="lrTb"/>
            <w:noWrap w:val="false"/>
          </w:tcPr>
          <w:p>
            <w:pPr>
              <w:pStyle w:val="928"/>
              <w:widowControl/>
              <w:rPr>
                <w:rFonts w:hint="eastAsia" w:cs="宋体"/>
                <w:color w:val="000000"/>
                <w:sz w:val="21"/>
                <w:szCs w:val="21"/>
              </w:rPr>
            </w:pPr>
            <w:r>
              <w:rPr>
                <w:rFonts w:hint="eastAsia" w:cs="宋体"/>
                <w:color w:val="000000"/>
                <w:sz w:val="21"/>
                <w:szCs w:val="21"/>
              </w:rPr>
              <w:t xml:space="preserve">2026年监控及信息化系统维保</w:t>
            </w:r>
            <w:r/>
          </w:p>
        </w:tc>
      </w:tr>
      <w:tr>
        <w:trPr>
          <w:trHeight w:val="567"/>
        </w:trPr>
        <w:tc>
          <w:tcPr>
            <w:tcBorders>
              <w:top w:val="single" w:color="000000" w:sz="4" w:space="0"/>
              <w:left w:val="single" w:color="000000" w:sz="4" w:space="0"/>
              <w:bottom w:val="single" w:color="000000" w:sz="4" w:space="0"/>
              <w:right w:val="single" w:color="000000" w:sz="4" w:space="0"/>
            </w:tcBorders>
            <w:tcW w:w="1863" w:type="dxa"/>
            <w:vAlign w:val="center"/>
            <w:textDirection w:val="lrTb"/>
            <w:noWrap w:val="false"/>
          </w:tcPr>
          <w:p>
            <w:pPr>
              <w:pStyle w:val="928"/>
              <w:jc w:val="center"/>
              <w:widowControl/>
              <w:rPr>
                <w:rFonts w:cs="宋体"/>
                <w:color w:val="000000"/>
                <w:sz w:val="21"/>
                <w:szCs w:val="21"/>
              </w:rPr>
            </w:pPr>
            <w:r>
              <w:rPr>
                <w:rFonts w:hint="eastAsia" w:cs="宋体"/>
                <w:color w:val="000000"/>
                <w:sz w:val="21"/>
                <w:szCs w:val="21"/>
              </w:rPr>
              <w:t xml:space="preserve">投标报价（元）</w:t>
            </w:r>
            <w:r>
              <w:rPr>
                <w:rFonts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6284" w:type="dxa"/>
            <w:vAlign w:val="center"/>
            <w:textDirection w:val="lrTb"/>
            <w:noWrap w:val="false"/>
          </w:tcPr>
          <w:p>
            <w:pPr>
              <w:pStyle w:val="928"/>
              <w:widowControl/>
              <w:rPr>
                <w:rFonts w:hint="eastAsia" w:cs="宋体"/>
                <w:color w:val="000000"/>
                <w:sz w:val="21"/>
                <w:szCs w:val="21"/>
              </w:rPr>
            </w:pPr>
            <w:r>
              <w:rPr>
                <w:rFonts w:hint="eastAsia" w:cs="宋体"/>
                <w:color w:val="000000"/>
                <w:sz w:val="21"/>
                <w:szCs w:val="21"/>
              </w:rPr>
            </w:r>
            <w:r/>
          </w:p>
        </w:tc>
      </w:tr>
    </w:tbl>
    <w:p>
      <w:pPr>
        <w:pStyle w:val="928"/>
        <w:ind w:firstLine="420"/>
        <w:jc w:val="left"/>
        <w:spacing w:line="360" w:lineRule="auto"/>
        <w:rPr>
          <w:rFonts w:cs="宋体"/>
          <w:color w:val="000000"/>
          <w:sz w:val="21"/>
          <w:szCs w:val="21"/>
        </w:rPr>
      </w:pPr>
      <w:r>
        <w:rPr>
          <w:rFonts w:cs="宋体"/>
          <w:color w:val="000000"/>
          <w:sz w:val="21"/>
          <w:szCs w:val="21"/>
        </w:rPr>
      </w:r>
      <w:r/>
    </w:p>
    <w:p>
      <w:pPr>
        <w:pStyle w:val="928"/>
        <w:ind w:firstLine="420"/>
        <w:jc w:val="left"/>
        <w:spacing w:line="360" w:lineRule="auto"/>
        <w:rPr>
          <w:rFonts w:hint="eastAsia" w:cs="宋体"/>
          <w:color w:val="000000"/>
          <w:sz w:val="21"/>
          <w:szCs w:val="21"/>
        </w:rPr>
      </w:pPr>
      <w:r>
        <w:rPr>
          <w:rFonts w:hint="eastAsia" w:cs="宋体"/>
          <w:color w:val="000000"/>
          <w:sz w:val="21"/>
          <w:szCs w:val="21"/>
        </w:rPr>
      </w:r>
      <w:r/>
    </w:p>
    <w:p>
      <w:pPr>
        <w:pStyle w:val="928"/>
        <w:ind w:firstLine="420"/>
        <w:jc w:val="left"/>
        <w:spacing w:line="360" w:lineRule="auto"/>
        <w:rPr>
          <w:rFonts w:hint="eastAsia" w:cs="宋体"/>
          <w:color w:val="000000"/>
          <w:sz w:val="21"/>
          <w:szCs w:val="21"/>
        </w:rPr>
      </w:pPr>
      <w:r>
        <w:rPr>
          <w:rFonts w:hint="eastAsia" w:cs="宋体"/>
          <w:color w:val="000000"/>
          <w:sz w:val="21"/>
          <w:szCs w:val="21"/>
        </w:rPr>
        <w:t xml:space="preserve">投标人名称：            （盖章）</w:t>
      </w:r>
      <w:r/>
    </w:p>
    <w:p>
      <w:pPr>
        <w:pStyle w:val="928"/>
        <w:ind w:firstLine="420"/>
        <w:jc w:val="left"/>
        <w:spacing w:line="360" w:lineRule="auto"/>
        <w:rPr>
          <w:rFonts w:hint="eastAsia" w:cs="宋体"/>
          <w:color w:val="000000"/>
          <w:sz w:val="21"/>
          <w:szCs w:val="21"/>
        </w:rPr>
      </w:pPr>
      <w:r>
        <w:rPr>
          <w:rFonts w:hint="eastAsia" w:cs="宋体"/>
          <w:color w:val="000000"/>
          <w:sz w:val="21"/>
          <w:szCs w:val="21"/>
        </w:rPr>
        <w:t xml:space="preserve">法定代表人或代理人（签字或盖章）：</w:t>
      </w:r>
      <w:r/>
    </w:p>
    <w:p>
      <w:pPr>
        <w:pStyle w:val="928"/>
        <w:ind w:firstLine="420"/>
        <w:jc w:val="left"/>
        <w:spacing w:line="360" w:lineRule="auto"/>
        <w:rPr>
          <w:rFonts w:hint="eastAsia" w:cs="宋体"/>
          <w:color w:val="000000"/>
          <w:sz w:val="21"/>
          <w:szCs w:val="21"/>
        </w:rPr>
      </w:pPr>
      <w:r>
        <w:rPr>
          <w:rFonts w:hint="eastAsia" w:cs="宋体"/>
          <w:color w:val="000000"/>
          <w:sz w:val="21"/>
          <w:szCs w:val="21"/>
        </w:rPr>
        <w:t xml:space="preserve">日期：    年    月    日</w:t>
      </w:r>
      <w:r/>
    </w:p>
    <w:p>
      <w:pPr>
        <w:pStyle w:val="928"/>
        <w:spacing w:line="440" w:lineRule="exact"/>
        <w:rPr>
          <w:rFonts w:cs="宋体"/>
          <w:b/>
          <w:color w:val="000000"/>
          <w:sz w:val="21"/>
          <w:szCs w:val="21"/>
        </w:rPr>
      </w:pPr>
      <w:r>
        <w:rPr>
          <w:rFonts w:hint="eastAsia" w:cs="宋体"/>
          <w:b/>
          <w:color w:val="000000"/>
          <w:sz w:val="21"/>
          <w:szCs w:val="21"/>
        </w:rPr>
        <w:br w:type="page" w:clear="all"/>
        <w:t xml:space="preserve">附件4、投标报价分析表</w:t>
      </w:r>
      <w:r>
        <w:rPr>
          <w:rFonts w:cs="宋体"/>
          <w:b/>
          <w:color w:val="000000"/>
          <w:sz w:val="21"/>
          <w:szCs w:val="21"/>
        </w:rPr>
      </w:r>
      <w:r/>
    </w:p>
    <w:p>
      <w:pPr>
        <w:pStyle w:val="928"/>
        <w:ind w:firstLine="420"/>
        <w:jc w:val="left"/>
        <w:spacing w:line="360" w:lineRule="auto"/>
        <w:rPr>
          <w:color w:val="000000"/>
          <w:sz w:val="21"/>
          <w:szCs w:val="21"/>
        </w:rPr>
      </w:pPr>
      <w:r>
        <w:rPr>
          <w:color w:val="000000"/>
          <w:sz w:val="21"/>
          <w:szCs w:val="21"/>
        </w:rPr>
      </w:r>
      <w:r/>
    </w:p>
    <w:p>
      <w:pPr>
        <w:pStyle w:val="928"/>
        <w:jc w:val="center"/>
        <w:spacing w:line="480" w:lineRule="auto"/>
        <w:rPr>
          <w:b/>
          <w:color w:val="000000"/>
          <w:sz w:val="21"/>
          <w:szCs w:val="21"/>
        </w:rPr>
      </w:pPr>
      <w:r>
        <w:rPr>
          <w:rFonts w:hint="eastAsia"/>
          <w:b/>
          <w:color w:val="000000"/>
          <w:sz w:val="21"/>
          <w:szCs w:val="21"/>
        </w:rPr>
        <w:t xml:space="preserve">投标报价分析表</w:t>
      </w:r>
      <w:r>
        <w:rPr>
          <w:b/>
          <w:color w:val="000000"/>
          <w:sz w:val="21"/>
          <w:szCs w:val="21"/>
        </w:rPr>
      </w:r>
      <w:r/>
    </w:p>
    <w:p>
      <w:pPr>
        <w:pStyle w:val="928"/>
        <w:jc w:val="center"/>
        <w:spacing w:line="480" w:lineRule="auto"/>
        <w:rPr>
          <w:bCs/>
          <w:color w:val="000000"/>
          <w:sz w:val="21"/>
          <w:szCs w:val="21"/>
        </w:rPr>
      </w:pPr>
      <w:r>
        <w:rPr>
          <w:rFonts w:hint="eastAsia"/>
          <w:bCs/>
          <w:color w:val="000000"/>
          <w:sz w:val="21"/>
          <w:szCs w:val="21"/>
        </w:rPr>
        <w:t xml:space="preserve">采购编号</w:t>
      </w:r>
      <w:r>
        <w:rPr>
          <w:bCs/>
          <w:color w:val="000000"/>
          <w:sz w:val="21"/>
          <w:szCs w:val="21"/>
        </w:rPr>
        <w:t xml:space="preserve">:                                            </w:t>
      </w:r>
      <w:r>
        <w:rPr>
          <w:bCs/>
          <w:color w:val="000000"/>
          <w:sz w:val="21"/>
          <w:szCs w:val="21"/>
        </w:rPr>
        <w:t xml:space="preserve">               </w:t>
      </w:r>
      <w:r>
        <w:rPr>
          <w:rFonts w:hint="eastAsia"/>
          <w:bCs/>
          <w:color w:val="000000"/>
          <w:sz w:val="21"/>
          <w:szCs w:val="21"/>
        </w:rPr>
        <w:t xml:space="preserve">价格单位：元</w:t>
      </w:r>
      <w:r>
        <w:rPr>
          <w:bCs/>
          <w:color w:val="000000"/>
          <w:sz w:val="21"/>
          <w:szCs w:val="21"/>
        </w:rPr>
      </w:r>
      <w:r/>
    </w:p>
    <w:tbl>
      <w:tblPr>
        <w:tblW w:w="890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2179"/>
        <w:gridCol w:w="1106"/>
        <w:gridCol w:w="1252"/>
        <w:gridCol w:w="1058"/>
        <w:gridCol w:w="1724"/>
        <w:gridCol w:w="881"/>
      </w:tblGrid>
      <w:tr>
        <w:trPr>
          <w:trHeight w:val="566"/>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pStyle w:val="928"/>
              <w:jc w:val="center"/>
              <w:rPr>
                <w:bCs/>
                <w:color w:val="000000"/>
                <w:sz w:val="21"/>
                <w:szCs w:val="21"/>
              </w:rPr>
            </w:pPr>
            <w:r>
              <w:rPr>
                <w:bCs/>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2179" w:type="dxa"/>
            <w:vAlign w:val="center"/>
            <w:textDirection w:val="lrTb"/>
            <w:noWrap w:val="false"/>
          </w:tcPr>
          <w:p>
            <w:pPr>
              <w:pStyle w:val="928"/>
              <w:jc w:val="center"/>
              <w:rPr>
                <w:bCs/>
                <w:color w:val="000000"/>
                <w:sz w:val="21"/>
                <w:szCs w:val="21"/>
              </w:rPr>
            </w:pPr>
            <w:r>
              <w:rPr>
                <w:rFonts w:hint="eastAsia"/>
                <w:bCs/>
                <w:color w:val="000000"/>
                <w:sz w:val="21"/>
                <w:szCs w:val="21"/>
              </w:rPr>
              <w:t xml:space="preserve">分项</w:t>
            </w:r>
            <w:r>
              <w:rPr>
                <w:bCs/>
                <w:color w:val="000000"/>
                <w:sz w:val="21"/>
                <w:szCs w:val="21"/>
              </w:rPr>
              <w:t xml:space="preserve">名称</w:t>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28"/>
              <w:jc w:val="center"/>
              <w:rPr>
                <w:bCs/>
                <w:color w:val="000000"/>
                <w:sz w:val="21"/>
                <w:szCs w:val="21"/>
              </w:rPr>
            </w:pPr>
            <w:r>
              <w:rPr>
                <w:bCs/>
                <w:color w:val="000000"/>
                <w:sz w:val="21"/>
                <w:szCs w:val="21"/>
              </w:rPr>
              <w:t xml:space="preserve">数量</w:t>
            </w:r>
            <w:r/>
          </w:p>
        </w:tc>
        <w:tc>
          <w:tcPr>
            <w:tcBorders>
              <w:top w:val="single" w:color="000000" w:sz="6" w:space="0"/>
              <w:left w:val="single" w:color="000000" w:sz="6" w:space="0"/>
              <w:bottom w:val="single" w:color="000000" w:sz="6" w:space="0"/>
              <w:right w:val="single" w:color="000000" w:sz="6" w:space="0"/>
            </w:tcBorders>
            <w:tcW w:w="1252" w:type="dxa"/>
            <w:vAlign w:val="center"/>
            <w:textDirection w:val="lrTb"/>
            <w:noWrap w:val="false"/>
          </w:tcPr>
          <w:p>
            <w:pPr>
              <w:pStyle w:val="928"/>
              <w:jc w:val="center"/>
              <w:rPr>
                <w:bCs/>
                <w:color w:val="000000"/>
                <w:sz w:val="21"/>
                <w:szCs w:val="21"/>
              </w:rPr>
            </w:pPr>
            <w:r>
              <w:rPr>
                <w:bCs/>
                <w:color w:val="000000"/>
                <w:sz w:val="21"/>
                <w:szCs w:val="21"/>
              </w:rPr>
              <w:t xml:space="preserve">单位</w:t>
            </w:r>
            <w:r/>
          </w:p>
        </w:tc>
        <w:tc>
          <w:tcPr>
            <w:tcBorders>
              <w:top w:val="single" w:color="000000" w:sz="6" w:space="0"/>
              <w:left w:val="single" w:color="000000" w:sz="6" w:space="0"/>
              <w:bottom w:val="single" w:color="000000" w:sz="6" w:space="0"/>
              <w:right w:val="single" w:color="000000" w:sz="4" w:space="0"/>
            </w:tcBorders>
            <w:tcW w:w="1058" w:type="dxa"/>
            <w:vAlign w:val="center"/>
            <w:textDirection w:val="lrTb"/>
            <w:noWrap w:val="false"/>
          </w:tcPr>
          <w:p>
            <w:pPr>
              <w:pStyle w:val="928"/>
              <w:jc w:val="center"/>
              <w:rPr>
                <w:bCs/>
                <w:color w:val="000000"/>
                <w:sz w:val="21"/>
                <w:szCs w:val="21"/>
              </w:rPr>
            </w:pPr>
            <w:r>
              <w:rPr>
                <w:bCs/>
                <w:color w:val="000000"/>
                <w:sz w:val="21"/>
                <w:szCs w:val="21"/>
              </w:rPr>
              <w:t xml:space="preserve">单价</w:t>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28"/>
              <w:jc w:val="center"/>
              <w:rPr>
                <w:bCs/>
                <w:color w:val="000000"/>
                <w:sz w:val="21"/>
                <w:szCs w:val="21"/>
              </w:rPr>
            </w:pPr>
            <w:r>
              <w:rPr>
                <w:rFonts w:hint="eastAsia"/>
                <w:bCs/>
                <w:color w:val="000000"/>
                <w:sz w:val="21"/>
                <w:szCs w:val="21"/>
              </w:rPr>
              <w:t xml:space="preserve">合</w:t>
            </w:r>
            <w:r>
              <w:rPr>
                <w:bCs/>
                <w:color w:val="000000"/>
                <w:sz w:val="21"/>
                <w:szCs w:val="21"/>
              </w:rPr>
              <w:t xml:space="preserve">价</w:t>
            </w:r>
            <w:r/>
          </w:p>
        </w:tc>
        <w:tc>
          <w:tcPr>
            <w:tcBorders>
              <w:top w:val="single" w:color="000000" w:sz="6" w:space="0"/>
              <w:left w:val="single" w:color="000000" w:sz="6" w:space="0"/>
              <w:bottom w:val="single" w:color="000000" w:sz="6" w:space="0"/>
              <w:right w:val="single" w:color="000000" w:sz="4" w:space="0"/>
            </w:tcBorders>
            <w:tcW w:w="881" w:type="dxa"/>
            <w:vAlign w:val="center"/>
            <w:textDirection w:val="lrTb"/>
            <w:noWrap w:val="false"/>
          </w:tcPr>
          <w:p>
            <w:pPr>
              <w:pStyle w:val="928"/>
              <w:jc w:val="center"/>
              <w:rPr>
                <w:bCs/>
                <w:color w:val="000000"/>
                <w:sz w:val="21"/>
                <w:szCs w:val="21"/>
              </w:rPr>
            </w:pPr>
            <w:r>
              <w:rPr>
                <w:bCs/>
                <w:color w:val="000000"/>
                <w:sz w:val="21"/>
                <w:szCs w:val="21"/>
              </w:rPr>
              <w:t xml:space="preserve">备注</w:t>
            </w:r>
            <w:r/>
          </w:p>
        </w:tc>
      </w:tr>
      <w:tr>
        <w:trPr>
          <w:trHeight w:val="480"/>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pStyle w:val="928"/>
              <w:jc w:val="center"/>
              <w:spacing w:line="380" w:lineRule="exact"/>
              <w:rPr>
                <w:bCs/>
                <w:color w:val="000000"/>
                <w:sz w:val="21"/>
                <w:szCs w:val="21"/>
              </w:rPr>
            </w:pPr>
            <w:r>
              <w:rPr>
                <w:rFonts w:hint="eastAsia"/>
                <w:bCs/>
                <w:color w:val="000000"/>
                <w:sz w:val="21"/>
                <w:szCs w:val="21"/>
              </w:rPr>
              <w:t xml:space="preserve">1</w:t>
            </w: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2179" w:type="dxa"/>
            <w:vAlign w:val="center"/>
            <w:textDirection w:val="lrTb"/>
            <w:noWrap w:val="false"/>
          </w:tcPr>
          <w:p>
            <w:pPr>
              <w:pStyle w:val="928"/>
              <w:ind w:right="-228"/>
              <w:jc w:val="center"/>
              <w:spacing w:line="380" w:lineRule="exact"/>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28"/>
              <w:jc w:val="center"/>
              <w:spacing w:line="380" w:lineRule="exact"/>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252" w:type="dxa"/>
            <w:vAlign w:val="center"/>
            <w:textDirection w:val="lrTb"/>
            <w:noWrap w:val="false"/>
          </w:tcPr>
          <w:p>
            <w:pPr>
              <w:pStyle w:val="928"/>
              <w:jc w:val="center"/>
              <w:spacing w:line="380" w:lineRule="exact"/>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58" w:type="dxa"/>
            <w:vAlign w:val="center"/>
            <w:textDirection w:val="lrTb"/>
            <w:noWrap w:val="false"/>
          </w:tcPr>
          <w:p>
            <w:pPr>
              <w:pStyle w:val="928"/>
              <w:jc w:val="center"/>
              <w:spacing w:line="380" w:lineRule="exact"/>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928"/>
              <w:jc w:val="center"/>
              <w:spacing w:line="380" w:lineRule="exact"/>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4" w:space="0"/>
            </w:tcBorders>
            <w:tcW w:w="881" w:type="dxa"/>
            <w:vAlign w:val="center"/>
            <w:textDirection w:val="lrTb"/>
            <w:noWrap w:val="false"/>
          </w:tcPr>
          <w:p>
            <w:pPr>
              <w:pStyle w:val="928"/>
              <w:jc w:val="center"/>
              <w:spacing w:line="380" w:lineRule="exact"/>
              <w:rPr>
                <w:bCs/>
                <w:color w:val="000000"/>
                <w:sz w:val="21"/>
                <w:szCs w:val="21"/>
              </w:rPr>
            </w:pPr>
            <w:r>
              <w:rPr>
                <w:bCs/>
                <w:color w:val="000000"/>
                <w:sz w:val="21"/>
                <w:szCs w:val="21"/>
              </w:rPr>
            </w:r>
            <w:r/>
          </w:p>
        </w:tc>
      </w:tr>
      <w:tr>
        <w:trPr>
          <w:trHeight w:val="480"/>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pStyle w:val="928"/>
              <w:jc w:val="center"/>
              <w:rPr>
                <w:bCs/>
                <w:color w:val="000000"/>
                <w:sz w:val="21"/>
                <w:szCs w:val="21"/>
              </w:rPr>
            </w:pPr>
            <w:r>
              <w:rPr>
                <w:rFonts w:hint="eastAsia"/>
                <w:bCs/>
                <w:color w:val="000000"/>
                <w:sz w:val="21"/>
                <w:szCs w:val="21"/>
              </w:rPr>
              <w:t xml:space="preserve">2</w:t>
            </w: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2179"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252"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58"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4" w:space="0"/>
            </w:tcBorders>
            <w:tcW w:w="881" w:type="dxa"/>
            <w:vAlign w:val="center"/>
            <w:textDirection w:val="lrTb"/>
            <w:noWrap w:val="false"/>
          </w:tcPr>
          <w:p>
            <w:pPr>
              <w:pStyle w:val="928"/>
              <w:jc w:val="center"/>
              <w:rPr>
                <w:bCs/>
                <w:color w:val="000000"/>
                <w:sz w:val="21"/>
                <w:szCs w:val="21"/>
              </w:rPr>
            </w:pPr>
            <w:r>
              <w:rPr>
                <w:bCs/>
                <w:color w:val="000000"/>
                <w:sz w:val="21"/>
                <w:szCs w:val="21"/>
              </w:rPr>
            </w:r>
            <w:r/>
          </w:p>
        </w:tc>
      </w:tr>
      <w:tr>
        <w:trPr>
          <w:trHeight w:val="480"/>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pStyle w:val="928"/>
              <w:jc w:val="center"/>
              <w:rPr>
                <w:bCs/>
                <w:color w:val="000000"/>
                <w:sz w:val="21"/>
                <w:szCs w:val="21"/>
              </w:rPr>
            </w:pPr>
            <w:r>
              <w:rPr>
                <w:rFonts w:hint="eastAsia"/>
                <w:bCs/>
                <w:color w:val="000000"/>
                <w:sz w:val="21"/>
                <w:szCs w:val="21"/>
              </w:rPr>
              <w:t xml:space="preserve">3</w:t>
            </w: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2179"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252"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58"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4" w:space="0"/>
            </w:tcBorders>
            <w:tcW w:w="881" w:type="dxa"/>
            <w:vAlign w:val="center"/>
            <w:textDirection w:val="lrTb"/>
            <w:noWrap w:val="false"/>
          </w:tcPr>
          <w:p>
            <w:pPr>
              <w:pStyle w:val="928"/>
              <w:jc w:val="center"/>
              <w:rPr>
                <w:bCs/>
                <w:color w:val="000000"/>
                <w:sz w:val="21"/>
                <w:szCs w:val="21"/>
              </w:rPr>
            </w:pPr>
            <w:r>
              <w:rPr>
                <w:bCs/>
                <w:color w:val="000000"/>
                <w:sz w:val="21"/>
                <w:szCs w:val="21"/>
              </w:rPr>
            </w:r>
            <w:r/>
          </w:p>
        </w:tc>
      </w:tr>
      <w:tr>
        <w:trPr>
          <w:trHeight w:val="480"/>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pStyle w:val="928"/>
              <w:jc w:val="center"/>
              <w:rPr>
                <w:bCs/>
                <w:color w:val="000000"/>
                <w:sz w:val="21"/>
                <w:szCs w:val="21"/>
              </w:rPr>
            </w:pPr>
            <w:r>
              <w:rPr>
                <w:rFonts w:hint="eastAsia"/>
                <w:bCs/>
                <w:color w:val="000000"/>
                <w:sz w:val="21"/>
                <w:szCs w:val="21"/>
              </w:rPr>
              <w:t xml:space="preserve">...</w:t>
            </w: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2179" w:type="dxa"/>
            <w:vAlign w:val="center"/>
            <w:textDirection w:val="lrTb"/>
            <w:noWrap w:val="false"/>
          </w:tcPr>
          <w:p>
            <w:pPr>
              <w:pStyle w:val="928"/>
              <w:jc w:val="center"/>
              <w:rPr>
                <w:bCs/>
                <w:color w:val="000000"/>
                <w:sz w:val="21"/>
                <w:szCs w:val="21"/>
              </w:rPr>
            </w:pPr>
            <w:r>
              <w:rPr>
                <w:rFonts w:hint="eastAsia"/>
                <w:bCs/>
                <w:color w:val="000000"/>
                <w:sz w:val="21"/>
                <w:szCs w:val="21"/>
              </w:rPr>
              <w:t xml:space="preserve">...</w:t>
            </w: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252"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58" w:type="dxa"/>
            <w:vAlign w:val="center"/>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6" w:space="0"/>
            </w:tcBorders>
            <w:tcW w:w="1724" w:type="dxa"/>
            <w:vAlign w:val="top"/>
            <w:textDirection w:val="lrTb"/>
            <w:noWrap w:val="false"/>
          </w:tcPr>
          <w:p>
            <w:pPr>
              <w:pStyle w:val="928"/>
              <w:jc w:val="center"/>
              <w:rPr>
                <w:bCs/>
                <w:color w:val="000000"/>
                <w:sz w:val="21"/>
                <w:szCs w:val="21"/>
              </w:rPr>
            </w:pPr>
            <w:r>
              <w:rPr>
                <w:bCs/>
                <w:color w:val="000000"/>
                <w:sz w:val="21"/>
                <w:szCs w:val="21"/>
              </w:rPr>
            </w:r>
            <w:r/>
          </w:p>
        </w:tc>
        <w:tc>
          <w:tcPr>
            <w:tcBorders>
              <w:top w:val="single" w:color="000000" w:sz="6" w:space="0"/>
              <w:left w:val="single" w:color="000000" w:sz="6" w:space="0"/>
              <w:bottom w:val="single" w:color="000000" w:sz="6" w:space="0"/>
              <w:right w:val="single" w:color="000000" w:sz="4" w:space="0"/>
            </w:tcBorders>
            <w:tcW w:w="881" w:type="dxa"/>
            <w:vAlign w:val="center"/>
            <w:textDirection w:val="lrTb"/>
            <w:noWrap w:val="false"/>
          </w:tcPr>
          <w:p>
            <w:pPr>
              <w:pStyle w:val="928"/>
              <w:jc w:val="center"/>
              <w:rPr>
                <w:bCs/>
                <w:color w:val="000000"/>
                <w:sz w:val="21"/>
                <w:szCs w:val="21"/>
              </w:rPr>
            </w:pPr>
            <w:r>
              <w:rPr>
                <w:bCs/>
                <w:color w:val="000000"/>
                <w:sz w:val="21"/>
                <w:szCs w:val="21"/>
              </w:rPr>
            </w:r>
            <w:r/>
          </w:p>
        </w:tc>
      </w:tr>
      <w:tr>
        <w:trPr>
          <w:trHeight w:val="480"/>
        </w:trPr>
        <w:tc>
          <w:tcPr>
            <w:gridSpan w:val="2"/>
            <w:tcBorders>
              <w:top w:val="single" w:color="000000" w:sz="6" w:space="0"/>
              <w:left w:val="single" w:color="000000" w:sz="6" w:space="0"/>
              <w:bottom w:val="single" w:color="000000" w:sz="6" w:space="0"/>
              <w:right w:val="single" w:color="000000" w:sz="6" w:space="0"/>
            </w:tcBorders>
            <w:tcW w:w="2884" w:type="dxa"/>
            <w:vAlign w:val="center"/>
            <w:textDirection w:val="lrTb"/>
            <w:noWrap w:val="false"/>
          </w:tcPr>
          <w:p>
            <w:pPr>
              <w:pStyle w:val="928"/>
              <w:jc w:val="center"/>
              <w:rPr>
                <w:bCs/>
                <w:color w:val="000000"/>
                <w:sz w:val="21"/>
                <w:szCs w:val="21"/>
              </w:rPr>
            </w:pPr>
            <w:r>
              <w:rPr>
                <w:rFonts w:hint="eastAsia"/>
                <w:bCs/>
                <w:color w:val="000000"/>
                <w:sz w:val="21"/>
                <w:szCs w:val="21"/>
              </w:rPr>
              <w:t xml:space="preserve">投标</w:t>
            </w:r>
            <w:r>
              <w:rPr>
                <w:bCs/>
                <w:color w:val="000000"/>
                <w:sz w:val="21"/>
                <w:szCs w:val="21"/>
              </w:rPr>
              <w:t xml:space="preserve">报价</w:t>
            </w:r>
            <w:r/>
          </w:p>
        </w:tc>
        <w:tc>
          <w:tcPr>
            <w:gridSpan w:val="5"/>
            <w:tcBorders>
              <w:top w:val="single" w:color="000000" w:sz="6" w:space="0"/>
              <w:left w:val="single" w:color="000000" w:sz="6" w:space="0"/>
              <w:bottom w:val="single" w:color="000000" w:sz="6" w:space="0"/>
              <w:right w:val="single" w:color="000000" w:sz="4" w:space="0"/>
            </w:tcBorders>
            <w:tcW w:w="6021" w:type="dxa"/>
            <w:vAlign w:val="center"/>
            <w:textDirection w:val="lrTb"/>
            <w:noWrap w:val="false"/>
          </w:tcPr>
          <w:p>
            <w:pPr>
              <w:pStyle w:val="928"/>
              <w:jc w:val="center"/>
              <w:rPr>
                <w:bCs/>
                <w:color w:val="000000"/>
                <w:sz w:val="21"/>
                <w:szCs w:val="21"/>
              </w:rPr>
            </w:pPr>
            <w:r>
              <w:rPr>
                <w:bCs/>
                <w:color w:val="000000"/>
                <w:sz w:val="21"/>
                <w:szCs w:val="21"/>
              </w:rPr>
              <w:t xml:space="preserve">大写</w:t>
            </w:r>
            <w:r>
              <w:rPr>
                <w:rFonts w:hint="eastAsia"/>
                <w:bCs/>
                <w:color w:val="000000"/>
                <w:sz w:val="21"/>
                <w:szCs w:val="21"/>
              </w:rPr>
              <w:t xml:space="preserve">：</w:t>
            </w:r>
            <w:r>
              <w:rPr>
                <w:bCs/>
                <w:color w:val="000000"/>
                <w:sz w:val="21"/>
                <w:szCs w:val="21"/>
              </w:rPr>
              <w:t xml:space="preserve">元</w:t>
            </w:r>
            <w:r>
              <w:rPr>
                <w:rFonts w:hint="eastAsia"/>
                <w:bCs/>
                <w:color w:val="000000"/>
                <w:sz w:val="21"/>
                <w:szCs w:val="21"/>
              </w:rPr>
              <w:t xml:space="preserve">；小写：元</w:t>
            </w:r>
            <w:r>
              <w:rPr>
                <w:bCs/>
                <w:color w:val="000000"/>
                <w:sz w:val="21"/>
                <w:szCs w:val="21"/>
              </w:rPr>
            </w:r>
            <w:r/>
          </w:p>
        </w:tc>
      </w:tr>
    </w:tbl>
    <w:p>
      <w:pPr>
        <w:pStyle w:val="928"/>
        <w:jc w:val="left"/>
        <w:spacing w:line="360" w:lineRule="auto"/>
        <w:rPr>
          <w:rFonts w:cs="宋体"/>
          <w:color w:val="000000"/>
          <w:sz w:val="21"/>
          <w:szCs w:val="21"/>
        </w:rPr>
      </w:pPr>
      <w:r>
        <w:rPr>
          <w:rFonts w:hint="eastAsia" w:cs="宋体"/>
          <w:color w:val="000000"/>
          <w:sz w:val="21"/>
          <w:szCs w:val="21"/>
        </w:rPr>
        <w:t xml:space="preserve">注：</w:t>
      </w:r>
      <w:r>
        <w:rPr>
          <w:rFonts w:cs="宋体"/>
          <w:color w:val="000000"/>
          <w:sz w:val="21"/>
          <w:szCs w:val="21"/>
        </w:rPr>
      </w:r>
      <w:r/>
    </w:p>
    <w:p>
      <w:pPr>
        <w:pStyle w:val="928"/>
        <w:jc w:val="left"/>
        <w:spacing w:line="360" w:lineRule="auto"/>
        <w:rPr>
          <w:rFonts w:cs="宋体"/>
          <w:color w:val="000000"/>
          <w:sz w:val="21"/>
          <w:szCs w:val="21"/>
        </w:rPr>
      </w:pPr>
      <w:r>
        <w:rPr>
          <w:rFonts w:hint="eastAsia" w:cs="宋体"/>
          <w:color w:val="000000"/>
          <w:sz w:val="21"/>
          <w:szCs w:val="21"/>
        </w:rPr>
        <w:t xml:space="preserve">1、投标报价分析表合计价格须与开标一览表一致，否则以开标一览表金额为准；</w:t>
      </w:r>
      <w:r>
        <w:rPr>
          <w:rFonts w:cs="宋体"/>
          <w:color w:val="000000"/>
          <w:sz w:val="21"/>
          <w:szCs w:val="21"/>
        </w:rPr>
      </w:r>
      <w:r/>
    </w:p>
    <w:p>
      <w:pPr>
        <w:pStyle w:val="928"/>
        <w:jc w:val="left"/>
        <w:spacing w:line="360" w:lineRule="auto"/>
        <w:rPr>
          <w:rFonts w:cs="宋体"/>
          <w:color w:val="000000"/>
          <w:sz w:val="21"/>
          <w:szCs w:val="21"/>
        </w:rPr>
      </w:pPr>
      <w:r>
        <w:rPr>
          <w:rFonts w:hint="eastAsia" w:cs="宋体"/>
          <w:color w:val="000000"/>
          <w:sz w:val="21"/>
          <w:szCs w:val="21"/>
        </w:rPr>
        <w:t xml:space="preserve">2、报价包括完成本项工作所需的一切费用，包括但不限于系统维护维修、设备维护维修、检测、调试、应急支撑、验收、售后、保险、人员、交通、食宿、加班等工作所发生的全部费用以及投标人企业利润、税金和政策性文件规定及合同包含的所有风险、责任等各项应有费用。</w:t>
      </w:r>
      <w:r>
        <w:rPr>
          <w:rFonts w:cs="宋体"/>
          <w:color w:val="000000"/>
          <w:sz w:val="21"/>
          <w:szCs w:val="21"/>
        </w:rPr>
      </w:r>
      <w:r/>
    </w:p>
    <w:p>
      <w:pPr>
        <w:pStyle w:val="928"/>
        <w:ind w:firstLine="420"/>
        <w:jc w:val="left"/>
        <w:spacing w:line="360" w:lineRule="auto"/>
        <w:rPr>
          <w:color w:val="000000"/>
          <w:sz w:val="21"/>
          <w:szCs w:val="21"/>
        </w:rPr>
      </w:pPr>
      <w:r>
        <w:rPr>
          <w:color w:val="000000"/>
          <w:sz w:val="21"/>
          <w:szCs w:val="21"/>
        </w:rPr>
      </w:r>
      <w:r/>
    </w:p>
    <w:p>
      <w:pPr>
        <w:pStyle w:val="928"/>
        <w:ind w:firstLine="420"/>
        <w:jc w:val="left"/>
        <w:spacing w:line="360" w:lineRule="auto"/>
        <w:rPr>
          <w:color w:val="000000"/>
          <w:sz w:val="21"/>
          <w:szCs w:val="21"/>
        </w:rPr>
      </w:pPr>
      <w:r>
        <w:rPr>
          <w:color w:val="000000"/>
          <w:sz w:val="21"/>
          <w:szCs w:val="21"/>
        </w:rPr>
      </w:r>
      <w:r/>
    </w:p>
    <w:p>
      <w:pPr>
        <w:pStyle w:val="928"/>
        <w:ind w:firstLine="420"/>
        <w:jc w:val="left"/>
        <w:spacing w:line="360" w:lineRule="auto"/>
        <w:rPr>
          <w:rFonts w:hint="eastAsia"/>
          <w:color w:val="000000"/>
          <w:sz w:val="21"/>
          <w:szCs w:val="21"/>
        </w:rPr>
      </w:pPr>
      <w:r>
        <w:rPr>
          <w:rFonts w:hint="eastAsia"/>
          <w:color w:val="000000"/>
          <w:sz w:val="21"/>
          <w:szCs w:val="21"/>
        </w:rPr>
        <w:t xml:space="preserve">投标人名称：            （盖章）</w:t>
      </w:r>
      <w:r/>
    </w:p>
    <w:p>
      <w:pPr>
        <w:pStyle w:val="928"/>
        <w:ind w:firstLine="420"/>
        <w:jc w:val="left"/>
        <w:spacing w:line="360" w:lineRule="auto"/>
        <w:rPr>
          <w:rFonts w:hint="eastAsia"/>
          <w:color w:val="000000"/>
          <w:sz w:val="21"/>
          <w:szCs w:val="21"/>
        </w:rPr>
      </w:pPr>
      <w:r>
        <w:rPr>
          <w:rFonts w:hint="eastAsia"/>
          <w:color w:val="000000"/>
          <w:sz w:val="21"/>
          <w:szCs w:val="21"/>
        </w:rPr>
        <w:t xml:space="preserve">法定代表人或代理人（签字或盖章）：</w:t>
      </w:r>
      <w:r/>
    </w:p>
    <w:p>
      <w:pPr>
        <w:pStyle w:val="928"/>
        <w:ind w:firstLine="420"/>
        <w:jc w:val="left"/>
        <w:spacing w:line="360" w:lineRule="auto"/>
        <w:rPr>
          <w:rFonts w:hint="eastAsia"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rPr>
          <w:rFonts w:hint="eastAsia" w:cs="Arial"/>
          <w:color w:val="000000"/>
          <w:sz w:val="21"/>
          <w:szCs w:val="21"/>
        </w:rPr>
      </w:r>
      <w:r/>
    </w:p>
    <w:p>
      <w:pPr>
        <w:pStyle w:val="928"/>
        <w:spacing w:line="400" w:lineRule="exact"/>
        <w:rPr>
          <w:rFonts w:hint="eastAsia" w:cs="宋体"/>
          <w:b/>
          <w:bCs/>
          <w:color w:val="000000"/>
          <w:sz w:val="21"/>
          <w:szCs w:val="21"/>
        </w:rPr>
      </w:pPr>
      <w:r>
        <w:rPr>
          <w:rFonts w:hint="eastAsia" w:cs="宋体"/>
          <w:b/>
          <w:bCs/>
          <w:color w:val="000000"/>
          <w:sz w:val="21"/>
          <w:szCs w:val="21"/>
        </w:rPr>
        <w:br w:type="page" w:clear="all"/>
        <w:t xml:space="preserve">附件5</w:t>
      </w:r>
      <w:r>
        <w:rPr>
          <w:rFonts w:hint="eastAsia" w:cs="宋体"/>
          <w:b/>
          <w:color w:val="000000"/>
          <w:sz w:val="21"/>
          <w:szCs w:val="21"/>
        </w:rPr>
        <w:t xml:space="preserve">、</w:t>
      </w:r>
      <w:r>
        <w:rPr>
          <w:rFonts w:hint="eastAsia" w:cs="宋体"/>
          <w:b/>
          <w:bCs/>
          <w:color w:val="000000"/>
          <w:sz w:val="21"/>
          <w:szCs w:val="21"/>
        </w:rPr>
        <w:t xml:space="preserve">偏离表</w:t>
      </w:r>
      <w:r/>
    </w:p>
    <w:p>
      <w:pPr>
        <w:pStyle w:val="943"/>
        <w:rPr>
          <w:rFonts w:hint="eastAsia" w:ascii="宋体" w:hAnsi="宋体" w:eastAsia="宋体" w:cs="宋体"/>
          <w:b/>
          <w:bCs/>
          <w:color w:val="000000"/>
          <w:szCs w:val="24"/>
        </w:rPr>
      </w:pPr>
      <w:r>
        <w:rPr>
          <w:rFonts w:hint="eastAsia" w:ascii="宋体" w:hAnsi="宋体" w:eastAsia="宋体" w:cs="宋体"/>
          <w:b/>
          <w:bCs/>
          <w:color w:val="000000"/>
          <w:sz w:val="21"/>
          <w:szCs w:val="21"/>
        </w:rPr>
        <w:t xml:space="preserve">                  </w:t>
      </w:r>
      <w:r>
        <w:rPr>
          <w:rFonts w:hint="eastAsia" w:ascii="宋体" w:hAnsi="宋体" w:eastAsia="宋体" w:cs="宋体"/>
          <w:b/>
          <w:bCs/>
          <w:color w:val="000000"/>
          <w:szCs w:val="24"/>
        </w:rPr>
      </w:r>
      <w:r/>
    </w:p>
    <w:p>
      <w:pPr>
        <w:pStyle w:val="928"/>
        <w:jc w:val="center"/>
        <w:spacing w:line="360" w:lineRule="auto"/>
        <w:rPr>
          <w:rFonts w:cs="宋体"/>
          <w:b/>
          <w:color w:val="000000"/>
          <w:spacing w:val="20"/>
          <w:sz w:val="21"/>
          <w:szCs w:val="21"/>
        </w:rPr>
      </w:pPr>
      <w:r>
        <w:rPr>
          <w:rFonts w:hint="eastAsia" w:cs="宋体"/>
          <w:b/>
          <w:color w:val="000000"/>
          <w:spacing w:val="20"/>
          <w:sz w:val="21"/>
          <w:szCs w:val="21"/>
        </w:rPr>
        <w:t xml:space="preserve">技术（服务）要求偏离表</w:t>
      </w:r>
      <w:r>
        <w:rPr>
          <w:rFonts w:cs="宋体"/>
          <w:b/>
          <w:color w:val="000000"/>
          <w:spacing w:val="20"/>
          <w:sz w:val="21"/>
          <w:szCs w:val="21"/>
        </w:rPr>
      </w:r>
      <w:r/>
    </w:p>
    <w:tbl>
      <w:tblPr>
        <w:tblW w:w="100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gridCol w:w="1163"/>
      </w:tblGrid>
      <w:tr>
        <w:trPr>
          <w:trHeight w:val="992"/>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28"/>
              <w:jc w:val="center"/>
              <w:spacing w:line="360" w:lineRule="auto"/>
              <w:rPr>
                <w:rFonts w:hint="eastAsia" w:cs="宋体"/>
                <w:bCs/>
                <w:color w:val="000000"/>
                <w:spacing w:val="20"/>
                <w:sz w:val="21"/>
                <w:szCs w:val="21"/>
              </w:rPr>
            </w:pPr>
            <w:r>
              <w:rPr>
                <w:rFonts w:hint="eastAsia" w:cs="宋体"/>
                <w:bCs/>
                <w:color w:val="000000"/>
                <w:spacing w:val="2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28"/>
              <w:jc w:val="center"/>
              <w:spacing w:line="360" w:lineRule="auto"/>
              <w:rPr>
                <w:rFonts w:hint="eastAsia" w:cs="宋体"/>
                <w:bCs/>
                <w:color w:val="000000"/>
                <w:spacing w:val="20"/>
                <w:sz w:val="21"/>
                <w:szCs w:val="21"/>
              </w:rPr>
            </w:pPr>
            <w:r>
              <w:rPr>
                <w:rFonts w:hint="eastAsia" w:cs="宋体"/>
                <w:bCs/>
                <w:color w:val="000000"/>
                <w:spacing w:val="20"/>
                <w:sz w:val="21"/>
                <w:szCs w:val="21"/>
              </w:rPr>
              <w:t xml:space="preserve">内容</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928"/>
              <w:jc w:val="center"/>
              <w:spacing w:line="360" w:lineRule="auto"/>
              <w:rPr>
                <w:rFonts w:hint="eastAsia" w:cs="宋体"/>
                <w:bCs/>
                <w:color w:val="000000"/>
                <w:spacing w:val="20"/>
                <w:sz w:val="21"/>
                <w:szCs w:val="21"/>
              </w:rPr>
            </w:pPr>
            <w:r>
              <w:rPr>
                <w:rFonts w:hint="eastAsia" w:cs="宋体"/>
                <w:bCs/>
                <w:color w:val="000000"/>
                <w:spacing w:val="20"/>
                <w:sz w:val="21"/>
                <w:szCs w:val="21"/>
              </w:rPr>
              <w:t xml:space="preserve">招标文件</w:t>
            </w:r>
            <w:r/>
          </w:p>
          <w:p>
            <w:pPr>
              <w:pStyle w:val="928"/>
              <w:jc w:val="center"/>
              <w:spacing w:line="360" w:lineRule="auto"/>
              <w:rPr>
                <w:rFonts w:hint="eastAsia" w:cs="宋体"/>
                <w:bCs/>
                <w:color w:val="000000"/>
                <w:spacing w:val="20"/>
                <w:sz w:val="21"/>
                <w:szCs w:val="21"/>
              </w:rPr>
            </w:pPr>
            <w:r>
              <w:rPr>
                <w:rFonts w:hint="eastAsia" w:cs="宋体"/>
                <w:bCs/>
                <w:color w:val="000000"/>
                <w:spacing w:val="20"/>
                <w:sz w:val="21"/>
                <w:szCs w:val="21"/>
              </w:rPr>
              <w:t xml:space="preserve">技术（服务）要求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8"/>
              <w:jc w:val="center"/>
              <w:spacing w:line="360" w:lineRule="auto"/>
              <w:rPr>
                <w:rFonts w:hint="eastAsia" w:cs="宋体"/>
                <w:bCs/>
                <w:color w:val="000000"/>
                <w:spacing w:val="20"/>
                <w:sz w:val="21"/>
                <w:szCs w:val="21"/>
              </w:rPr>
            </w:pPr>
            <w:r>
              <w:rPr>
                <w:rFonts w:hint="eastAsia" w:cs="宋体"/>
                <w:bCs/>
                <w:color w:val="000000"/>
                <w:spacing w:val="20"/>
                <w:sz w:val="21"/>
                <w:szCs w:val="21"/>
              </w:rPr>
              <w:t xml:space="preserve">投标文件</w:t>
            </w:r>
            <w:r/>
          </w:p>
          <w:p>
            <w:pPr>
              <w:pStyle w:val="928"/>
              <w:jc w:val="center"/>
              <w:spacing w:line="360" w:lineRule="auto"/>
              <w:rPr>
                <w:rFonts w:hint="eastAsia" w:cs="宋体"/>
                <w:bCs/>
                <w:color w:val="000000"/>
                <w:spacing w:val="20"/>
                <w:sz w:val="21"/>
                <w:szCs w:val="21"/>
              </w:rPr>
            </w:pPr>
            <w:r>
              <w:rPr>
                <w:rFonts w:hint="eastAsia" w:cs="宋体"/>
                <w:bCs/>
                <w:color w:val="000000"/>
                <w:spacing w:val="20"/>
                <w:sz w:val="21"/>
                <w:szCs w:val="21"/>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jc w:val="center"/>
              <w:spacing w:line="360" w:lineRule="auto"/>
              <w:rPr>
                <w:rFonts w:hint="eastAsia" w:cs="宋体"/>
                <w:bCs/>
                <w:color w:val="000000"/>
                <w:spacing w:val="20"/>
                <w:sz w:val="21"/>
                <w:szCs w:val="21"/>
              </w:rPr>
            </w:pPr>
            <w:r>
              <w:rPr>
                <w:rFonts w:hint="eastAsia" w:cs="宋体"/>
                <w:bCs/>
                <w:color w:val="000000"/>
                <w:spacing w:val="20"/>
                <w:sz w:val="21"/>
                <w:szCs w:val="21"/>
              </w:rPr>
              <w:t xml:space="preserve"> 偏离说明</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928"/>
              <w:jc w:val="center"/>
              <w:spacing w:line="360" w:lineRule="auto"/>
              <w:rPr>
                <w:rFonts w:hint="eastAsia" w:cs="宋体"/>
                <w:bCs/>
                <w:color w:val="000000"/>
                <w:spacing w:val="20"/>
                <w:sz w:val="21"/>
                <w:szCs w:val="21"/>
              </w:rPr>
            </w:pPr>
            <w:r>
              <w:rPr>
                <w:rFonts w:hint="eastAsia" w:cs="宋体"/>
                <w:bCs/>
                <w:color w:val="000000"/>
                <w:sz w:val="21"/>
                <w:szCs w:val="21"/>
              </w:rPr>
              <w:t xml:space="preserve">备注</w:t>
            </w:r>
            <w:r>
              <w:rPr>
                <w:rFonts w:hint="eastAsia" w:cs="宋体"/>
                <w:bCs/>
                <w:color w:val="000000"/>
                <w:spacing w:val="20"/>
                <w:sz w:val="21"/>
                <w:szCs w:val="21"/>
              </w:rPr>
            </w:r>
            <w:r/>
          </w:p>
        </w:tc>
      </w:tr>
      <w:tr>
        <w:trPr>
          <w:trHeight w:val="150"/>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r>
      <w:tr>
        <w:trPr>
          <w:trHeight w:val="150"/>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r>
      <w:tr>
        <w:trPr>
          <w:trHeight w:val="150"/>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r>
      <w:tr>
        <w:trPr>
          <w:trHeight w:val="150"/>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r>
      <w:tr>
        <w:trPr>
          <w:trHeight w:val="150"/>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r>
      <w:tr>
        <w:trPr>
          <w:trHeight w:val="150"/>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r>
      <w:tr>
        <w:trPr>
          <w:trHeight w:val="150"/>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r>
            <w:r/>
          </w:p>
        </w:tc>
      </w:tr>
    </w:tbl>
    <w:p>
      <w:pPr>
        <w:pStyle w:val="928"/>
        <w:jc w:val="center"/>
        <w:spacing w:line="360" w:lineRule="auto"/>
        <w:rPr>
          <w:rFonts w:cs="宋体"/>
          <w:b/>
          <w:color w:val="000000"/>
          <w:spacing w:val="20"/>
          <w:sz w:val="21"/>
          <w:szCs w:val="21"/>
        </w:rPr>
      </w:pPr>
      <w:r>
        <w:rPr>
          <w:rFonts w:cs="宋体"/>
          <w:b/>
          <w:color w:val="000000"/>
          <w:spacing w:val="20"/>
          <w:sz w:val="21"/>
          <w:szCs w:val="21"/>
        </w:rPr>
      </w:r>
      <w:r/>
    </w:p>
    <w:p>
      <w:pPr>
        <w:pStyle w:val="928"/>
        <w:jc w:val="center"/>
        <w:spacing w:line="360" w:lineRule="auto"/>
        <w:rPr>
          <w:rFonts w:hint="eastAsia" w:cs="宋体"/>
          <w:b/>
          <w:color w:val="000000"/>
          <w:spacing w:val="20"/>
          <w:sz w:val="21"/>
          <w:szCs w:val="21"/>
        </w:rPr>
      </w:pPr>
      <w:r>
        <w:rPr>
          <w:rFonts w:hint="eastAsia" w:cs="宋体"/>
          <w:b/>
          <w:color w:val="000000"/>
          <w:spacing w:val="20"/>
          <w:sz w:val="21"/>
          <w:szCs w:val="21"/>
        </w:rPr>
        <w:t xml:space="preserve">商务条款偏离表</w:t>
      </w:r>
      <w:r/>
    </w:p>
    <w:p>
      <w:pPr>
        <w:pStyle w:val="928"/>
        <w:ind w:firstLine="525"/>
        <w:spacing w:line="380" w:lineRule="exact"/>
        <w:rPr>
          <w:rFonts w:hint="eastAsia"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rPr>
        <w:t xml:space="preserve">                        </w:t>
      </w:r>
      <w:r>
        <w:rPr>
          <w:rFonts w:hint="eastAsia" w:cs="宋体"/>
          <w:color w:val="000000"/>
          <w:sz w:val="21"/>
          <w:szCs w:val="21"/>
          <w:lang w:val="zh-CN"/>
        </w:rPr>
        <w:t xml:space="preserve">招标编号∶        </w:t>
      </w:r>
      <w:r>
        <w:rPr>
          <w:rFonts w:hint="eastAsia" w:cs="宋体"/>
          <w:b/>
          <w:color w:val="000000"/>
          <w:spacing w:val="20"/>
          <w:sz w:val="21"/>
          <w:szCs w:val="21"/>
        </w:rPr>
      </w:r>
      <w:r/>
    </w:p>
    <w:tbl>
      <w:tblPr>
        <w:tblW w:w="10681"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004"/>
        <w:gridCol w:w="2023"/>
        <w:gridCol w:w="1701"/>
        <w:gridCol w:w="1275"/>
      </w:tblGrid>
      <w:tr>
        <w:trPr>
          <w:cantSplit/>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28"/>
              <w:jc w:val="center"/>
              <w:rPr>
                <w:rFonts w:hint="eastAsia" w:cs="宋体"/>
                <w:bCs/>
                <w:color w:val="000000"/>
                <w:sz w:val="21"/>
                <w:szCs w:val="21"/>
              </w:rPr>
            </w:pPr>
            <w:r>
              <w:rPr>
                <w:rFonts w:hint="eastAsia" w:cs="宋体"/>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28"/>
              <w:jc w:val="center"/>
              <w:rPr>
                <w:rFonts w:hint="eastAsia" w:cs="宋体"/>
                <w:bCs/>
                <w:color w:val="000000"/>
                <w:sz w:val="21"/>
                <w:szCs w:val="21"/>
              </w:rPr>
            </w:pPr>
            <w:r>
              <w:rPr>
                <w:rFonts w:hint="eastAsia" w:cs="宋体"/>
                <w:bCs/>
                <w:color w:val="000000"/>
                <w:sz w:val="21"/>
                <w:szCs w:val="21"/>
              </w:rPr>
              <w:t xml:space="preserve">内容</w:t>
            </w:r>
            <w:r/>
          </w:p>
        </w:tc>
        <w:tc>
          <w:tcPr>
            <w:tcBorders>
              <w:top w:val="single" w:color="000000" w:sz="8" w:space="0"/>
              <w:left w:val="single" w:color="000000" w:sz="8" w:space="0"/>
              <w:bottom w:val="single" w:color="000000" w:sz="8" w:space="0"/>
              <w:right w:val="single" w:color="000000" w:sz="8" w:space="0"/>
            </w:tcBorders>
            <w:tcW w:w="2004" w:type="dxa"/>
            <w:vAlign w:val="center"/>
            <w:textDirection w:val="lrTb"/>
            <w:noWrap w:val="false"/>
          </w:tcPr>
          <w:p>
            <w:pPr>
              <w:pStyle w:val="928"/>
              <w:jc w:val="center"/>
              <w:rPr>
                <w:rFonts w:hint="eastAsia" w:cs="宋体"/>
                <w:bCs/>
                <w:color w:val="000000"/>
                <w:sz w:val="21"/>
                <w:szCs w:val="21"/>
              </w:rPr>
            </w:pPr>
            <w:r>
              <w:rPr>
                <w:rFonts w:hint="eastAsia"/>
                <w:color w:val="000000"/>
                <w:sz w:val="21"/>
                <w:szCs w:val="21"/>
              </w:rPr>
              <w:t xml:space="preserve">招标文件的商务条款</w:t>
            </w:r>
            <w:r>
              <w:rPr>
                <w:rFonts w:hint="eastAsia" w:cs="宋体"/>
                <w:bCs/>
                <w:color w:val="000000"/>
                <w:sz w:val="21"/>
                <w:szCs w:val="21"/>
              </w:rPr>
            </w:r>
            <w:r/>
          </w:p>
        </w:tc>
        <w:tc>
          <w:tcPr>
            <w:tcBorders>
              <w:top w:val="single" w:color="000000" w:sz="8" w:space="0"/>
              <w:left w:val="single" w:color="000000" w:sz="8" w:space="0"/>
              <w:bottom w:val="single" w:color="000000" w:sz="8" w:space="0"/>
              <w:right w:val="single" w:color="000000" w:sz="8" w:space="0"/>
            </w:tcBorders>
            <w:tcW w:w="2023" w:type="dxa"/>
            <w:vAlign w:val="center"/>
            <w:textDirection w:val="lrTb"/>
            <w:noWrap w:val="false"/>
          </w:tcPr>
          <w:p>
            <w:pPr>
              <w:pStyle w:val="928"/>
              <w:jc w:val="center"/>
              <w:rPr>
                <w:rFonts w:hint="eastAsia" w:cs="宋体"/>
                <w:bCs/>
                <w:color w:val="000000"/>
                <w:sz w:val="21"/>
                <w:szCs w:val="21"/>
              </w:rPr>
            </w:pPr>
            <w:r>
              <w:rPr>
                <w:rFonts w:hint="eastAsia"/>
                <w:color w:val="000000"/>
                <w:sz w:val="21"/>
                <w:szCs w:val="21"/>
              </w:rPr>
              <w:t xml:space="preserve">投标文件的商务条款</w:t>
            </w:r>
            <w:r>
              <w:rPr>
                <w:rFonts w:hint="eastAsia" w:cs="宋体"/>
                <w:bCs/>
                <w:color w:val="000000"/>
                <w:sz w:val="21"/>
                <w:szCs w:val="21"/>
              </w:rPr>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28"/>
              <w:jc w:val="center"/>
              <w:rPr>
                <w:rFonts w:hint="eastAsia" w:cs="宋体"/>
                <w:bCs/>
                <w:color w:val="000000"/>
                <w:sz w:val="21"/>
                <w:szCs w:val="21"/>
              </w:rPr>
            </w:pPr>
            <w:r>
              <w:rPr>
                <w:rFonts w:hint="eastAsia" w:cs="宋体"/>
                <w:bCs/>
                <w:color w:val="000000"/>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28"/>
              <w:jc w:val="center"/>
              <w:rPr>
                <w:rFonts w:hint="eastAsia" w:cs="宋体"/>
                <w:bCs/>
                <w:color w:val="000000"/>
                <w:sz w:val="21"/>
                <w:szCs w:val="21"/>
              </w:rPr>
            </w:pPr>
            <w:r>
              <w:rPr>
                <w:rFonts w:hint="eastAsia" w:cs="宋体"/>
                <w:bCs/>
                <w:color w:val="000000"/>
                <w:sz w:val="21"/>
                <w:szCs w:val="21"/>
              </w:rPr>
              <w:t xml:space="preserve">备注</w:t>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28"/>
              <w:jc w:val="center"/>
              <w:rPr>
                <w:rFonts w:hint="eastAsia" w:cs="宋体"/>
                <w:bCs/>
                <w:color w:val="000000"/>
                <w:sz w:val="21"/>
                <w:szCs w:val="21"/>
              </w:rPr>
            </w:pPr>
            <w:r>
              <w:rPr>
                <w:rFonts w:hint="eastAsia" w:cs="宋体"/>
                <w:bCs/>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28"/>
              <w:jc w:val="center"/>
              <w:rPr>
                <w:rFonts w:hint="eastAsia" w:cs="宋体"/>
                <w:color w:val="000000"/>
                <w:sz w:val="21"/>
                <w:szCs w:val="21"/>
                <w:lang w:val="zh-CN"/>
              </w:rPr>
            </w:pPr>
            <w:r>
              <w:rPr>
                <w:rFonts w:hint="eastAsia" w:cs="宋体"/>
                <w:color w:val="000000"/>
                <w:sz w:val="21"/>
                <w:szCs w:val="21"/>
                <w:lang w:val="zh-CN"/>
              </w:rPr>
              <w:t xml:space="preserve">合同履行期限</w:t>
            </w:r>
            <w:r/>
          </w:p>
        </w:tc>
        <w:tc>
          <w:tcPr>
            <w:tcBorders>
              <w:top w:val="single" w:color="000000" w:sz="8" w:space="0"/>
              <w:left w:val="single" w:color="000000" w:sz="8" w:space="0"/>
              <w:bottom w:val="single" w:color="000000" w:sz="8" w:space="0"/>
              <w:right w:val="single" w:color="000000" w:sz="8" w:space="0"/>
            </w:tcBorders>
            <w:tcW w:w="2004"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2023"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28"/>
              <w:jc w:val="center"/>
              <w:rPr>
                <w:rFonts w:hint="eastAsia" w:cs="宋体"/>
                <w:bCs/>
                <w:color w:val="000000"/>
                <w:sz w:val="21"/>
                <w:szCs w:val="21"/>
              </w:rPr>
            </w:pPr>
            <w:r>
              <w:rPr>
                <w:rFonts w:hint="eastAsia" w:cs="宋体"/>
                <w:bCs/>
                <w:color w:val="000000"/>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28"/>
              <w:jc w:val="center"/>
              <w:rPr>
                <w:rFonts w:hint="eastAsia" w:cs="宋体"/>
                <w:color w:val="000000"/>
                <w:sz w:val="21"/>
                <w:szCs w:val="21"/>
                <w:lang w:val="zh-CN"/>
              </w:rPr>
            </w:pPr>
            <w:r>
              <w:rPr>
                <w:rFonts w:hint="eastAsia" w:cs="宋体"/>
                <w:color w:val="000000"/>
                <w:sz w:val="21"/>
                <w:szCs w:val="21"/>
                <w:lang w:val="zh-CN"/>
              </w:rPr>
              <w:t xml:space="preserve">服务地点</w:t>
            </w:r>
            <w:r/>
          </w:p>
        </w:tc>
        <w:tc>
          <w:tcPr>
            <w:tcBorders>
              <w:top w:val="single" w:color="000000" w:sz="8" w:space="0"/>
              <w:left w:val="single" w:color="000000" w:sz="8" w:space="0"/>
              <w:bottom w:val="single" w:color="000000" w:sz="8" w:space="0"/>
              <w:right w:val="single" w:color="000000" w:sz="8" w:space="0"/>
            </w:tcBorders>
            <w:tcW w:w="2004"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2023"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28"/>
              <w:jc w:val="center"/>
              <w:rPr>
                <w:rFonts w:hint="eastAsia" w:cs="宋体"/>
                <w:bCs/>
                <w:color w:val="000000"/>
                <w:sz w:val="21"/>
                <w:szCs w:val="21"/>
              </w:rPr>
            </w:pPr>
            <w:r>
              <w:rPr>
                <w:rFonts w:hint="eastAsia" w:cs="宋体"/>
                <w:bCs/>
                <w:color w:val="000000"/>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28"/>
              <w:jc w:val="center"/>
              <w:rPr>
                <w:rFonts w:hint="eastAsia" w:cs="宋体"/>
                <w:color w:val="000000"/>
                <w:sz w:val="21"/>
                <w:szCs w:val="21"/>
                <w:lang w:val="zh-CN"/>
              </w:rPr>
            </w:pPr>
            <w:r>
              <w:rPr>
                <w:rFonts w:hint="eastAsia" w:cs="宋体"/>
                <w:color w:val="000000"/>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004"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2023"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28"/>
              <w:jc w:val="center"/>
              <w:rPr>
                <w:rFonts w:hint="eastAsia" w:cs="宋体"/>
                <w:bCs/>
                <w:color w:val="000000"/>
                <w:sz w:val="21"/>
                <w:szCs w:val="21"/>
              </w:rPr>
            </w:pPr>
            <w:r>
              <w:rPr>
                <w:rFonts w:hint="eastAsia" w:cs="宋体"/>
                <w:bCs/>
                <w:color w:val="000000"/>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28"/>
              <w:jc w:val="center"/>
              <w:rPr>
                <w:rFonts w:hint="eastAsia" w:cs="宋体"/>
                <w:color w:val="000000"/>
                <w:sz w:val="21"/>
                <w:szCs w:val="21"/>
                <w:lang w:val="zh-CN"/>
              </w:rPr>
            </w:pPr>
            <w:r>
              <w:rPr>
                <w:rFonts w:hint="eastAsia" w:cs="宋体"/>
                <w:color w:val="000000"/>
                <w:sz w:val="21"/>
                <w:szCs w:val="21"/>
                <w:lang w:val="zh-CN"/>
              </w:rPr>
              <w:t xml:space="preserve">维护工作要求</w:t>
            </w:r>
            <w:r/>
          </w:p>
        </w:tc>
        <w:tc>
          <w:tcPr>
            <w:tcBorders>
              <w:top w:val="single" w:color="000000" w:sz="8" w:space="0"/>
              <w:left w:val="single" w:color="000000" w:sz="8" w:space="0"/>
              <w:bottom w:val="single" w:color="000000" w:sz="8" w:space="0"/>
              <w:right w:val="single" w:color="000000" w:sz="8" w:space="0"/>
            </w:tcBorders>
            <w:tcW w:w="2004"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2023"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28"/>
              <w:jc w:val="center"/>
              <w:rPr>
                <w:rFonts w:hint="eastAsia" w:cs="宋体"/>
                <w:bCs/>
                <w:color w:val="000000"/>
                <w:sz w:val="21"/>
                <w:szCs w:val="21"/>
              </w:rPr>
            </w:pPr>
            <w:r>
              <w:rPr>
                <w:rFonts w:hint="eastAsia" w:cs="宋体"/>
                <w:bCs/>
                <w:color w:val="000000"/>
                <w:sz w:val="21"/>
                <w:szCs w:val="21"/>
              </w:rPr>
              <w:t xml:space="preserve">5</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28"/>
              <w:jc w:val="center"/>
              <w:rPr>
                <w:rFonts w:hint="eastAsia" w:cs="宋体"/>
                <w:color w:val="000000"/>
                <w:sz w:val="21"/>
                <w:szCs w:val="21"/>
                <w:lang w:val="zh-CN"/>
              </w:rPr>
            </w:pPr>
            <w:r>
              <w:rPr>
                <w:rFonts w:hint="eastAsia" w:cs="宋体"/>
                <w:color w:val="000000"/>
                <w:sz w:val="21"/>
                <w:szCs w:val="21"/>
                <w:lang w:val="zh-CN"/>
              </w:rPr>
              <w:t xml:space="preserve">考核方式</w:t>
            </w:r>
            <w:r/>
          </w:p>
        </w:tc>
        <w:tc>
          <w:tcPr>
            <w:tcBorders>
              <w:top w:val="single" w:color="000000" w:sz="8" w:space="0"/>
              <w:left w:val="single" w:color="000000" w:sz="8" w:space="0"/>
              <w:bottom w:val="single" w:color="000000" w:sz="8" w:space="0"/>
              <w:right w:val="single" w:color="000000" w:sz="8" w:space="0"/>
            </w:tcBorders>
            <w:tcW w:w="2004"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2023"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928"/>
              <w:jc w:val="center"/>
              <w:rPr>
                <w:rFonts w:hint="eastAsia" w:cs="宋体"/>
                <w:bCs/>
                <w:color w:val="000000"/>
                <w:sz w:val="21"/>
                <w:szCs w:val="21"/>
              </w:rPr>
            </w:pPr>
            <w:r>
              <w:rPr>
                <w:rFonts w:hint="eastAsia" w:cs="宋体"/>
                <w:bCs/>
                <w:color w:val="000000"/>
                <w:sz w:val="21"/>
                <w:szCs w:val="21"/>
              </w:rPr>
              <w:t xml:space="preserve">…</w:t>
            </w:r>
            <w:r>
              <w:rPr>
                <w:rFonts w:cs="宋体"/>
                <w:bCs/>
                <w:color w:val="000000"/>
                <w:sz w:val="21"/>
                <w:szCs w:val="21"/>
              </w:rPr>
              <w:t xml:space="preserve">…</w:t>
            </w:r>
            <w:r>
              <w:rPr>
                <w:rFonts w:hint="eastAsia" w:cs="宋体"/>
                <w:bCs/>
                <w:color w:val="000000"/>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928"/>
              <w:jc w:val="center"/>
              <w:rPr>
                <w:rFonts w:hint="eastAsia" w:cs="宋体"/>
                <w:bCs/>
                <w:color w:val="000000"/>
                <w:sz w:val="21"/>
                <w:szCs w:val="21"/>
              </w:rPr>
            </w:pPr>
            <w:r>
              <w:rPr>
                <w:rFonts w:hint="eastAsia" w:cs="宋体"/>
                <w:color w:val="000000"/>
                <w:sz w:val="21"/>
                <w:szCs w:val="21"/>
                <w:lang w:val="zh-CN"/>
              </w:rPr>
              <w:t xml:space="preserve">其他商务要求</w:t>
            </w:r>
            <w:r>
              <w:rPr>
                <w:rFonts w:hint="eastAsia" w:cs="宋体"/>
                <w:bCs/>
                <w:color w:val="000000"/>
                <w:sz w:val="21"/>
                <w:szCs w:val="21"/>
              </w:rPr>
            </w:r>
            <w:r/>
          </w:p>
        </w:tc>
        <w:tc>
          <w:tcPr>
            <w:tcBorders>
              <w:top w:val="single" w:color="000000" w:sz="8" w:space="0"/>
              <w:left w:val="single" w:color="000000" w:sz="8" w:space="0"/>
              <w:bottom w:val="single" w:color="000000" w:sz="8" w:space="0"/>
              <w:right w:val="single" w:color="000000" w:sz="8" w:space="0"/>
            </w:tcBorders>
            <w:tcW w:w="2004"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2023"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701"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275"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r>
            <w:r/>
          </w:p>
        </w:tc>
      </w:tr>
    </w:tbl>
    <w:p>
      <w:pPr>
        <w:pStyle w:val="928"/>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p>
    <w:p>
      <w:pPr>
        <w:pStyle w:val="928"/>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928"/>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p>
    <w:p>
      <w:pPr>
        <w:pStyle w:val="928"/>
        <w:rPr>
          <w:rFonts w:cs="宋体"/>
          <w:color w:val="000000"/>
          <w:sz w:val="21"/>
          <w:szCs w:val="21"/>
          <w:lang w:val="zh-CN"/>
        </w:rPr>
      </w:pPr>
      <w:r>
        <w:rPr>
          <w:rFonts w:cs="宋体"/>
          <w:color w:val="000000"/>
          <w:sz w:val="21"/>
          <w:szCs w:val="21"/>
          <w:lang w:val="zh-CN"/>
        </w:rPr>
      </w:r>
      <w:r/>
    </w:p>
    <w:p>
      <w:pPr>
        <w:pStyle w:val="928"/>
        <w:spacing w:line="360" w:lineRule="auto"/>
        <w:rPr>
          <w:rFonts w:hint="eastAsia" w:ascii="Calibri" w:hAnsi="Calibri"/>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1.投标人应在本表中对照招标文件技术要求（包括服务要求）和</w:t>
      </w:r>
      <w:r>
        <w:rPr>
          <w:rFonts w:hint="eastAsia"/>
          <w:color w:val="000000"/>
          <w:sz w:val="21"/>
          <w:szCs w:val="21"/>
        </w:rPr>
        <w:t xml:space="preserve">商务要求</w:t>
      </w:r>
      <w:r>
        <w:rPr>
          <w:rFonts w:hint="eastAsia" w:cs="宋体"/>
          <w:color w:val="000000"/>
          <w:sz w:val="21"/>
          <w:szCs w:val="21"/>
        </w:rPr>
        <w:t xml:space="preserve">与实际投标技术要求（包括服务要求</w:t>
      </w:r>
      <w:r>
        <w:rPr>
          <w:rFonts w:hint="eastAsia" w:cs="宋体"/>
          <w:color w:val="000000"/>
          <w:sz w:val="21"/>
          <w:szCs w:val="21"/>
        </w:rPr>
        <w:t xml:space="preserve">）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rPr>
          <w:rFonts w:hint="eastAsia" w:ascii="Calibri" w:hAnsi="Calibri"/>
          <w:color w:val="000000"/>
          <w:sz w:val="21"/>
          <w:szCs w:val="21"/>
        </w:rPr>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2.若事项较多，投标人可根据投标内容的实际情况另纸说明。</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3.商务条款不允许出现负偏离，否则为无效标。</w:t>
      </w:r>
      <w:r/>
    </w:p>
    <w:p>
      <w:pPr>
        <w:pStyle w:val="928"/>
        <w:spacing w:line="400" w:lineRule="exact"/>
        <w:rPr>
          <w:rFonts w:hint="eastAsia"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附件6、资格证明文件</w:t>
      </w:r>
      <w:r/>
    </w:p>
    <w:p>
      <w:pPr>
        <w:pStyle w:val="928"/>
        <w:spacing w:line="400" w:lineRule="exact"/>
        <w:rPr>
          <w:rFonts w:hint="eastAsia" w:cs="宋体"/>
          <w:color w:val="000000"/>
          <w:sz w:val="21"/>
          <w:szCs w:val="21"/>
        </w:rPr>
      </w:pPr>
      <w:r>
        <w:rPr>
          <w:rFonts w:hint="eastAsia" w:cs="宋体"/>
          <w:color w:val="000000"/>
          <w:sz w:val="21"/>
          <w:szCs w:val="21"/>
        </w:rPr>
        <w:t xml:space="preserve">（1）关于资格文件的声明函</w:t>
      </w:r>
      <w:r/>
    </w:p>
    <w:p>
      <w:pPr>
        <w:pStyle w:val="928"/>
        <w:jc w:val="center"/>
        <w:spacing w:line="400" w:lineRule="exact"/>
        <w:rPr>
          <w:rFonts w:hint="eastAsia" w:cs="宋体"/>
          <w:b/>
          <w:color w:val="000000"/>
          <w:sz w:val="21"/>
          <w:szCs w:val="21"/>
        </w:rPr>
      </w:pPr>
      <w:r>
        <w:rPr>
          <w:rFonts w:hint="eastAsia" w:cs="宋体"/>
          <w:b/>
          <w:color w:val="000000"/>
          <w:sz w:val="21"/>
          <w:szCs w:val="21"/>
        </w:rPr>
        <w:t xml:space="preserve">关于资格文件的声明函</w:t>
      </w:r>
      <w:r/>
    </w:p>
    <w:p>
      <w:pPr>
        <w:pStyle w:val="928"/>
        <w:spacing w:line="400" w:lineRule="exact"/>
        <w:rPr>
          <w:rFonts w:hint="eastAsia" w:cs="宋体"/>
          <w:color w:val="000000"/>
          <w:sz w:val="21"/>
          <w:szCs w:val="21"/>
        </w:rPr>
      </w:pPr>
      <w:r>
        <w:rPr>
          <w:rFonts w:hint="eastAsia" w:cs="宋体"/>
          <w:color w:val="000000"/>
          <w:sz w:val="21"/>
          <w:szCs w:val="21"/>
          <w:u w:val="single"/>
        </w:rPr>
        <w:t xml:space="preserve">                      </w:t>
      </w:r>
      <w:r>
        <w:rPr>
          <w:rFonts w:hint="eastAsia" w:cs="宋体"/>
          <w:color w:val="000000"/>
          <w:sz w:val="21"/>
          <w:szCs w:val="21"/>
        </w:rPr>
        <w:t xml:space="preserve">：</w:t>
      </w:r>
      <w:r/>
    </w:p>
    <w:p>
      <w:pPr>
        <w:pStyle w:val="928"/>
        <w:ind w:firstLine="480"/>
        <w:spacing w:line="400" w:lineRule="exact"/>
        <w:rPr>
          <w:rFonts w:hint="eastAsia" w:cs="宋体"/>
          <w:color w:val="000000"/>
          <w:sz w:val="21"/>
          <w:szCs w:val="21"/>
        </w:rPr>
      </w:pPr>
      <w:r>
        <w:rPr>
          <w:rFonts w:hint="eastAsia" w:cs="宋体"/>
          <w:color w:val="000000"/>
          <w:sz w:val="21"/>
          <w:szCs w:val="21"/>
        </w:rPr>
        <w:t xml:space="preserve">本公司愿就由贵公司组织实施的编号为 </w:t>
      </w:r>
      <w:r>
        <w:rPr>
          <w:rFonts w:hint="eastAsia" w:cs="宋体"/>
          <w:color w:val="000000"/>
          <w:sz w:val="21"/>
          <w:szCs w:val="21"/>
          <w:u w:val="single"/>
        </w:rPr>
        <w:t xml:space="preserve">      </w:t>
      </w:r>
      <w:r>
        <w:rPr>
          <w:rFonts w:hint="eastAsia" w:cs="宋体"/>
          <w:color w:val="000000"/>
          <w:sz w:val="21"/>
          <w:szCs w:val="21"/>
          <w:u w:val="single"/>
        </w:rPr>
        <w:t xml:space="preserve">              </w:t>
      </w:r>
      <w:r>
        <w:rPr>
          <w:rFonts w:hint="eastAsia" w:cs="宋体"/>
          <w:color w:val="000000"/>
          <w:sz w:val="21"/>
          <w:szCs w:val="21"/>
        </w:rPr>
        <w:t xml:space="preserve"> 号</w:t>
      </w:r>
      <w:r>
        <w:rPr>
          <w:rFonts w:hint="eastAsia"/>
          <w:color w:val="000000"/>
          <w:sz w:val="21"/>
          <w:szCs w:val="21"/>
        </w:rPr>
        <w:t xml:space="preserve">的招标活动</w:t>
      </w:r>
      <w:r>
        <w:rPr>
          <w:rFonts w:hint="eastAsia" w:cs="宋体"/>
          <w:color w:val="000000"/>
          <w:sz w:val="21"/>
          <w:szCs w:val="21"/>
        </w:rPr>
        <w:t xml:space="preserve">进行投标。本公司所提交的投标文件中所有关于投标资格的文件、证明和陈述均是真实的、准确的。若与真实情况不符，本公司愿意承担由此产生的一切后果。</w:t>
      </w:r>
      <w:r/>
    </w:p>
    <w:p>
      <w:pPr>
        <w:pStyle w:val="928"/>
        <w:ind w:firstLine="2730"/>
        <w:spacing w:line="400" w:lineRule="exact"/>
        <w:rPr>
          <w:rFonts w:hint="eastAsia" w:cs="宋体"/>
          <w:color w:val="000000"/>
          <w:sz w:val="21"/>
          <w:szCs w:val="21"/>
        </w:rPr>
      </w:pPr>
      <w:r>
        <w:rPr>
          <w:rFonts w:hint="eastAsia" w:cs="宋体"/>
          <w:color w:val="000000"/>
          <w:sz w:val="21"/>
          <w:szCs w:val="21"/>
        </w:rPr>
        <w:t xml:space="preserve">法定代表人：（签字或盖章）</w:t>
      </w:r>
      <w:r/>
    </w:p>
    <w:p>
      <w:pPr>
        <w:pStyle w:val="928"/>
        <w:ind w:firstLine="2730"/>
        <w:spacing w:line="400" w:lineRule="exact"/>
        <w:rPr>
          <w:rFonts w:hint="eastAsia" w:cs="宋体"/>
          <w:color w:val="000000"/>
          <w:sz w:val="21"/>
          <w:szCs w:val="21"/>
        </w:rPr>
      </w:pPr>
      <w:r>
        <w:rPr>
          <w:rFonts w:hint="eastAsia" w:cs="宋体"/>
          <w:color w:val="000000"/>
          <w:sz w:val="21"/>
          <w:szCs w:val="21"/>
        </w:rPr>
        <w:t xml:space="preserve">公章：</w:t>
      </w:r>
      <w:r/>
    </w:p>
    <w:p>
      <w:pPr>
        <w:pStyle w:val="928"/>
        <w:ind w:firstLine="5040"/>
        <w:spacing w:line="400" w:lineRule="exact"/>
        <w:rPr>
          <w:rFonts w:hint="eastAsia" w:cs="宋体"/>
          <w:color w:val="000000"/>
          <w:sz w:val="21"/>
          <w:szCs w:val="21"/>
        </w:rPr>
      </w:pPr>
      <w:r>
        <w:rPr>
          <w:rFonts w:hint="eastAsia" w:cs="宋体"/>
          <w:color w:val="000000"/>
          <w:sz w:val="21"/>
          <w:szCs w:val="21"/>
        </w:rPr>
        <w:t xml:space="preserve">年  月  日</w:t>
      </w:r>
      <w:r/>
    </w:p>
    <w:p>
      <w:pPr>
        <w:pStyle w:val="928"/>
        <w:ind w:firstLine="5040"/>
        <w:spacing w:line="400" w:lineRule="exact"/>
        <w:rPr>
          <w:rFonts w:hint="eastAsia" w:cs="宋体"/>
          <w:color w:val="000000"/>
          <w:sz w:val="21"/>
          <w:szCs w:val="21"/>
        </w:rPr>
      </w:pPr>
      <w:r>
        <w:rPr>
          <w:rFonts w:hint="eastAsia" w:cs="宋体"/>
          <w:color w:val="000000"/>
          <w:sz w:val="21"/>
          <w:szCs w:val="21"/>
        </w:rPr>
      </w:r>
      <w:r/>
    </w:p>
    <w:p>
      <w:pPr>
        <w:pStyle w:val="928"/>
        <w:ind w:firstLine="5040"/>
        <w:spacing w:line="400" w:lineRule="exact"/>
        <w:rPr>
          <w:rFonts w:hint="eastAsia" w:cs="宋体"/>
          <w:color w:val="000000"/>
          <w:sz w:val="21"/>
          <w:szCs w:val="21"/>
        </w:rPr>
      </w:pPr>
      <w:r>
        <w:rPr>
          <w:rFonts w:hint="eastAsia" w:cs="宋体"/>
          <w:color w:val="000000"/>
          <w:sz w:val="21"/>
          <w:szCs w:val="21"/>
        </w:rPr>
      </w:r>
      <w:r/>
    </w:p>
    <w:p>
      <w:pPr>
        <w:pStyle w:val="928"/>
        <w:spacing w:line="400" w:lineRule="exact"/>
        <w:rPr>
          <w:rFonts w:hint="eastAsia" w:cs="宋体"/>
          <w:color w:val="000000"/>
          <w:sz w:val="21"/>
          <w:szCs w:val="21"/>
        </w:rPr>
      </w:pPr>
      <w:r>
        <w:rPr>
          <w:rFonts w:hint="eastAsia" w:cs="宋体"/>
          <w:color w:val="000000"/>
          <w:sz w:val="21"/>
          <w:szCs w:val="21"/>
        </w:rPr>
        <w:t xml:space="preserve">（2）投标单位情况表</w:t>
      </w:r>
      <w:r>
        <w:rPr>
          <w:rFonts w:hint="eastAsia"/>
          <w:color w:val="000000"/>
          <w:sz w:val="21"/>
          <w:szCs w:val="21"/>
        </w:rPr>
        <w:t xml:space="preserve"> </w:t>
      </w:r>
      <w:r>
        <w:rPr>
          <w:rFonts w:hint="eastAsia" w:cs="宋体"/>
          <w:color w:val="000000"/>
          <w:sz w:val="21"/>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tc>
        <w:tc>
          <w:tcPr>
            <w:tcW w:w="2268"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tcW w:w="2835"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注册地址</w:t>
            </w:r>
            <w:r/>
          </w:p>
        </w:tc>
        <w:tc>
          <w:tcPr>
            <w:tcW w:w="2268"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注册资金</w:t>
            </w:r>
            <w:r/>
          </w:p>
        </w:tc>
        <w:tc>
          <w:tcPr>
            <w:tcW w:w="2835" w:type="dxa"/>
            <w:vAlign w:val="top"/>
            <w:textDirection w:val="lrTb"/>
            <w:noWrap w:val="false"/>
          </w:tcPr>
          <w:p>
            <w:pPr>
              <w:pStyle w:val="943"/>
              <w:ind w:firstLine="216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3"/>
            <w:tcW w:w="6521"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center"/>
            <w:textDirection w:val="lrTb"/>
            <w:noWrap w:val="false"/>
          </w:tcPr>
          <w:p>
            <w:pPr>
              <w:pStyle w:val="943"/>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p>
        </w:tc>
        <w:tc>
          <w:tcPr>
            <w:tcW w:w="2268" w:type="dxa"/>
            <w:vAlign w:val="bottom"/>
            <w:textDirection w:val="lrTb"/>
            <w:noWrap w:val="false"/>
          </w:tcPr>
          <w:p>
            <w:pPr>
              <w:pStyle w:val="943"/>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val="false"/>
          </w:tcPr>
          <w:p>
            <w:pPr>
              <w:pStyle w:val="943"/>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员工总人数</w:t>
            </w:r>
            <w:r/>
          </w:p>
        </w:tc>
        <w:tc>
          <w:tcPr>
            <w:tcW w:w="2835" w:type="dxa"/>
            <w:vAlign w:val="bottom"/>
            <w:textDirection w:val="lrTb"/>
            <w:noWrap w:val="false"/>
          </w:tcPr>
          <w:p>
            <w:pPr>
              <w:pStyle w:val="943"/>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570"/>
        </w:trPr>
        <w:tc>
          <w:tcPr>
            <w:tcW w:w="2552" w:type="dxa"/>
            <w:vAlign w:val="center"/>
            <w:textDirection w:val="lrTb"/>
            <w:noWrap w:val="false"/>
          </w:tcPr>
          <w:p>
            <w:pPr>
              <w:pStyle w:val="943"/>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资产总计</w:t>
            </w:r>
            <w:r/>
          </w:p>
        </w:tc>
        <w:tc>
          <w:tcPr>
            <w:tcW w:w="2268" w:type="dxa"/>
            <w:vAlign w:val="bottom"/>
            <w:textDirection w:val="lrTb"/>
            <w:noWrap w:val="false"/>
          </w:tcPr>
          <w:p>
            <w:pPr>
              <w:pStyle w:val="943"/>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center"/>
            <w:textDirection w:val="lrTb"/>
            <w:noWrap w:val="false"/>
          </w:tcPr>
          <w:p>
            <w:pPr>
              <w:pStyle w:val="943"/>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tcW w:w="2835" w:type="dxa"/>
            <w:vAlign w:val="bottom"/>
            <w:textDirection w:val="lrTb"/>
            <w:noWrap w:val="false"/>
          </w:tcPr>
          <w:p>
            <w:pPr>
              <w:pStyle w:val="943"/>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hint="eastAsia" w:ascii="宋体" w:hAnsi="宋体" w:eastAsia="宋体" w:cs="宋体"/>
                <w:color w:val="000000"/>
                <w:sz w:val="21"/>
                <w:szCs w:val="21"/>
                <w:u w:val="single"/>
              </w:rPr>
              <w:t xml:space="preserve">5</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r>
      <w:tr>
        <w:trPr>
          <w:cantSplit/>
        </w:trPr>
        <w:tc>
          <w:tcPr>
            <w:tcW w:w="2552" w:type="dxa"/>
            <w:vAlign w:val="center"/>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实现利润</w:t>
            </w:r>
            <w:r/>
          </w:p>
        </w:tc>
        <w:tc>
          <w:tcPr>
            <w:tcW w:w="2268" w:type="dxa"/>
            <w:vAlign w:val="bottom"/>
            <w:textDirection w:val="lrTb"/>
            <w:noWrap w:val="false"/>
          </w:tcPr>
          <w:p>
            <w:pPr>
              <w:pStyle w:val="943"/>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20</w:t>
            </w:r>
            <w:r>
              <w:rPr>
                <w:rFonts w:ascii="宋体" w:hAnsi="宋体" w:eastAsia="宋体" w:cs="宋体"/>
                <w:color w:val="000000"/>
                <w:sz w:val="21"/>
                <w:szCs w:val="21"/>
                <w:u w:val="single"/>
              </w:rPr>
              <w:t xml:space="preserve">2</w:t>
            </w:r>
            <w:r>
              <w:rPr>
                <w:rFonts w:hint="eastAsia" w:ascii="宋体" w:hAnsi="宋体" w:eastAsia="宋体" w:cs="宋体"/>
                <w:color w:val="000000"/>
                <w:sz w:val="21"/>
                <w:szCs w:val="21"/>
                <w:u w:val="single"/>
              </w:rPr>
              <w:t xml:space="preserve">5</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p>
        </w:tc>
        <w:tc>
          <w:tcPr>
            <w:tcW w:w="2835" w:type="dxa"/>
            <w:vAlign w:val="bottom"/>
            <w:textDirection w:val="lrTb"/>
            <w:noWrap w:val="false"/>
          </w:tcPr>
          <w:p>
            <w:pPr>
              <w:pStyle w:val="943"/>
              <w:ind w:firstLine="0"/>
              <w:jc w:val="righ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p>
        </w:tc>
      </w:tr>
      <w:tr>
        <w:trPr>
          <w:cantSplit/>
        </w:trPr>
        <w:tc>
          <w:tcPr>
            <w:tcW w:w="2552"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3"/>
            <w:tcW w:w="6521"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Pr>
        <w:tc>
          <w:tcPr>
            <w:tcW w:w="2552"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3"/>
            <w:tcW w:w="6521"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69"/>
        </w:trPr>
        <w:tc>
          <w:tcPr>
            <w:tcW w:w="2552" w:type="dxa"/>
            <w:vAlign w:val="center"/>
            <w:textDirection w:val="lrTb"/>
            <w:noWrap w:val="false"/>
          </w:tcPr>
          <w:p>
            <w:pPr>
              <w:pStyle w:val="943"/>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p>
        </w:tc>
        <w:tc>
          <w:tcPr>
            <w:gridSpan w:val="3"/>
            <w:tcW w:w="6521"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23"/>
        </w:trPr>
        <w:tc>
          <w:tcPr>
            <w:tcW w:w="2552" w:type="dxa"/>
            <w:vAlign w:val="center"/>
            <w:textDirection w:val="lrTb"/>
            <w:noWrap w:val="false"/>
          </w:tcPr>
          <w:p>
            <w:pPr>
              <w:pStyle w:val="943"/>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981"/>
        </w:trPr>
        <w:tc>
          <w:tcPr>
            <w:tcW w:w="2552" w:type="dxa"/>
            <w:vAlign w:val="center"/>
            <w:textDirection w:val="lrTb"/>
            <w:noWrap w:val="false"/>
          </w:tcPr>
          <w:p>
            <w:pPr>
              <w:pStyle w:val="943"/>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rPr>
                <w:rFonts w:hint="eastAsia" w:ascii="宋体" w:hAnsi="宋体" w:eastAsia="宋体" w:cs="宋体"/>
                <w:color w:val="000000"/>
                <w:sz w:val="21"/>
                <w:szCs w:val="21"/>
              </w:rPr>
            </w:r>
            <w:r/>
          </w:p>
        </w:tc>
        <w:tc>
          <w:tcPr>
            <w:gridSpan w:val="3"/>
            <w:tcW w:w="6521"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257"/>
        </w:trPr>
        <w:tc>
          <w:tcPr>
            <w:tcW w:w="2552" w:type="dxa"/>
            <w:vAlign w:val="center"/>
            <w:textDirection w:val="lrTb"/>
            <w:noWrap w:val="false"/>
          </w:tcPr>
          <w:p>
            <w:pPr>
              <w:pStyle w:val="943"/>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p>
        </w:tc>
        <w:tc>
          <w:tcPr>
            <w:gridSpan w:val="3"/>
            <w:tcW w:w="6521"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560"/>
        </w:trPr>
        <w:tc>
          <w:tcPr>
            <w:tcW w:w="2552" w:type="dxa"/>
            <w:vAlign w:val="center"/>
            <w:textDirection w:val="lrTb"/>
            <w:noWrap w:val="false"/>
          </w:tcPr>
          <w:p>
            <w:pPr>
              <w:pStyle w:val="943"/>
              <w:ind w:firstLine="0"/>
              <w:jc w:val="both"/>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3"/>
            <w:tcW w:w="6521" w:type="dxa"/>
            <w:vAlign w:val="top"/>
            <w:textDirection w:val="lrTb"/>
            <w:noWrap w:val="false"/>
          </w:tcPr>
          <w:p>
            <w:pPr>
              <w:pStyle w:val="94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28"/>
        <w:spacing w:line="400" w:lineRule="exact"/>
        <w:rPr>
          <w:rFonts w:hint="eastAsia" w:cs="宋体"/>
          <w:color w:val="000000"/>
          <w:sz w:val="21"/>
          <w:szCs w:val="21"/>
        </w:rPr>
      </w:pPr>
      <w:r>
        <w:rPr>
          <w:rFonts w:hint="eastAsia" w:cs="宋体"/>
          <w:color w:val="000000"/>
          <w:sz w:val="21"/>
          <w:szCs w:val="21"/>
        </w:rPr>
      </w:r>
      <w:r/>
    </w:p>
    <w:p>
      <w:pPr>
        <w:pStyle w:val="928"/>
        <w:spacing w:line="360" w:lineRule="auto"/>
        <w:rPr>
          <w:rFonts w:hint="eastAsia" w:cs="宋体"/>
          <w:color w:val="000000"/>
          <w:sz w:val="21"/>
          <w:szCs w:val="21"/>
        </w:rPr>
      </w:pPr>
      <w:r>
        <w:rPr>
          <w:rFonts w:hint="eastAsia" w:cs="宋体"/>
          <w:color w:val="000000"/>
          <w:sz w:val="21"/>
          <w:szCs w:val="21"/>
        </w:rPr>
        <w:br w:type="page" w:clear="all"/>
        <w:t xml:space="preserve">（3）资格证明材料（按照资格条件提供相应证明材料）</w:t>
      </w:r>
      <w:r/>
    </w:p>
    <w:p>
      <w:pPr>
        <w:pStyle w:val="928"/>
        <w:ind w:firstLine="420"/>
        <w:spacing w:line="360" w:lineRule="auto"/>
        <w:rPr>
          <w:rFonts w:cs="宋体"/>
          <w:color w:val="000000"/>
          <w:sz w:val="21"/>
          <w:szCs w:val="21"/>
        </w:rPr>
      </w:pPr>
      <w:r>
        <w:rPr>
          <w:rFonts w:cs="宋体"/>
          <w:color w:val="000000"/>
          <w:sz w:val="21"/>
          <w:szCs w:val="21"/>
        </w:rPr>
        <w:t xml:space="preserve">1</w:t>
      </w:r>
      <w:r>
        <w:rPr>
          <w:rFonts w:hint="eastAsia" w:cs="宋体"/>
          <w:color w:val="000000"/>
          <w:sz w:val="21"/>
          <w:szCs w:val="21"/>
        </w:rPr>
        <w:t xml:space="preserve">、</w:t>
      </w:r>
      <w:r>
        <w:rPr>
          <w:rFonts w:cs="宋体"/>
          <w:color w:val="000000"/>
          <w:sz w:val="21"/>
          <w:szCs w:val="21"/>
        </w:rPr>
        <w:t xml:space="preserve">具有独立承担民事责任的能力（提供法人或者其他组织的营业执照等证明文件，自然人的身份证明）；</w:t>
      </w:r>
      <w:r/>
    </w:p>
    <w:p>
      <w:pPr>
        <w:pStyle w:val="928"/>
        <w:ind w:firstLine="420"/>
        <w:spacing w:line="360" w:lineRule="auto"/>
        <w:rPr>
          <w:rFonts w:cs="宋体"/>
          <w:color w:val="000000"/>
          <w:sz w:val="21"/>
          <w:szCs w:val="21"/>
        </w:rPr>
      </w:pPr>
      <w:r>
        <w:rPr>
          <w:rFonts w:cs="宋体"/>
          <w:color w:val="000000"/>
          <w:sz w:val="21"/>
          <w:szCs w:val="21"/>
        </w:rPr>
        <w:t xml:space="preserve">2</w:t>
      </w:r>
      <w:r>
        <w:rPr>
          <w:rFonts w:hint="eastAsia" w:cs="宋体"/>
          <w:color w:val="000000"/>
          <w:sz w:val="21"/>
          <w:szCs w:val="21"/>
        </w:rPr>
        <w:t xml:space="preserve">、</w:t>
      </w:r>
      <w:r>
        <w:rPr>
          <w:rFonts w:cs="宋体"/>
          <w:color w:val="000000"/>
          <w:sz w:val="21"/>
          <w:szCs w:val="21"/>
        </w:rPr>
        <w:t xml:space="preserve">具有良好的商业信誉和健全的财务会计制度（包括但不限于最近一期的财务报告，其他组织、自然人及成立未满</w:t>
      </w:r>
      <w:r>
        <w:rPr>
          <w:rFonts w:hint="eastAsia" w:cs="宋体"/>
          <w:color w:val="000000"/>
          <w:sz w:val="21"/>
          <w:szCs w:val="21"/>
        </w:rPr>
        <w:t xml:space="preserve">一年</w:t>
      </w:r>
      <w:r>
        <w:rPr>
          <w:rFonts w:cs="宋体"/>
          <w:color w:val="000000"/>
          <w:sz w:val="21"/>
          <w:szCs w:val="21"/>
        </w:rPr>
        <w:t xml:space="preserve">的法人应提供银行出具的资信证明）；</w:t>
      </w:r>
      <w:r/>
    </w:p>
    <w:p>
      <w:pPr>
        <w:pStyle w:val="928"/>
        <w:ind w:firstLine="420"/>
        <w:spacing w:line="360" w:lineRule="auto"/>
        <w:rPr>
          <w:rFonts w:cs="宋体"/>
          <w:color w:val="000000"/>
          <w:sz w:val="21"/>
          <w:szCs w:val="21"/>
        </w:rPr>
      </w:pPr>
      <w:r>
        <w:rPr>
          <w:rFonts w:cs="宋体"/>
          <w:color w:val="000000"/>
          <w:sz w:val="21"/>
          <w:szCs w:val="21"/>
        </w:rPr>
        <w:t xml:space="preserve">3</w:t>
      </w:r>
      <w:r>
        <w:rPr>
          <w:rFonts w:hint="eastAsia" w:cs="宋体"/>
          <w:color w:val="000000"/>
          <w:sz w:val="21"/>
          <w:szCs w:val="21"/>
        </w:rPr>
        <w:t xml:space="preserve">、</w:t>
      </w:r>
      <w:r>
        <w:rPr>
          <w:rFonts w:cs="宋体"/>
          <w:color w:val="000000"/>
          <w:sz w:val="21"/>
          <w:szCs w:val="21"/>
        </w:rPr>
        <w:t xml:space="preserve">具有履行合同所必需的设备和专业技术能力（根据项目需求提供履行合同所必需的设备和专业技术能力的证明材料）；</w:t>
      </w:r>
      <w:r/>
    </w:p>
    <w:p>
      <w:pPr>
        <w:pStyle w:val="928"/>
        <w:ind w:firstLine="420"/>
        <w:spacing w:line="360" w:lineRule="auto"/>
        <w:rPr>
          <w:rFonts w:cs="宋体"/>
          <w:color w:val="000000"/>
          <w:sz w:val="21"/>
          <w:szCs w:val="21"/>
        </w:rPr>
      </w:pPr>
      <w:r>
        <w:rPr>
          <w:rFonts w:cs="宋体"/>
          <w:color w:val="000000"/>
          <w:sz w:val="21"/>
          <w:szCs w:val="21"/>
        </w:rPr>
        <w:t xml:space="preserve">4</w:t>
      </w:r>
      <w:r>
        <w:rPr>
          <w:rFonts w:hint="eastAsia" w:cs="宋体"/>
          <w:color w:val="000000"/>
          <w:sz w:val="21"/>
          <w:szCs w:val="21"/>
        </w:rPr>
        <w:t xml:space="preserve">、</w:t>
      </w:r>
      <w:r>
        <w:rPr>
          <w:rFonts w:cs="宋体"/>
          <w:color w:val="000000"/>
          <w:sz w:val="21"/>
          <w:szCs w:val="21"/>
        </w:rPr>
        <w:t xml:space="preserve">有依法缴纳税收和社会保障资金的良好记录（提供参加本次政府采购活动前半年（至少一个月）依法缴纳税收和社会保障资金的</w:t>
      </w:r>
      <w:r>
        <w:rPr>
          <w:rFonts w:hint="eastAsia" w:cs="宋体"/>
          <w:color w:val="000000"/>
          <w:sz w:val="21"/>
          <w:szCs w:val="21"/>
        </w:rPr>
        <w:t xml:space="preserve">证明</w:t>
      </w:r>
      <w:r>
        <w:rPr>
          <w:rFonts w:cs="宋体"/>
          <w:color w:val="000000"/>
          <w:sz w:val="21"/>
          <w:szCs w:val="21"/>
        </w:rPr>
        <w:t xml:space="preserve">材料，依法免税或不需要缴纳社会保障资金的，提供相关证明文件）；</w:t>
      </w:r>
      <w:r/>
    </w:p>
    <w:p>
      <w:pPr>
        <w:pStyle w:val="928"/>
        <w:ind w:firstLine="420"/>
        <w:spacing w:line="360" w:lineRule="auto"/>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w:t>
      </w:r>
      <w:r>
        <w:rPr>
          <w:rFonts w:cs="宋体"/>
          <w:color w:val="000000"/>
          <w:sz w:val="21"/>
          <w:szCs w:val="21"/>
        </w:rPr>
        <w:t xml:space="preserve">参加政府采购活动前三年内，在经营活动中没有重大违法记录（提供参加本次政府采购活动前3年内在经营活动中没有重大违法记录的书面声明）；</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6、</w:t>
      </w:r>
      <w:r>
        <w:rPr>
          <w:rFonts w:cs="宋体"/>
          <w:color w:val="000000"/>
          <w:sz w:val="21"/>
          <w:szCs w:val="21"/>
        </w:rPr>
        <w:t xml:space="preserve">法律、行政法规规定的其他条件</w:t>
      </w:r>
      <w:r>
        <w:rPr>
          <w:rFonts w:hint="eastAsia" w:cs="宋体"/>
          <w:color w:val="000000"/>
          <w:sz w:val="21"/>
          <w:szCs w:val="21"/>
        </w:rPr>
        <w:t xml:space="preserve">；</w:t>
      </w:r>
      <w:r>
        <w:rPr>
          <w:rFonts w:hint="eastAsia" w:cs="宋体"/>
          <w:color w:val="000000"/>
          <w:sz w:val="21"/>
          <w:szCs w:val="21"/>
        </w:rPr>
      </w:r>
      <w:r/>
    </w:p>
    <w:p>
      <w:pPr>
        <w:pStyle w:val="928"/>
        <w:ind w:firstLine="424"/>
        <w:spacing w:line="360" w:lineRule="auto"/>
        <w:rPr>
          <w:rFonts w:hint="eastAsia" w:cs="宋体"/>
          <w:color w:val="000000"/>
          <w:sz w:val="21"/>
          <w:szCs w:val="21"/>
        </w:rPr>
      </w:pPr>
      <w:r>
        <w:rPr>
          <w:rFonts w:hint="eastAsia" w:cs="宋体"/>
          <w:color w:val="000000"/>
          <w:sz w:val="21"/>
          <w:szCs w:val="21"/>
        </w:rPr>
        <w:t xml:space="preserve">7、</w:t>
      </w:r>
      <w:r>
        <w:rPr>
          <w:rFonts w:hint="eastAsia"/>
          <w:color w:val="000000"/>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color w:val="000000"/>
          <w:sz w:val="21"/>
          <w:szCs w:val="21"/>
        </w:rPr>
      </w:r>
      <w:r/>
    </w:p>
    <w:p>
      <w:pPr>
        <w:pStyle w:val="943"/>
        <w:ind w:firstLine="0"/>
        <w:spacing w:line="400" w:lineRule="exact"/>
        <w:rPr>
          <w:rFonts w:hint="eastAsia" w:cs="宋体"/>
          <w:color w:val="000000"/>
          <w:sz w:val="21"/>
          <w:szCs w:val="21"/>
        </w:rPr>
      </w:pPr>
      <w:r>
        <w:rPr>
          <w:rFonts w:hint="eastAsia" w:cs="宋体"/>
          <w:b/>
          <w:bCs/>
          <w:color w:val="000000"/>
          <w:sz w:val="44"/>
          <w:szCs w:val="44"/>
        </w:rPr>
        <w:br w:type="page" w:clear="all"/>
      </w:r>
      <w:r>
        <w:rPr>
          <w:rFonts w:hint="eastAsia" w:ascii="宋体" w:hAnsi="宋体" w:eastAsia="宋体" w:cs="宋体"/>
          <w:b/>
          <w:color w:val="000000"/>
          <w:sz w:val="21"/>
          <w:szCs w:val="21"/>
        </w:rPr>
        <w:t xml:space="preserve">附件7、中小企业声明函</w:t>
      </w:r>
      <w:r>
        <w:rPr>
          <w:rFonts w:hint="eastAsia" w:cs="宋体"/>
          <w:color w:val="000000"/>
          <w:sz w:val="21"/>
          <w:szCs w:val="21"/>
        </w:rPr>
      </w:r>
      <w:r/>
    </w:p>
    <w:p>
      <w:pPr>
        <w:pStyle w:val="928"/>
        <w:jc w:val="center"/>
        <w:spacing w:line="588" w:lineRule="exact"/>
        <w:rPr>
          <w:rFonts w:hint="eastAsia" w:cs="宋体"/>
          <w:b/>
          <w:color w:val="000000"/>
          <w:spacing w:val="6"/>
        </w:rPr>
      </w:pPr>
      <w:r>
        <w:rPr>
          <w:rFonts w:hint="eastAsia" w:cs="宋体"/>
          <w:b/>
          <w:color w:val="000000"/>
          <w:spacing w:val="6"/>
        </w:rPr>
      </w:r>
      <w:r/>
    </w:p>
    <w:p>
      <w:pPr>
        <w:pStyle w:val="928"/>
        <w:jc w:val="center"/>
        <w:spacing w:line="360" w:lineRule="auto"/>
        <w:rPr>
          <w:color w:val="000000"/>
          <w:sz w:val="21"/>
          <w:szCs w:val="21"/>
        </w:rPr>
      </w:pPr>
      <w:r>
        <w:rPr>
          <w:rFonts w:hint="eastAsia"/>
          <w:color w:val="000000"/>
          <w:sz w:val="21"/>
          <w:szCs w:val="21"/>
        </w:rPr>
        <w:t xml:space="preserve">中小企业声明函（服务）</w:t>
      </w:r>
      <w:r>
        <w:rPr>
          <w:color w:val="000000"/>
          <w:sz w:val="21"/>
          <w:szCs w:val="21"/>
        </w:rPr>
      </w:r>
      <w:r/>
    </w:p>
    <w:p>
      <w:pPr>
        <w:pStyle w:val="928"/>
        <w:spacing w:line="360" w:lineRule="auto"/>
        <w:rPr>
          <w:color w:val="000000"/>
          <w:sz w:val="21"/>
          <w:szCs w:val="21"/>
        </w:rPr>
      </w:pP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本公司郑重声明，根据《政府采购促进中小企业发展管理办法》（财库﹝2020﹞46号）的规定，本公司参加</w:t>
      </w:r>
      <w:r>
        <w:rPr>
          <w:rFonts w:hint="eastAsia"/>
          <w:i/>
          <w:color w:val="000000"/>
          <w:sz w:val="21"/>
          <w:szCs w:val="21"/>
          <w:u w:val="single"/>
        </w:rPr>
        <w:t xml:space="preserve">（单位名称）</w:t>
      </w:r>
      <w:r>
        <w:rPr>
          <w:rFonts w:hint="eastAsia"/>
          <w:color w:val="000000"/>
          <w:sz w:val="21"/>
          <w:szCs w:val="21"/>
        </w:rPr>
        <w:t xml:space="preserve">的</w:t>
      </w:r>
      <w:r>
        <w:rPr>
          <w:rFonts w:hint="eastAsia"/>
          <w:i/>
          <w:color w:val="000000"/>
          <w:sz w:val="21"/>
          <w:szCs w:val="21"/>
          <w:u w:val="single"/>
        </w:rPr>
        <w:t xml:space="preserve">（项目名称）</w:t>
      </w:r>
      <w:r>
        <w:rPr>
          <w:rFonts w:hint="eastAsia"/>
          <w:color w:val="000000"/>
          <w:sz w:val="21"/>
          <w:szCs w:val="21"/>
        </w:rPr>
        <w:t xml:space="preserve">采购活动，服务全部由符合政策要求的中小企业承接。相关企业的具体情况如</w:t>
      </w:r>
      <w:r>
        <w:rPr>
          <w:rFonts w:hint="eastAsia"/>
          <w:color w:val="000000"/>
          <w:sz w:val="21"/>
          <w:szCs w:val="21"/>
        </w:rPr>
        <w:t xml:space="preserve">下：</w:t>
      </w: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1、</w:t>
      </w:r>
      <w:r>
        <w:rPr>
          <w:rFonts w:hint="eastAsia"/>
          <w:i/>
          <w:color w:val="000000"/>
          <w:sz w:val="21"/>
          <w:szCs w:val="21"/>
          <w:u w:val="single"/>
        </w:rPr>
        <w:t xml:space="preserve">（标的名称）</w:t>
      </w:r>
      <w:r>
        <w:rPr>
          <w:rFonts w:hint="eastAsia"/>
          <w:color w:val="000000"/>
          <w:sz w:val="21"/>
          <w:szCs w:val="21"/>
        </w:rPr>
        <w:t xml:space="preserve">，属于</w:t>
      </w:r>
      <w:r>
        <w:rPr>
          <w:rFonts w:hint="eastAsia"/>
          <w:i/>
          <w:iCs/>
          <w:color w:val="000000"/>
          <w:sz w:val="21"/>
          <w:szCs w:val="21"/>
          <w:u w:val="single"/>
        </w:rPr>
        <w:t xml:space="preserve">（采购文件中明确的所属行业）行业</w:t>
      </w:r>
      <w:r>
        <w:rPr>
          <w:rFonts w:hint="eastAsia"/>
          <w:color w:val="000000"/>
          <w:sz w:val="21"/>
          <w:szCs w:val="21"/>
        </w:rPr>
        <w:t xml:space="preserve">；承接企业为</w:t>
      </w:r>
      <w:r>
        <w:rPr>
          <w:rFonts w:hint="eastAsia"/>
          <w:i/>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rPr>
        <w:tab/>
      </w:r>
      <w:r>
        <w:rPr>
          <w:rFonts w:hint="eastAsia"/>
          <w:color w:val="000000"/>
          <w:sz w:val="21"/>
          <w:szCs w:val="21"/>
        </w:rPr>
        <w:t xml:space="preserve">人，营业收入为</w:t>
      </w:r>
      <w:r>
        <w:rPr>
          <w:rFonts w:hint="eastAsia"/>
          <w:color w:val="000000"/>
          <w:sz w:val="21"/>
          <w:szCs w:val="21"/>
          <w:u w:val="single"/>
        </w:rPr>
        <w:tab/>
      </w:r>
      <w:r>
        <w:rPr>
          <w:rFonts w:hint="eastAsia"/>
          <w:color w:val="000000"/>
          <w:sz w:val="21"/>
          <w:szCs w:val="21"/>
        </w:rPr>
        <w:t xml:space="preserve">万元，资产总额为</w:t>
      </w:r>
      <w:r>
        <w:rPr>
          <w:rFonts w:hint="eastAsia"/>
          <w:color w:val="000000"/>
          <w:sz w:val="21"/>
          <w:szCs w:val="21"/>
          <w:u w:val="single"/>
        </w:rPr>
        <w:tab/>
      </w:r>
      <w:r>
        <w:rPr>
          <w:rFonts w:hint="eastAsia"/>
          <w:color w:val="000000"/>
          <w:sz w:val="21"/>
          <w:szCs w:val="21"/>
        </w:rPr>
        <w:t xml:space="preserve">万元</w:t>
      </w:r>
      <w:r>
        <w:rPr>
          <w:color w:val="000000"/>
        </w:rPr>
        <w:fldChar w:fldCharType="begin"/>
      </w:r>
      <w:r>
        <w:rPr>
          <w:color w:val="000000"/>
        </w:rPr>
        <w:instrText xml:space="preserve">HYPERLINK "D:\\微信\\微信下载文件\\xwechat_files\\brz958908250_6791\\msg\\attach\\9e20f478899dc29eb19741386f9343c8\\2025-05\\Rec\\28307c2686bc9948\\F\\0\\新建文件夹\\最新TCGGZY-2021G024太</w:instrText>
      </w:r>
      <w:r>
        <w:rPr>
          <w:color w:val="000000"/>
        </w:rPr>
        <w:instrText xml:space="preserve">仓市公安局关于2021-2023年公务用车维修保养服务项目采购13文件.docx"</w:instrText>
      </w:r>
      <w:r>
        <w:rPr>
          <w:rFonts w:hint="eastAsia"/>
          <w:color w:val="000000"/>
        </w:rPr>
        <w:instrText xml:space="preserve"> \l "_bookmark1"</w:instrText>
      </w:r>
      <w:r>
        <w:rPr>
          <w:color w:val="000000"/>
        </w:rPr>
        <w:fldChar w:fldCharType="separate"/>
      </w:r>
      <w:r>
        <w:rPr>
          <w:rStyle w:val="1023"/>
          <w:color w:val="000000"/>
          <w:position w:val="16"/>
          <w:sz w:val="21"/>
          <w:szCs w:val="21"/>
        </w:rPr>
        <w:t xml:space="preserve">1</w:t>
      </w:r>
      <w:r>
        <w:rPr>
          <w:rStyle w:val="1023"/>
          <w:color w:val="000000"/>
          <w:position w:val="16"/>
          <w:sz w:val="21"/>
          <w:szCs w:val="21"/>
        </w:rPr>
        <w:fldChar w:fldCharType="end"/>
      </w:r>
      <w:r>
        <w:rPr>
          <w:rFonts w:hint="eastAsia"/>
          <w:color w:val="000000"/>
          <w:sz w:val="21"/>
          <w:szCs w:val="21"/>
        </w:rPr>
        <w:t xml:space="preserve">，属于</w:t>
      </w:r>
      <w:r>
        <w:rPr>
          <w:rFonts w:hint="eastAsia"/>
          <w:i/>
          <w:color w:val="000000"/>
          <w:sz w:val="21"/>
          <w:szCs w:val="21"/>
          <w:u w:val="single"/>
        </w:rPr>
        <w:t xml:space="preserve">（中型企业、小型企业、微型企业）</w:t>
      </w:r>
      <w:r>
        <w:rPr>
          <w:rFonts w:hint="eastAsia"/>
          <w:color w:val="000000"/>
          <w:sz w:val="21"/>
          <w:szCs w:val="21"/>
        </w:rPr>
        <w:t xml:space="preserve">；</w:t>
      </w: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w:t>
      </w: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本企业对上述声明内容的真实性负责。如有虚假，将依法承担相应责任。</w:t>
      </w:r>
      <w:r>
        <w:rPr>
          <w:color w:val="000000"/>
          <w:sz w:val="21"/>
          <w:szCs w:val="21"/>
        </w:rPr>
      </w:r>
      <w:r/>
    </w:p>
    <w:p>
      <w:pPr>
        <w:pStyle w:val="928"/>
        <w:ind w:firstLine="4200"/>
        <w:jc w:val="left"/>
        <w:spacing w:line="360" w:lineRule="auto"/>
        <w:rPr>
          <w:color w:val="000000"/>
          <w:sz w:val="21"/>
          <w:szCs w:val="21"/>
        </w:rPr>
      </w:pPr>
      <w:r>
        <w:rPr>
          <w:rFonts w:hint="eastAsia"/>
          <w:color w:val="000000"/>
          <w:sz w:val="21"/>
          <w:szCs w:val="21"/>
        </w:rPr>
        <w:t xml:space="preserve">企业名称（盖章）：</w:t>
      </w:r>
      <w:r>
        <w:rPr>
          <w:color w:val="000000"/>
          <w:sz w:val="21"/>
          <w:szCs w:val="21"/>
        </w:rPr>
      </w:r>
      <w:r/>
    </w:p>
    <w:p>
      <w:pPr>
        <w:pStyle w:val="928"/>
        <w:ind w:right="1120" w:firstLine="4200"/>
        <w:jc w:val="left"/>
        <w:spacing w:line="360" w:lineRule="auto"/>
        <w:rPr>
          <w:color w:val="000000"/>
          <w:sz w:val="21"/>
          <w:szCs w:val="21"/>
        </w:rPr>
      </w:pPr>
      <w:r>
        <w:rPr>
          <w:rFonts w:hint="eastAsia"/>
          <w:color w:val="000000"/>
          <w:sz w:val="21"/>
          <w:szCs w:val="21"/>
        </w:rPr>
        <w:t xml:space="preserve">日期：</w:t>
      </w:r>
      <w:r>
        <w:rPr>
          <w:color w:val="000000"/>
          <w:sz w:val="21"/>
          <w:szCs w:val="21"/>
        </w:rPr>
      </w:r>
      <w:r/>
    </w:p>
    <w:p>
      <w:pPr>
        <w:pStyle w:val="928"/>
        <w:spacing w:line="360" w:lineRule="auto"/>
        <w:rPr>
          <w:color w:val="000000"/>
          <w:sz w:val="21"/>
          <w:szCs w:val="21"/>
        </w:rPr>
      </w:pPr>
      <w:r>
        <w:rPr>
          <w:color w:val="000000"/>
        </w:rPr>
        <w:fldChar w:fldCharType="begin"/>
      </w:r>
      <w:r>
        <w:rPr>
          <w:color w:val="000000"/>
        </w:rPr>
        <w:instrText xml:space="preserve">HYPERLINK "D:\\微信\\微信下载文件\\xwechat_files\\brz958908250_6791\\msg\\attach\\9e20f478899dc29eb19741386f9343c8\\2025-05\\Rec\\28307c2686bc9948\\F\</w:instrText>
      </w:r>
      <w:r>
        <w:rPr>
          <w:color w:val="000000"/>
        </w:rPr>
        <w:instrText xml:space="preserve">\0\\新建文件夹\\最新TCGGZY-2021G024太仓市公安局关于2021-2023年公务用车维修保养服务项目采购13文件.docx"</w:instrText>
      </w:r>
      <w:r>
        <w:rPr>
          <w:rFonts w:hint="eastAsia"/>
          <w:color w:val="000000"/>
        </w:rPr>
        <w:instrText xml:space="preserve"> \l "_bookmark1"</w:instrText>
      </w:r>
      <w:r>
        <w:rPr>
          <w:color w:val="000000"/>
        </w:rPr>
        <w:fldChar w:fldCharType="separate"/>
      </w:r>
      <w:r>
        <w:rPr>
          <w:rStyle w:val="1023"/>
          <w:color w:val="000000"/>
          <w:position w:val="16"/>
          <w:sz w:val="21"/>
          <w:szCs w:val="21"/>
        </w:rPr>
        <w:t xml:space="preserve">1</w:t>
      </w:r>
      <w:r>
        <w:rPr>
          <w:rStyle w:val="1023"/>
          <w:color w:val="000000"/>
          <w:position w:val="16"/>
          <w:sz w:val="21"/>
          <w:szCs w:val="21"/>
        </w:rPr>
        <w:fldChar w:fldCharType="end"/>
      </w:r>
      <w:r>
        <w:rPr>
          <w:rFonts w:hint="eastAsia"/>
          <w:color w:val="000000"/>
          <w:sz w:val="21"/>
          <w:szCs w:val="21"/>
        </w:rPr>
        <w:t xml:space="preserve">从业人员、营业收入、资产总额填报上一年度数据，无上一年度数据的新成立企业可不填报。</w:t>
      </w:r>
      <w:r>
        <w:rPr>
          <w:color w:val="000000"/>
          <w:sz w:val="21"/>
          <w:szCs w:val="21"/>
        </w:rPr>
      </w:r>
      <w:r/>
    </w:p>
    <w:p>
      <w:pPr>
        <w:pStyle w:val="928"/>
        <w:ind w:firstLine="422"/>
        <w:jc w:val="left"/>
        <w:spacing w:line="360" w:lineRule="auto"/>
        <w:rPr>
          <w:b/>
          <w:color w:val="000000"/>
          <w:sz w:val="21"/>
          <w:szCs w:val="21"/>
        </w:rPr>
      </w:pPr>
      <w:r>
        <w:rPr>
          <w:rFonts w:hint="eastAsia"/>
          <w:b/>
          <w:color w:val="000000"/>
          <w:sz w:val="21"/>
          <w:szCs w:val="21"/>
        </w:rPr>
        <w:t xml:space="preserve">备注：</w:t>
      </w:r>
      <w:r>
        <w:rPr>
          <w:b/>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1、中小企业参加政府采购活动，应当出具《中小企业声明函》，否则不得享受相关中小企业扶持政策。</w:t>
      </w:r>
      <w:r>
        <w:rPr>
          <w:color w:val="000000"/>
          <w:sz w:val="21"/>
          <w:szCs w:val="21"/>
        </w:rPr>
      </w:r>
      <w:r/>
    </w:p>
    <w:p>
      <w:pPr>
        <w:pStyle w:val="928"/>
        <w:ind w:firstLine="432"/>
        <w:spacing w:line="360" w:lineRule="auto"/>
        <w:rPr>
          <w:rFonts w:hint="eastAsia"/>
          <w:b/>
          <w:color w:val="000000"/>
          <w:sz w:val="21"/>
          <w:szCs w:val="21"/>
        </w:rPr>
      </w:pPr>
      <w:r>
        <w:rPr>
          <w:rFonts w:hint="eastAsia"/>
          <w:color w:val="000000"/>
          <w:sz w:val="21"/>
          <w:szCs w:val="21"/>
        </w:rPr>
        <w:t xml:space="preserve">2、供</w:t>
      </w:r>
      <w:r>
        <w:rPr>
          <w:rFonts w:hint="eastAsia"/>
          <w:color w:val="000000"/>
          <w:sz w:val="21"/>
          <w:szCs w:val="21"/>
        </w:rPr>
        <w:t xml:space="preserve">应商提供声明函内容不实的，属于提供虚假材料谋取中标、成交，依照《中华人民共和国政府采购法》 等国家有关规定追究相应责任</w:t>
      </w:r>
      <w:r>
        <w:rPr>
          <w:rFonts w:hint="eastAsia"/>
          <w:bCs/>
          <w:color w:val="000000"/>
          <w:sz w:val="21"/>
          <w:szCs w:val="21"/>
        </w:rPr>
        <w:t xml:space="preserve">。</w:t>
      </w:r>
      <w:r>
        <w:rPr>
          <w:rFonts w:hint="eastAsia"/>
          <w:b/>
          <w:color w:val="000000"/>
          <w:sz w:val="21"/>
          <w:szCs w:val="21"/>
        </w:rPr>
      </w:r>
      <w:r/>
    </w:p>
    <w:p>
      <w:pPr>
        <w:pStyle w:val="928"/>
        <w:spacing w:line="440" w:lineRule="exact"/>
        <w:rPr>
          <w:rFonts w:hint="eastAsia"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附件8、残疾人福利性单位声明函</w:t>
      </w:r>
      <w:r/>
    </w:p>
    <w:p>
      <w:pPr>
        <w:pStyle w:val="928"/>
        <w:jc w:val="left"/>
        <w:spacing w:line="480" w:lineRule="atLeast"/>
        <w:widowControl/>
        <w:rPr>
          <w:rFonts w:hint="eastAsia" w:cs="宋体"/>
          <w:b/>
          <w:color w:val="000000"/>
          <w:sz w:val="32"/>
          <w:szCs w:val="32"/>
        </w:rPr>
      </w:pPr>
      <w:r>
        <w:rPr>
          <w:rFonts w:hint="eastAsia" w:cs="宋体"/>
          <w:b/>
          <w:color w:val="000000"/>
          <w:sz w:val="32"/>
          <w:szCs w:val="32"/>
        </w:rPr>
      </w:r>
      <w:r/>
    </w:p>
    <w:p>
      <w:pPr>
        <w:pStyle w:val="928"/>
        <w:jc w:val="center"/>
        <w:spacing w:line="480" w:lineRule="atLeast"/>
        <w:widowControl/>
        <w:rPr>
          <w:rFonts w:hint="eastAsia" w:cs="宋体"/>
          <w:color w:val="000000"/>
          <w:sz w:val="28"/>
          <w:szCs w:val="28"/>
        </w:rPr>
      </w:pPr>
      <w:r>
        <w:rPr>
          <w:rFonts w:hint="eastAsia" w:cs="宋体"/>
          <w:color w:val="000000"/>
          <w:sz w:val="28"/>
          <w:szCs w:val="28"/>
        </w:rPr>
        <w:t xml:space="preserve">残疾人福利性单位声明函</w:t>
      </w:r>
      <w:r/>
    </w:p>
    <w:p>
      <w:pPr>
        <w:pStyle w:val="928"/>
        <w:ind w:firstLine="1687"/>
        <w:jc w:val="left"/>
        <w:spacing w:line="480" w:lineRule="atLeast"/>
        <w:widowControl/>
        <w:rPr>
          <w:rFonts w:hint="eastAsia" w:cs="宋体"/>
          <w:b/>
          <w:color w:val="000000"/>
          <w:sz w:val="28"/>
          <w:szCs w:val="28"/>
        </w:rPr>
      </w:pPr>
      <w:r>
        <w:rPr>
          <w:rFonts w:hint="eastAsia" w:cs="宋体"/>
          <w:b/>
          <w:color w:val="000000"/>
          <w:sz w:val="28"/>
          <w:szCs w:val="28"/>
        </w:rPr>
      </w:r>
      <w:r/>
    </w:p>
    <w:p>
      <w:pPr>
        <w:pStyle w:val="928"/>
        <w:ind w:firstLine="420"/>
        <w:jc w:val="left"/>
        <w:spacing w:line="480" w:lineRule="atLeast"/>
        <w:widowControl/>
        <w:rPr>
          <w:rFonts w:hint="eastAsia" w:cs="宋体"/>
          <w:color w:val="000000"/>
          <w:sz w:val="21"/>
          <w:szCs w:val="21"/>
        </w:rPr>
      </w:pPr>
      <w:r>
        <w:rPr>
          <w:rFonts w:hint="eastAsia"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8"/>
        <w:ind w:firstLine="420"/>
        <w:jc w:val="left"/>
        <w:spacing w:line="480" w:lineRule="atLeast"/>
        <w:widowControl/>
        <w:rPr>
          <w:rFonts w:hint="eastAsia" w:cs="宋体"/>
          <w:color w:val="000000"/>
          <w:sz w:val="21"/>
          <w:szCs w:val="21"/>
        </w:rPr>
      </w:pPr>
      <w:r>
        <w:rPr>
          <w:rFonts w:hint="eastAsia" w:cs="宋体"/>
          <w:color w:val="000000"/>
          <w:sz w:val="21"/>
          <w:szCs w:val="21"/>
        </w:rPr>
        <w:t xml:space="preserve">本单位对上述声明的真实性负责。如有虚假，将依法承担相应责任。</w:t>
      </w:r>
      <w:r/>
    </w:p>
    <w:p>
      <w:pPr>
        <w:pStyle w:val="928"/>
        <w:jc w:val="left"/>
        <w:spacing w:line="480" w:lineRule="atLeast"/>
        <w:widowControl/>
        <w:rPr>
          <w:rFonts w:hint="eastAsia" w:cs="宋体"/>
          <w:color w:val="000000"/>
          <w:sz w:val="22"/>
          <w:szCs w:val="22"/>
        </w:rPr>
      </w:pPr>
      <w:r>
        <w:rPr>
          <w:rFonts w:hint="eastAsia" w:cs="宋体"/>
          <w:color w:val="000000"/>
          <w:sz w:val="22"/>
          <w:szCs w:val="22"/>
        </w:rPr>
      </w:r>
      <w:r/>
    </w:p>
    <w:p>
      <w:pPr>
        <w:pStyle w:val="928"/>
        <w:jc w:val="left"/>
        <w:spacing w:line="480" w:lineRule="atLeast"/>
        <w:widowControl/>
        <w:rPr>
          <w:rFonts w:hint="eastAsia" w:cs="宋体"/>
          <w:color w:val="000000"/>
          <w:sz w:val="22"/>
          <w:szCs w:val="22"/>
        </w:rPr>
      </w:pPr>
      <w:r>
        <w:rPr>
          <w:rFonts w:hint="eastAsia" w:cs="宋体"/>
          <w:color w:val="000000"/>
          <w:sz w:val="22"/>
          <w:szCs w:val="22"/>
        </w:rPr>
      </w:r>
      <w:r/>
    </w:p>
    <w:p>
      <w:pPr>
        <w:pStyle w:val="928"/>
        <w:jc w:val="left"/>
        <w:spacing w:line="480" w:lineRule="atLeast"/>
        <w:widowControl/>
        <w:rPr>
          <w:rFonts w:hint="eastAsia" w:cs="宋体"/>
          <w:color w:val="000000"/>
          <w:sz w:val="22"/>
          <w:szCs w:val="22"/>
        </w:rPr>
      </w:pPr>
      <w:r>
        <w:rPr>
          <w:rFonts w:hint="eastAsia" w:cs="宋体"/>
          <w:color w:val="000000"/>
          <w:sz w:val="22"/>
          <w:szCs w:val="22"/>
        </w:rPr>
        <w:t xml:space="preserve">                                         单位名称（盖章）：</w:t>
      </w:r>
      <w:r/>
    </w:p>
    <w:p>
      <w:pPr>
        <w:pStyle w:val="928"/>
        <w:jc w:val="left"/>
        <w:spacing w:line="480" w:lineRule="atLeast"/>
        <w:widowControl/>
        <w:rPr>
          <w:rFonts w:hint="eastAsia" w:cs="宋体"/>
          <w:color w:val="000000"/>
          <w:sz w:val="22"/>
          <w:szCs w:val="22"/>
        </w:rPr>
      </w:pPr>
      <w:r>
        <w:rPr>
          <w:rFonts w:hint="eastAsia" w:cs="宋体"/>
          <w:color w:val="000000"/>
          <w:sz w:val="22"/>
          <w:szCs w:val="22"/>
        </w:rPr>
        <w:t xml:space="preserve">                                               日  期：</w:t>
      </w:r>
      <w:r/>
    </w:p>
    <w:p>
      <w:pPr>
        <w:pStyle w:val="928"/>
        <w:ind w:right="-240"/>
        <w:spacing w:line="360" w:lineRule="auto"/>
        <w:rPr>
          <w:rFonts w:hint="eastAsia"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附件9、参加政府采购活动前三年内，在经营活动中没有重大违法记录声明</w:t>
      </w:r>
      <w:r>
        <w:rPr>
          <w:rFonts w:hint="eastAsia" w:cs="宋体"/>
          <w:b/>
          <w:color w:val="000000"/>
          <w:sz w:val="21"/>
          <w:szCs w:val="21"/>
        </w:rPr>
      </w:r>
      <w:r/>
    </w:p>
    <w:p>
      <w:pPr>
        <w:pStyle w:val="928"/>
        <w:ind w:left="-240" w:right="-240"/>
        <w:spacing w:line="360" w:lineRule="auto"/>
        <w:rPr>
          <w:rFonts w:hint="eastAsia" w:cs="宋体"/>
          <w:b/>
          <w:color w:val="000000"/>
          <w:sz w:val="21"/>
          <w:szCs w:val="21"/>
        </w:rPr>
      </w:pPr>
      <w:r>
        <w:rPr>
          <w:rFonts w:hint="eastAsia" w:cs="宋体"/>
          <w:b/>
          <w:color w:val="000000"/>
          <w:sz w:val="21"/>
          <w:szCs w:val="21"/>
        </w:rPr>
      </w:r>
      <w:r/>
    </w:p>
    <w:p>
      <w:pPr>
        <w:pStyle w:val="928"/>
        <w:jc w:val="center"/>
        <w:spacing w:line="360" w:lineRule="auto"/>
        <w:rPr>
          <w:rFonts w:hint="eastAsia" w:cs="宋体"/>
          <w:color w:val="000000"/>
          <w:sz w:val="21"/>
          <w:szCs w:val="21"/>
        </w:rPr>
      </w:pPr>
      <w:r>
        <w:rPr>
          <w:rFonts w:hint="eastAsia" w:cs="宋体"/>
          <w:b/>
          <w:color w:val="000000"/>
          <w:sz w:val="21"/>
          <w:szCs w:val="21"/>
        </w:rPr>
        <w:t xml:space="preserve">参加政府采购活动前三年内，在经营活动中没有重大违法记录声明</w:t>
      </w:r>
      <w:r>
        <w:rPr>
          <w:rFonts w:hint="eastAsia" w:cs="宋体"/>
          <w:color w:val="000000"/>
          <w:sz w:val="21"/>
          <w:szCs w:val="21"/>
        </w:rPr>
      </w:r>
      <w:r/>
    </w:p>
    <w:p>
      <w:pPr>
        <w:pStyle w:val="928"/>
        <w:spacing w:line="360" w:lineRule="auto"/>
        <w:rPr>
          <w:rFonts w:hint="eastAsia" w:cs="宋体"/>
          <w:color w:val="000000"/>
          <w:sz w:val="21"/>
          <w:szCs w:val="21"/>
        </w:rPr>
      </w:pPr>
      <w:r>
        <w:rPr>
          <w:rFonts w:hint="eastAsia" w:cs="宋体"/>
          <w:color w:val="000000"/>
          <w:sz w:val="21"/>
          <w:szCs w:val="21"/>
        </w:rPr>
      </w:r>
      <w:r/>
    </w:p>
    <w:p>
      <w:pPr>
        <w:pStyle w:val="928"/>
        <w:spacing w:line="360" w:lineRule="auto"/>
        <w:rPr>
          <w:rFonts w:hint="eastAsia" w:cs="宋体"/>
          <w:color w:val="000000"/>
          <w:sz w:val="21"/>
          <w:szCs w:val="21"/>
        </w:rPr>
      </w:pPr>
      <w:r>
        <w:rPr>
          <w:rFonts w:hint="eastAsia" w:cs="宋体"/>
          <w:color w:val="000000"/>
          <w:sz w:val="21"/>
          <w:szCs w:val="21"/>
        </w:rPr>
        <w:t xml:space="preserve">致：苏州乐族工程咨询有限公司：</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我单位</w:t>
      </w:r>
      <w:r>
        <w:rPr>
          <w:rFonts w:hint="eastAsia" w:cs="宋体"/>
          <w:color w:val="000000"/>
          <w:sz w:val="22"/>
          <w:szCs w:val="22"/>
          <w:u w:val="single"/>
        </w:rPr>
        <w:t xml:space="preserve">      </w:t>
      </w:r>
      <w:r>
        <w:rPr>
          <w:rFonts w:hint="eastAsia" w:cs="宋体"/>
          <w:color w:val="000000"/>
          <w:sz w:val="21"/>
          <w:szCs w:val="21"/>
          <w:u w:val="single"/>
        </w:rPr>
        <w:t xml:space="preserve">（供应商名称）   </w:t>
      </w:r>
      <w:r>
        <w:rPr>
          <w:rFonts w:hint="eastAsia" w:cs="宋体"/>
          <w:color w:val="000000"/>
          <w:sz w:val="21"/>
          <w:szCs w:val="21"/>
          <w:u w:val="single"/>
        </w:rPr>
        <w:t xml:space="preserve">      </w:t>
      </w:r>
      <w:r>
        <w:rPr>
          <w:rFonts w:hint="eastAsia" w:cs="宋体"/>
          <w:color w:val="000000"/>
          <w:sz w:val="21"/>
          <w:szCs w:val="21"/>
        </w:rPr>
        <w:t xml:space="preserve">在参加政府采购活动前三年内，没有重大违法记录，特此声明。</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若招标采购单位在本项目采购过程中发现我单位近三年内在政府采购活动中有重大违法记录，我单位将无条件退出本项目的招标，并承担因此引起的一切后果。</w:t>
      </w:r>
      <w:r/>
    </w:p>
    <w:p>
      <w:pPr>
        <w:pStyle w:val="928"/>
        <w:ind w:firstLine="420"/>
        <w:spacing w:line="360" w:lineRule="auto"/>
        <w:rPr>
          <w:rFonts w:hint="eastAsia" w:cs="宋体"/>
          <w:color w:val="000000"/>
          <w:sz w:val="21"/>
          <w:szCs w:val="21"/>
        </w:rPr>
      </w:pPr>
      <w:r>
        <w:rPr>
          <w:rFonts w:hint="eastAsia" w:cs="宋体"/>
          <w:color w:val="000000"/>
          <w:sz w:val="21"/>
          <w:szCs w:val="21"/>
        </w:rPr>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供应商名称（单位公章）：</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法定代表人（负责人）或代理人（签字或盖章）：</w:t>
      </w:r>
      <w:r/>
    </w:p>
    <w:p>
      <w:pPr>
        <w:pStyle w:val="928"/>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p>
    <w:p>
      <w:pPr>
        <w:pStyle w:val="928"/>
        <w:rPr>
          <w:rFonts w:cs="宋体"/>
          <w:b/>
          <w:bCs/>
          <w:color w:val="000000"/>
          <w:sz w:val="21"/>
          <w:szCs w:val="21"/>
        </w:rPr>
      </w:pPr>
      <w:r>
        <w:rPr>
          <w:rFonts w:hint="eastAsia" w:cs="宋体"/>
          <w:b/>
          <w:bCs/>
          <w:color w:val="000000"/>
          <w:sz w:val="21"/>
          <w:szCs w:val="21"/>
        </w:rPr>
        <w:br w:type="page" w:clear="all"/>
        <w:t xml:space="preserve">附件10、</w:t>
      </w:r>
      <w:r>
        <w:rPr>
          <w:rFonts w:hint="eastAsia" w:cs="宋体"/>
          <w:b/>
          <w:color w:val="000000"/>
          <w:spacing w:val="20"/>
          <w:sz w:val="21"/>
          <w:szCs w:val="21"/>
        </w:rPr>
        <w:t xml:space="preserve">技术参数响应表</w:t>
      </w:r>
      <w:r>
        <w:rPr>
          <w:rFonts w:cs="宋体"/>
          <w:b/>
          <w:bCs/>
          <w:color w:val="000000"/>
          <w:sz w:val="21"/>
          <w:szCs w:val="21"/>
        </w:rPr>
      </w:r>
      <w:r/>
    </w:p>
    <w:p>
      <w:pPr>
        <w:pStyle w:val="928"/>
        <w:jc w:val="center"/>
        <w:spacing w:line="360" w:lineRule="auto"/>
        <w:rPr>
          <w:rFonts w:hint="eastAsia" w:cs="宋体"/>
          <w:bCs/>
          <w:color w:val="000000"/>
          <w:spacing w:val="20"/>
          <w:sz w:val="21"/>
          <w:szCs w:val="21"/>
        </w:rPr>
      </w:pPr>
      <w:r>
        <w:rPr>
          <w:rFonts w:hint="eastAsia" w:cs="宋体"/>
          <w:bCs/>
          <w:color w:val="000000"/>
          <w:spacing w:val="20"/>
          <w:sz w:val="21"/>
          <w:szCs w:val="21"/>
        </w:rPr>
        <w:t xml:space="preserve">技术参数响应表</w:t>
      </w:r>
      <w:r/>
    </w:p>
    <w:p>
      <w:pPr>
        <w:pStyle w:val="928"/>
        <w:ind w:firstLine="525"/>
        <w:spacing w:line="380" w:lineRule="exact"/>
        <w:rPr>
          <w:rFonts w:hint="eastAsia"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       </w:t>
      </w:r>
      <w:r>
        <w:rPr>
          <w:rFonts w:hint="eastAsia" w:cs="宋体"/>
          <w:b/>
          <w:color w:val="000000"/>
          <w:spacing w:val="2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2370"/>
        <w:gridCol w:w="2631"/>
        <w:gridCol w:w="2052"/>
      </w:tblGrid>
      <w:tr>
        <w:trPr/>
        <w:tc>
          <w:tcPr>
            <w:tcW w:w="1857"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t xml:space="preserve">序号</w:t>
            </w:r>
            <w:r/>
          </w:p>
        </w:tc>
        <w:tc>
          <w:tcPr>
            <w:tcW w:w="2370" w:type="dxa"/>
            <w:vAlign w:val="center"/>
            <w:textDirection w:val="lrTb"/>
            <w:noWrap w:val="false"/>
          </w:tcPr>
          <w:p>
            <w:pPr>
              <w:pStyle w:val="943"/>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招标要求</w:t>
            </w:r>
            <w:r/>
          </w:p>
        </w:tc>
        <w:tc>
          <w:tcPr>
            <w:tcW w:w="2631" w:type="dxa"/>
            <w:vAlign w:val="center"/>
            <w:textDirection w:val="lrTb"/>
            <w:noWrap w:val="false"/>
          </w:tcPr>
          <w:p>
            <w:pPr>
              <w:pStyle w:val="943"/>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W w:w="2052" w:type="dxa"/>
            <w:vAlign w:val="center"/>
            <w:textDirection w:val="lrTb"/>
            <w:noWrap w:val="false"/>
          </w:tcPr>
          <w:p>
            <w:pPr>
              <w:pStyle w:val="943"/>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偏离说明</w:t>
            </w:r>
            <w:r/>
          </w:p>
        </w:tc>
      </w:tr>
      <w:tr>
        <w:trPr/>
        <w:tc>
          <w:tcPr>
            <w:tcW w:w="1857"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t xml:space="preserve">1</w:t>
            </w:r>
            <w:r/>
          </w:p>
        </w:tc>
        <w:tc>
          <w:tcPr>
            <w:tcW w:w="2370"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857"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t xml:space="preserve">2</w:t>
            </w:r>
            <w:r/>
          </w:p>
        </w:tc>
        <w:tc>
          <w:tcPr>
            <w:tcW w:w="2370"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857"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t xml:space="preserve">3</w:t>
            </w:r>
            <w:r/>
          </w:p>
        </w:tc>
        <w:tc>
          <w:tcPr>
            <w:tcW w:w="2370"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857"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t xml:space="preserve">4</w:t>
            </w:r>
            <w:r/>
          </w:p>
        </w:tc>
        <w:tc>
          <w:tcPr>
            <w:tcW w:w="2370"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857"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t xml:space="preserve">5</w:t>
            </w:r>
            <w:r/>
          </w:p>
        </w:tc>
        <w:tc>
          <w:tcPr>
            <w:tcW w:w="2370"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857" w:type="dxa"/>
            <w:vAlign w:val="center"/>
            <w:textDirection w:val="lrTb"/>
            <w:noWrap w:val="false"/>
          </w:tcPr>
          <w:p>
            <w:pPr>
              <w:pStyle w:val="928"/>
              <w:jc w:val="center"/>
              <w:rPr>
                <w:rFonts w:hint="eastAsia" w:cs="宋体"/>
                <w:color w:val="000000"/>
                <w:sz w:val="21"/>
                <w:szCs w:val="21"/>
              </w:rPr>
            </w:pPr>
            <w:r>
              <w:rPr>
                <w:rFonts w:hint="eastAsia" w:cs="宋体"/>
                <w:color w:val="000000"/>
                <w:sz w:val="21"/>
                <w:szCs w:val="21"/>
              </w:rPr>
              <w:t xml:space="preserve">6</w:t>
            </w:r>
            <w:r/>
          </w:p>
        </w:tc>
        <w:tc>
          <w:tcPr>
            <w:tcW w:w="2370"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857" w:type="dxa"/>
            <w:vAlign w:val="top"/>
            <w:textDirection w:val="lrTb"/>
            <w:noWrap w:val="false"/>
          </w:tcPr>
          <w:p>
            <w:pPr>
              <w:pStyle w:val="928"/>
              <w:jc w:val="center"/>
              <w:rPr>
                <w:rFonts w:hint="eastAsia" w:cs="宋体"/>
                <w:color w:val="000000"/>
                <w:sz w:val="21"/>
                <w:szCs w:val="21"/>
              </w:rPr>
            </w:pPr>
            <w:r>
              <w:rPr>
                <w:rFonts w:hint="eastAsia" w:cs="宋体"/>
                <w:color w:val="000000"/>
                <w:sz w:val="21"/>
                <w:szCs w:val="21"/>
              </w:rPr>
              <w:t xml:space="preserve">……</w:t>
            </w:r>
            <w:r/>
          </w:p>
        </w:tc>
        <w:tc>
          <w:tcPr>
            <w:tcW w:w="2370"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631"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52" w:type="dxa"/>
            <w:vAlign w:val="top"/>
            <w:textDirection w:val="lrTb"/>
            <w:noWrap w:val="false"/>
          </w:tcPr>
          <w:p>
            <w:pPr>
              <w:pStyle w:val="943"/>
              <w:ind w:firstLine="6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928"/>
        <w:ind w:firstLine="525"/>
        <w:spacing w:line="400" w:lineRule="exact"/>
        <w:rPr>
          <w:rFonts w:cs="宋体"/>
          <w:color w:val="000000"/>
          <w:sz w:val="21"/>
          <w:szCs w:val="21"/>
        </w:rPr>
      </w:pPr>
      <w:r>
        <w:rPr>
          <w:rFonts w:cs="宋体"/>
          <w:color w:val="000000"/>
          <w:sz w:val="21"/>
          <w:szCs w:val="21"/>
        </w:rPr>
      </w:r>
      <w:r/>
    </w:p>
    <w:p>
      <w:pPr>
        <w:pStyle w:val="928"/>
        <w:ind w:firstLine="525"/>
        <w:spacing w:line="400" w:lineRule="exact"/>
        <w:rPr>
          <w:rFonts w:cs="宋体"/>
          <w:color w:val="000000"/>
          <w:sz w:val="21"/>
          <w:szCs w:val="21"/>
        </w:rPr>
      </w:pPr>
      <w:r>
        <w:rPr>
          <w:rFonts w:cs="宋体"/>
          <w:color w:val="000000"/>
          <w:sz w:val="21"/>
          <w:szCs w:val="21"/>
        </w:rPr>
      </w:r>
      <w:r/>
    </w:p>
    <w:p>
      <w:pPr>
        <w:pStyle w:val="928"/>
        <w:ind w:firstLine="525"/>
        <w:spacing w:line="400" w:lineRule="exact"/>
        <w:rPr>
          <w:rFonts w:hint="eastAsia" w:cs="宋体"/>
          <w:color w:val="000000"/>
          <w:sz w:val="21"/>
          <w:szCs w:val="21"/>
        </w:rPr>
      </w:pPr>
      <w:r>
        <w:rPr>
          <w:rFonts w:hint="eastAsia" w:cs="宋体"/>
          <w:color w:val="000000"/>
          <w:sz w:val="21"/>
          <w:szCs w:val="21"/>
        </w:rPr>
        <w:t xml:space="preserve">投标方：（单位盖章）</w:t>
      </w:r>
      <w:r/>
    </w:p>
    <w:p>
      <w:pPr>
        <w:pStyle w:val="928"/>
        <w:ind w:firstLine="525"/>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p>
    <w:p>
      <w:pPr>
        <w:pStyle w:val="928"/>
        <w:ind w:firstLine="525"/>
        <w:spacing w:line="400" w:lineRule="exact"/>
        <w:rPr>
          <w:rFonts w:cs="宋体"/>
          <w:color w:val="000000"/>
          <w:sz w:val="21"/>
          <w:szCs w:val="21"/>
        </w:rPr>
      </w:pPr>
      <w:r>
        <w:rPr>
          <w:rFonts w:hint="eastAsia" w:cs="宋体"/>
          <w:color w:val="000000"/>
          <w:sz w:val="21"/>
          <w:szCs w:val="21"/>
        </w:rPr>
        <w:t xml:space="preserve">日期：           年  月  日</w:t>
      </w:r>
      <w:r>
        <w:rPr>
          <w:rFonts w:cs="宋体"/>
          <w:color w:val="000000"/>
          <w:sz w:val="21"/>
          <w:szCs w:val="21"/>
        </w:rPr>
      </w:r>
      <w:r/>
    </w:p>
    <w:p>
      <w:pPr>
        <w:pStyle w:val="928"/>
        <w:rPr>
          <w:rFonts w:hint="eastAsia" w:cs="宋体"/>
          <w:b/>
          <w:bCs/>
          <w:color w:val="000000"/>
          <w:sz w:val="21"/>
          <w:szCs w:val="21"/>
        </w:rPr>
      </w:pPr>
      <w:r>
        <w:rPr>
          <w:rFonts w:hint="eastAsia" w:cs="宋体"/>
          <w:b/>
          <w:bCs/>
          <w:color w:val="000000"/>
          <w:sz w:val="21"/>
          <w:szCs w:val="21"/>
        </w:rPr>
        <w:br w:type="page" w:clear="all"/>
        <w:t xml:space="preserve">附件11、拟投入人员情况表</w:t>
      </w:r>
      <w:r/>
    </w:p>
    <w:p>
      <w:pPr>
        <w:pStyle w:val="928"/>
        <w:jc w:val="center"/>
        <w:widowControl/>
        <w:rPr>
          <w:rFonts w:hint="eastAsia" w:cs="宋体"/>
          <w:color w:val="000000"/>
          <w:sz w:val="21"/>
          <w:szCs w:val="21"/>
        </w:rPr>
      </w:pPr>
      <w:r>
        <w:rPr>
          <w:rFonts w:hint="eastAsia" w:cs="宋体"/>
          <w:color w:val="000000"/>
          <w:sz w:val="21"/>
          <w:szCs w:val="21"/>
        </w:rPr>
        <w:t xml:space="preserve">拟投入人员情况表</w:t>
      </w:r>
      <w:r/>
    </w:p>
    <w:tbl>
      <w:tblPr>
        <w:tblW w:w="45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691"/>
        <w:gridCol w:w="747"/>
        <w:gridCol w:w="1105"/>
        <w:gridCol w:w="2156"/>
        <w:gridCol w:w="1299"/>
        <w:gridCol w:w="904"/>
      </w:tblGrid>
      <w:tr>
        <w:trPr>
          <w:trHeight w:val="704"/>
        </w:trPr>
        <w:tc>
          <w:tcPr>
            <w:tcW w:w="378"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序号</w:t>
            </w:r>
            <w:r>
              <w:rPr>
                <w:rFonts w:hint="eastAsia" w:cs="宋体"/>
                <w:color w:val="000000"/>
                <w:sz w:val="21"/>
                <w:szCs w:val="21"/>
              </w:rPr>
            </w:r>
            <w:r/>
          </w:p>
        </w:tc>
        <w:tc>
          <w:tcPr>
            <w:tcW w:w="98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姓名</w:t>
            </w:r>
            <w:r/>
          </w:p>
        </w:tc>
        <w:tc>
          <w:tcPr>
            <w:tcW w:w="437"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年龄</w:t>
            </w:r>
            <w:r>
              <w:rPr>
                <w:rFonts w:hint="eastAsia" w:cs="宋体"/>
                <w:color w:val="000000"/>
                <w:sz w:val="21"/>
                <w:szCs w:val="21"/>
              </w:rPr>
            </w:r>
            <w:r/>
          </w:p>
        </w:tc>
        <w:tc>
          <w:tcPr>
            <w:tcW w:w="646"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性别</w:t>
            </w:r>
            <w:r>
              <w:rPr>
                <w:rFonts w:hint="eastAsia" w:cs="宋体"/>
                <w:color w:val="000000"/>
                <w:sz w:val="21"/>
                <w:szCs w:val="21"/>
              </w:rPr>
            </w:r>
            <w:r/>
          </w:p>
        </w:tc>
        <w:tc>
          <w:tcPr>
            <w:tcW w:w="1261"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在本项目中担任岗位</w:t>
            </w:r>
            <w:r>
              <w:rPr>
                <w:rFonts w:hint="eastAsia" w:cs="宋体"/>
                <w:color w:val="000000"/>
                <w:sz w:val="21"/>
                <w:szCs w:val="21"/>
              </w:rPr>
            </w:r>
            <w:r/>
          </w:p>
        </w:tc>
        <w:tc>
          <w:tcPr>
            <w:tcW w:w="760" w:type="pct"/>
            <w:vAlign w:val="center"/>
            <w:textDirection w:val="lrTb"/>
            <w:noWrap w:val="false"/>
          </w:tcPr>
          <w:p>
            <w:pPr>
              <w:pStyle w:val="928"/>
              <w:jc w:val="center"/>
              <w:widowControl/>
              <w:rPr>
                <w:rFonts w:hint="eastAsia" w:cs="宋体"/>
                <w:color w:val="000000"/>
                <w:sz w:val="21"/>
                <w:szCs w:val="21"/>
                <w:lang w:eastAsia="en-US"/>
              </w:rPr>
            </w:pPr>
            <w:r>
              <w:rPr>
                <w:rFonts w:hint="eastAsia" w:cs="宋体"/>
                <w:color w:val="000000"/>
                <w:sz w:val="21"/>
                <w:szCs w:val="21"/>
                <w:lang w:eastAsia="en-US"/>
              </w:rPr>
              <w:t xml:space="preserve">证书情况</w:t>
            </w:r>
            <w:r/>
          </w:p>
        </w:tc>
        <w:tc>
          <w:tcPr>
            <w:tcW w:w="52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备注</w:t>
            </w:r>
            <w:r/>
          </w:p>
        </w:tc>
      </w:tr>
      <w:tr>
        <w:trPr>
          <w:trHeight w:val="567"/>
        </w:trPr>
        <w:tc>
          <w:tcPr>
            <w:tcW w:w="378"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98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437"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646"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1261"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760"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52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r>
      <w:tr>
        <w:trPr>
          <w:trHeight w:val="567"/>
        </w:trPr>
        <w:tc>
          <w:tcPr>
            <w:tcW w:w="378"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98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437"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646"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1261"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760"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52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r>
      <w:tr>
        <w:trPr>
          <w:trHeight w:val="567"/>
        </w:trPr>
        <w:tc>
          <w:tcPr>
            <w:tcW w:w="378"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98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437"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646"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1261"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760"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52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r>
      <w:tr>
        <w:trPr>
          <w:trHeight w:val="567"/>
        </w:trPr>
        <w:tc>
          <w:tcPr>
            <w:tcW w:w="378"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98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437"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w:t>
            </w:r>
            <w:r/>
          </w:p>
        </w:tc>
        <w:tc>
          <w:tcPr>
            <w:tcW w:w="646"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1261"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760"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52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r>
      <w:tr>
        <w:trPr>
          <w:trHeight w:val="567"/>
        </w:trPr>
        <w:tc>
          <w:tcPr>
            <w:tcW w:w="378"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98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437"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w:t>
            </w:r>
            <w:r/>
          </w:p>
        </w:tc>
        <w:tc>
          <w:tcPr>
            <w:tcW w:w="646"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1261"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760"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52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r>
      <w:tr>
        <w:trPr>
          <w:trHeight w:val="567"/>
        </w:trPr>
        <w:tc>
          <w:tcPr>
            <w:tcW w:w="378"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w:t>
            </w:r>
            <w:r/>
          </w:p>
        </w:tc>
        <w:tc>
          <w:tcPr>
            <w:tcW w:w="98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w:t>
            </w:r>
            <w:r/>
          </w:p>
        </w:tc>
        <w:tc>
          <w:tcPr>
            <w:tcW w:w="437"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w:t>
            </w:r>
            <w:r/>
          </w:p>
        </w:tc>
        <w:tc>
          <w:tcPr>
            <w:tcW w:w="646"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w:t>
            </w:r>
            <w:r/>
          </w:p>
        </w:tc>
        <w:tc>
          <w:tcPr>
            <w:tcW w:w="1261"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w:t>
            </w:r>
            <w:r/>
          </w:p>
        </w:tc>
        <w:tc>
          <w:tcPr>
            <w:tcW w:w="760"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w:t>
            </w:r>
            <w:r/>
          </w:p>
        </w:tc>
        <w:tc>
          <w:tcPr>
            <w:tcW w:w="529" w:type="pct"/>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w:t>
            </w:r>
            <w:r/>
          </w:p>
        </w:tc>
      </w:tr>
    </w:tbl>
    <w:p>
      <w:pPr>
        <w:pStyle w:val="928"/>
        <w:ind w:firstLine="420"/>
        <w:spacing w:line="360" w:lineRule="auto"/>
        <w:rPr>
          <w:rFonts w:hint="eastAsia" w:cs="宋体"/>
          <w:color w:val="000000"/>
          <w:sz w:val="21"/>
          <w:szCs w:val="21"/>
          <w:lang w:eastAsia="en-US"/>
        </w:rPr>
      </w:pPr>
      <w:r>
        <w:rPr>
          <w:rFonts w:hint="eastAsia" w:cs="宋体"/>
          <w:color w:val="000000"/>
          <w:sz w:val="21"/>
          <w:szCs w:val="21"/>
          <w:lang w:eastAsia="en-US"/>
        </w:rPr>
        <w:t xml:space="preserve">注</w:t>
      </w:r>
      <w:r>
        <w:rPr>
          <w:rFonts w:cs="宋体"/>
          <w:color w:val="000000"/>
          <w:sz w:val="21"/>
          <w:szCs w:val="21"/>
          <w:lang w:eastAsia="en-US"/>
        </w:rPr>
        <w:t xml:space="preserve">：按照招标文件要求及评分标准提供相应证明材料</w:t>
      </w:r>
      <w:r>
        <w:rPr>
          <w:rFonts w:hint="eastAsia" w:cs="宋体"/>
          <w:color w:val="000000"/>
          <w:sz w:val="21"/>
          <w:szCs w:val="21"/>
        </w:rPr>
        <w:t xml:space="preserve">。</w:t>
      </w:r>
      <w:r>
        <w:rPr>
          <w:rFonts w:hint="eastAsia" w:cs="宋体"/>
          <w:color w:val="000000"/>
          <w:sz w:val="21"/>
          <w:szCs w:val="21"/>
          <w:lang w:eastAsia="en-US"/>
        </w:rPr>
      </w:r>
      <w:r/>
    </w:p>
    <w:p>
      <w:pPr>
        <w:pStyle w:val="928"/>
        <w:ind w:firstLine="420"/>
        <w:jc w:val="left"/>
        <w:spacing w:line="400" w:lineRule="exact"/>
        <w:rPr>
          <w:rFonts w:cs="宋体"/>
          <w:color w:val="000000"/>
          <w:sz w:val="21"/>
          <w:szCs w:val="21"/>
        </w:rPr>
      </w:pPr>
      <w:r>
        <w:rPr>
          <w:rFonts w:cs="宋体"/>
          <w:color w:val="000000"/>
          <w:sz w:val="21"/>
          <w:szCs w:val="21"/>
        </w:rPr>
      </w:r>
      <w:r/>
    </w:p>
    <w:p>
      <w:pPr>
        <w:pStyle w:val="928"/>
        <w:ind w:firstLine="420"/>
        <w:jc w:val="left"/>
        <w:spacing w:line="400" w:lineRule="exact"/>
        <w:rPr>
          <w:rFonts w:cs="宋体"/>
          <w:color w:val="000000"/>
          <w:sz w:val="21"/>
          <w:szCs w:val="21"/>
        </w:rPr>
      </w:pPr>
      <w:r>
        <w:rPr>
          <w:rFonts w:cs="宋体"/>
          <w:color w:val="000000"/>
          <w:sz w:val="21"/>
          <w:szCs w:val="21"/>
        </w:rPr>
      </w:r>
      <w:r/>
    </w:p>
    <w:p>
      <w:pPr>
        <w:pStyle w:val="928"/>
        <w:ind w:firstLine="420"/>
        <w:jc w:val="left"/>
        <w:spacing w:line="400" w:lineRule="exact"/>
        <w:rPr>
          <w:rFonts w:cs="宋体"/>
          <w:color w:val="000000"/>
          <w:sz w:val="21"/>
          <w:szCs w:val="21"/>
        </w:rPr>
      </w:pPr>
      <w:r>
        <w:rPr>
          <w:rFonts w:cs="宋体"/>
          <w:color w:val="000000"/>
          <w:sz w:val="21"/>
          <w:szCs w:val="21"/>
        </w:rPr>
      </w:r>
      <w:r/>
    </w:p>
    <w:p>
      <w:pPr>
        <w:pStyle w:val="928"/>
        <w:ind w:firstLine="420"/>
        <w:jc w:val="left"/>
        <w:spacing w:line="400" w:lineRule="exact"/>
        <w:rPr>
          <w:rFonts w:hint="eastAsia" w:cs="宋体"/>
          <w:color w:val="000000"/>
          <w:sz w:val="21"/>
          <w:szCs w:val="21"/>
        </w:rPr>
      </w:pPr>
      <w:r>
        <w:rPr>
          <w:rFonts w:hint="eastAsia" w:cs="宋体"/>
          <w:color w:val="000000"/>
          <w:sz w:val="21"/>
          <w:szCs w:val="21"/>
        </w:rPr>
        <w:t xml:space="preserve">投标人名</w:t>
      </w:r>
      <w:r>
        <w:rPr>
          <w:rFonts w:hint="eastAsia" w:cs="宋体"/>
          <w:color w:val="000000"/>
          <w:sz w:val="21"/>
          <w:szCs w:val="21"/>
        </w:rPr>
        <w:t xml:space="preserve">称：         （盖章）</w:t>
      </w:r>
      <w:r/>
    </w:p>
    <w:p>
      <w:pPr>
        <w:pStyle w:val="928"/>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928"/>
        <w:ind w:firstLine="420"/>
        <w:jc w:val="left"/>
        <w:spacing w:line="400" w:lineRule="exact"/>
        <w:rPr>
          <w:rFonts w:hint="eastAsia" w:cs="宋体"/>
          <w:color w:val="000000"/>
          <w:sz w:val="21"/>
          <w:szCs w:val="21"/>
        </w:rPr>
      </w:pPr>
      <w:r>
        <w:rPr>
          <w:rFonts w:hint="eastAsia" w:cs="宋体"/>
          <w:color w:val="000000"/>
          <w:sz w:val="21"/>
          <w:szCs w:val="21"/>
        </w:rPr>
        <w:t xml:space="preserve">日期：           年  月  日</w:t>
      </w:r>
      <w:r/>
    </w:p>
    <w:p>
      <w:pPr>
        <w:pStyle w:val="928"/>
        <w:jc w:val="left"/>
        <w:spacing w:line="400" w:lineRule="exact"/>
        <w:rPr>
          <w:rFonts w:hint="eastAsia" w:cs="宋体"/>
          <w:color w:val="000000"/>
          <w:sz w:val="21"/>
          <w:szCs w:val="21"/>
        </w:rPr>
      </w:pPr>
      <w:r>
        <w:rPr>
          <w:rFonts w:hint="eastAsia" w:cs="宋体"/>
          <w:color w:val="000000"/>
          <w:sz w:val="21"/>
          <w:szCs w:val="21"/>
        </w:rPr>
      </w:r>
      <w:r/>
    </w:p>
    <w:p>
      <w:pPr>
        <w:pStyle w:val="928"/>
        <w:jc w:val="left"/>
        <w:spacing w:line="400" w:lineRule="exact"/>
        <w:rPr>
          <w:rFonts w:hint="eastAsia" w:cs="宋体"/>
          <w:color w:val="000000"/>
          <w:sz w:val="21"/>
          <w:szCs w:val="21"/>
        </w:rPr>
      </w:pPr>
      <w:r>
        <w:rPr>
          <w:rFonts w:hint="eastAsia" w:cs="宋体"/>
          <w:color w:val="000000"/>
          <w:sz w:val="21"/>
          <w:szCs w:val="21"/>
        </w:rPr>
      </w:r>
      <w:r/>
    </w:p>
    <w:p>
      <w:pPr>
        <w:pStyle w:val="928"/>
        <w:jc w:val="left"/>
        <w:spacing w:line="400" w:lineRule="exact"/>
        <w:rPr>
          <w:rFonts w:hint="eastAsia" w:cs="宋体"/>
          <w:b/>
          <w:bCs/>
          <w:color w:val="000000"/>
          <w:sz w:val="21"/>
          <w:szCs w:val="21"/>
          <w:lang w:eastAsia="en-US"/>
        </w:rPr>
      </w:pPr>
      <w:r>
        <w:rPr>
          <w:rFonts w:hint="eastAsia" w:cs="宋体"/>
          <w:b/>
          <w:bCs/>
          <w:color w:val="000000"/>
          <w:sz w:val="21"/>
          <w:szCs w:val="21"/>
        </w:rPr>
        <w:br w:type="page" w:clear="all"/>
      </w:r>
      <w:r>
        <w:rPr>
          <w:rFonts w:hint="eastAsia" w:cs="宋体"/>
          <w:b/>
          <w:bCs/>
          <w:color w:val="000000"/>
          <w:sz w:val="21"/>
          <w:szCs w:val="21"/>
          <w:lang w:eastAsia="en-US"/>
        </w:rPr>
        <w:t xml:space="preserve">附件</w:t>
      </w:r>
      <w:r>
        <w:rPr>
          <w:rFonts w:cs="宋体"/>
          <w:b/>
          <w:bCs/>
          <w:color w:val="000000"/>
          <w:sz w:val="21"/>
          <w:szCs w:val="21"/>
          <w:lang w:eastAsia="en-US"/>
        </w:rPr>
        <w:t xml:space="preserve">1</w:t>
      </w:r>
      <w:r>
        <w:rPr>
          <w:rFonts w:hint="eastAsia" w:cs="宋体"/>
          <w:b/>
          <w:bCs/>
          <w:color w:val="000000"/>
          <w:sz w:val="21"/>
          <w:szCs w:val="21"/>
        </w:rPr>
        <w:t xml:space="preserve">2</w:t>
      </w:r>
      <w:r>
        <w:rPr>
          <w:rFonts w:cs="宋体"/>
          <w:b/>
          <w:bCs/>
          <w:color w:val="000000"/>
          <w:sz w:val="21"/>
          <w:szCs w:val="21"/>
          <w:lang w:eastAsia="en-US"/>
        </w:rPr>
        <w:t xml:space="preserve">、</w:t>
      </w:r>
      <w:r>
        <w:rPr>
          <w:rFonts w:hint="eastAsia" w:cs="宋体"/>
          <w:b/>
          <w:bCs/>
          <w:color w:val="000000"/>
          <w:sz w:val="21"/>
          <w:szCs w:val="21"/>
          <w:lang w:eastAsia="en-US"/>
        </w:rPr>
        <w:t xml:space="preserve">类似业绩一览表</w:t>
      </w:r>
      <w:r/>
    </w:p>
    <w:p>
      <w:pPr>
        <w:pStyle w:val="928"/>
        <w:jc w:val="left"/>
        <w:spacing w:line="400" w:lineRule="exact"/>
        <w:rPr>
          <w:rFonts w:hint="eastAsia" w:cs="宋体"/>
          <w:b/>
          <w:bCs/>
          <w:color w:val="000000"/>
          <w:sz w:val="21"/>
          <w:szCs w:val="21"/>
          <w:lang w:eastAsia="en-US"/>
        </w:rPr>
      </w:pPr>
      <w:r>
        <w:rPr>
          <w:rFonts w:hint="eastAsia" w:cs="宋体"/>
          <w:b/>
          <w:bCs/>
          <w:color w:val="000000"/>
          <w:sz w:val="21"/>
          <w:szCs w:val="21"/>
          <w:lang w:eastAsia="en-US"/>
        </w:rPr>
      </w:r>
      <w:r/>
    </w:p>
    <w:p>
      <w:pPr>
        <w:pStyle w:val="928"/>
        <w:jc w:val="center"/>
        <w:spacing w:line="400" w:lineRule="exact"/>
        <w:rPr>
          <w:rFonts w:hint="eastAsia" w:cs="宋体"/>
          <w:b/>
          <w:bCs/>
          <w:color w:val="000000"/>
          <w:sz w:val="21"/>
          <w:szCs w:val="21"/>
          <w:lang w:eastAsia="en-US"/>
        </w:rPr>
      </w:pPr>
      <w:r>
        <w:rPr>
          <w:rFonts w:hint="eastAsia" w:cs="宋体"/>
          <w:b/>
          <w:bCs/>
          <w:color w:val="000000"/>
          <w:sz w:val="21"/>
          <w:szCs w:val="21"/>
          <w:lang w:eastAsia="en-US"/>
        </w:rPr>
        <w:t xml:space="preserve">类似业绩一览表</w:t>
      </w:r>
      <w:r/>
    </w:p>
    <w:p>
      <w:pPr>
        <w:pStyle w:val="928"/>
        <w:jc w:val="center"/>
        <w:spacing w:line="400" w:lineRule="exact"/>
        <w:rPr>
          <w:rFonts w:hint="eastAsia" w:cs="宋体"/>
          <w:b/>
          <w:bCs/>
          <w:color w:val="000000"/>
          <w:sz w:val="21"/>
          <w:szCs w:val="21"/>
          <w:lang w:eastAsia="en-US"/>
        </w:rPr>
      </w:pPr>
      <w:r>
        <w:rPr>
          <w:rFonts w:hint="eastAsia" w:cs="宋体"/>
          <w:b/>
          <w:bCs/>
          <w:color w:val="000000"/>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8"/>
        <w:gridCol w:w="1614"/>
        <w:gridCol w:w="1614"/>
        <w:gridCol w:w="1921"/>
        <w:gridCol w:w="2083"/>
        <w:gridCol w:w="1067"/>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hint="eastAsia" w:eastAsia="宋体"/>
                <w:bCs/>
                <w:color w:val="000000"/>
                <w:sz w:val="21"/>
                <w:szCs w:val="21"/>
              </w:rPr>
              <w:t xml:space="preserve">合同</w:t>
            </w:r>
            <w:r>
              <w:rPr>
                <w:rFonts w:eastAsia="宋体"/>
                <w:bCs/>
                <w:color w:val="000000"/>
                <w:sz w:val="21"/>
                <w:szCs w:val="21"/>
              </w:rPr>
              <w:t xml:space="preserve">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943"/>
              <w:ind w:firstLine="0"/>
              <w:jc w:val="center"/>
              <w:rPr>
                <w:rFonts w:eastAsia="宋体"/>
                <w:bCs/>
                <w:color w:val="000000"/>
                <w:sz w:val="21"/>
                <w:szCs w:val="21"/>
              </w:rPr>
            </w:pPr>
            <w:r>
              <w:rPr>
                <w:rFonts w:eastAsia="宋体"/>
                <w:bCs/>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943"/>
              <w:ind w:firstLine="0"/>
              <w:jc w:val="center"/>
              <w:rPr>
                <w:rFonts w:eastAsia="宋体"/>
                <w:bCs/>
                <w:color w:val="000000"/>
                <w:sz w:val="21"/>
                <w:szCs w:val="21"/>
              </w:rPr>
            </w:pPr>
            <w:r>
              <w:rPr>
                <w:rFonts w:eastAsia="宋体"/>
                <w:bCs/>
                <w:color w:val="000000"/>
                <w:sz w:val="21"/>
                <w:szCs w:val="21"/>
              </w:rPr>
            </w:r>
            <w:r/>
          </w:p>
        </w:tc>
      </w:tr>
    </w:tbl>
    <w:p>
      <w:pPr>
        <w:pStyle w:val="928"/>
        <w:jc w:val="left"/>
        <w:spacing w:line="400" w:lineRule="exact"/>
        <w:rPr>
          <w:rFonts w:cs="宋体"/>
          <w:color w:val="000000"/>
          <w:sz w:val="21"/>
          <w:szCs w:val="21"/>
          <w:lang w:eastAsia="en-US"/>
        </w:rPr>
      </w:pPr>
      <w:r>
        <w:rPr>
          <w:rFonts w:hint="eastAsia" w:cs="宋体"/>
          <w:color w:val="000000"/>
          <w:sz w:val="21"/>
          <w:szCs w:val="21"/>
          <w:lang w:eastAsia="en-US"/>
        </w:rPr>
        <w:t xml:space="preserve">注</w:t>
      </w:r>
      <w:r>
        <w:rPr>
          <w:rFonts w:cs="宋体"/>
          <w:color w:val="000000"/>
          <w:sz w:val="21"/>
          <w:szCs w:val="21"/>
          <w:lang w:eastAsia="en-US"/>
        </w:rPr>
        <w:t xml:space="preserve">：按照招标文件要求及评分标准提供相应证明材料</w:t>
      </w:r>
      <w:r>
        <w:rPr>
          <w:rFonts w:hint="eastAsia" w:cs="宋体"/>
          <w:color w:val="000000"/>
          <w:sz w:val="21"/>
          <w:szCs w:val="21"/>
          <w:lang w:eastAsia="en-US"/>
        </w:rPr>
        <w:t xml:space="preserve">。</w:t>
      </w:r>
      <w:r>
        <w:rPr>
          <w:rFonts w:cs="宋体"/>
          <w:color w:val="000000"/>
          <w:sz w:val="21"/>
          <w:szCs w:val="21"/>
          <w:lang w:eastAsia="en-US"/>
        </w:rPr>
      </w:r>
      <w:r/>
    </w:p>
    <w:p>
      <w:pPr>
        <w:pStyle w:val="928"/>
        <w:jc w:val="left"/>
        <w:spacing w:line="400" w:lineRule="exact"/>
        <w:rPr>
          <w:rFonts w:hint="eastAsia" w:cs="宋体"/>
          <w:b/>
          <w:bCs/>
          <w:color w:val="000000"/>
          <w:sz w:val="21"/>
          <w:szCs w:val="21"/>
        </w:rPr>
      </w:pPr>
      <w:r>
        <w:rPr>
          <w:rFonts w:hint="eastAsia" w:cs="宋体"/>
          <w:b/>
          <w:bCs/>
          <w:color w:val="000000"/>
          <w:sz w:val="21"/>
          <w:szCs w:val="21"/>
        </w:rPr>
      </w:r>
      <w:r/>
    </w:p>
    <w:p>
      <w:pPr>
        <w:pStyle w:val="928"/>
        <w:jc w:val="left"/>
        <w:spacing w:line="400" w:lineRule="exact"/>
        <w:rPr>
          <w:rFonts w:hint="eastAsia" w:cs="宋体"/>
          <w:b/>
          <w:bCs/>
          <w:color w:val="000000"/>
          <w:sz w:val="21"/>
          <w:szCs w:val="21"/>
        </w:rPr>
      </w:pPr>
      <w:r>
        <w:rPr>
          <w:rFonts w:hint="eastAsia" w:cs="宋体"/>
          <w:b/>
          <w:bCs/>
          <w:color w:val="000000"/>
          <w:sz w:val="21"/>
          <w:szCs w:val="21"/>
        </w:rPr>
      </w:r>
      <w:r/>
    </w:p>
    <w:p>
      <w:pPr>
        <w:pStyle w:val="928"/>
        <w:ind w:firstLine="420"/>
        <w:jc w:val="left"/>
        <w:spacing w:line="400" w:lineRule="exact"/>
        <w:rPr>
          <w:rFonts w:hint="eastAsia" w:cs="宋体"/>
          <w:color w:val="000000"/>
          <w:sz w:val="21"/>
          <w:szCs w:val="21"/>
        </w:rPr>
      </w:pPr>
      <w:r>
        <w:rPr>
          <w:rFonts w:hint="eastAsia" w:cs="宋体"/>
          <w:color w:val="000000"/>
          <w:sz w:val="21"/>
          <w:szCs w:val="21"/>
        </w:rPr>
        <w:t xml:space="preserve">投标人名称：         （盖章）</w:t>
      </w:r>
      <w:r/>
    </w:p>
    <w:p>
      <w:pPr>
        <w:pStyle w:val="928"/>
        <w:ind w:firstLine="420"/>
        <w:jc w:val="left"/>
        <w:spacing w:line="400" w:lineRule="exact"/>
        <w:rPr>
          <w:rFonts w:hint="eastAsia" w:cs="宋体"/>
          <w:color w:val="000000"/>
          <w:sz w:val="21"/>
          <w:szCs w:val="21"/>
        </w:rPr>
      </w:pPr>
      <w:r>
        <w:rPr>
          <w:rFonts w:hint="eastAsia" w:cs="宋体"/>
          <w:color w:val="000000"/>
          <w:sz w:val="21"/>
          <w:szCs w:val="21"/>
        </w:rPr>
        <w:t xml:space="preserve">法定代表人或代理人（签字或盖章）</w:t>
      </w:r>
      <w:r>
        <w:rPr>
          <w:rFonts w:hint="eastAsia" w:cs="宋体"/>
          <w:bCs/>
          <w:color w:val="000000"/>
          <w:sz w:val="21"/>
          <w:szCs w:val="21"/>
        </w:rPr>
        <w:t xml:space="preserve">：</w:t>
      </w:r>
      <w:r>
        <w:rPr>
          <w:rFonts w:hint="eastAsia" w:cs="宋体"/>
          <w:color w:val="000000"/>
          <w:sz w:val="21"/>
          <w:szCs w:val="21"/>
        </w:rPr>
      </w:r>
      <w:r/>
    </w:p>
    <w:p>
      <w:pPr>
        <w:pStyle w:val="928"/>
        <w:ind w:firstLine="420"/>
        <w:jc w:val="left"/>
        <w:spacing w:line="400" w:lineRule="exact"/>
        <w:rPr>
          <w:rFonts w:hint="eastAsia" w:cs="宋体"/>
          <w:b/>
          <w:bCs/>
          <w:color w:val="000000"/>
          <w:sz w:val="21"/>
          <w:szCs w:val="21"/>
        </w:rPr>
      </w:pPr>
      <w:r>
        <w:rPr>
          <w:rFonts w:hint="eastAsia" w:cs="宋体"/>
          <w:color w:val="000000"/>
          <w:sz w:val="21"/>
          <w:szCs w:val="21"/>
        </w:rPr>
        <w:t xml:space="preserve">日期：           年  月  日</w:t>
      </w:r>
      <w:r>
        <w:rPr>
          <w:rFonts w:hint="eastAsia" w:cs="宋体"/>
          <w:b/>
          <w:bCs/>
          <w:color w:val="000000"/>
          <w:sz w:val="21"/>
          <w:szCs w:val="21"/>
        </w:rPr>
        <w:br w:type="page" w:clear="all"/>
        <w:t xml:space="preserve">附件</w:t>
      </w:r>
      <w:r>
        <w:rPr>
          <w:rFonts w:cs="宋体"/>
          <w:b/>
          <w:bCs/>
          <w:color w:val="000000"/>
          <w:sz w:val="21"/>
          <w:szCs w:val="21"/>
        </w:rPr>
        <w:t xml:space="preserve">1</w:t>
      </w:r>
      <w:r>
        <w:rPr>
          <w:rFonts w:hint="eastAsia" w:cs="宋体"/>
          <w:b/>
          <w:bCs/>
          <w:color w:val="000000"/>
          <w:sz w:val="21"/>
          <w:szCs w:val="21"/>
        </w:rPr>
        <w:t xml:space="preserve">3、其他由招标文件要求自行编写格式</w:t>
      </w:r>
      <w:r/>
    </w:p>
    <w:p>
      <w:pPr>
        <w:pStyle w:val="929"/>
        <w:numPr>
          <w:ilvl w:val="0"/>
          <w:numId w:val="0"/>
        </w:numPr>
        <w:jc w:val="center"/>
        <w:tabs>
          <w:tab w:val="left" w:pos="432" w:leader="none"/>
        </w:tabs>
        <w:rPr>
          <w:rFonts w:hint="eastAsia" w:ascii="宋体" w:hAnsi="宋体" w:cs="宋体"/>
          <w:color w:val="000000"/>
        </w:rPr>
      </w:pPr>
      <w:r>
        <w:rPr>
          <w:rFonts w:hint="eastAsia" w:cs="宋体"/>
          <w:b w:val="0"/>
          <w:bCs/>
          <w:color w:val="000000"/>
          <w:szCs w:val="44"/>
        </w:rPr>
        <w:br w:type="page" w:clear="all"/>
      </w:r>
      <w:r>
        <w:rPr>
          <w:rFonts w:hint="eastAsia" w:ascii="宋体" w:hAnsi="宋体" w:cs="宋体"/>
          <w:color w:val="000000"/>
        </w:rPr>
        <w:t xml:space="preserve">第四章 </w:t>
      </w:r>
      <w:bookmarkStart w:id="8" w:name="招标书"/>
      <w:r>
        <w:rPr>
          <w:rFonts w:hint="eastAsia" w:ascii="宋体" w:hAnsi="宋体" w:cs="宋体"/>
          <w:color w:val="000000"/>
        </w:rPr>
        <w:t xml:space="preserve">招标书</w:t>
      </w:r>
      <w:bookmarkEnd w:id="8"/>
      <w:r>
        <w:rPr>
          <w:rFonts w:hint="eastAsia" w:ascii="宋体" w:hAnsi="宋体" w:cs="宋体"/>
          <w:color w:val="000000"/>
        </w:rPr>
      </w:r>
      <w:r/>
    </w:p>
    <w:p>
      <w:pPr>
        <w:pStyle w:val="99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苏州乐族工程咨询有限公司受</w:t>
      </w:r>
      <w:r>
        <w:rPr>
          <w:rFonts w:ascii="宋体" w:hAnsi="宋体" w:cs="宋体"/>
          <w:color w:val="000000"/>
          <w:sz w:val="21"/>
          <w:szCs w:val="21"/>
        </w:rPr>
        <w:t xml:space="preserve">太仓市公安局</w:t>
      </w:r>
      <w:r>
        <w:rPr>
          <w:rFonts w:hint="eastAsia" w:ascii="宋体" w:hAnsi="宋体" w:cs="宋体"/>
          <w:color w:val="000000"/>
          <w:sz w:val="21"/>
          <w:szCs w:val="21"/>
        </w:rPr>
        <w:t xml:space="preserve">的委托，就2026年监控及信息化系统维保进行公开招标采购。</w:t>
      </w:r>
      <w:r/>
    </w:p>
    <w:p>
      <w:pPr>
        <w:pStyle w:val="928"/>
        <w:contextualSpacing/>
        <w:spacing w:line="360" w:lineRule="auto"/>
        <w:rPr>
          <w:rFonts w:hint="eastAsia" w:cs="宋体"/>
          <w:color w:val="000000"/>
          <w:sz w:val="21"/>
          <w:szCs w:val="21"/>
        </w:rPr>
      </w:pPr>
      <w:r>
        <w:rPr>
          <w:rFonts w:hint="eastAsia" w:cs="宋体"/>
          <w:color w:val="000000"/>
          <w:sz w:val="21"/>
          <w:szCs w:val="21"/>
        </w:rPr>
        <w:t xml:space="preserve">一、采购编号：</w:t>
      </w:r>
      <w:r>
        <w:rPr>
          <w:rFonts w:hint="eastAsia" w:cs="宋体"/>
          <w:color w:val="000000"/>
          <w:sz w:val="21"/>
          <w:szCs w:val="21"/>
        </w:rPr>
        <w:t xml:space="preserve">JSZC-320585-SZLZ-G2026-0009</w:t>
      </w:r>
      <w:r>
        <w:rPr>
          <w:rFonts w:hint="eastAsia" w:cs="宋体"/>
          <w:color w:val="000000"/>
          <w:sz w:val="21"/>
          <w:szCs w:val="21"/>
        </w:rPr>
      </w:r>
      <w:r/>
    </w:p>
    <w:p>
      <w:pPr>
        <w:pStyle w:val="928"/>
        <w:contextualSpacing/>
        <w:spacing w:line="360" w:lineRule="auto"/>
        <w:rPr>
          <w:rFonts w:hint="eastAsia" w:cs="宋体"/>
          <w:color w:val="000000"/>
          <w:sz w:val="21"/>
          <w:szCs w:val="21"/>
        </w:rPr>
      </w:pPr>
      <w:r>
        <w:rPr>
          <w:rFonts w:hint="eastAsia" w:cs="宋体"/>
          <w:color w:val="000000"/>
          <w:sz w:val="21"/>
          <w:szCs w:val="21"/>
        </w:rPr>
        <w:t xml:space="preserve">二、项目名称：2026年监控及信息化系统维保</w:t>
      </w:r>
      <w:r/>
    </w:p>
    <w:p>
      <w:pPr>
        <w:pStyle w:val="928"/>
        <w:contextualSpacing/>
        <w:spacing w:line="360" w:lineRule="auto"/>
        <w:rPr>
          <w:rFonts w:hint="eastAsia" w:cs="宋体"/>
          <w:color w:val="000000"/>
          <w:sz w:val="21"/>
          <w:szCs w:val="21"/>
        </w:rPr>
      </w:pPr>
      <w:r>
        <w:rPr>
          <w:rFonts w:hint="eastAsia" w:cs="宋体"/>
          <w:color w:val="000000"/>
          <w:sz w:val="21"/>
          <w:szCs w:val="21"/>
        </w:rPr>
        <w:t xml:space="preserve">三、预算金额：人民币642万元</w:t>
      </w:r>
      <w:r/>
    </w:p>
    <w:p>
      <w:pPr>
        <w:pStyle w:val="928"/>
        <w:contextualSpacing/>
        <w:spacing w:line="360" w:lineRule="auto"/>
        <w:rPr>
          <w:rFonts w:cs="宋体"/>
          <w:color w:val="000000"/>
          <w:sz w:val="21"/>
          <w:szCs w:val="21"/>
        </w:rPr>
      </w:pPr>
      <w:r>
        <w:rPr>
          <w:rFonts w:hint="eastAsia" w:cs="宋体"/>
          <w:color w:val="000000"/>
          <w:sz w:val="21"/>
          <w:szCs w:val="21"/>
        </w:rPr>
        <w:t xml:space="preserve">四、最高限价：人民币642万元（投标报价超过限价的为无效标）</w:t>
      </w:r>
      <w:r>
        <w:rPr>
          <w:rFonts w:cs="宋体"/>
          <w:color w:val="000000"/>
          <w:sz w:val="21"/>
          <w:szCs w:val="21"/>
        </w:rPr>
      </w:r>
      <w:r/>
    </w:p>
    <w:p>
      <w:pPr>
        <w:pStyle w:val="928"/>
        <w:contextualSpacing/>
        <w:spacing w:line="360" w:lineRule="auto"/>
        <w:rPr>
          <w:rFonts w:cs="宋体"/>
          <w:color w:val="000000"/>
          <w:sz w:val="21"/>
          <w:szCs w:val="21"/>
        </w:rPr>
      </w:pPr>
      <w:r>
        <w:rPr>
          <w:rFonts w:hint="eastAsia" w:cs="宋体"/>
          <w:color w:val="000000"/>
          <w:sz w:val="21"/>
          <w:szCs w:val="21"/>
        </w:rPr>
        <w:t xml:space="preserve">五、采购内容及要求：</w:t>
      </w:r>
      <w:bookmarkStart w:id="9" w:name="_Hlk52193085"/>
      <w:r>
        <w:rPr>
          <w:rFonts w:cs="宋体"/>
          <w:color w:val="000000"/>
          <w:sz w:val="21"/>
          <w:szCs w:val="21"/>
        </w:rPr>
      </w:r>
      <w:r/>
    </w:p>
    <w:p>
      <w:pPr>
        <w:pStyle w:val="929"/>
        <w:numPr>
          <w:ilvl w:val="0"/>
          <w:numId w:val="0"/>
        </w:numPr>
        <w:spacing w:before="0" w:after="0" w:line="360" w:lineRule="auto"/>
        <w:tabs>
          <w:tab w:val="left" w:pos="432" w:leader="none"/>
        </w:tabs>
        <w:rPr>
          <w:rFonts w:hint="eastAsia"/>
          <w:color w:val="000000"/>
          <w:sz w:val="21"/>
          <w:szCs w:val="21"/>
        </w:rPr>
      </w:pPr>
      <w:r/>
      <w:bookmarkEnd w:id="9"/>
      <w:r/>
      <w:bookmarkStart w:id="10" w:name="_Toc155263078"/>
      <w:r>
        <w:rPr>
          <w:rFonts w:hint="eastAsia"/>
          <w:color w:val="000000"/>
          <w:sz w:val="21"/>
          <w:szCs w:val="21"/>
        </w:rPr>
        <w:t xml:space="preserve">（一）背景介绍</w:t>
      </w:r>
      <w:r/>
    </w:p>
    <w:p>
      <w:pPr>
        <w:pStyle w:val="928"/>
        <w:ind w:firstLine="480"/>
        <w:jc w:val="left"/>
        <w:spacing w:line="360" w:lineRule="auto"/>
        <w:widowControl/>
        <w:rPr>
          <w:rFonts w:hint="eastAsia" w:cs="宋体"/>
          <w:color w:val="000000"/>
          <w:sz w:val="21"/>
          <w:szCs w:val="21"/>
        </w:rPr>
      </w:pPr>
      <w:r>
        <w:rPr>
          <w:rFonts w:hint="eastAsia" w:cs="宋体"/>
          <w:color w:val="000000"/>
          <w:sz w:val="21"/>
          <w:szCs w:val="21"/>
        </w:rPr>
        <w:t xml:space="preserve">随着太仓市经济和城市建设的快速发展，及当前治安形势多样性、复杂性、犯罪作案手段隐蔽性以及刑事案件高发，治安监控的作用越来越重</w:t>
      </w:r>
      <w:r>
        <w:rPr>
          <w:rFonts w:hint="eastAsia" w:cs="宋体"/>
          <w:color w:val="000000"/>
          <w:sz w:val="21"/>
          <w:szCs w:val="21"/>
        </w:rPr>
        <w:t xml:space="preserve">要，但因太仓市公安局已建监控及各类信息化系统逐渐过保、老化、损坏，如果没有专项经费和专业队伍维护，无法满足现有的维护使用要求，迫切需要落实对全市公安专业系统、治安监控、内部监控、车辆抓拍、人脸识别、感知采集、视频会议、指挥大屏、机房弱电网络、服务器、虚拟化设备、核心交换设备等前后端设备的专门维护工作，增强系统的稳定性，提升基础工作、治安管理、案件防范。</w:t>
      </w:r>
      <w:r/>
    </w:p>
    <w:p>
      <w:pPr>
        <w:pStyle w:val="929"/>
        <w:numPr>
          <w:ilvl w:val="0"/>
          <w:numId w:val="0"/>
        </w:numPr>
        <w:spacing w:before="0" w:after="0" w:line="360" w:lineRule="auto"/>
        <w:tabs>
          <w:tab w:val="left" w:pos="432" w:leader="none"/>
        </w:tabs>
        <w:rPr>
          <w:rFonts w:hint="eastAsia"/>
          <w:color w:val="000000"/>
          <w:sz w:val="21"/>
          <w:szCs w:val="21"/>
        </w:rPr>
      </w:pPr>
      <w:r>
        <w:rPr>
          <w:rFonts w:hint="eastAsia"/>
          <w:color w:val="000000"/>
          <w:sz w:val="21"/>
          <w:szCs w:val="21"/>
        </w:rPr>
        <w:t xml:space="preserve">（二）维护时间</w:t>
      </w:r>
      <w:r/>
    </w:p>
    <w:p>
      <w:pPr>
        <w:pStyle w:val="928"/>
        <w:ind w:firstLine="480"/>
        <w:jc w:val="left"/>
        <w:spacing w:line="360" w:lineRule="auto"/>
        <w:widowControl/>
        <w:rPr>
          <w:rFonts w:hint="eastAsia" w:cs="宋体"/>
          <w:color w:val="000000"/>
          <w:sz w:val="21"/>
          <w:szCs w:val="21"/>
        </w:rPr>
      </w:pPr>
      <w:r>
        <w:rPr>
          <w:rFonts w:hint="eastAsia" w:cs="宋体"/>
          <w:color w:val="000000"/>
          <w:sz w:val="21"/>
          <w:szCs w:val="21"/>
        </w:rPr>
        <w:t xml:space="preserve">维保服务一年，起止时间以合同约定为准。</w:t>
      </w:r>
      <w:r/>
    </w:p>
    <w:p>
      <w:pPr>
        <w:pStyle w:val="929"/>
        <w:numPr>
          <w:ilvl w:val="0"/>
          <w:numId w:val="0"/>
        </w:numPr>
        <w:spacing w:before="0" w:after="0" w:line="360" w:lineRule="auto"/>
        <w:tabs>
          <w:tab w:val="left" w:pos="432" w:leader="none"/>
        </w:tabs>
        <w:rPr>
          <w:rFonts w:hint="eastAsia"/>
          <w:color w:val="000000"/>
          <w:sz w:val="21"/>
          <w:szCs w:val="21"/>
        </w:rPr>
      </w:pPr>
      <w:r>
        <w:rPr>
          <w:rFonts w:hint="eastAsia"/>
          <w:color w:val="000000"/>
          <w:sz w:val="21"/>
          <w:szCs w:val="21"/>
        </w:rPr>
        <w:t xml:space="preserve">（三）维护主要内容</w:t>
      </w:r>
      <w:r/>
    </w:p>
    <w:p>
      <w:pPr>
        <w:pStyle w:val="929"/>
        <w:numPr>
          <w:ilvl w:val="0"/>
          <w:numId w:val="45"/>
        </w:numPr>
        <w:spacing w:before="0" w:after="0" w:line="360" w:lineRule="auto"/>
        <w:tabs>
          <w:tab w:val="left" w:pos="425" w:leader="none"/>
          <w:tab w:val="left" w:pos="432" w:leader="none"/>
        </w:tabs>
        <w:rPr>
          <w:color w:val="000000"/>
          <w:sz w:val="21"/>
          <w:szCs w:val="21"/>
        </w:rPr>
      </w:pPr>
      <w:r>
        <w:rPr>
          <w:rFonts w:hint="eastAsia"/>
          <w:color w:val="000000"/>
          <w:sz w:val="21"/>
          <w:szCs w:val="21"/>
        </w:rPr>
        <w:t xml:space="preserve">运维清单</w:t>
      </w:r>
      <w:r>
        <w:rPr>
          <w:color w:val="000000"/>
          <w:sz w:val="21"/>
          <w:szCs w:val="21"/>
        </w:rPr>
      </w:r>
      <w:r/>
    </w:p>
    <w:tbl>
      <w:tblPr>
        <w:tblW w:w="8631"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846"/>
        <w:gridCol w:w="7785"/>
      </w:tblGrid>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综合业务</w:t>
            </w:r>
            <w:r>
              <w:rPr>
                <w:rFonts w:hint="eastAsia" w:cs="宋体"/>
                <w:color w:val="000000"/>
                <w:sz w:val="21"/>
                <w:szCs w:val="21"/>
              </w:rPr>
              <w:t xml:space="preserve">、PGIS系统数据库专业维护</w:t>
            </w:r>
            <w:r/>
          </w:p>
        </w:tc>
      </w:tr>
      <w:tr>
        <w:trPr>
          <w:trHeight w:val="66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bookmarkStart w:id="11" w:name="_Hlk199405553"/>
            <w:r>
              <w:rPr>
                <w:rFonts w:hint="eastAsia" w:cs="宋体"/>
                <w:color w:val="000000"/>
                <w:sz w:val="21"/>
                <w:szCs w:val="21"/>
              </w:rPr>
              <w:t xml:space="preserve">350M电台系统、基站和设备的专业维护（五个基站+电台基础维护+与苏州市备用中心互联模块服务）</w:t>
            </w:r>
            <w:bookmarkEnd w:id="11"/>
            <w:r>
              <w:rPr>
                <w:rFonts w:hint="eastAsia" w:cs="宋体"/>
                <w:color w:val="000000"/>
                <w:sz w:val="21"/>
                <w:szCs w:val="21"/>
              </w:rPr>
            </w:r>
            <w:r/>
          </w:p>
        </w:tc>
      </w:tr>
      <w:tr>
        <w:trPr>
          <w:trHeight w:val="46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互联网微信云工单服务及资产库、运维平台服务</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雪亮工程接入云对接维护服务</w:t>
            </w:r>
            <w:r>
              <w:rPr>
                <w:rFonts w:hint="eastAsia"/>
                <w:color w:val="000000"/>
                <w:sz w:val="21"/>
                <w:szCs w:val="21"/>
              </w:rPr>
              <w:t xml:space="preserve">及驻场服务1人；百度平台维护</w:t>
            </w:r>
            <w:r>
              <w:rPr>
                <w:rFonts w:hint="eastAsia" w:cs="宋体"/>
                <w:color w:val="000000"/>
                <w:sz w:val="21"/>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太仓市联网视频联</w:t>
            </w:r>
            <w:r>
              <w:rPr>
                <w:rFonts w:hint="eastAsia" w:cs="宋体"/>
                <w:color w:val="000000"/>
                <w:sz w:val="21"/>
                <w:szCs w:val="21"/>
              </w:rPr>
              <w:t xml:space="preserve">网共享平台、信息港社会面监控联网共享平台管理维护服务及驻场维护服务人员1人</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市局主页维护及部分更新服务</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监控联网平台（海康）授权服务及安排驻场维护服务人员1人</w:t>
            </w:r>
            <w:r/>
          </w:p>
        </w:tc>
      </w:tr>
      <w:tr>
        <w:trPr>
          <w:trHeight w:val="319"/>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网络安全服务（渗透测试、安全咨询培训、灾难恢复演练）</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太仓旅馆</w:t>
            </w:r>
            <w:r>
              <w:rPr>
                <w:rFonts w:hint="eastAsia" w:cs="宋体"/>
                <w:color w:val="000000"/>
                <w:sz w:val="21"/>
                <w:szCs w:val="21"/>
              </w:rPr>
              <w:t xml:space="preserve">民宿新装系统维护</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太仓在册旅馆民宿治安管理信息系统维护</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基础工作双网融合平台维护服务</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民警健康档案系统运行维护</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太仓合成作战平台合成维稳子系统运维</w:t>
            </w:r>
            <w:r/>
          </w:p>
        </w:tc>
      </w:tr>
      <w:tr>
        <w:trPr>
          <w:trHeight w:val="647"/>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南郊智慧检查站项目、洋桥检查站项目、嘉太检查站项目等的配套系统、弱电设施、监控设施、机房设施、弱电管线设施的维护</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7785" w:type="dxa"/>
            <w:vAlign w:val="bottom"/>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雪亮一期过保软硬件设施（含运维平台）</w:t>
            </w:r>
            <w:r/>
          </w:p>
        </w:tc>
      </w:tr>
      <w:tr>
        <w:trPr>
          <w:trHeight w:val="51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社会面监控汇聚平台服务及维护服务</w:t>
            </w:r>
            <w:r/>
          </w:p>
        </w:tc>
      </w:tr>
      <w:tr>
        <w:trPr>
          <w:trHeight w:val="466"/>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ETC智慧感知系统项目及苏州市公安局下发的20套etc设备的维护（一年）</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18</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火车站反恐维稳项目到期运维（含铁塔服务）</w:t>
            </w:r>
            <w:r/>
          </w:p>
        </w:tc>
      </w:tr>
      <w:tr>
        <w:trPr>
          <w:trHeight w:val="57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19</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太仓站、太仓南站公安技防设施到期运维（故障线路恢复难度大16车卡+22人卡+26监控）</w:t>
            </w:r>
            <w:r/>
          </w:p>
        </w:tc>
      </w:tr>
      <w:tr>
        <w:trPr>
          <w:trHeight w:val="57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20</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雪亮工程驻场维护服务人员2人到期，需要继续驻场服务1年</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7785" w:type="dxa"/>
            <w:vAlign w:val="bottom"/>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监视居住专用场所（智能化）改造工程</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智慧交通一期基础预备项目</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2020年</w:t>
            </w:r>
            <w:r>
              <w:rPr>
                <w:rFonts w:hint="eastAsia" w:cs="宋体"/>
                <w:color w:val="000000"/>
                <w:sz w:val="21"/>
                <w:szCs w:val="21"/>
              </w:rPr>
              <w:t xml:space="preserve">度人像卡口项目标段一到期运维</w:t>
            </w:r>
            <w:r/>
          </w:p>
        </w:tc>
      </w:tr>
      <w:tr>
        <w:trPr>
          <w:trHeight w:val="28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24</w:t>
            </w:r>
            <w:r/>
          </w:p>
        </w:tc>
        <w:tc>
          <w:tcPr>
            <w:tcBorders>
              <w:top w:val="single" w:color="000000" w:sz="4" w:space="0"/>
              <w:left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2020年度人像卡口项目标段二采购部分到期运维</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指挥中心大屏建设项目到期运维</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二维码门牌管理平台维护服务</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太仓市公安局全员考系统一年的维护服务</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执法办案管理中心信息化项目运维</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29</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智慧危险品监管平台维护</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融合通信调度平台维护服务</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扬帆数据中心运维服务及驻场服务人员2人</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太仓市公安局110接处警系统运维</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智能指挥调度系统升级运维（数图一体化）</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执纪执法智慧督察运维服务（一共三期）</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35</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cs="宋体"/>
                <w:color w:val="000000"/>
                <w:sz w:val="21"/>
                <w:szCs w:val="21"/>
              </w:rPr>
              <w:t xml:space="preserve">反恐处突机动队基地</w:t>
            </w:r>
            <w:r>
              <w:rPr>
                <w:rFonts w:hint="eastAsia" w:cs="宋体"/>
                <w:color w:val="000000"/>
                <w:sz w:val="21"/>
                <w:szCs w:val="21"/>
              </w:rPr>
              <w:t xml:space="preserve">及</w:t>
            </w:r>
            <w:r>
              <w:rPr>
                <w:rFonts w:cs="宋体"/>
                <w:color w:val="000000"/>
                <w:sz w:val="21"/>
                <w:szCs w:val="21"/>
              </w:rPr>
              <w:t xml:space="preserve">慧巡防系统</w:t>
            </w:r>
            <w:r>
              <w:rPr>
                <w:rFonts w:hint="eastAsia" w:cs="宋体"/>
                <w:color w:val="000000"/>
                <w:sz w:val="21"/>
                <w:szCs w:val="21"/>
              </w:rPr>
              <w:t xml:space="preserve">运维</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36</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环太智能感知防控系统</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37</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太仓市公安局安全边界维保</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38</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2022年高清抓拍升级补盲项目1标段维保</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39</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2022年高清抓拍升级补盲项目2标段维保</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40</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沪苏通项目软硬件维保</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41</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视频网云平台扩容维保</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42</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公安网视频云平台扩容维保</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43</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公安网大数据扩容</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44</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2022年人像卡口租赁项目二标段采购部分维保</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45</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网络安全设备升级</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46</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卡口“智能+”感知设备建设项目维保</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47</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看守所智慧监所信息化建设项目维保（看守所智慧监所改造工程）</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48</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微软雅黑"/>
                <w:color w:val="000000"/>
                <w:sz w:val="21"/>
                <w:szCs w:val="21"/>
                <w:lang w:bidi="ar"/>
              </w:rPr>
              <w:t xml:space="preserve">监管场所监控扩容维保</w:t>
            </w:r>
            <w:r>
              <w:rPr>
                <w:rFonts w:hint="eastAsia" w:cs="宋体"/>
                <w:color w:val="000000"/>
                <w:sz w:val="21"/>
                <w:szCs w:val="21"/>
              </w:rPr>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49</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视频监控系统（含平台）及配套设备维护、对部分高清监控前后端进行维护修复</w:t>
            </w:r>
            <w:r/>
          </w:p>
        </w:tc>
      </w:tr>
      <w:tr>
        <w:trPr>
          <w:trHeight w:val="396"/>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50</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高清抓拍系统（含平台）及配套设备维护、对部分高清抓拍前后端进行维护修复</w:t>
            </w:r>
            <w:r/>
          </w:p>
        </w:tc>
      </w:tr>
      <w:tr>
        <w:trPr>
          <w:trHeight w:val="570"/>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51</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人脸识别系统前后端及配套设备维护调试及对部分人像卡口前后端进行维护修复</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52</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对市局过保的移动图传设备的维护及服务</w:t>
            </w:r>
            <w:r/>
          </w:p>
        </w:tc>
      </w:tr>
      <w:tr>
        <w:trPr>
          <w:trHeight w:val="570"/>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53</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视频会议系统（58套）及一键点调系统（34套）维保及一年（一人）的驻场服务</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54</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精密空调和UPS电源维保（半包）</w:t>
            </w:r>
            <w:r/>
          </w:p>
        </w:tc>
      </w:tr>
      <w:tr>
        <w:trPr>
          <w:trHeight w:val="285"/>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55</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对全市公安各级机关的弱电网络线路维护</w:t>
            </w:r>
            <w:r/>
          </w:p>
        </w:tc>
      </w:tr>
      <w:tr>
        <w:trPr>
          <w:trHeight w:val="941"/>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56</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cs="宋体"/>
                <w:color w:val="000000"/>
                <w:sz w:val="21"/>
                <w:szCs w:val="21"/>
              </w:rPr>
              <w:t xml:space="preserve">对全局各部门已经过保的后端设备，包括各类指挥大屏、拼接屏、小间距屏的维护及修复服务；对公安局各级机房的弱电系统及交换机、服务器、存储、硬盘、安全边界、防火墙、网闸等设备的一年维护</w:t>
            </w:r>
            <w:r>
              <w:rPr>
                <w:rFonts w:hint="eastAsia" w:cs="宋体"/>
                <w:color w:val="000000"/>
                <w:sz w:val="21"/>
                <w:szCs w:val="21"/>
              </w:rPr>
            </w:r>
            <w:r/>
          </w:p>
        </w:tc>
      </w:tr>
      <w:tr>
        <w:trPr>
          <w:trHeight w:val="814"/>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57</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hint="eastAsia" w:cs="宋体"/>
                <w:color w:val="000000"/>
                <w:sz w:val="21"/>
                <w:szCs w:val="21"/>
              </w:rPr>
              <w:t xml:space="preserve">因应急安保、市政施工、道路重新规划、路面修补（损坏）、自然灾害等原因引起的设备采购、点位迁移及维护修复工作</w:t>
            </w:r>
            <w:r/>
          </w:p>
        </w:tc>
      </w:tr>
      <w:tr>
        <w:trPr>
          <w:trHeight w:val="523"/>
        </w:trPr>
        <w:tc>
          <w:tcPr>
            <w:tcBorders>
              <w:top w:val="single" w:color="000000" w:sz="4" w:space="0"/>
              <w:left w:val="single" w:color="000000" w:sz="4" w:space="0"/>
              <w:bottom w:val="single" w:color="000000" w:sz="4" w:space="0"/>
            </w:tcBorders>
            <w:tcW w:w="846"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58</w:t>
            </w:r>
            <w:r/>
          </w:p>
        </w:tc>
        <w:tc>
          <w:tcPr>
            <w:tcBorders>
              <w:top w:val="single" w:color="000000" w:sz="4" w:space="0"/>
              <w:left w:val="single" w:color="000000" w:sz="4" w:space="0"/>
              <w:bottom w:val="single" w:color="000000" w:sz="4" w:space="0"/>
              <w:right w:val="single" w:color="000000" w:sz="4" w:space="0"/>
            </w:tcBorders>
            <w:tcW w:w="7785" w:type="dxa"/>
            <w:vAlign w:val="center"/>
            <w:textDirection w:val="lrTb"/>
            <w:noWrap w:val="false"/>
          </w:tcPr>
          <w:p>
            <w:pPr>
              <w:pStyle w:val="928"/>
              <w:jc w:val="left"/>
              <w:widowControl/>
              <w:rPr>
                <w:rFonts w:hint="eastAsia" w:cs="宋体"/>
                <w:color w:val="000000"/>
                <w:sz w:val="21"/>
                <w:szCs w:val="21"/>
              </w:rPr>
            </w:pPr>
            <w:r>
              <w:rPr>
                <w:rFonts w:cs="宋体"/>
                <w:color w:val="000000"/>
                <w:sz w:val="21"/>
                <w:szCs w:val="21"/>
              </w:rPr>
              <w:t xml:space="preserve">防外联产品服务</w:t>
            </w:r>
            <w:r>
              <w:rPr>
                <w:rFonts w:hint="eastAsia" w:cs="宋体"/>
                <w:color w:val="000000"/>
                <w:sz w:val="21"/>
                <w:szCs w:val="21"/>
              </w:rPr>
            </w:r>
            <w:r/>
          </w:p>
        </w:tc>
      </w:tr>
    </w:tbl>
    <w:p>
      <w:pPr>
        <w:pStyle w:val="929"/>
        <w:numPr>
          <w:ilvl w:val="0"/>
          <w:numId w:val="45"/>
        </w:numPr>
        <w:spacing w:before="0" w:after="0" w:line="360" w:lineRule="auto"/>
        <w:tabs>
          <w:tab w:val="left" w:pos="425" w:leader="none"/>
          <w:tab w:val="left" w:pos="432" w:leader="none"/>
        </w:tabs>
        <w:rPr>
          <w:color w:val="000000"/>
          <w:sz w:val="21"/>
          <w:szCs w:val="21"/>
        </w:rPr>
      </w:pPr>
      <w:r>
        <w:rPr>
          <w:rFonts w:hint="eastAsia"/>
          <w:color w:val="000000"/>
          <w:sz w:val="21"/>
          <w:szCs w:val="21"/>
        </w:rPr>
        <w:t xml:space="preserve">具体运维需求</w:t>
      </w:r>
      <w:r>
        <w:rPr>
          <w:color w:val="000000"/>
          <w:sz w:val="21"/>
          <w:szCs w:val="21"/>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综合业务、PGIS系统数据库专业维护</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太仓市公安局综合业务服务器数据库、PGIS系统数据库一年专业维护。太仓市公安局在数据库出现故障后，要求中标单位立即派员做远程或者现场的技术支撑服务，保证各项业务数</w:t>
      </w:r>
      <w:r>
        <w:rPr>
          <w:rFonts w:hint="eastAsia" w:cs="宋体"/>
          <w:bCs/>
          <w:color w:val="000000"/>
          <w:sz w:val="21"/>
          <w:szCs w:val="21"/>
        </w:rPr>
        <w:t xml:space="preserve">据库的稳定运行。</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350M电台系统、基站和设备的专业维护（五个基站+电台基础维护+与苏州市备用中心互联模块服务）</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350兆系统维保，要求中标单位与专业维护公司签订框架协议对太仓公安所有已建基站进行定期巡检（每季度不少于1次），保障设备正常运行。保修期内对基站设备免费保修。对于上级要求的PDT系统建设及加密模块配置，系统软件升级，声码器转换，以及其他要求做到7*24小时</w:t>
      </w:r>
      <w:r>
        <w:rPr>
          <w:rFonts w:hint="eastAsia" w:cs="宋体"/>
          <w:bCs/>
          <w:color w:val="000000"/>
          <w:sz w:val="21"/>
          <w:szCs w:val="21"/>
        </w:rPr>
        <w:t xml:space="preserve">及时响应，及时派专人处理。开展大型活动，或者重大安保任务时，应甲方要求应当派遣专业技术人员进行现场保障。做好全市880个手台及基地台常规性维护服务工作。因信号覆盖问题，需要调整基站位置的，负责搬迁基站。对其中过保且损坏无法修复的设备，更换性能型号不低于原设备的新设备。</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互联网微信云工单服务及资产库、运维平台服务</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主要负责监控运维平台、资产库平台的日常维护管理、微信端云工单业务管理维护。平台资产日常一机一档点位管理维护、与苏州市公安局业务对接管理服务等</w:t>
      </w:r>
      <w:r>
        <w:rPr>
          <w:rFonts w:hint="eastAsia" w:cs="宋体"/>
          <w:bCs/>
          <w:color w:val="000000"/>
          <w:sz w:val="21"/>
          <w:szCs w:val="21"/>
        </w:rPr>
        <w:t xml:space="preserve">，工作时间与公安局机关一致，午饭自理。对突发故障须做到7*24小时响应维护并修复。</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在互联网微信端建设云工单管理服务，按照上级公安要求以边界安全技术方式对接公安视频专网监控运维平台资产管理、工单管理、</w:t>
      </w:r>
      <w:r>
        <w:rPr>
          <w:rFonts w:hint="eastAsia" w:cs="宋体"/>
          <w:bCs/>
          <w:color w:val="000000"/>
          <w:sz w:val="21"/>
          <w:szCs w:val="21"/>
        </w:rPr>
        <w:t xml:space="preserve">用户管理、地图管理和统计模型等。</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主要参数如下：</w:t>
      </w:r>
      <w:r/>
    </w:p>
    <w:tbl>
      <w:tblPr>
        <w:tblW w:w="8480" w:type="dxa"/>
        <w:tblInd w:w="186" w:type="dxa"/>
        <w:tblLayout w:type="fixed"/>
        <w:tblCellMar>
          <w:left w:w="15" w:type="dxa"/>
          <w:top w:w="0" w:type="dxa"/>
          <w:right w:w="15" w:type="dxa"/>
          <w:bottom w:w="0" w:type="dxa"/>
        </w:tblCellMar>
        <w:tblLook w:val="04A0" w:firstRow="1" w:lastRow="0" w:firstColumn="1" w:lastColumn="0" w:noHBand="0" w:noVBand="1"/>
      </w:tblPr>
      <w:tblGrid>
        <w:gridCol w:w="2000"/>
        <w:gridCol w:w="6480"/>
      </w:tblGrid>
      <w:tr>
        <w:trPr>
          <w:trHeight w:val="332"/>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需求内容</w:t>
            </w:r>
            <w:r/>
          </w:p>
        </w:tc>
      </w:tr>
      <w:tr>
        <w:trPr>
          <w:trHeight w:val="812"/>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1.运行监测态势</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包括各单位运行监测的相关指标和报表展示，完好数、拆除数、在修数、录像异常数、时钟异常数、OSD异常数、离线数、图片数据质量异常（包含人卡、车卡、超卡、电警、结构化相机等并分类，主要对图片时间异常、前端抓拍异常进行预警）。</w:t>
            </w:r>
            <w:r/>
          </w:p>
        </w:tc>
      </w:tr>
      <w:tr>
        <w:trPr>
          <w:trHeight w:val="950"/>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2.工单处理态势</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工单处理态势主要针对各单位工单处理流程相关指标的统计，告警工单总数、待响应数、正在维修数、待确认数、复检未通过数、维修完成数、响应率、完成率。</w:t>
            </w:r>
            <w:r/>
          </w:p>
        </w:tc>
      </w:tr>
      <w:tr>
        <w:trPr>
          <w:trHeight w:val="652"/>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3.工作量统计</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微信端使用人员工作量统计</w:t>
            </w:r>
            <w:r/>
          </w:p>
        </w:tc>
      </w:tr>
      <w:tr>
        <w:trPr>
          <w:trHeight w:val="2831"/>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4.工单管理</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工单管理功能包括：</w:t>
              <w:br w:type="textWrapping" w:clear="all"/>
              <w:t xml:space="preserve">(1)工单管理模块分民警和维保单位两个角色，不同角色的可操作功能不同。</w:t>
              <w:br w:type="textWrapping" w:clear="all"/>
              <w:t xml:space="preserve">(2)民警角色，默认为管理员角色（分部门和总管理员），具有对全量告警工单进行告警录入、催办、关闭审核、响应、反馈、延期审核、核验、列表查询、查看工单详情操作。</w:t>
              <w:br w:type="textWrapping" w:clear="all"/>
              <w:t xml:space="preserve">(3)责任单位或维保单位角色（可以定位到维护人员），具有对所属告警工单进行响应、反馈、延期、关闭、申诉、列表查询、查看工单详情操作，可以人工进行告警录入。</w:t>
            </w:r>
            <w:r/>
          </w:p>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(4)支持分级分类查看、管理、流转、反馈、统计</w:t>
            </w:r>
            <w:r/>
          </w:p>
        </w:tc>
      </w:tr>
      <w:tr>
        <w:trPr>
          <w:trHeight w:val="416"/>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5.资产管理--状态变更</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(1)状</w:t>
            </w:r>
            <w:r>
              <w:rPr>
                <w:rFonts w:hint="eastAsia" w:cs="宋体"/>
                <w:bCs/>
                <w:color w:val="000000"/>
                <w:sz w:val="21"/>
                <w:szCs w:val="21"/>
              </w:rPr>
              <w:t xml:space="preserve">态变更主要是针对将要拆除的资产进行流程化审批管理，资产使用状态的变更需要进行严格审核。</w:t>
              <w:br w:type="textWrapping" w:clear="all"/>
              <w:t xml:space="preserve">(2)状态变更业务流程在移动端流转，移动端状态变更流程执行成功后先修改对应资产在移动端数据库资产表中的状态为拆除；若该资产已在工单流程中，则需结束对应的工单流程，修改工单业务表对应流程状态为维修完成。</w:t>
            </w:r>
            <w:r/>
          </w:p>
        </w:tc>
      </w:tr>
      <w:tr>
        <w:trPr>
          <w:trHeight w:val="3144"/>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6.资产管理--数据采集</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(1)数据采集主要是为方便下级责任单位或维保单位进行资产数据的录入和更新，数据采集主要功能是资产属性的采集、更新。</w:t>
              <w:br w:type="textWrapping" w:clear="all"/>
              <w:t xml:space="preserve">(2)按照前端设备命名规范，前端设备名称应以地点方位来命名。维保人员到达设备安装现场后可以用资产名称模糊搜索出需要更新的资产设备，选择对应设备并绑定当前位置的坐标，即可实现对资产经纬度坐标的更新。</w:t>
              <w:br w:type="textWrapping" w:clear="all"/>
              <w:t xml:space="preserve">(3)将采集到的前端设备最新的坐标转换成WGS84坐标系后更新到移动端数据库资产表中，与PC端数据库进行数据同步。</w:t>
              <w:br w:type="textWrapping" w:clear="all"/>
              <w:t xml:space="preserve">(4)支持现场图片信息采集、发送、审核；</w:t>
            </w:r>
            <w:r/>
          </w:p>
        </w:tc>
      </w:tr>
      <w:tr>
        <w:trPr>
          <w:trHeight w:val="332"/>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7.消息推送</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推送设备资产采集、更新的任务到“云工单”。</w:t>
            </w:r>
            <w:r/>
          </w:p>
        </w:tc>
      </w:tr>
      <w:tr>
        <w:trPr>
          <w:trHeight w:val="332"/>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8.后台管理</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（1）支持系统用户权限管理。</w:t>
            </w:r>
            <w:r/>
          </w:p>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（2）支持微信绑定及解除绑定。</w:t>
            </w:r>
            <w:r/>
          </w:p>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（3）支持个人用户信息展示。</w:t>
            </w:r>
            <w:r/>
          </w:p>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（4）支持用户登录及退出登录。</w:t>
            </w:r>
            <w:r/>
          </w:p>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（5）支持对接消息队列获取数据。</w:t>
            </w:r>
            <w:r/>
          </w:p>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（6）支持和PC端数据对接。</w:t>
            </w:r>
            <w:r/>
          </w:p>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（7）支持视频专网通过安全边界和互联网数据交互。</w:t>
            </w:r>
            <w:r/>
          </w:p>
        </w:tc>
      </w:tr>
      <w:tr>
        <w:trPr>
          <w:trHeight w:val="332"/>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9.录像检测</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检测前端设备的录像的完整性并生成工单流转服务。</w:t>
            </w:r>
            <w:r/>
          </w:p>
        </w:tc>
      </w:tr>
      <w:tr>
        <w:trPr>
          <w:trHeight w:val="332"/>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10.前端OSD检测</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检测前端设备OSD规范性，并生成工单流转服务。</w:t>
            </w:r>
            <w:r/>
          </w:p>
        </w:tc>
      </w:tr>
      <w:tr>
        <w:trPr>
          <w:trHeight w:val="332"/>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11.时钟检测</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时钟检测算法服务</w:t>
            </w:r>
            <w:r>
              <w:rPr>
                <w:rFonts w:hint="eastAsia" w:cs="宋体"/>
                <w:bCs/>
                <w:color w:val="000000"/>
                <w:sz w:val="21"/>
                <w:szCs w:val="21"/>
              </w:rPr>
              <w:t xml:space="preserve">，与标准北京时间误差1分钟及以上的自动下发工单</w:t>
            </w:r>
            <w:r/>
          </w:p>
        </w:tc>
      </w:tr>
      <w:tr>
        <w:trPr>
          <w:trHeight w:val="652"/>
        </w:trPr>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928"/>
              <w:contextualSpacing/>
              <w:jc w:val="center"/>
              <w:spacing w:line="360" w:lineRule="auto"/>
              <w:rPr>
                <w:rFonts w:hint="eastAsia" w:cs="宋体"/>
                <w:bCs/>
                <w:color w:val="000000"/>
                <w:sz w:val="21"/>
                <w:szCs w:val="21"/>
              </w:rPr>
            </w:pPr>
            <w:r>
              <w:rPr>
                <w:rFonts w:hint="eastAsia" w:cs="宋体"/>
                <w:bCs/>
                <w:color w:val="000000"/>
                <w:sz w:val="21"/>
                <w:szCs w:val="21"/>
              </w:rPr>
              <w:t xml:space="preserve">12.个性化对接展示服务</w:t>
            </w:r>
            <w:r/>
          </w:p>
        </w:tc>
        <w:tc>
          <w:tcPr>
            <w:tcBorders>
              <w:top w:val="single" w:color="000000" w:sz="4" w:space="0"/>
              <w:left w:val="none" w:color="000000" w:sz="4" w:space="0"/>
              <w:bottom w:val="single" w:color="000000" w:sz="4" w:space="0"/>
              <w:right w:val="single" w:color="000000" w:sz="4" w:space="0"/>
            </w:tcBorders>
            <w:tcW w:w="6480" w:type="dxa"/>
            <w:vAlign w:val="center"/>
            <w:textDirection w:val="lrTb"/>
            <w:noWrap w:val="false"/>
          </w:tcPr>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服务器、交换机、虚拟机、存储等设备检测结果展示服务；数据库、中间件检测等SNMP探测结果按照甲方要求制作网页个性化展示服务。</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雪亮工程接入云对接维护服务及驻场服务1人；百度平台维护</w:t>
      </w:r>
      <w:r>
        <w:rPr>
          <w:rFonts w:ascii="宋体" w:hAnsi="宋体" w:eastAsia="宋体"/>
          <w:color w:val="000000"/>
          <w:sz w:val="21"/>
          <w:szCs w:val="21"/>
        </w:rPr>
      </w:r>
      <w:r/>
    </w:p>
    <w:p>
      <w:pPr>
        <w:pStyle w:val="928"/>
        <w:contextualSpacing/>
        <w:ind w:firstLine="420"/>
        <w:spacing w:line="360" w:lineRule="auto"/>
        <w:rPr>
          <w:rFonts w:cs="宋体"/>
          <w:bCs/>
          <w:color w:val="000000"/>
          <w:sz w:val="21"/>
          <w:szCs w:val="21"/>
        </w:rPr>
      </w:pPr>
      <w:r>
        <w:rPr>
          <w:rFonts w:hint="eastAsia" w:cs="宋体"/>
          <w:bCs/>
          <w:color w:val="000000"/>
          <w:sz w:val="21"/>
          <w:szCs w:val="21"/>
        </w:rPr>
        <w:t xml:space="preserve">2.4.1接入服务</w:t>
      </w:r>
      <w:r>
        <w:rPr>
          <w:rFonts w:cs="宋体"/>
          <w:bCs/>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通过级联数据库和直连感知前端设备等方式实现感知数据在甲方接入云感知数据资源库的汇聚接入</w:t>
      </w:r>
      <w:r>
        <w:rPr>
          <w:rFonts w:hint="eastAsia" w:cs="宋体"/>
          <w:bCs/>
          <w:color w:val="000000"/>
          <w:sz w:val="21"/>
          <w:szCs w:val="21"/>
        </w:rPr>
        <w:t xml:space="preserve">（</w:t>
      </w:r>
      <w:r>
        <w:rPr>
          <w:rFonts w:hint="eastAsia" w:cs="宋体"/>
          <w:bCs/>
          <w:color w:val="000000"/>
          <w:sz w:val="21"/>
          <w:szCs w:val="21"/>
        </w:rPr>
        <w:t xml:space="preserve">利用</w:t>
      </w:r>
      <w:r>
        <w:rPr>
          <w:rFonts w:hint="eastAsia" w:cs="宋体"/>
          <w:bCs/>
          <w:color w:val="000000"/>
          <w:sz w:val="21"/>
          <w:szCs w:val="21"/>
        </w:rPr>
        <w:t xml:space="preserve">原网络</w:t>
      </w:r>
      <w:r>
        <w:rPr>
          <w:rFonts w:hint="eastAsia" w:cs="宋体"/>
          <w:bCs/>
          <w:color w:val="000000"/>
          <w:sz w:val="21"/>
          <w:szCs w:val="21"/>
        </w:rPr>
        <w:t xml:space="preserve">，</w:t>
      </w:r>
      <w:r>
        <w:rPr>
          <w:rFonts w:hint="eastAsia" w:cs="宋体"/>
          <w:bCs/>
          <w:color w:val="000000"/>
          <w:sz w:val="21"/>
          <w:szCs w:val="21"/>
        </w:rPr>
        <w:t xml:space="preserve">不涉及</w:t>
      </w:r>
      <w:r>
        <w:rPr>
          <w:rFonts w:hint="eastAsia" w:cs="宋体"/>
          <w:bCs/>
          <w:color w:val="000000"/>
          <w:sz w:val="21"/>
          <w:szCs w:val="21"/>
        </w:rPr>
        <w:t xml:space="preserve">新</w:t>
      </w:r>
      <w:r>
        <w:rPr>
          <w:rFonts w:hint="eastAsia" w:cs="宋体"/>
          <w:bCs/>
          <w:color w:val="000000"/>
          <w:sz w:val="21"/>
          <w:szCs w:val="21"/>
        </w:rPr>
        <w:t xml:space="preserve">的</w:t>
      </w:r>
      <w:r>
        <w:rPr>
          <w:rFonts w:hint="eastAsia" w:cs="宋体"/>
          <w:bCs/>
          <w:color w:val="000000"/>
          <w:sz w:val="21"/>
          <w:szCs w:val="21"/>
        </w:rPr>
        <w:t xml:space="preserve">网络</w:t>
      </w:r>
      <w:r>
        <w:rPr>
          <w:rFonts w:hint="eastAsia" w:cs="宋体"/>
          <w:bCs/>
          <w:color w:val="000000"/>
          <w:sz w:val="21"/>
          <w:szCs w:val="21"/>
        </w:rPr>
        <w:t xml:space="preserve">接入</w:t>
      </w:r>
      <w:r>
        <w:rPr>
          <w:rFonts w:hint="eastAsia" w:cs="宋体"/>
          <w:bCs/>
          <w:color w:val="000000"/>
          <w:sz w:val="21"/>
          <w:szCs w:val="21"/>
        </w:rPr>
        <w:t xml:space="preserve">）</w:t>
      </w:r>
      <w:r>
        <w:rPr>
          <w:rFonts w:hint="eastAsia" w:cs="宋体"/>
          <w:bCs/>
          <w:color w:val="000000"/>
          <w:sz w:val="21"/>
          <w:szCs w:val="21"/>
        </w:rPr>
        <w:t xml:space="preserve">，对接入数据的稳定、及时、规范进行运维监控，每日梳理问题点位清单（接入延时、倒挂设备、无数据活跃设备），通知并配合相关厂商排查并解决问题。</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2.4.2转发服务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甲方接入云感知数据按照甲方要求转发至苏州市局、本地公安网、本地视频网等相关平台（非1400标准协议对接需另行协商），确保转发数据的稳定、及时、规范，每日梳理问题点位清单（接入延时、倒挂设备、无数据活跃设备），通知并配合相关厂商排查并解决问题。</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2.</w:t>
      </w:r>
      <w:r>
        <w:rPr>
          <w:rFonts w:hint="eastAsia" w:cs="宋体"/>
          <w:bCs/>
          <w:color w:val="000000"/>
          <w:sz w:val="21"/>
          <w:szCs w:val="21"/>
        </w:rPr>
        <w:t xml:space="preserve">4.3基础接口服务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对接入的各类数据提供接口服务（非1400标准协议对接需另行协商），满足公安机关各项应用及运维业务的需求。</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2.4.4驻场服务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安排不少于一名专业维护人员，对整个接入云项目进行管理和维护服务；现场驻场服务与公安机关工作日一致，午饭自理，按照甲方要求开展工作，确保接入云软、硬件设备的稳定可靠，确保接入和转发数据的一致性。</w:t>
      </w:r>
      <w:r>
        <w:rPr>
          <w:rFonts w:hint="eastAsia" w:cs="宋体"/>
          <w:bCs/>
          <w:color w:val="000000"/>
          <w:sz w:val="21"/>
          <w:szCs w:val="21"/>
        </w:rPr>
        <w:t xml:space="preserve">提供每周7天、每天 24 小时的应急响应服务，驻场维护人员在接到报修后15分钟内电话响应，保证系统在4小时内恢复正常运行；如采用替代方式解决问题，故障软硬件必须在24小时内修复，期间如不能修复，必须提供应急预案，保证系统的正常运行。</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针对太仓市各类感知前端和感知平台，提供接口定制开发服务，分为平台、前端设备等各类相应软硬件接口定制服务，分别满足公安部、江苏省公安厅、苏州市公安局、太仓市公安局在感知数据对接应用上的各种实战需求。</w:t>
      </w:r>
      <w:r/>
    </w:p>
    <w:p>
      <w:pPr>
        <w:pStyle w:val="928"/>
        <w:contextualSpacing/>
        <w:ind w:firstLine="420"/>
        <w:spacing w:line="360" w:lineRule="auto"/>
        <w:rPr>
          <w:rFonts w:hint="eastAsia" w:cs="宋体"/>
          <w:b/>
          <w:color w:val="000000"/>
          <w:sz w:val="21"/>
          <w:szCs w:val="21"/>
        </w:rPr>
      </w:pPr>
      <w:r>
        <w:rPr>
          <w:rFonts w:hint="eastAsia" w:cs="宋体"/>
          <w:bCs/>
          <w:color w:val="000000"/>
          <w:sz w:val="21"/>
          <w:szCs w:val="21"/>
        </w:rPr>
        <w:t xml:space="preserve">太仓市公安局百度人像系统的运维管理，服务及支撑太仓市公安局人像感知数据接入云与苏州市局的对接服务，支撑太仓市公安局智能感知平台的聚类算法正常运行。提供7*24小时的应急保障服务。对于百度系统和设备产生的故障，1小时内到达现场或者通过符合安全要求的远程服务</w:t>
      </w:r>
      <w:r>
        <w:rPr>
          <w:rFonts w:hint="eastAsia" w:cs="宋体"/>
          <w:bCs/>
          <w:color w:val="000000"/>
          <w:sz w:val="21"/>
          <w:szCs w:val="21"/>
        </w:rPr>
        <w:t xml:space="preserve">于8小时内解决故障；如短时间内无法解决故障的，应使用同等或更高标准的设备进行临时更换，以保障甲方正常工作的进行。</w:t>
      </w:r>
      <w:r>
        <w:rPr>
          <w:rFonts w:hint="eastAsia" w:cs="宋体"/>
          <w:b/>
          <w:color w:val="000000"/>
          <w:sz w:val="21"/>
          <w:szCs w:val="21"/>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太仓市联网视频联网共享平台、信息港社会面监控联网共享平台管理维护服务及驻场维护服务人员1人</w:t>
      </w:r>
      <w:r>
        <w:rPr>
          <w:rFonts w:ascii="宋体" w:hAnsi="宋体" w:eastAsia="宋体"/>
          <w:color w:val="000000"/>
          <w:sz w:val="21"/>
          <w:szCs w:val="21"/>
        </w:rPr>
      </w:r>
      <w:r/>
    </w:p>
    <w:p>
      <w:pPr>
        <w:pStyle w:val="928"/>
        <w:ind w:firstLine="420"/>
        <w:spacing w:line="360" w:lineRule="auto"/>
        <w:rPr>
          <w:rFonts w:hint="eastAsia"/>
          <w:color w:val="000000"/>
          <w:sz w:val="21"/>
          <w:szCs w:val="21"/>
        </w:rPr>
      </w:pPr>
      <w:r>
        <w:rPr>
          <w:rFonts w:hint="eastAsia"/>
          <w:color w:val="000000"/>
          <w:sz w:val="21"/>
          <w:szCs w:val="21"/>
        </w:rPr>
        <w:t xml:space="preserve">负责太仓市级监控联网共享平台和太仓市公安局部署在信息港机房的社会面监控联</w:t>
      </w:r>
      <w:r>
        <w:rPr>
          <w:rFonts w:hint="eastAsia"/>
          <w:color w:val="000000"/>
          <w:sz w:val="21"/>
          <w:szCs w:val="21"/>
        </w:rPr>
        <w:t xml:space="preserve">网共享平台的维护（含点位接入授权服务不少于5万路），安排一名驻场维护服务人员，主要负责协调综指中心、太仓市公安局、各乡镇（联动中心、小区）对接各类视频监控，进行平台管理维护、做好驻场维护服务以及现场解决方案和现场协调（配合对二类、三类监控、一机一档数据采集建档，做好OSD标注及命名规范）和相关文案报表工作。工作地点在太仓市公安局，工作时间参照太仓市公安局的工作时间，午餐自理，必要时需要根据驻场单位工作情况酌情加班。</w:t>
      </w:r>
      <w:r/>
    </w:p>
    <w:p>
      <w:pPr>
        <w:pStyle w:val="930"/>
        <w:numPr>
          <w:ilvl w:val="1"/>
          <w:numId w:val="45"/>
        </w:numPr>
        <w:spacing w:before="0" w:after="0" w:line="360" w:lineRule="auto"/>
        <w:tabs>
          <w:tab w:val="left" w:pos="567" w:leader="none"/>
          <w:tab w:val="left" w:pos="576" w:leader="none"/>
        </w:tabs>
        <w:rPr>
          <w:rFonts w:hint="eastAsia" w:ascii="宋体" w:hAnsi="宋体" w:eastAsia="宋体"/>
          <w:color w:val="000000"/>
          <w:sz w:val="21"/>
          <w:szCs w:val="21"/>
        </w:rPr>
      </w:pPr>
      <w:r>
        <w:rPr>
          <w:rFonts w:hint="eastAsia" w:ascii="宋体" w:hAnsi="宋体" w:eastAsia="宋体"/>
          <w:color w:val="000000"/>
          <w:sz w:val="21"/>
          <w:szCs w:val="21"/>
        </w:rPr>
        <w:t xml:space="preserve">市局主页维护及部分更新服务</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太仓市公安局主页系统的基础运维管理，主页个性化模板定制服</w:t>
      </w:r>
      <w:r>
        <w:rPr>
          <w:rFonts w:hint="eastAsia"/>
          <w:color w:val="000000"/>
          <w:sz w:val="21"/>
          <w:szCs w:val="21"/>
        </w:rPr>
        <w:t xml:space="preserve">务，7*24小时的应急保障服务。</w:t>
      </w:r>
      <w:r/>
    </w:p>
    <w:p>
      <w:pPr>
        <w:pStyle w:val="1490"/>
        <w:ind w:firstLine="422"/>
        <w:spacing w:before="0" w:beforeAutospacing="0" w:after="0" w:afterAutospacing="0" w:line="360" w:lineRule="auto"/>
        <w:rPr>
          <w:rFonts w:hint="eastAsia"/>
          <w:b/>
          <w:bCs/>
          <w:color w:val="000000"/>
          <w:sz w:val="21"/>
          <w:szCs w:val="21"/>
        </w:rPr>
      </w:pPr>
      <w:r>
        <w:rPr>
          <w:rFonts w:hint="eastAsia"/>
          <w:b/>
          <w:bCs/>
          <w:color w:val="000000"/>
          <w:sz w:val="21"/>
          <w:szCs w:val="21"/>
        </w:rPr>
        <w:t xml:space="preserve">具体维护服务：</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1.乙方培训和指导甲方系统管理员对系统相关故障的诊断，制定维护计划，提供相关故障的处理方案，协调并解决系统运行过程中的各类问题。</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2.乙方指导甲方做好数据的备份，数据库备份和数据库异机备份由甲</w:t>
      </w:r>
      <w:r>
        <w:rPr>
          <w:rFonts w:hint="eastAsia"/>
          <w:color w:val="000000"/>
          <w:sz w:val="21"/>
          <w:szCs w:val="21"/>
        </w:rPr>
        <w:t xml:space="preserve">方或甲方委托第三方公司负责；</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3.乙方的服务方式主要为：电话服务、QQ或微信的线上服务；在通过上述服务无法解决问题时，可提供现场服务；在甲方遇到紧急情况时，乙方技术人员须2小时内到达现场。</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4.根据甲方要求，乙方提供对系统管理员的培训、使用人员的操作培训。</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5.乙方及时提供软件的补丁升级，补丁升级包括对甲方已有的软件性能的提升、缺陷的修正，补丁升级的工作量不计入业务系统功能调整的工作量中。</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6.乙方在节假日前需根据甲方要求提供主页节日元素设计，并及时维护更新。</w:t>
      </w:r>
      <w:r/>
    </w:p>
    <w:p>
      <w:pPr>
        <w:pStyle w:val="1490"/>
        <w:ind w:firstLine="422"/>
        <w:spacing w:before="0" w:beforeAutospacing="0" w:after="0" w:afterAutospacing="0" w:line="360" w:lineRule="auto"/>
        <w:rPr>
          <w:rFonts w:hint="eastAsia"/>
          <w:b/>
          <w:bCs/>
          <w:color w:val="000000"/>
          <w:sz w:val="21"/>
          <w:szCs w:val="21"/>
        </w:rPr>
      </w:pPr>
      <w:r>
        <w:rPr>
          <w:rFonts w:hint="eastAsia"/>
          <w:b/>
          <w:bCs/>
          <w:color w:val="000000"/>
          <w:sz w:val="21"/>
          <w:szCs w:val="21"/>
        </w:rPr>
        <w:t xml:space="preserve">具体更新服务：</w:t>
      </w:r>
      <w:r/>
    </w:p>
    <w:p>
      <w:pPr>
        <w:pStyle w:val="1490"/>
        <w:ind w:firstLine="422"/>
        <w:spacing w:before="0" w:beforeAutospacing="0" w:after="0" w:afterAutospacing="0" w:line="360" w:lineRule="auto"/>
        <w:rPr>
          <w:rFonts w:hint="eastAsia"/>
          <w:b/>
          <w:bCs/>
          <w:color w:val="000000"/>
          <w:sz w:val="21"/>
          <w:szCs w:val="21"/>
        </w:rPr>
      </w:pPr>
      <w:r>
        <w:rPr>
          <w:rFonts w:hint="eastAsia"/>
          <w:b/>
          <w:bCs/>
          <w:color w:val="000000"/>
          <w:sz w:val="21"/>
          <w:szCs w:val="21"/>
        </w:rPr>
        <w:t xml:space="preserve">1、苏州通知修改</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调整苏州通知的页面，使其页面风格与网站的当前风格一致。调整后，该页面将展示每一条信息的标题、时间、链接，用户点击标题可以跳转到苏州GA网内对应信息的详情页。</w:t>
      </w:r>
      <w:r/>
    </w:p>
    <w:p>
      <w:pPr>
        <w:pStyle w:val="1490"/>
        <w:ind w:firstLine="422"/>
        <w:spacing w:before="0" w:beforeAutospacing="0" w:after="0" w:afterAutospacing="0" w:line="360" w:lineRule="auto"/>
        <w:rPr>
          <w:rFonts w:hint="eastAsia"/>
          <w:b/>
          <w:bCs/>
          <w:color w:val="000000"/>
          <w:sz w:val="21"/>
          <w:szCs w:val="21"/>
        </w:rPr>
      </w:pPr>
      <w:r>
        <w:rPr>
          <w:rFonts w:hint="eastAsia"/>
          <w:b/>
          <w:bCs/>
          <w:color w:val="000000"/>
          <w:sz w:val="21"/>
          <w:szCs w:val="21"/>
        </w:rPr>
        <w:t xml:space="preserve">2、值班管理修改</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2.1后台管理</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提供值班管理的后台管理功能，系统管理员可以在后台管理页面手动添加值班详情。</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2.2页面展示</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提供值班管理的前台展示栏目，网站的用户点击值班管理可以查看值班详情。</w:t>
      </w:r>
      <w:r/>
    </w:p>
    <w:p>
      <w:pPr>
        <w:pStyle w:val="1490"/>
        <w:ind w:firstLine="422"/>
        <w:spacing w:before="0" w:beforeAutospacing="0" w:after="0" w:afterAutospacing="0" w:line="360" w:lineRule="auto"/>
        <w:rPr>
          <w:rFonts w:hint="eastAsia"/>
          <w:b/>
          <w:bCs/>
          <w:color w:val="000000"/>
          <w:sz w:val="21"/>
          <w:szCs w:val="21"/>
        </w:rPr>
      </w:pPr>
      <w:r>
        <w:rPr>
          <w:rFonts w:hint="eastAsia"/>
          <w:b/>
          <w:bCs/>
          <w:color w:val="000000"/>
          <w:sz w:val="21"/>
          <w:szCs w:val="21"/>
        </w:rPr>
        <w:t xml:space="preserve">3、通讯录修改</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通讯录管理人员可设置联系人的群组，将联系人进行分组，方便查找不同部门的用户信息，通讯录可供单位中的所有人员进行查看。</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3.1分组设置</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提供分组设置功能，打</w:t>
      </w:r>
      <w:r>
        <w:rPr>
          <w:rFonts w:hint="eastAsia"/>
          <w:color w:val="000000"/>
          <w:sz w:val="21"/>
          <w:szCs w:val="21"/>
        </w:rPr>
        <w:t xml:space="preserve">开分组管理按钮可添加分组，添加的分组在页面侧的列表中显示。</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3.2维护联系人</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支持对联系人进行新增、修改、删除功能。管理人员可以在分组列表中选择组别，可在该组别下添加、修改、删除联系人信息。</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3.3三级分组</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添加通讯录三级部门分组，添加的分组在页面列表显示。</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3.4访问权限控制</w:t>
      </w:r>
      <w:r/>
    </w:p>
    <w:p>
      <w:pPr>
        <w:pStyle w:val="1490"/>
        <w:ind w:firstLine="420"/>
        <w:spacing w:before="0" w:beforeAutospacing="0" w:after="0" w:afterAutospacing="0" w:line="360" w:lineRule="auto"/>
        <w:rPr>
          <w:rFonts w:hint="eastAsia" w:ascii="Calibri" w:hAnsi="Calibri"/>
          <w:color w:val="000000"/>
          <w:sz w:val="21"/>
          <w:szCs w:val="21"/>
        </w:rPr>
      </w:pPr>
      <w:r>
        <w:rPr>
          <w:rFonts w:hint="eastAsia"/>
          <w:color w:val="000000"/>
          <w:sz w:val="21"/>
          <w:szCs w:val="21"/>
        </w:rPr>
        <w:t xml:space="preserve">通讯录前台添加访问权限控制（仅太仓公安内部访问），后台添加通讯录修改日志功能，记录IP和修改操作。</w:t>
      </w:r>
      <w:r>
        <w:rPr>
          <w:rFonts w:hint="eastAsia" w:ascii="Calibri" w:hAnsi="Calibri"/>
          <w:color w:val="000000"/>
          <w:sz w:val="21"/>
          <w:szCs w:val="21"/>
        </w:rPr>
      </w:r>
      <w:r/>
    </w:p>
    <w:p>
      <w:pPr>
        <w:pStyle w:val="1490"/>
        <w:ind w:firstLine="422"/>
        <w:spacing w:before="0" w:beforeAutospacing="0" w:after="0" w:afterAutospacing="0" w:line="360" w:lineRule="auto"/>
        <w:rPr>
          <w:b/>
          <w:bCs/>
          <w:color w:val="000000"/>
          <w:sz w:val="21"/>
          <w:szCs w:val="21"/>
        </w:rPr>
      </w:pPr>
      <w:r>
        <w:rPr>
          <w:rFonts w:hint="eastAsia"/>
          <w:b/>
          <w:bCs/>
          <w:color w:val="000000"/>
          <w:sz w:val="21"/>
          <w:szCs w:val="21"/>
        </w:rPr>
        <w:t xml:space="preserve">4、主页网站证书登录</w:t>
      </w:r>
      <w:r>
        <w:rPr>
          <w:b/>
          <w:bCs/>
          <w:color w:val="000000"/>
          <w:sz w:val="21"/>
          <w:szCs w:val="21"/>
        </w:rPr>
      </w:r>
      <w:r/>
    </w:p>
    <w:p>
      <w:pPr>
        <w:pStyle w:val="1490"/>
        <w:ind w:firstLine="420"/>
        <w:spacing w:before="0" w:beforeAutospacing="0" w:after="0" w:afterAutospacing="0" w:line="360" w:lineRule="auto"/>
        <w:rPr>
          <w:rFonts w:hint="eastAsia" w:ascii="Calibri" w:hAnsi="Calibri"/>
          <w:color w:val="000000"/>
          <w:sz w:val="21"/>
          <w:szCs w:val="21"/>
        </w:rPr>
      </w:pPr>
      <w:r>
        <w:rPr>
          <w:rFonts w:hint="eastAsia"/>
          <w:color w:val="000000"/>
          <w:sz w:val="21"/>
          <w:szCs w:val="21"/>
        </w:rPr>
        <w:t xml:space="preserve">将主页网站后台登录改为证书登录，进一步提升主页网站管理安全性。</w:t>
      </w:r>
      <w:r>
        <w:rPr>
          <w:rFonts w:hint="eastAsia" w:ascii="Calibri" w:hAnsi="Calibri"/>
          <w:color w:val="000000"/>
          <w:sz w:val="21"/>
          <w:szCs w:val="21"/>
        </w:rPr>
      </w:r>
      <w:r/>
    </w:p>
    <w:p>
      <w:pPr>
        <w:pStyle w:val="1490"/>
        <w:ind w:firstLine="422"/>
        <w:spacing w:before="0" w:beforeAutospacing="0" w:after="0" w:afterAutospacing="0" w:line="360" w:lineRule="auto"/>
        <w:rPr>
          <w:b/>
          <w:bCs/>
          <w:color w:val="000000"/>
          <w:sz w:val="21"/>
          <w:szCs w:val="21"/>
        </w:rPr>
      </w:pPr>
      <w:r>
        <w:rPr>
          <w:rFonts w:hint="eastAsia"/>
          <w:b/>
          <w:bCs/>
          <w:color w:val="000000"/>
          <w:sz w:val="21"/>
          <w:szCs w:val="21"/>
        </w:rPr>
        <w:t xml:space="preserve">5、主页新增信息排名模块</w:t>
      </w:r>
      <w:r>
        <w:rPr>
          <w:b/>
          <w:bCs/>
          <w:color w:val="000000"/>
          <w:sz w:val="21"/>
          <w:szCs w:val="21"/>
        </w:rPr>
      </w:r>
      <w:r/>
    </w:p>
    <w:p>
      <w:pPr>
        <w:pStyle w:val="1490"/>
        <w:ind w:firstLine="420"/>
        <w:spacing w:before="0" w:beforeAutospacing="0" w:after="0" w:afterAutospacing="0" w:line="360" w:lineRule="auto"/>
        <w:rPr>
          <w:color w:val="000000"/>
          <w:sz w:val="21"/>
          <w:szCs w:val="21"/>
        </w:rPr>
      </w:pPr>
      <w:r>
        <w:rPr>
          <w:rFonts w:hint="eastAsia"/>
          <w:color w:val="000000"/>
          <w:sz w:val="21"/>
          <w:szCs w:val="21"/>
        </w:rPr>
        <w:t xml:space="preserve">新增信息排名模块，展示各部门信息排名情况。</w:t>
      </w:r>
      <w:r>
        <w:rPr>
          <w:color w:val="000000"/>
          <w:sz w:val="21"/>
          <w:szCs w:val="21"/>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监控联网平台（海康）授权服务及安排驻场维护服务人员1人</w:t>
      </w:r>
      <w:r>
        <w:rPr>
          <w:rFonts w:ascii="宋体" w:hAnsi="宋体" w:eastAsia="宋体"/>
          <w:color w:val="000000"/>
          <w:sz w:val="21"/>
          <w:szCs w:val="21"/>
        </w:rPr>
      </w:r>
      <w:r/>
    </w:p>
    <w:p>
      <w:pPr>
        <w:pStyle w:val="928"/>
        <w:ind w:firstLine="420"/>
        <w:spacing w:line="360" w:lineRule="auto"/>
        <w:rPr>
          <w:rFonts w:hint="eastAsia"/>
          <w:color w:val="000000"/>
          <w:sz w:val="21"/>
          <w:szCs w:val="21"/>
        </w:rPr>
      </w:pPr>
      <w:r>
        <w:rPr>
          <w:rFonts w:hint="eastAsia"/>
          <w:color w:val="000000"/>
          <w:sz w:val="21"/>
          <w:szCs w:val="21"/>
        </w:rPr>
        <w:t xml:space="preserve">负责太仓市公安局视频感知网海康监控平台（PVIA平台）软硬件的使用服务及基础运维服务，含点位接入授权服务，以实际使用量为准（不大于10万路），安排一名驻场维护服务人员，主要负责对接调试各类视频监控相关设备、平台管理维护保障、网关管理维护保障、点位推送服务、安保值守、现场解决方案和现场协调等。日常需做好系统巡检、日志管理、运</w:t>
      </w:r>
      <w:r>
        <w:rPr>
          <w:rFonts w:hint="eastAsia"/>
          <w:color w:val="000000"/>
          <w:sz w:val="21"/>
          <w:szCs w:val="21"/>
        </w:rPr>
        <w:t xml:space="preserve">维管理、建档管理、配置管理等。保障好监控平台与太仓市级监控联网共享平台、苏州市公安局、太仓市公安局公安网科达</w:t>
      </w:r>
      <w:r>
        <w:rPr>
          <w:rFonts w:hint="eastAsia"/>
          <w:color w:val="000000"/>
          <w:sz w:val="21"/>
          <w:szCs w:val="21"/>
        </w:rPr>
        <w:t xml:space="preserve">平台、太仓市公安局雪亮工程平台等各平台的实时对接、推送等。保障好平台关联所有云存储系统、CVR中心存储、NVR等设备与平台对接运行稳定。工作地点在太仓市公安局，工作时间参照太仓市公安局的工作时间，午餐自理，必要时需要根据驻场单位工作情况酌情加班。重大安保任务需随叫随到，应急保障时间为7*24小时。（技术指标见3.3监控平台服务技术指标）</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网络安全服务（渗透测试、安全咨询培训、灾难恢复演练）</w:t>
      </w:r>
      <w:r>
        <w:rPr>
          <w:rFonts w:ascii="宋体" w:hAnsi="宋体" w:eastAsia="宋体"/>
          <w:color w:val="000000"/>
          <w:sz w:val="21"/>
          <w:szCs w:val="21"/>
        </w:rPr>
      </w:r>
      <w:r/>
    </w:p>
    <w:p>
      <w:pPr>
        <w:pStyle w:val="928"/>
        <w:ind w:firstLine="420"/>
        <w:spacing w:line="360" w:lineRule="auto"/>
        <w:rPr>
          <w:rFonts w:hint="eastAsia"/>
          <w:color w:val="000000"/>
          <w:sz w:val="21"/>
          <w:szCs w:val="21"/>
        </w:rPr>
      </w:pPr>
      <w:r>
        <w:rPr>
          <w:rFonts w:hint="eastAsia"/>
          <w:color w:val="000000"/>
          <w:sz w:val="21"/>
          <w:szCs w:val="21"/>
        </w:rPr>
        <w:t xml:space="preserve">1、对市局现有安全管理体系和技术防护体系工作进行合规性检查，并提出整改方案，完善安全管理体系（制度、人员、系统、运维）</w:t>
      </w:r>
      <w:r/>
    </w:p>
    <w:p>
      <w:pPr>
        <w:pStyle w:val="928"/>
        <w:ind w:firstLine="420"/>
        <w:spacing w:line="360" w:lineRule="auto"/>
        <w:rPr>
          <w:rFonts w:hint="eastAsia"/>
          <w:color w:val="000000"/>
          <w:sz w:val="21"/>
          <w:szCs w:val="21"/>
        </w:rPr>
      </w:pPr>
      <w:r>
        <w:rPr>
          <w:rFonts w:hint="eastAsia"/>
          <w:color w:val="000000"/>
          <w:sz w:val="21"/>
          <w:szCs w:val="21"/>
        </w:rPr>
        <w:t xml:space="preserve">2、提供渗透测试服务（模拟恶意攻击；发现网络、系统、主机、应用的安全漏洞）</w:t>
      </w:r>
      <w:r/>
    </w:p>
    <w:p>
      <w:pPr>
        <w:pStyle w:val="928"/>
        <w:ind w:firstLine="420"/>
        <w:spacing w:line="360" w:lineRule="auto"/>
        <w:rPr>
          <w:rFonts w:hint="eastAsia"/>
          <w:color w:val="000000"/>
          <w:sz w:val="21"/>
          <w:szCs w:val="21"/>
        </w:rPr>
      </w:pPr>
      <w:r>
        <w:rPr>
          <w:rFonts w:hint="eastAsia"/>
          <w:color w:val="000000"/>
          <w:sz w:val="21"/>
          <w:szCs w:val="21"/>
        </w:rPr>
        <w:t xml:space="preserve">3、提供灾难恢复演练（数据恢复演练、硬件故障演练、网络攻击防御演练）</w:t>
      </w:r>
      <w:r/>
    </w:p>
    <w:p>
      <w:pPr>
        <w:pStyle w:val="928"/>
        <w:ind w:firstLine="420"/>
        <w:spacing w:line="360" w:lineRule="auto"/>
        <w:rPr>
          <w:rFonts w:hint="eastAsia"/>
          <w:color w:val="000000"/>
          <w:sz w:val="21"/>
          <w:szCs w:val="21"/>
        </w:rPr>
      </w:pPr>
      <w:r>
        <w:rPr>
          <w:rFonts w:hint="eastAsia"/>
          <w:color w:val="000000"/>
          <w:sz w:val="21"/>
          <w:szCs w:val="21"/>
        </w:rPr>
        <w:t xml:space="preserve">4、提供应急安全响应服务（针对特殊性、紧急性的重大安全问题，提供紧急响应服务，12小时内落实技术人员现场排除隐患，抵御清除安全隐患）</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太仓旅馆民宿新装系统维护</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对全市48家旅馆民宿新装旅馆业治安管理信息系统，做好接入维护服务，确保正常登记及数据正常对接传输。维护保障期限为一年，做到7*24小时响应。</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太仓在册旅馆民宿治安管理信息系统维护</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对太仓全市在册325家旅</w:t>
      </w:r>
      <w:r>
        <w:rPr>
          <w:rFonts w:hint="eastAsia" w:cs="宋体"/>
          <w:bCs/>
          <w:color w:val="000000"/>
          <w:sz w:val="21"/>
          <w:szCs w:val="21"/>
        </w:rPr>
        <w:t xml:space="preserve">馆民宿治安管理信息系统的维护服务，维护保障时间为7*24小时。确保正常登记及数据正常对接传输。维护保障期限为一年，做到7*24小时响应。</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基础工作双网融合平台维护服务</w:t>
      </w:r>
      <w:r>
        <w:rPr>
          <w:rFonts w:ascii="宋体" w:hAnsi="宋体" w:eastAsia="宋体"/>
          <w:color w:val="000000"/>
          <w:sz w:val="21"/>
          <w:szCs w:val="21"/>
        </w:rPr>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1、人房基础采集模块与联动中心对接以及技术支持</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1.1房屋新增修改删除管理功能业务以及数据对接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1.2人口新增修改删除管理功能业务以及数据对接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1.3标准地址相关业务以及数据对接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1.4境外人员业务以及数据对接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1.5人员核查等业务以及数据对接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1.6房屋隐患功能业务以及数据对接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1.7系统用户业务以及数据对接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1.8系统用户权限业务以及数据对接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1.9系统组织机构业务以及数据对接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1.10系统社区以及街路巷字典信息业务以及数据对接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1.11系统日志管理功能对接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1.12所有系统业务字典数据表以及数据对接</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2、系统日常运维处理</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2.1用户、部门、角色调整支持：因人事调动，公安民警或辅警需在平台中进行用户、部门和角色调整，工作日内甲</w:t>
      </w:r>
      <w:r>
        <w:rPr>
          <w:rFonts w:hint="eastAsia" w:cs="宋体"/>
          <w:color w:val="000000"/>
          <w:sz w:val="21"/>
          <w:szCs w:val="21"/>
        </w:rPr>
        <w:t xml:space="preserve">方提出调整申请后乙方安排人员48小时内完成调整</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2.2根据工作需要，对原平台内统计分析功能进行新增和完善</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2.3与基础平台数据对接的平台发生变化时，配合做好与相关平台数据对接工作</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2.4根据工作需要，做好社区民警考核模</w:t>
      </w:r>
      <w:r>
        <w:rPr>
          <w:rFonts w:hint="eastAsia" w:cs="宋体"/>
          <w:color w:val="000000"/>
          <w:sz w:val="21"/>
          <w:szCs w:val="21"/>
        </w:rPr>
        <w:t xml:space="preserve">块考核内容调整工作</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2.5 BUG完善：系统存在BUG，甲方提出问题申请后乙方安排人员48小时内改进</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2.6每周保障：乙方每周安排人员对系统进行一次例行检查，保障系统的稳定性</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2.7紧急保障：当系统出现病毒感染、硬盘故障等导致瘫痪现象，接收到甲方申请后，乙方承诺48小时内解决</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民警健康档案系统运行维护</w:t>
      </w:r>
      <w:r>
        <w:rPr>
          <w:rFonts w:ascii="宋体" w:hAnsi="宋体" w:eastAsia="宋体"/>
          <w:color w:val="000000"/>
          <w:sz w:val="21"/>
          <w:szCs w:val="21"/>
        </w:rPr>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民警健康档案系统运行保障维护，主要包括：</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1.收集民警或其他工作人员历年体检数据，整理后导入系统中，并对各项体检数据进行纵向和横向的分析。提供各项分析结果报表，如实检率、人员健康率、疾病统计率、病症统计结果等。</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2.系统中有预约挂号功能，各民警或其他工作人员可根据自身需求完成预约工作，医生根据预约信息进行诊疗服务。</w:t>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3.基础资料的维护，系统中民警或其他工作人员的用户资料都有统一的管理且能定期更新。对于用户的权限，部门也能因为工作变更进行更新。</w:t>
      </w:r>
      <w:r/>
    </w:p>
    <w:p>
      <w:pPr>
        <w:pStyle w:val="930"/>
        <w:numPr>
          <w:ilvl w:val="1"/>
          <w:numId w:val="45"/>
        </w:numPr>
        <w:spacing w:before="0" w:after="0" w:line="360" w:lineRule="auto"/>
        <w:tabs>
          <w:tab w:val="left" w:pos="567" w:leader="none"/>
          <w:tab w:val="left" w:pos="576" w:leader="none"/>
        </w:tabs>
        <w:rPr>
          <w:rFonts w:hint="eastAsia" w:ascii="宋体" w:hAnsi="宋体" w:eastAsia="宋体"/>
          <w:color w:val="000000"/>
          <w:sz w:val="21"/>
          <w:szCs w:val="21"/>
        </w:rPr>
      </w:pPr>
      <w:r>
        <w:rPr>
          <w:rFonts w:hint="eastAsia" w:ascii="宋体" w:hAnsi="宋体" w:eastAsia="宋体" w:cs="宋体"/>
          <w:color w:val="000000"/>
          <w:sz w:val="21"/>
          <w:szCs w:val="21"/>
        </w:rPr>
        <w:t xml:space="preserve">太仓</w:t>
      </w:r>
      <w:r>
        <w:rPr>
          <w:rFonts w:hint="eastAsia" w:ascii="宋体" w:hAnsi="宋体" w:eastAsia="宋体" w:cs="宋体"/>
          <w:color w:val="000000"/>
          <w:sz w:val="21"/>
          <w:szCs w:val="21"/>
        </w:rPr>
        <w:t xml:space="preserve">合成作战平台合成维稳子系统运维</w:t>
      </w:r>
      <w:r>
        <w:rPr>
          <w:rFonts w:hint="eastAsia" w:ascii="宋体" w:hAnsi="宋体" w:eastAsia="宋体"/>
          <w:color w:val="000000"/>
          <w:sz w:val="21"/>
          <w:szCs w:val="21"/>
        </w:rPr>
      </w:r>
      <w:r/>
    </w:p>
    <w:p>
      <w:pPr>
        <w:pStyle w:val="928"/>
        <w:contextualSpacing/>
        <w:ind w:firstLine="420"/>
        <w:spacing w:line="360" w:lineRule="auto"/>
        <w:rPr>
          <w:rFonts w:hint="eastAsia" w:cs="宋体"/>
          <w:color w:val="000000"/>
          <w:sz w:val="21"/>
          <w:szCs w:val="21"/>
        </w:rPr>
      </w:pPr>
      <w:r>
        <w:rPr>
          <w:rFonts w:hint="eastAsia" w:cs="宋体"/>
          <w:color w:val="000000"/>
          <w:sz w:val="21"/>
          <w:szCs w:val="21"/>
        </w:rPr>
        <w:t xml:space="preserve">平台主要包括统一用户身份认证、刑侦合成侦查子系统，治安合成维稳子系统、经侦合成侦查子系统、巡逻盘查移动应用、禁毒子系统、合成维稳APP，合成作战平台、业务系统对接、信访维稳对接等。</w:t>
      </w:r>
      <w:r/>
    </w:p>
    <w:tbl>
      <w:tblPr>
        <w:tblW w:w="0" w:type="auto"/>
        <w:jc w:val="center"/>
        <w:tblInd w:w="0" w:type="dxa"/>
        <w:tblLayout w:type="fixed"/>
        <w:tblCellMar>
          <w:left w:w="15" w:type="dxa"/>
          <w:top w:w="15" w:type="dxa"/>
          <w:right w:w="15" w:type="dxa"/>
          <w:bottom w:w="15" w:type="dxa"/>
        </w:tblCellMar>
        <w:tblLook w:val="04A0" w:firstRow="1" w:lastRow="0" w:firstColumn="1" w:lastColumn="0" w:noHBand="0" w:noVBand="1"/>
      </w:tblPr>
      <w:tblGrid>
        <w:gridCol w:w="3262"/>
        <w:gridCol w:w="4620"/>
      </w:tblGrid>
      <w:tr>
        <w:trPr>
          <w:cantSplit/>
          <w:trHeight w:val="345"/>
        </w:trPr>
        <w:tc>
          <w:tcPr>
            <w:shd w:val="clear" w:color="auto" w:fill="c0c0c0"/>
            <w:tcBorders>
              <w:top w:val="single" w:color="000000" w:sz="4" w:space="0"/>
              <w:left w:val="single" w:color="000000" w:sz="4" w:space="0"/>
              <w:bottom w:val="single" w:color="000000" w:sz="4" w:space="0"/>
              <w:right w:val="single" w:color="000000" w:sz="4" w:space="0"/>
            </w:tcBorders>
            <w:tcW w:w="3262" w:type="dxa"/>
            <w:vAlign w:val="center"/>
            <w:vMerge w:val="restart"/>
            <w:textDirection w:val="lrTb"/>
            <w:noWrap w:val="false"/>
          </w:tcPr>
          <w:p>
            <w:pPr>
              <w:pStyle w:val="967"/>
              <w:ind w:firstLine="0"/>
              <w:jc w:val="center"/>
              <w:spacing w:line="360" w:lineRule="auto"/>
              <w:rPr>
                <w:rFonts w:hint="eastAsia" w:ascii="Times New Roman" w:hAnsi="Times New Roman"/>
                <w:b/>
                <w:bCs/>
                <w:color w:val="000000"/>
                <w:sz w:val="20"/>
                <w:szCs w:val="20"/>
              </w:rPr>
            </w:pPr>
            <w:r>
              <w:rPr>
                <w:rFonts w:hint="eastAsia"/>
                <w:b/>
                <w:bCs/>
                <w:color w:val="000000"/>
                <w:sz w:val="20"/>
                <w:szCs w:val="20"/>
              </w:rPr>
              <w:t xml:space="preserve">一级功能模块</w:t>
            </w:r>
            <w:r>
              <w:rPr>
                <w:rFonts w:hint="eastAsia" w:ascii="Times New Roman" w:hAnsi="Times New Roman"/>
                <w:b/>
                <w:bCs/>
                <w:color w:val="000000"/>
                <w:sz w:val="20"/>
                <w:szCs w:val="20"/>
              </w:rPr>
            </w:r>
            <w:r/>
          </w:p>
        </w:tc>
        <w:tc>
          <w:tcPr>
            <w:shd w:val="clear" w:color="auto" w:fill="c0c0c0"/>
            <w:tcBorders>
              <w:top w:val="single" w:color="000000" w:sz="4" w:space="0"/>
              <w:left w:val="none" w:color="000000" w:sz="4" w:space="0"/>
              <w:bottom w:val="single" w:color="000000" w:sz="4" w:space="0"/>
              <w:right w:val="single" w:color="000000" w:sz="4" w:space="0"/>
            </w:tcBorders>
            <w:tcW w:w="4620" w:type="dxa"/>
            <w:vAlign w:val="center"/>
            <w:vMerge w:val="restart"/>
            <w:textDirection w:val="lrTb"/>
            <w:noWrap w:val="false"/>
          </w:tcPr>
          <w:p>
            <w:pPr>
              <w:pStyle w:val="967"/>
              <w:ind w:firstLine="0"/>
              <w:jc w:val="center"/>
              <w:spacing w:line="360" w:lineRule="auto"/>
              <w:rPr>
                <w:b/>
                <w:bCs/>
                <w:color w:val="000000"/>
                <w:sz w:val="20"/>
                <w:szCs w:val="20"/>
              </w:rPr>
            </w:pPr>
            <w:r>
              <w:rPr>
                <w:rFonts w:hint="eastAsia"/>
                <w:b/>
                <w:bCs/>
                <w:color w:val="000000"/>
                <w:sz w:val="20"/>
                <w:szCs w:val="20"/>
              </w:rPr>
              <w:t xml:space="preserve">二级功能模块</w:t>
            </w:r>
            <w:r>
              <w:rPr>
                <w:b/>
                <w:bCs/>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系统名称修改以及功</w:t>
            </w:r>
            <w:r>
              <w:rPr>
                <w:rFonts w:hint="eastAsia"/>
                <w:color w:val="000000"/>
                <w:sz w:val="20"/>
                <w:szCs w:val="20"/>
              </w:rPr>
              <w:t xml:space="preserve">能菜单调整</w:t>
            </w: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系统名称修改以及功能菜单调整</w:t>
            </w:r>
            <w:r>
              <w:rPr>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事件管理优化</w:t>
            </w: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事件管理界面优化</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重点群体库</w:t>
            </w: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一级重点事件群体库管理</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二级事件重点事件群体库关联</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二级事件重点事件群体库查询</w:t>
            </w:r>
            <w:r>
              <w:rPr>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人员库</w:t>
            </w: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人员库管理</w:t>
            </w:r>
            <w:r>
              <w:rPr>
                <w:color w:val="000000"/>
                <w:sz w:val="20"/>
                <w:szCs w:val="20"/>
              </w:rPr>
            </w:r>
            <w:r/>
          </w:p>
        </w:tc>
      </w:tr>
      <w:tr>
        <w:trPr>
          <w:cantSplit/>
          <w:trHeight w:val="340"/>
        </w:trPr>
        <w:tc>
          <w:tcPr>
            <w:tcBorders>
              <w:top w:val="none" w:color="000000" w:sz="4" w:space="0"/>
              <w:left w:val="single" w:color="000000" w:sz="4" w:space="0"/>
              <w:bottom w:val="none" w:color="000000" w:sz="4" w:space="0"/>
              <w:right w:val="single" w:color="000000" w:sz="4" w:space="0"/>
            </w:tcBorders>
            <w:tcW w:w="3262"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人员布控</w:t>
            </w: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人员人像数据完善</w:t>
            </w:r>
            <w:r>
              <w:rPr>
                <w:color w:val="000000"/>
                <w:sz w:val="20"/>
                <w:szCs w:val="20"/>
              </w:rPr>
            </w:r>
            <w:r/>
          </w:p>
        </w:tc>
      </w:tr>
      <w:tr>
        <w:trPr>
          <w:cantSplit/>
          <w:trHeight w:val="389"/>
        </w:trPr>
        <w:tc>
          <w:tcPr>
            <w:tcBorders>
              <w:top w:val="none" w:color="000000" w:sz="4" w:space="0"/>
              <w:left w:val="single" w:color="000000" w:sz="4" w:space="0"/>
              <w:bottom w:val="non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620"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人员布控</w:t>
            </w:r>
            <w:r>
              <w:rPr>
                <w:color w:val="000000"/>
                <w:sz w:val="20"/>
                <w:szCs w:val="20"/>
              </w:rPr>
            </w:r>
            <w:r/>
          </w:p>
        </w:tc>
      </w:tr>
      <w:tr>
        <w:trPr>
          <w:cantSplit/>
          <w:trHeight w:val="389"/>
        </w:trPr>
        <w:tc>
          <w:tcPr>
            <w:tcBorders>
              <w:top w:val="none" w:color="000000" w:sz="4" w:space="0"/>
              <w:left w:val="single" w:color="000000" w:sz="4" w:space="0"/>
              <w:bottom w:val="non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620"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已布控人员</w:t>
            </w:r>
            <w:r>
              <w:rPr>
                <w:color w:val="000000"/>
                <w:sz w:val="20"/>
                <w:szCs w:val="20"/>
              </w:rPr>
            </w:r>
            <w:r/>
          </w:p>
        </w:tc>
      </w:tr>
      <w:tr>
        <w:trPr>
          <w:cantSplit/>
          <w:trHeight w:val="340"/>
        </w:trPr>
        <w:tc>
          <w:tcPr>
            <w:tcBorders>
              <w:top w:val="none" w:color="000000" w:sz="4" w:space="0"/>
              <w:left w:val="single" w:color="000000" w:sz="4" w:space="0"/>
              <w:bottom w:val="non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人员预警</w:t>
            </w:r>
            <w:r>
              <w:rPr>
                <w:color w:val="000000"/>
                <w:sz w:val="20"/>
                <w:szCs w:val="20"/>
              </w:rPr>
            </w:r>
            <w:r/>
          </w:p>
        </w:tc>
      </w:tr>
      <w:tr>
        <w:trPr>
          <w:cantSplit/>
          <w:trHeight w:val="389"/>
        </w:trPr>
        <w:tc>
          <w:tcPr>
            <w:tcBorders>
              <w:top w:val="single" w:color="000000" w:sz="4" w:space="0"/>
              <w:left w:val="single" w:color="000000" w:sz="4" w:space="0"/>
              <w:bottom w:val="single" w:color="000000" w:sz="4" w:space="0"/>
              <w:right w:val="single" w:color="000000" w:sz="4" w:space="0"/>
            </w:tcBorders>
            <w:tcW w:w="3262"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人员火车票布控</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620"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人员火车票布控</w:t>
            </w:r>
            <w:r>
              <w:rPr>
                <w:color w:val="000000"/>
                <w:sz w:val="20"/>
                <w:szCs w:val="20"/>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火车票布控人员</w:t>
            </w:r>
            <w:r>
              <w:rPr>
                <w:color w:val="000000"/>
                <w:sz w:val="20"/>
                <w:szCs w:val="20"/>
              </w:rPr>
            </w:r>
            <w:r/>
          </w:p>
        </w:tc>
      </w:tr>
      <w:tr>
        <w:trPr>
          <w:cantSplit/>
          <w:trHeight w:val="389"/>
        </w:trPr>
        <w:tc>
          <w:tcPr>
            <w:tcBorders>
              <w:top w:val="singl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620"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人员火车票预警</w:t>
            </w:r>
            <w:r>
              <w:rPr>
                <w:color w:val="000000"/>
                <w:sz w:val="20"/>
                <w:szCs w:val="20"/>
              </w:rPr>
            </w:r>
            <w:r/>
          </w:p>
        </w:tc>
      </w:tr>
      <w:tr>
        <w:trPr>
          <w:cantSplit/>
          <w:trHeight w:val="389"/>
        </w:trPr>
        <w:tc>
          <w:tcPr>
            <w:tcBorders>
              <w:top w:val="singl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620"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重点动车轨迹</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指令下发</w:t>
            </w: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指令下发反馈</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情报动态指令下发反馈填充</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功能优化改造</w:t>
            </w: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涉稳人员标签完善</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系统现有各类标签优化</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生成台账优化</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人员导出优化</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人员历次维权情况功能优化</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67"/>
              <w:ind w:firstLine="0"/>
              <w:jc w:val="center"/>
              <w:spacing w:line="360" w:lineRule="auto"/>
              <w:rPr>
                <w:color w:val="000000"/>
                <w:sz w:val="20"/>
                <w:szCs w:val="20"/>
              </w:rPr>
            </w:pP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人员相关情况优化</w:t>
            </w:r>
            <w:r>
              <w:rPr>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合成维稳首页可视化展示</w:t>
            </w: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合成维稳首页可视化展示</w:t>
            </w:r>
            <w:r>
              <w:rPr>
                <w:color w:val="000000"/>
                <w:sz w:val="20"/>
                <w:szCs w:val="20"/>
              </w:rPr>
            </w:r>
            <w:r/>
          </w:p>
        </w:tc>
      </w:tr>
      <w:tr>
        <w:trPr>
          <w:cantSplit/>
          <w:trHeight w:val="389"/>
        </w:trPr>
        <w:tc>
          <w:tcPr>
            <w:tcBorders>
              <w:top w:val="none" w:color="000000" w:sz="4" w:space="0"/>
              <w:left w:val="single" w:color="000000" w:sz="4" w:space="0"/>
              <w:bottom w:val="single" w:color="000000" w:sz="4" w:space="0"/>
              <w:right w:val="single" w:color="000000" w:sz="4" w:space="0"/>
            </w:tcBorders>
            <w:tcW w:w="3262"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人员汽车票布控</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620" w:type="dxa"/>
            <w:vAlign w:val="center"/>
            <w:vMerge w:val="restart"/>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人员汽车票布控</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28"/>
              <w:jc w:val="center"/>
              <w:spacing w:line="360" w:lineRule="auto"/>
              <w:widowControl/>
              <w:rPr>
                <w:rFonts w:cs="黑体"/>
                <w:color w:val="000000"/>
                <w:sz w:val="20"/>
                <w:szCs w:val="20"/>
              </w:rPr>
            </w:pPr>
            <w:r>
              <w:rPr>
                <w:rFonts w:cs="黑体"/>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汽车票布控人员</w:t>
            </w:r>
            <w:r>
              <w:rPr>
                <w:color w:val="000000"/>
                <w:sz w:val="20"/>
                <w:szCs w:val="20"/>
              </w:rPr>
            </w:r>
            <w:r/>
          </w:p>
        </w:tc>
      </w:tr>
      <w:tr>
        <w:trPr>
          <w:cantSplit/>
          <w:trHeight w:val="340"/>
        </w:trPr>
        <w:tc>
          <w:tcPr>
            <w:tcBorders>
              <w:top w:val="none" w:color="000000" w:sz="4" w:space="0"/>
              <w:left w:val="single" w:color="000000" w:sz="4" w:space="0"/>
              <w:bottom w:val="single" w:color="000000" w:sz="4" w:space="0"/>
              <w:right w:val="single" w:color="000000" w:sz="4" w:space="0"/>
            </w:tcBorders>
            <w:tcW w:w="3262" w:type="dxa"/>
            <w:vAlign w:val="center"/>
            <w:vMerge w:val="continue"/>
            <w:textDirection w:val="lrTb"/>
            <w:noWrap w:val="false"/>
          </w:tcPr>
          <w:p>
            <w:pPr>
              <w:pStyle w:val="928"/>
              <w:jc w:val="center"/>
              <w:spacing w:line="360" w:lineRule="auto"/>
              <w:widowControl/>
              <w:rPr>
                <w:rFonts w:cs="黑体"/>
                <w:color w:val="000000"/>
                <w:sz w:val="20"/>
                <w:szCs w:val="20"/>
              </w:rPr>
            </w:pPr>
            <w:r>
              <w:rPr>
                <w:rFonts w:cs="黑体"/>
                <w:color w:val="000000"/>
                <w:sz w:val="20"/>
                <w:szCs w:val="20"/>
              </w:rPr>
            </w:r>
            <w:r/>
          </w:p>
        </w:tc>
        <w:tc>
          <w:tcPr>
            <w:tcBorders>
              <w:top w:val="single" w:color="000000" w:sz="4" w:space="0"/>
              <w:left w:val="none" w:color="000000" w:sz="4" w:space="0"/>
              <w:bottom w:val="single" w:color="000000" w:sz="4" w:space="0"/>
              <w:right w:val="single" w:color="000000" w:sz="4" w:space="0"/>
            </w:tcBorders>
            <w:tcW w:w="4620" w:type="dxa"/>
            <w:vAlign w:val="center"/>
            <w:textDirection w:val="lrTb"/>
            <w:noWrap w:val="false"/>
          </w:tcPr>
          <w:p>
            <w:pPr>
              <w:pStyle w:val="967"/>
              <w:ind w:firstLine="0"/>
              <w:jc w:val="center"/>
              <w:spacing w:line="360" w:lineRule="auto"/>
              <w:rPr>
                <w:color w:val="000000"/>
                <w:sz w:val="20"/>
                <w:szCs w:val="20"/>
              </w:rPr>
            </w:pPr>
            <w:r>
              <w:rPr>
                <w:rFonts w:hint="eastAsia"/>
                <w:color w:val="000000"/>
                <w:sz w:val="20"/>
                <w:szCs w:val="20"/>
              </w:rPr>
              <w:t xml:space="preserve">人员汽车票预警</w:t>
            </w:r>
            <w:r>
              <w:rPr>
                <w:color w:val="000000"/>
                <w:sz w:val="20"/>
                <w:szCs w:val="20"/>
              </w:rPr>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南郊智慧检查站项目、</w:t>
      </w:r>
      <w:r>
        <w:rPr>
          <w:rFonts w:hint="eastAsia" w:ascii="宋体" w:hAnsi="宋体" w:eastAsia="宋体"/>
          <w:color w:val="000000"/>
          <w:sz w:val="21"/>
          <w:szCs w:val="21"/>
        </w:rPr>
        <w:t xml:space="preserve">洋桥检查站项目、嘉太检查站项目等的配套系统、弱电设施、监控设施、机房设施、弱电管线设施的维护</w:t>
      </w:r>
      <w:r>
        <w:rPr>
          <w:rFonts w:ascii="宋体" w:hAnsi="宋体" w:eastAsia="宋体"/>
          <w:color w:val="000000"/>
          <w:sz w:val="21"/>
          <w:szCs w:val="21"/>
        </w:rPr>
      </w:r>
      <w:r/>
    </w:p>
    <w:p>
      <w:pPr>
        <w:pStyle w:val="928"/>
        <w:contextualSpacing/>
        <w:ind w:firstLine="420"/>
        <w:spacing w:line="360" w:lineRule="auto"/>
        <w:rPr>
          <w:rFonts w:cs="宋体"/>
          <w:bCs/>
          <w:color w:val="000000"/>
          <w:sz w:val="21"/>
          <w:szCs w:val="21"/>
        </w:rPr>
      </w:pPr>
      <w:r>
        <w:rPr>
          <w:rFonts w:hint="eastAsia" w:cs="宋体"/>
          <w:bCs/>
          <w:color w:val="000000"/>
          <w:sz w:val="21"/>
          <w:szCs w:val="21"/>
        </w:rPr>
        <w:t xml:space="preserve">南郊智慧检查站集成维护服务，做好该检查站中配套的平台系统、弱电设施、监控设施、机房设施、弱电管线设施的维护。</w:t>
      </w:r>
      <w:r>
        <w:rPr>
          <w:rFonts w:cs="宋体"/>
          <w:bCs/>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包括以下设施的一年维保服务，南郊检查站具体明细如下：</w:t>
      </w:r>
      <w:r/>
    </w:p>
    <w:tbl>
      <w:tblPr>
        <w:tblW w:w="8249" w:type="dxa"/>
        <w:jc w:val="center"/>
        <w:tblInd w:w="0" w:type="dxa"/>
        <w:tblLayout w:type="fixed"/>
        <w:tblCellMar>
          <w:left w:w="15" w:type="dxa"/>
          <w:top w:w="0" w:type="dxa"/>
          <w:right w:w="15" w:type="dxa"/>
          <w:bottom w:w="0" w:type="dxa"/>
        </w:tblCellMar>
        <w:tblLook w:val="04A0" w:firstRow="1" w:lastRow="0" w:firstColumn="1" w:lastColumn="0" w:noHBand="0" w:noVBand="1"/>
      </w:tblPr>
      <w:tblGrid>
        <w:gridCol w:w="1445"/>
        <w:gridCol w:w="3875"/>
        <w:gridCol w:w="1414"/>
        <w:gridCol w:w="1515"/>
      </w:tblGrid>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ascii="宋体" w:hAnsi="宋体" w:eastAsia="宋体"/>
                <w:b/>
                <w:bCs/>
                <w:color w:val="000000"/>
              </w:rPr>
            </w:pPr>
            <w:r>
              <w:rPr>
                <w:rFonts w:hint="eastAsia" w:ascii="宋体" w:hAnsi="宋体" w:eastAsia="宋体" w:cs="宋体"/>
                <w:b/>
                <w:bCs/>
                <w:color w:val="000000"/>
              </w:rPr>
              <w:t xml:space="preserve">序号</w:t>
            </w:r>
            <w:r>
              <w:rPr>
                <w:rFonts w:ascii="宋体" w:hAnsi="宋体" w:eastAsia="宋体"/>
                <w:b/>
                <w:bCs/>
                <w:color w:val="000000"/>
              </w:rPr>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b/>
                <w:bCs/>
                <w:color w:val="000000"/>
              </w:rPr>
            </w:pPr>
            <w:r>
              <w:rPr>
                <w:rFonts w:hint="eastAsia" w:ascii="宋体" w:hAnsi="宋体" w:eastAsia="宋体" w:cs="宋体"/>
                <w:b/>
                <w:bCs/>
                <w:color w:val="000000"/>
              </w:rPr>
              <w:t xml:space="preserve">设备</w:t>
            </w:r>
            <w:r>
              <w:rPr>
                <w:rFonts w:hint="eastAsia" w:ascii="宋体" w:hAnsi="宋体" w:eastAsia="宋体"/>
                <w:b/>
                <w:bCs/>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b/>
                <w:bCs/>
                <w:color w:val="000000"/>
              </w:rPr>
            </w:pPr>
            <w:r>
              <w:rPr>
                <w:rFonts w:hint="eastAsia" w:ascii="宋体" w:hAnsi="宋体" w:eastAsia="宋体" w:cs="宋体"/>
                <w:b/>
                <w:bCs/>
                <w:color w:val="000000"/>
              </w:rPr>
              <w:t xml:space="preserve">数量</w:t>
            </w:r>
            <w:r>
              <w:rPr>
                <w:rFonts w:hint="eastAsia" w:ascii="宋体" w:hAnsi="宋体" w:eastAsia="宋体"/>
                <w:b/>
                <w:bCs/>
                <w:color w:val="000000"/>
              </w:rPr>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b/>
                <w:bCs/>
                <w:color w:val="000000"/>
              </w:rPr>
            </w:pPr>
            <w:r>
              <w:rPr>
                <w:rFonts w:hint="eastAsia" w:ascii="宋体" w:hAnsi="宋体" w:eastAsia="宋体" w:cs="宋体"/>
                <w:b/>
                <w:bCs/>
                <w:color w:val="000000"/>
              </w:rPr>
              <w:t xml:space="preserve">单位</w:t>
            </w:r>
            <w:r>
              <w:rPr>
                <w:rFonts w:hint="eastAsia" w:ascii="宋体" w:hAnsi="宋体" w:eastAsia="宋体"/>
                <w:b/>
                <w:bCs/>
                <w:color w:val="000000"/>
              </w:rPr>
            </w:r>
            <w:r/>
          </w:p>
        </w:tc>
      </w:tr>
      <w:tr>
        <w:trPr>
          <w:trHeight w:val="285"/>
        </w:trPr>
        <w:tc>
          <w:tcPr>
            <w:gridSpan w:val="2"/>
            <w:shd w:val="clear" w:color="auto" w:fill="c0c0c0"/>
            <w:tcBorders>
              <w:top w:val="single" w:color="000000" w:sz="4" w:space="0"/>
              <w:left w:val="single" w:color="000000" w:sz="4" w:space="0"/>
              <w:bottom w:val="single" w:color="000000" w:sz="4" w:space="0"/>
              <w:right w:val="single" w:color="000000" w:sz="4" w:space="0"/>
            </w:tcBorders>
            <w:tcW w:w="5320" w:type="dxa"/>
            <w:vAlign w:val="center"/>
            <w:textDirection w:val="lrTb"/>
            <w:noWrap w:val="false"/>
          </w:tcPr>
          <w:p>
            <w:pPr>
              <w:pStyle w:val="1711"/>
              <w:jc w:val="center"/>
              <w:shd w:val="clear" w:color="auto" w:fill="c0c0c0"/>
              <w:rPr>
                <w:rFonts w:hint="eastAsia" w:ascii="宋体" w:hAnsi="宋体" w:eastAsia="宋体"/>
                <w:b/>
                <w:bCs/>
                <w:color w:val="000000"/>
                <w:shd w:val="clear" w:color="auto" w:fill="c0c0c0"/>
              </w:rPr>
            </w:pPr>
            <w:r>
              <w:rPr>
                <w:rFonts w:hint="eastAsia" w:ascii="宋体" w:hAnsi="宋体" w:eastAsia="宋体" w:cs="宋体"/>
                <w:b/>
                <w:bCs/>
                <w:color w:val="000000"/>
                <w:shd w:val="clear" w:color="auto" w:fill="c0c0c0"/>
              </w:rPr>
              <w:t xml:space="preserve">软件系统及服务</w:t>
            </w:r>
            <w:r>
              <w:rPr>
                <w:rFonts w:hint="eastAsia" w:ascii="宋体" w:hAnsi="宋体" w:eastAsia="宋体"/>
                <w:b/>
                <w:bCs/>
                <w:color w:val="000000"/>
                <w:shd w:val="clear" w:color="auto" w:fill="c0c0c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ind w:firstLine="440"/>
              <w:jc w:val="center"/>
              <w:rPr>
                <w:rFonts w:hint="eastAsia" w:ascii="宋体" w:hAnsi="宋体" w:eastAsia="宋体"/>
                <w:color w:val="000000"/>
              </w:rPr>
            </w:pP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ind w:firstLine="440"/>
              <w:jc w:val="center"/>
              <w:rPr>
                <w:rFonts w:hint="eastAsia" w:ascii="宋体" w:hAnsi="宋体" w:eastAsia="宋体"/>
                <w:color w:val="000000"/>
              </w:rPr>
            </w:pP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检查站系统平台</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套</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2</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比对预警接口服务</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项</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3</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报警展示服务</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项</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4</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彻底扫描服务</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项</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5</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监控接入服务</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项</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6</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解码上墙服务</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项</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7</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声光报警定制服务</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项</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8</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自动防冲撞系统</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套</w:t>
            </w:r>
            <w:r>
              <w:rPr>
                <w:rFonts w:hint="eastAsia" w:ascii="宋体" w:hAnsi="宋体" w:eastAsia="宋体"/>
                <w:color w:val="000000"/>
              </w:rPr>
            </w:r>
            <w:r/>
          </w:p>
        </w:tc>
      </w:tr>
      <w:tr>
        <w:trPr>
          <w:trHeight w:val="285"/>
        </w:trPr>
        <w:tc>
          <w:tcPr>
            <w:gridSpan w:val="2"/>
            <w:shd w:val="clear" w:color="auto" w:fill="c0c0c0"/>
            <w:tcBorders>
              <w:top w:val="single" w:color="000000" w:sz="4" w:space="0"/>
              <w:left w:val="single" w:color="000000" w:sz="4" w:space="0"/>
              <w:bottom w:val="single" w:color="000000" w:sz="4" w:space="0"/>
              <w:right w:val="single" w:color="000000" w:sz="4" w:space="0"/>
            </w:tcBorders>
            <w:tcW w:w="5320" w:type="dxa"/>
            <w:vAlign w:val="center"/>
            <w:textDirection w:val="lrTb"/>
            <w:noWrap w:val="false"/>
          </w:tcPr>
          <w:p>
            <w:pPr>
              <w:pStyle w:val="1711"/>
              <w:jc w:val="center"/>
              <w:shd w:val="clear" w:color="auto" w:fill="c0c0c0"/>
              <w:rPr>
                <w:rFonts w:hint="eastAsia" w:ascii="宋体" w:hAnsi="宋体" w:eastAsia="宋体"/>
                <w:b/>
                <w:bCs/>
                <w:color w:val="000000"/>
                <w:shd w:val="clear" w:color="auto" w:fill="c0c0c0"/>
              </w:rPr>
            </w:pPr>
            <w:r>
              <w:rPr>
                <w:rFonts w:hint="eastAsia" w:ascii="宋体" w:hAnsi="宋体" w:eastAsia="宋体" w:cs="宋体"/>
                <w:b/>
                <w:bCs/>
                <w:color w:val="000000"/>
                <w:shd w:val="clear" w:color="auto" w:fill="c0c0c0"/>
              </w:rPr>
              <w:t xml:space="preserve">服务器设备</w:t>
            </w:r>
            <w:r>
              <w:rPr>
                <w:rFonts w:hint="eastAsia" w:ascii="宋体" w:hAnsi="宋体" w:eastAsia="宋体"/>
                <w:b/>
                <w:bCs/>
                <w:color w:val="000000"/>
                <w:shd w:val="clear" w:color="auto" w:fill="c0c0c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ind w:firstLine="440"/>
              <w:jc w:val="center"/>
              <w:rPr>
                <w:rFonts w:hint="eastAsia" w:ascii="宋体" w:hAnsi="宋体" w:eastAsia="宋体"/>
                <w:color w:val="000000"/>
              </w:rPr>
            </w:pP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ind w:firstLine="440"/>
              <w:jc w:val="center"/>
              <w:rPr>
                <w:rFonts w:hint="eastAsia" w:ascii="宋体" w:hAnsi="宋体" w:eastAsia="宋体"/>
                <w:color w:val="000000"/>
              </w:rPr>
            </w:pP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平台服务器</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2</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2</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车底服务器</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3</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32</w:t>
            </w:r>
            <w:r>
              <w:rPr>
                <w:rFonts w:hint="eastAsia" w:ascii="宋体" w:hAnsi="宋体" w:eastAsia="宋体" w:cs="宋体"/>
                <w:color w:val="000000"/>
              </w:rPr>
              <w:t xml:space="preserve">路</w:t>
            </w:r>
            <w:r>
              <w:rPr>
                <w:rFonts w:hint="eastAsia" w:ascii="宋体" w:hAnsi="宋体" w:eastAsia="宋体"/>
                <w:color w:val="000000"/>
              </w:rPr>
              <w:t xml:space="preserve">NVR</w:t>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4</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南郊检查站解码器</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5</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联动中心解码器</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gridSpan w:val="2"/>
            <w:shd w:val="clear" w:color="auto" w:fill="c0c0c0"/>
            <w:tcBorders>
              <w:top w:val="single" w:color="000000" w:sz="4" w:space="0"/>
              <w:left w:val="single" w:color="000000" w:sz="4" w:space="0"/>
              <w:bottom w:val="single" w:color="000000" w:sz="4" w:space="0"/>
              <w:right w:val="single" w:color="000000" w:sz="4" w:space="0"/>
            </w:tcBorders>
            <w:tcW w:w="5320" w:type="dxa"/>
            <w:vAlign w:val="center"/>
            <w:textDirection w:val="lrTb"/>
            <w:noWrap w:val="false"/>
          </w:tcPr>
          <w:p>
            <w:pPr>
              <w:pStyle w:val="1711"/>
              <w:jc w:val="center"/>
              <w:shd w:val="clear" w:color="auto" w:fill="c0c0c0"/>
              <w:rPr>
                <w:rFonts w:hint="eastAsia" w:ascii="宋体" w:hAnsi="宋体" w:eastAsia="宋体"/>
                <w:b/>
                <w:bCs/>
                <w:color w:val="000000"/>
                <w:shd w:val="clear" w:color="auto" w:fill="c0c0c0"/>
              </w:rPr>
            </w:pPr>
            <w:r>
              <w:rPr>
                <w:rFonts w:hint="eastAsia" w:ascii="宋体" w:hAnsi="宋体" w:eastAsia="宋体" w:cs="宋体"/>
                <w:b/>
                <w:bCs/>
                <w:color w:val="000000"/>
                <w:shd w:val="clear" w:color="auto" w:fill="c0c0c0"/>
              </w:rPr>
              <w:t xml:space="preserve">监控设备</w:t>
            </w:r>
            <w:r>
              <w:rPr>
                <w:rFonts w:hint="eastAsia" w:ascii="宋体" w:hAnsi="宋体" w:eastAsia="宋体"/>
                <w:b/>
                <w:bCs/>
                <w:color w:val="000000"/>
                <w:shd w:val="clear" w:color="auto" w:fill="c0c0c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ind w:firstLine="440"/>
              <w:jc w:val="center"/>
              <w:rPr>
                <w:rFonts w:hint="eastAsia" w:ascii="宋体" w:hAnsi="宋体" w:eastAsia="宋体"/>
                <w:color w:val="000000"/>
              </w:rPr>
            </w:pP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ind w:firstLine="440"/>
              <w:jc w:val="center"/>
              <w:rPr>
                <w:rFonts w:hint="eastAsia" w:ascii="宋体" w:hAnsi="宋体" w:eastAsia="宋体"/>
                <w:color w:val="000000"/>
              </w:rPr>
            </w:pP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外部相机</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9</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2</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内部相机</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5</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3</w:t>
            </w:r>
            <w:r/>
          </w:p>
        </w:tc>
        <w:tc>
          <w:tcPr>
            <w:tcBorders>
              <w:top w:val="none" w:color="000000" w:sz="4" w:space="0"/>
              <w:left w:val="none" w:color="000000" w:sz="4" w:space="0"/>
              <w:bottom w:val="single" w:color="000000" w:sz="4" w:space="0"/>
              <w:right w:val="non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人卡相机</w:t>
            </w: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3</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gridSpan w:val="2"/>
            <w:shd w:val="clear" w:color="auto" w:fill="c0c0c0"/>
            <w:tcBorders>
              <w:top w:val="single" w:color="000000" w:sz="4" w:space="0"/>
              <w:left w:val="single" w:color="000000" w:sz="4" w:space="0"/>
              <w:bottom w:val="single" w:color="000000" w:sz="4" w:space="0"/>
              <w:right w:val="single" w:color="000000" w:sz="4" w:space="0"/>
            </w:tcBorders>
            <w:tcW w:w="5320" w:type="dxa"/>
            <w:vAlign w:val="center"/>
            <w:textDirection w:val="lrTb"/>
            <w:noWrap w:val="false"/>
          </w:tcPr>
          <w:p>
            <w:pPr>
              <w:pStyle w:val="1711"/>
              <w:jc w:val="center"/>
              <w:shd w:val="clear" w:color="auto" w:fill="c0c0c0"/>
              <w:rPr>
                <w:rFonts w:hint="eastAsia" w:ascii="宋体" w:hAnsi="宋体" w:eastAsia="宋体"/>
                <w:b/>
                <w:bCs/>
                <w:color w:val="000000"/>
                <w:shd w:val="clear" w:color="auto" w:fill="c0c0c0"/>
              </w:rPr>
            </w:pPr>
            <w:r>
              <w:rPr>
                <w:rFonts w:hint="eastAsia" w:ascii="宋体" w:hAnsi="宋体" w:eastAsia="宋体" w:cs="宋体"/>
                <w:b/>
                <w:bCs/>
                <w:color w:val="000000"/>
                <w:shd w:val="clear" w:color="auto" w:fill="c0c0c0"/>
              </w:rPr>
              <w:t xml:space="preserve">进市设备</w:t>
            </w:r>
            <w:r>
              <w:rPr>
                <w:rFonts w:hint="eastAsia" w:ascii="宋体" w:hAnsi="宋体" w:eastAsia="宋体"/>
                <w:b/>
                <w:bCs/>
                <w:color w:val="000000"/>
                <w:shd w:val="clear" w:color="auto" w:fill="c0c0c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ind w:firstLine="440"/>
              <w:jc w:val="center"/>
              <w:rPr>
                <w:rFonts w:hint="eastAsia" w:ascii="宋体" w:hAnsi="宋体" w:eastAsia="宋体"/>
                <w:color w:val="000000"/>
              </w:rPr>
            </w:pP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ind w:firstLine="440"/>
              <w:jc w:val="center"/>
              <w:rPr>
                <w:rFonts w:hint="eastAsia" w:ascii="宋体" w:hAnsi="宋体" w:eastAsia="宋体"/>
                <w:color w:val="000000"/>
              </w:rPr>
            </w:pP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抓拍机</w:t>
            </w: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2</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抓拍机</w:t>
            </w:r>
            <w:r>
              <w:rPr>
                <w:rFonts w:hint="eastAsia" w:ascii="宋体" w:hAnsi="宋体" w:eastAsia="宋体"/>
                <w:color w:val="000000"/>
              </w:rPr>
              <w:t xml:space="preserve">2</w:t>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lang w:eastAsia="zh-CN"/>
              </w:rPr>
            </w:pPr>
            <w:r>
              <w:rPr>
                <w:rFonts w:hint="eastAsia" w:ascii="宋体" w:hAnsi="宋体" w:eastAsia="宋体"/>
                <w:color w:val="000000"/>
                <w:lang w:eastAsia="zh-CN"/>
              </w:rPr>
              <w:t xml:space="preserve">3</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车底终端</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lang w:eastAsia="zh-CN"/>
              </w:rPr>
            </w:pPr>
            <w:r>
              <w:rPr>
                <w:rFonts w:hint="eastAsia" w:ascii="宋体" w:hAnsi="宋体" w:eastAsia="宋体"/>
                <w:color w:val="000000"/>
                <w:lang w:eastAsia="zh-CN"/>
              </w:rPr>
              <w:t xml:space="preserve">4</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人证机</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gridSpan w:val="2"/>
            <w:shd w:val="clear" w:color="auto" w:fill="c0c0c0"/>
            <w:tcBorders>
              <w:top w:val="single" w:color="000000" w:sz="4" w:space="0"/>
              <w:left w:val="single" w:color="000000" w:sz="4" w:space="0"/>
              <w:bottom w:val="single" w:color="000000" w:sz="4" w:space="0"/>
              <w:right w:val="single" w:color="000000" w:sz="4" w:space="0"/>
            </w:tcBorders>
            <w:tcW w:w="5320" w:type="dxa"/>
            <w:vAlign w:val="center"/>
            <w:textDirection w:val="lrTb"/>
            <w:noWrap w:val="false"/>
          </w:tcPr>
          <w:p>
            <w:pPr>
              <w:pStyle w:val="1711"/>
              <w:jc w:val="center"/>
              <w:shd w:val="clear" w:color="auto" w:fill="c0c0c0"/>
              <w:rPr>
                <w:rFonts w:hint="eastAsia" w:ascii="宋体" w:hAnsi="宋体" w:eastAsia="宋体"/>
                <w:b/>
                <w:bCs/>
                <w:color w:val="000000"/>
                <w:shd w:val="clear" w:color="auto" w:fill="c0c0c0"/>
              </w:rPr>
            </w:pPr>
            <w:r>
              <w:rPr>
                <w:rFonts w:hint="eastAsia" w:ascii="宋体" w:hAnsi="宋体" w:eastAsia="宋体" w:cs="宋体"/>
                <w:b/>
                <w:bCs/>
                <w:color w:val="000000"/>
                <w:shd w:val="clear" w:color="auto" w:fill="c0c0c0"/>
              </w:rPr>
              <w:t xml:space="preserve">出市设备</w:t>
            </w:r>
            <w:r>
              <w:rPr>
                <w:rFonts w:hint="eastAsia" w:ascii="宋体" w:hAnsi="宋体" w:eastAsia="宋体"/>
                <w:b/>
                <w:bCs/>
                <w:color w:val="000000"/>
                <w:shd w:val="clear" w:color="auto" w:fill="c0c0c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ind w:firstLine="440"/>
              <w:jc w:val="center"/>
              <w:rPr>
                <w:rFonts w:hint="eastAsia" w:ascii="宋体" w:hAnsi="宋体" w:eastAsia="宋体"/>
                <w:color w:val="000000"/>
              </w:rPr>
            </w:pP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ind w:firstLine="440"/>
              <w:jc w:val="center"/>
              <w:rPr>
                <w:rFonts w:hint="eastAsia" w:ascii="宋体" w:hAnsi="宋体" w:eastAsia="宋体"/>
                <w:color w:val="000000"/>
              </w:rPr>
            </w:pP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抓拍机</w:t>
            </w: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2</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抓拍机</w:t>
            </w:r>
            <w:r>
              <w:rPr>
                <w:rFonts w:hint="eastAsia" w:ascii="宋体" w:hAnsi="宋体" w:eastAsia="宋体"/>
                <w:color w:val="000000"/>
              </w:rPr>
              <w:t xml:space="preserve">2</w:t>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3</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抓拍机</w:t>
            </w:r>
            <w:r>
              <w:rPr>
                <w:rFonts w:hint="eastAsia" w:ascii="宋体" w:hAnsi="宋体" w:eastAsia="宋体"/>
                <w:color w:val="000000"/>
              </w:rPr>
              <w:t xml:space="preserve">3</w:t>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4</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车底终端</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5</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人证核验机</w:t>
            </w: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6</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人证核验机</w:t>
            </w:r>
            <w:r>
              <w:rPr>
                <w:rFonts w:hint="eastAsia" w:ascii="宋体" w:hAnsi="宋体" w:eastAsia="宋体"/>
                <w:color w:val="000000"/>
              </w:rPr>
              <w:t xml:space="preserve">2</w:t>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lang w:eastAsia="zh-CN"/>
              </w:rPr>
            </w:pPr>
            <w:r>
              <w:rPr>
                <w:rFonts w:hint="eastAsia" w:ascii="宋体" w:hAnsi="宋体" w:eastAsia="宋体"/>
                <w:color w:val="000000"/>
                <w:lang w:eastAsia="zh-CN"/>
              </w:rPr>
              <w:t xml:space="preserve">7</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LED</w:t>
            </w:r>
            <w:r>
              <w:rPr>
                <w:rFonts w:hint="eastAsia" w:ascii="宋体" w:hAnsi="宋体" w:eastAsia="宋体" w:cs="宋体"/>
                <w:color w:val="000000"/>
              </w:rPr>
              <w:t xml:space="preserve">警示屏</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套</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lang w:eastAsia="zh-CN"/>
              </w:rPr>
            </w:pPr>
            <w:r>
              <w:rPr>
                <w:rFonts w:hint="eastAsia" w:ascii="宋体" w:hAnsi="宋体" w:eastAsia="宋体"/>
                <w:color w:val="000000"/>
                <w:lang w:eastAsia="zh-CN"/>
              </w:rPr>
              <w:t xml:space="preserve">8</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LED</w:t>
            </w:r>
            <w:r>
              <w:rPr>
                <w:rFonts w:hint="eastAsia" w:ascii="宋体" w:hAnsi="宋体" w:eastAsia="宋体" w:cs="宋体"/>
                <w:color w:val="000000"/>
              </w:rPr>
              <w:t xml:space="preserve">联动枪机</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台</w:t>
            </w:r>
            <w:r>
              <w:rPr>
                <w:rFonts w:hint="eastAsia" w:ascii="宋体" w:hAnsi="宋体" w:eastAsia="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1711"/>
              <w:jc w:val="center"/>
              <w:rPr>
                <w:rFonts w:hint="eastAsia" w:ascii="宋体" w:hAnsi="宋体" w:eastAsia="宋体"/>
                <w:color w:val="000000"/>
                <w:lang w:eastAsia="zh-CN"/>
              </w:rPr>
            </w:pPr>
            <w:r>
              <w:rPr>
                <w:rFonts w:hint="eastAsia" w:ascii="宋体" w:hAnsi="宋体" w:eastAsia="宋体"/>
                <w:color w:val="000000"/>
                <w:lang w:eastAsia="zh-CN"/>
              </w:rPr>
              <w:t xml:space="preserve">9</w:t>
            </w:r>
            <w:r/>
          </w:p>
        </w:tc>
        <w:tc>
          <w:tcPr>
            <w:tcBorders>
              <w:top w:val="single" w:color="000000" w:sz="4" w:space="0"/>
              <w:left w:val="none" w:color="000000" w:sz="4" w:space="0"/>
              <w:bottom w:val="single" w:color="000000" w:sz="4" w:space="0"/>
              <w:right w:val="single" w:color="000000" w:sz="4" w:space="0"/>
            </w:tcBorders>
            <w:tcW w:w="387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自动防冲撞柱</w:t>
            </w:r>
            <w:r>
              <w:rPr>
                <w:rFonts w:hint="eastAsia" w:ascii="宋体" w:hAnsi="宋体" w:eastAsia="宋体"/>
                <w:color w:val="000000"/>
              </w:rPr>
            </w:r>
            <w:r/>
          </w:p>
        </w:tc>
        <w:tc>
          <w:tcPr>
            <w:tcBorders>
              <w:top w:val="single" w:color="000000" w:sz="4" w:space="0"/>
              <w:left w:val="none" w:color="000000" w:sz="4" w:space="0"/>
              <w:bottom w:val="single" w:color="000000" w:sz="4" w:space="0"/>
              <w:right w:val="single" w:color="000000" w:sz="4" w:space="0"/>
            </w:tcBorders>
            <w:tcW w:w="1414"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olor w:val="000000"/>
              </w:rPr>
              <w:t xml:space="preserve">7</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pStyle w:val="1711"/>
              <w:jc w:val="center"/>
              <w:rPr>
                <w:rFonts w:hint="eastAsia" w:ascii="宋体" w:hAnsi="宋体" w:eastAsia="宋体"/>
                <w:color w:val="000000"/>
              </w:rPr>
            </w:pPr>
            <w:r>
              <w:rPr>
                <w:rFonts w:hint="eastAsia" w:ascii="宋体" w:hAnsi="宋体" w:eastAsia="宋体" w:cs="宋体"/>
                <w:color w:val="000000"/>
              </w:rPr>
              <w:t xml:space="preserve">根</w:t>
            </w:r>
            <w:r>
              <w:rPr>
                <w:rFonts w:hint="eastAsia" w:ascii="宋体" w:hAnsi="宋体" w:eastAsia="宋体"/>
                <w:color w:val="000000"/>
              </w:rPr>
            </w:r>
            <w:r/>
          </w:p>
        </w:tc>
      </w:tr>
    </w:tbl>
    <w:p>
      <w:pPr>
        <w:pStyle w:val="928"/>
        <w:contextualSpacing/>
        <w:ind w:firstLine="420"/>
        <w:spacing w:line="360" w:lineRule="auto"/>
        <w:rPr>
          <w:rFonts w:cs="宋体"/>
          <w:bCs/>
          <w:color w:val="000000"/>
          <w:sz w:val="21"/>
          <w:szCs w:val="21"/>
        </w:rPr>
      </w:pPr>
      <w:r>
        <w:rPr>
          <w:rFonts w:hint="eastAsia" w:cs="宋体"/>
          <w:bCs/>
          <w:color w:val="000000"/>
          <w:sz w:val="21"/>
          <w:szCs w:val="21"/>
        </w:rPr>
        <w:t xml:space="preserve">洋桥检查站具体明细如下：</w:t>
      </w:r>
      <w:r>
        <w:rPr>
          <w:rFonts w:cs="宋体"/>
          <w:bCs/>
          <w:color w:val="000000"/>
          <w:sz w:val="21"/>
          <w:szCs w:val="21"/>
        </w:rPr>
      </w:r>
      <w:r/>
    </w:p>
    <w:tbl>
      <w:tblPr>
        <w:tblW w:w="84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14"/>
        <w:gridCol w:w="2582"/>
        <w:gridCol w:w="2230"/>
        <w:gridCol w:w="1136"/>
        <w:gridCol w:w="851"/>
        <w:gridCol w:w="888"/>
      </w:tblGrid>
      <w:tr>
        <w:trPr>
          <w:trHeight w:val="285"/>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序号</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标的物名称</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品牌、规格</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生产厂家</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单位</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数量</w:t>
            </w:r>
            <w:r/>
          </w:p>
        </w:tc>
      </w:tr>
      <w:tr>
        <w:trPr>
          <w:trHeight w:val="285"/>
        </w:trPr>
        <w:tc>
          <w:tcPr>
            <w:gridSpan w:val="6"/>
            <w:tcW w:w="840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（一）双基色卡口警示屏系统</w:t>
            </w:r>
            <w:r/>
          </w:p>
        </w:tc>
      </w:tr>
      <w:tr>
        <w:trPr>
          <w:trHeight w:val="72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LED卡口警示屏（双基色）</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 YDBZ-0-B-HKYD-160</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平方米</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3.28</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警示屏防水防尘机箱</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 配套</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套</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96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3</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卡口警示屏控制箱（联动）</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 DS-TVL000-0-7</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72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4</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报警</w:t>
            </w:r>
            <w:r>
              <w:rPr>
                <w:rFonts w:hint="eastAsia"/>
                <w:color w:val="000000"/>
                <w:sz w:val="21"/>
                <w:szCs w:val="21"/>
              </w:rPr>
              <w:t xml:space="preserve">专用警灯</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海康威视WLD012B2RB001</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个</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5</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LED警示屏双立杆</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海康威视配套</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个</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96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6</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400万星光级轻智能抓拍筒型网络摄像机</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海康威视DS-2CD7A47BX/EWD-LZ</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285"/>
        </w:trPr>
        <w:tc>
          <w:tcPr>
            <w:gridSpan w:val="6"/>
            <w:tcW w:w="840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（二）检查站出入口车牌抓拍.人证识别系统</w:t>
            </w:r>
            <w:r/>
          </w:p>
        </w:tc>
      </w:tr>
      <w:tr>
        <w:trPr>
          <w:trHeight w:val="72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7</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出入口抓拍一体机</w:t>
            </w:r>
            <w:r/>
          </w:p>
        </w:tc>
        <w:tc>
          <w:tcPr>
            <w:shd w:val="clear" w:color="auto" w:fill="ffffff"/>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海康威视DS-TCG227-A</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3</w:t>
            </w:r>
            <w:r/>
          </w:p>
        </w:tc>
      </w:tr>
      <w:tr>
        <w:trPr>
          <w:trHeight w:val="120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8</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出口抓拍机立柱</w:t>
            </w:r>
            <w:r/>
          </w:p>
        </w:tc>
        <w:tc>
          <w:tcPr>
            <w:shd w:val="clear" w:color="auto" w:fill="ffffff"/>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海康威视ESP-L1300-R117(TCG227)</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根</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3</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9</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线圈</w:t>
            </w:r>
            <w:r/>
          </w:p>
        </w:tc>
        <w:tc>
          <w:tcPr>
            <w:shd w:val="clear" w:color="auto" w:fill="ffffff"/>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海康威视配套</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套</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6</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10</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车辆检测处理</w:t>
            </w:r>
            <w:r>
              <w:rPr>
                <w:rFonts w:hint="eastAsia"/>
                <w:color w:val="000000"/>
                <w:sz w:val="21"/>
                <w:szCs w:val="21"/>
              </w:rPr>
              <w:t xml:space="preserve">器</w:t>
            </w:r>
            <w:r/>
          </w:p>
        </w:tc>
        <w:tc>
          <w:tcPr>
            <w:shd w:val="clear" w:color="auto" w:fill="ffffff"/>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海康威视DS-TMG022</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3</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11</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出入口控制终端</w:t>
            </w:r>
            <w:r/>
          </w:p>
        </w:tc>
        <w:tc>
          <w:tcPr>
            <w:shd w:val="clear" w:color="auto" w:fill="ffffff"/>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海康威视DS-TPE300</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72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12</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人证核验终端</w:t>
            </w:r>
            <w:r/>
          </w:p>
        </w:tc>
        <w:tc>
          <w:tcPr>
            <w:shd w:val="clear" w:color="auto" w:fill="ffffff"/>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海康威视DS-K5603T-H</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13</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室内人证终端</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海康威视DS-K5603</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72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14</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千兆交换机</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H3C LS-5110V2-28P-SI</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华三</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套</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w:t>
            </w:r>
            <w:r/>
          </w:p>
        </w:tc>
      </w:tr>
      <w:tr>
        <w:trPr>
          <w:trHeight w:val="285"/>
        </w:trPr>
        <w:tc>
          <w:tcPr>
            <w:gridSpan w:val="6"/>
            <w:tcW w:w="840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（三）检查站人脸识别、安检棚通道监控系统</w:t>
            </w:r>
            <w:r/>
          </w:p>
        </w:tc>
      </w:tr>
      <w:tr>
        <w:trPr>
          <w:trHeight w:val="96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15</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200万人脸抓拍一体化AI筒型网络摄像机</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海康威视DS-2CD7627XWD-XB</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6</w:t>
            </w:r>
            <w:r/>
          </w:p>
        </w:tc>
      </w:tr>
      <w:tr>
        <w:trPr>
          <w:trHeight w:val="96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16</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400万星光级轻智能抓拍筒型网络</w:t>
            </w:r>
            <w:r>
              <w:rPr>
                <w:rFonts w:hint="eastAsia"/>
                <w:color w:val="000000"/>
                <w:sz w:val="21"/>
                <w:szCs w:val="21"/>
              </w:rPr>
              <w:t xml:space="preserve">摄像机</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海康威视DS-2CD7A47BX/EWD-LZ</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13</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17</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人脸抓拍支架</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海康威视配套</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套</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6</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18</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电源变换器</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海康威视配套</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6</w:t>
            </w:r>
            <w:r/>
          </w:p>
        </w:tc>
      </w:tr>
      <w:tr>
        <w:trPr>
          <w:trHeight w:val="480"/>
        </w:trPr>
        <w:tc>
          <w:tcPr>
            <w:tcW w:w="714" w:type="dxa"/>
            <w:vAlign w:val="center"/>
            <w:textDirection w:val="lrTb"/>
            <w:noWrap w:val="false"/>
          </w:tcPr>
          <w:p>
            <w:pPr>
              <w:pStyle w:val="1490"/>
              <w:jc w:val="center"/>
              <w:rPr>
                <w:color w:val="000000"/>
                <w:sz w:val="21"/>
                <w:szCs w:val="21"/>
              </w:rPr>
            </w:pPr>
            <w:r>
              <w:rPr>
                <w:rFonts w:hint="eastAsia"/>
                <w:color w:val="000000"/>
                <w:sz w:val="21"/>
                <w:szCs w:val="21"/>
              </w:rPr>
              <w:t xml:space="preserve">19</w:t>
            </w:r>
            <w:r>
              <w:rPr>
                <w:color w:val="000000"/>
                <w:sz w:val="21"/>
                <w:szCs w:val="21"/>
              </w:rPr>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摄像机电源</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海康威视配套</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套</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15</w:t>
            </w:r>
            <w:r/>
          </w:p>
        </w:tc>
      </w:tr>
      <w:tr>
        <w:trPr>
          <w:trHeight w:val="72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20</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网络硬盘录像机</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海康威视DS-8664N-I16</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72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21</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监控硬盘</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希捷ST4000VX000</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希捷</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块</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10</w:t>
            </w:r>
            <w:r/>
          </w:p>
        </w:tc>
      </w:tr>
      <w:tr>
        <w:trPr>
          <w:trHeight w:val="72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22</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千兆交换机</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H3C LS-5110V2-28P-SI</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华三</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285"/>
        </w:trPr>
        <w:tc>
          <w:tcPr>
            <w:gridSpan w:val="6"/>
            <w:tcW w:w="840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（四）检查站勤务指挥室LCD拼接屏系统</w:t>
            </w:r>
            <w:r/>
          </w:p>
        </w:tc>
      </w:tr>
      <w:tr>
        <w:trPr>
          <w:trHeight w:val="72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w:t>
            </w:r>
            <w:r>
              <w:rPr>
                <w:rFonts w:hint="eastAsia"/>
                <w:color w:val="000000"/>
                <w:sz w:val="21"/>
                <w:szCs w:val="21"/>
              </w:rPr>
              <w:t xml:space="preserve">3</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LCD拼接屏</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海康威视DS-D2055NL-B</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4</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24</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LCD拼接屏支架</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配套</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套</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25</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4路输出网络解码器</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海康威视DS-6904UD</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海康威视</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285"/>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26</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HDMI线缆</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秋叶原</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国产</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根</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6</w:t>
            </w:r>
            <w:r/>
          </w:p>
        </w:tc>
      </w:tr>
      <w:tr>
        <w:trPr>
          <w:trHeight w:val="72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27</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千兆交换机</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H3C LS-5110V2-28P-SI</w:t>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华三</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r>
        <w:trPr>
          <w:trHeight w:val="285"/>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28</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光模块</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个</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4</w:t>
            </w:r>
            <w:r/>
          </w:p>
        </w:tc>
      </w:tr>
      <w:tr>
        <w:trPr>
          <w:trHeight w:val="285"/>
        </w:trPr>
        <w:tc>
          <w:tcPr>
            <w:tcW w:w="714" w:type="dxa"/>
            <w:vAlign w:val="center"/>
            <w:textDirection w:val="lrTb"/>
            <w:noWrap w:val="false"/>
          </w:tcPr>
          <w:p>
            <w:pPr>
              <w:pStyle w:val="1490"/>
              <w:jc w:val="center"/>
              <w:rPr>
                <w:color w:val="000000"/>
                <w:sz w:val="21"/>
                <w:szCs w:val="21"/>
              </w:rPr>
            </w:pPr>
            <w:r>
              <w:rPr>
                <w:rFonts w:hint="eastAsia"/>
                <w:color w:val="000000"/>
                <w:sz w:val="21"/>
                <w:szCs w:val="21"/>
              </w:rPr>
              <w:t xml:space="preserve">29</w:t>
            </w:r>
            <w:r>
              <w:rPr>
                <w:color w:val="000000"/>
                <w:sz w:val="21"/>
                <w:szCs w:val="21"/>
              </w:rPr>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标准机柜</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大唐卫士</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台</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2</w:t>
            </w:r>
            <w:r/>
          </w:p>
        </w:tc>
      </w:tr>
      <w:tr>
        <w:trPr>
          <w:trHeight w:val="285"/>
        </w:trPr>
        <w:tc>
          <w:tcPr>
            <w:gridSpan w:val="6"/>
            <w:tcW w:w="840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（五）其他</w:t>
            </w:r>
            <w:r/>
          </w:p>
        </w:tc>
      </w:tr>
      <w:tr>
        <w:trPr>
          <w:trHeight w:val="480"/>
        </w:trPr>
        <w:tc>
          <w:tcPr>
            <w:tcW w:w="714"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30</w:t>
            </w:r>
            <w:r/>
          </w:p>
        </w:tc>
        <w:tc>
          <w:tcPr>
            <w:tcW w:w="2582"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管材、线材、辅材等</w:t>
            </w:r>
            <w:r/>
          </w:p>
        </w:tc>
        <w:tc>
          <w:tcPr>
            <w:tcW w:w="2230" w:type="dxa"/>
            <w:vAlign w:val="center"/>
            <w:textDirection w:val="lrTb"/>
            <w:noWrap w:val="false"/>
          </w:tcPr>
          <w:p>
            <w:pPr>
              <w:pStyle w:val="1490"/>
              <w:jc w:val="center"/>
              <w:rPr>
                <w:rFonts w:hint="eastAsia"/>
                <w:color w:val="000000"/>
                <w:sz w:val="21"/>
                <w:szCs w:val="21"/>
              </w:rPr>
            </w:pPr>
            <w:r>
              <w:rPr>
                <w:rFonts w:hint="eastAsia"/>
                <w:color w:val="000000"/>
                <w:sz w:val="21"/>
                <w:szCs w:val="21"/>
              </w:rPr>
            </w:r>
            <w:r/>
          </w:p>
        </w:tc>
        <w:tc>
          <w:tcPr>
            <w:tcW w:w="1136"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国产</w:t>
            </w:r>
            <w:r/>
          </w:p>
        </w:tc>
        <w:tc>
          <w:tcPr>
            <w:tcW w:w="851"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套</w:t>
            </w:r>
            <w:r/>
          </w:p>
        </w:tc>
        <w:tc>
          <w:tcPr>
            <w:tcW w:w="888" w:type="dxa"/>
            <w:vAlign w:val="center"/>
            <w:textDirection w:val="lrTb"/>
            <w:noWrap w:val="false"/>
          </w:tcPr>
          <w:p>
            <w:pPr>
              <w:pStyle w:val="1490"/>
              <w:jc w:val="center"/>
              <w:rPr>
                <w:rFonts w:hint="eastAsia"/>
                <w:color w:val="000000"/>
                <w:sz w:val="21"/>
                <w:szCs w:val="21"/>
              </w:rPr>
            </w:pPr>
            <w:r>
              <w:rPr>
                <w:rFonts w:hint="eastAsia"/>
                <w:color w:val="000000"/>
                <w:sz w:val="21"/>
                <w:szCs w:val="21"/>
              </w:rPr>
              <w:t xml:space="preserve">1</w:t>
            </w:r>
            <w:r/>
          </w:p>
        </w:tc>
      </w:tr>
    </w:tbl>
    <w:p>
      <w:pPr>
        <w:pStyle w:val="928"/>
        <w:contextualSpacing/>
        <w:ind w:firstLine="420"/>
        <w:spacing w:line="360" w:lineRule="auto"/>
        <w:rPr>
          <w:rFonts w:cs="宋体"/>
          <w:bCs/>
          <w:color w:val="000000"/>
          <w:sz w:val="21"/>
          <w:szCs w:val="21"/>
        </w:rPr>
      </w:pPr>
      <w:r>
        <w:rPr>
          <w:rFonts w:hint="eastAsia" w:cs="宋体"/>
          <w:bCs/>
          <w:color w:val="000000"/>
          <w:sz w:val="21"/>
          <w:szCs w:val="21"/>
        </w:rPr>
        <w:t xml:space="preserve">嘉太检查站维保内容：</w:t>
      </w:r>
      <w:r>
        <w:rPr>
          <w:rFonts w:cs="宋体"/>
          <w:bCs/>
          <w:color w:val="000000"/>
          <w:sz w:val="21"/>
          <w:szCs w:val="21"/>
        </w:rPr>
      </w:r>
      <w:r/>
    </w:p>
    <w:tbl>
      <w:tblPr>
        <w:tblW w:w="8930"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838"/>
        <w:gridCol w:w="4541"/>
        <w:gridCol w:w="992"/>
        <w:gridCol w:w="992"/>
      </w:tblGrid>
      <w:tr>
        <w:trPr>
          <w:trHeight w:val="48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序号</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采购内容</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品牌、规格、型号、制造厂商、产地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单位</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数量</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网络交换机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H3C 5560S-52S-SI、中国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一键点调</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科达视频会议H650、中国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电视机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创维 60吋、中国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电视机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创维 75吋、中国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电视机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创维 55吋</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6</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一键点调</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科达视频会议H650、中国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48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7</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半球摄像机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海康威视 DS-2CD2126FWDV2-IS、中国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48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8</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HDMI</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秋叶原 HDMI2.0 4K 10米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条</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9</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布线管材</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公元、中国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批</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48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10</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半球摄像机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海康威</w:t>
            </w:r>
            <w:r>
              <w:rPr>
                <w:rFonts w:hint="eastAsia" w:cs="宋体"/>
                <w:color w:val="000000"/>
                <w:sz w:val="21"/>
                <w:szCs w:val="21"/>
              </w:rPr>
              <w:t xml:space="preserve">视 DS-2CD2126FWDV2-IS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11</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网络交换机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H3C 5120V2-52P-LI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12</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POE交换机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H3C S1224-p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13</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录像机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海康威视 DS-8632N-K8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14</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硬盘</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4T</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块</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8</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15</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配线架</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康定贝尔 24口六类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根</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16</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理线架</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根</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r>
      <w:tr>
        <w:trPr>
          <w:trHeight w:val="48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17</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枪式摄像机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海康威视 400W星光级DS-2CD7A47EWD-IZ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w:t>
            </w:r>
            <w:r/>
          </w:p>
        </w:tc>
      </w:tr>
      <w:tr>
        <w:trPr>
          <w:trHeight w:val="48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18</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球机</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海康威视 IDS-2DE7423MX-A/SI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19</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光模块</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博扬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对</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20</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光纤跳线</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3米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条</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21</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网线</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康宁贝尔 六类 中国</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箱</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w:t>
            </w:r>
            <w:r/>
          </w:p>
        </w:tc>
      </w:tr>
      <w:tr>
        <w:trPr>
          <w:trHeight w:val="270"/>
        </w:trPr>
        <w:tc>
          <w:tcPr>
            <w:tcW w:w="56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22</w:t>
            </w:r>
            <w:r/>
          </w:p>
        </w:tc>
        <w:tc>
          <w:tcPr>
            <w:tcW w:w="1838"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辅材</w:t>
            </w:r>
            <w:r/>
          </w:p>
        </w:tc>
        <w:tc>
          <w:tcPr>
            <w:tcW w:w="45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施工辅材</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批</w:t>
            </w:r>
            <w:r/>
          </w:p>
        </w:tc>
        <w:tc>
          <w:tcPr>
            <w:tcW w:w="992"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bl>
    <w:p>
      <w:pPr>
        <w:pStyle w:val="928"/>
        <w:contextualSpacing/>
        <w:ind w:firstLine="420"/>
        <w:spacing w:line="360" w:lineRule="auto"/>
        <w:rPr>
          <w:rFonts w:cs="宋体"/>
          <w:bCs/>
          <w:color w:val="000000"/>
          <w:sz w:val="21"/>
          <w:szCs w:val="21"/>
        </w:rPr>
      </w:pPr>
      <w:r>
        <w:rPr>
          <w:rFonts w:hint="eastAsia" w:cs="宋体"/>
          <w:bCs/>
          <w:color w:val="000000"/>
          <w:sz w:val="21"/>
          <w:szCs w:val="21"/>
        </w:rPr>
        <w:t xml:space="preserve">包括对三个检查站的临时安保、点位迁移、设备维修更换等维护服务</w:t>
      </w:r>
      <w:r>
        <w:rPr>
          <w:rFonts w:cs="宋体"/>
          <w:bCs/>
          <w:color w:val="000000"/>
          <w:sz w:val="21"/>
          <w:szCs w:val="21"/>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雪亮一期过保软硬件设施（含运维平台）</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对雪亮平台雪亮一期主平台过保相关软硬件设施的运维服务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主要包括：</w:t>
      </w:r>
      <w:r/>
    </w:p>
    <w:tbl>
      <w:tblPr>
        <w:tblW w:w="8340" w:type="dxa"/>
        <w:tblInd w:w="93" w:type="dxa"/>
        <w:tblLayout w:type="fixed"/>
        <w:tblCellMar>
          <w:left w:w="15" w:type="dxa"/>
          <w:top w:w="15" w:type="dxa"/>
          <w:right w:w="15" w:type="dxa"/>
          <w:bottom w:w="15" w:type="dxa"/>
        </w:tblCellMar>
        <w:tblLook w:val="04A0" w:firstRow="1" w:lastRow="0" w:firstColumn="1" w:lastColumn="0" w:noHBand="0" w:noVBand="1"/>
      </w:tblPr>
      <w:tblGrid>
        <w:gridCol w:w="540"/>
        <w:gridCol w:w="2565"/>
        <w:gridCol w:w="3525"/>
        <w:gridCol w:w="630"/>
        <w:gridCol w:w="1080"/>
      </w:tblGrid>
      <w:tr>
        <w:trPr>
          <w:trHeight w:val="570"/>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cs="宋体"/>
                <w:color w:val="000000"/>
                <w:sz w:val="21"/>
                <w:szCs w:val="21"/>
              </w:rPr>
            </w:pPr>
            <w:r>
              <w:rPr>
                <w:rFonts w:hint="eastAsia" w:cs="宋体"/>
                <w:color w:val="000000"/>
                <w:sz w:val="21"/>
                <w:szCs w:val="21"/>
              </w:rPr>
              <w:t xml:space="preserve">序号</w:t>
            </w:r>
            <w:r>
              <w:rPr>
                <w:rFonts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设备名称</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品牌型号</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单位</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数量</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视频存储解析系统</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CloudIVS3000SCR</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视频云节点1</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CloudIVS3000SCR</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视</w:t>
            </w:r>
            <w:r>
              <w:rPr>
                <w:rFonts w:hint="eastAsia" w:cs="宋体"/>
                <w:color w:val="000000"/>
                <w:sz w:val="21"/>
                <w:szCs w:val="21"/>
              </w:rPr>
              <w:t xml:space="preserve">频云节点2</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CloudIVS3000SCR</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9</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视频云节点3</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CloudIVS3000SCR</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虚拟化平台</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FusionCube</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服务器接入交换机</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CloudEngine6881-48S6CQ</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7</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服务器管理交换机</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S5720-56C-EI-AC</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8</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设备管理交换机</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S5720-56C-EI-AC</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9</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安全区管理交换机</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S5720-56C-EI-AC</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10</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网管系统</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esight</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11</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监控智能运维</w:t>
            </w:r>
            <w:r>
              <w:rPr>
                <w:rFonts w:hint="eastAsia" w:cs="宋体"/>
                <w:color w:val="000000"/>
                <w:sz w:val="21"/>
                <w:szCs w:val="21"/>
              </w:rPr>
              <w:t xml:space="preserve">系统</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中翔</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12</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智能非现场执法服务器</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2288 V5</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13</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视频联网平台服务器</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IVS3000S</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14</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案事件服务器1</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2288 V5</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15</w:t>
            </w:r>
            <w:r/>
          </w:p>
        </w:tc>
        <w:tc>
          <w:tcPr>
            <w:tcBorders>
              <w:top w:val="single" w:color="000000" w:sz="4" w:space="0"/>
              <w:left w:val="none" w:color="000000" w:sz="4" w:space="0"/>
              <w:bottom w:val="single" w:color="000000" w:sz="4" w:space="0"/>
              <w:right w:val="single" w:color="000000" w:sz="4" w:space="0"/>
            </w:tcBorders>
            <w:tcW w:w="25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案事件服务器2</w:t>
            </w:r>
            <w:r/>
          </w:p>
        </w:tc>
        <w:tc>
          <w:tcPr>
            <w:tcBorders>
              <w:top w:val="single" w:color="000000" w:sz="4" w:space="0"/>
              <w:left w:val="none" w:color="000000" w:sz="4" w:space="0"/>
              <w:bottom w:val="single" w:color="000000" w:sz="4" w:space="0"/>
              <w:right w:val="single" w:color="000000" w:sz="4" w:space="0"/>
            </w:tcBorders>
            <w:tcW w:w="352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华为 2288 V5</w:t>
            </w:r>
            <w:r/>
          </w:p>
        </w:tc>
        <w:tc>
          <w:tcPr>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社会面监控汇聚平台服务及维护服务</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（一）主要内容：</w:t>
      </w:r>
      <w:r/>
    </w:p>
    <w:p>
      <w:pPr>
        <w:pStyle w:val="928"/>
        <w:contextualSpacing/>
        <w:ind w:firstLine="420"/>
        <w:spacing w:line="360" w:lineRule="auto"/>
        <w:rPr>
          <w:rFonts w:cs="宋体"/>
          <w:bCs/>
          <w:color w:val="000000"/>
          <w:sz w:val="21"/>
          <w:szCs w:val="21"/>
        </w:rPr>
      </w:pPr>
      <w:r>
        <w:rPr>
          <w:rFonts w:hint="eastAsia" w:cs="宋体"/>
          <w:bCs/>
          <w:color w:val="000000"/>
          <w:sz w:val="21"/>
          <w:szCs w:val="21"/>
        </w:rPr>
        <w:t xml:space="preserve">对太仓市社会面监控接入平台提供平台建设虚机资源服务，平台管理服务，日常维护服务，社会面监控接入服务等。</w:t>
      </w:r>
      <w:r>
        <w:rPr>
          <w:rFonts w:cs="宋体"/>
          <w:bCs/>
          <w:color w:val="000000"/>
          <w:sz w:val="21"/>
          <w:szCs w:val="21"/>
        </w:rPr>
      </w:r>
      <w:r/>
    </w:p>
    <w:p>
      <w:pPr>
        <w:pStyle w:val="928"/>
        <w:contextualSpacing/>
        <w:ind w:firstLine="420"/>
        <w:spacing w:line="360" w:lineRule="auto"/>
        <w:rPr>
          <w:rFonts w:cs="宋体"/>
          <w:bCs/>
          <w:color w:val="000000"/>
          <w:sz w:val="21"/>
          <w:szCs w:val="21"/>
        </w:rPr>
      </w:pPr>
      <w:r>
        <w:rPr>
          <w:rFonts w:hint="eastAsia" w:cs="宋体"/>
          <w:bCs/>
          <w:color w:val="000000"/>
          <w:sz w:val="21"/>
          <w:szCs w:val="21"/>
        </w:rPr>
        <w:t xml:space="preserve">在前期租赁项目基础上，继续向太仓市信息港发展有限公司租赁社会面监控汇聚服务，主要汇聚各部委办局和全</w:t>
      </w:r>
      <w:r>
        <w:rPr>
          <w:rFonts w:hint="eastAsia" w:cs="宋体"/>
          <w:bCs/>
          <w:color w:val="000000"/>
          <w:sz w:val="21"/>
          <w:szCs w:val="21"/>
        </w:rPr>
        <w:t xml:space="preserve">市小区监控视频至政法委“太仓市公共安全视频共享平台”，并在此基础上增加提供二、三类点位一机一档维护服务。</w:t>
      </w:r>
      <w:r>
        <w:rPr>
          <w:rFonts w:cs="宋体"/>
          <w:bCs/>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社会资源汇聚平台用于汇聚各部委办局的二类监控和来自社会其他行业的三类视频监控点位，并接入视频图像共享交换平台。三类视频监控点主要安装在一般企事业单位、住宅小区、普通场所、商户等，如居民小区出入口、主要道路、停车场、健身休闲区等重要部位安装的监控点位，歌舞娱乐、电影院线、电子游艺、网吧网咖、旅馆、博物馆、档案馆、图书馆、运动场所等出入口、安全通道及其他重要部位安装的监控点位，宾馆、酒店、商城、超市等出入口、大厅、重要通道、收银区域、安全通道、停车场及其他要害部位安装的监控点位。</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社会面资源建设分散、类型繁多、协议多样，同时，建设方式也有所不同。根据网域分，有些建设在互联网下，有些建设在行业私有网络下；根据平台来分，规模大一些的单位会建设监控平台，小商户或小单位通常没有监控平台，所以，针对不同的场景应该有不同的整合方式。</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（二）服务清单</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主要包括以下内容：</w:t>
      </w:r>
      <w:r/>
    </w:p>
    <w:tbl>
      <w:tblPr>
        <w:tblW w:w="9498" w:type="dxa"/>
        <w:tblInd w:w="108" w:type="dxa"/>
        <w:tblLayout w:type="fixed"/>
        <w:tblCellMar>
          <w:left w:w="108" w:type="dxa"/>
          <w:top w:w="0" w:type="dxa"/>
          <w:right w:w="108" w:type="dxa"/>
          <w:bottom w:w="0" w:type="dxa"/>
        </w:tblCellMar>
        <w:tblLook w:val="04A0" w:firstRow="1" w:lastRow="0" w:firstColumn="1" w:lastColumn="0" w:noHBand="0" w:noVBand="1"/>
      </w:tblPr>
      <w:tblGrid>
        <w:gridCol w:w="851"/>
        <w:gridCol w:w="2410"/>
        <w:gridCol w:w="6237"/>
      </w:tblGrid>
      <w:tr>
        <w:trPr>
          <w:trHeight w:val="39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项目</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描述</w:t>
            </w:r>
            <w:r/>
          </w:p>
        </w:tc>
      </w:tr>
      <w:tr>
        <w:trPr>
          <w:trHeight w:val="39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汇聚平台组网服务</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spacing w:line="360" w:lineRule="auto"/>
              <w:widowControl/>
              <w:rPr>
                <w:rFonts w:hint="eastAsia"/>
                <w:color w:val="000000"/>
                <w:sz w:val="21"/>
                <w:szCs w:val="21"/>
              </w:rPr>
            </w:pPr>
            <w:r>
              <w:rPr>
                <w:rFonts w:hint="eastAsia"/>
                <w:color w:val="000000"/>
                <w:sz w:val="21"/>
                <w:szCs w:val="21"/>
              </w:rPr>
              <w:t xml:space="preserve">视频网核心交换机及接入防火墙租赁组网服务</w:t>
            </w:r>
            <w:r/>
          </w:p>
        </w:tc>
      </w:tr>
      <w:tr>
        <w:trPr>
          <w:trHeight w:val="39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云服务器租赁服务</w:t>
            </w:r>
            <w:r/>
          </w:p>
        </w:tc>
        <w:tc>
          <w:tcPr>
            <w:tcBorders>
              <w:top w:val="non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spacing w:line="360" w:lineRule="auto"/>
              <w:widowControl/>
              <w:rPr>
                <w:rFonts w:hint="eastAsia"/>
                <w:color w:val="000000"/>
                <w:sz w:val="21"/>
                <w:szCs w:val="21"/>
              </w:rPr>
            </w:pPr>
            <w:r>
              <w:rPr>
                <w:rFonts w:hint="eastAsia"/>
                <w:color w:val="000000"/>
                <w:sz w:val="21"/>
                <w:szCs w:val="21"/>
              </w:rPr>
              <w:t xml:space="preserve">社会面视频汇聚平台云服务器不少于10台（须满足</w:t>
            </w:r>
            <w:r>
              <w:rPr>
                <w:rFonts w:hint="eastAsia"/>
                <w:color w:val="000000"/>
                <w:sz w:val="21"/>
                <w:szCs w:val="21"/>
              </w:rPr>
              <w:t xml:space="preserve">社会面1500个单位、5万路视频汇聚接入容量）</w:t>
            </w:r>
            <w:r/>
          </w:p>
        </w:tc>
      </w:tr>
      <w:tr>
        <w:trPr>
          <w:trHeight w:val="39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社会面资源汇聚服务</w:t>
            </w:r>
            <w:r/>
          </w:p>
        </w:tc>
        <w:tc>
          <w:tcPr>
            <w:tcBorders>
              <w:top w:val="non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spacing w:line="360" w:lineRule="auto"/>
              <w:widowControl/>
              <w:rPr>
                <w:rFonts w:hint="eastAsia"/>
                <w:color w:val="000000"/>
                <w:sz w:val="21"/>
                <w:szCs w:val="21"/>
              </w:rPr>
            </w:pPr>
            <w:r>
              <w:rPr>
                <w:rFonts w:hint="eastAsia"/>
                <w:color w:val="000000"/>
                <w:sz w:val="21"/>
                <w:szCs w:val="21"/>
              </w:rPr>
              <w:t xml:space="preserve">汇聚各部委办局和全市小区监控视频至政法委“太仓市公共安全视频共享平台”，社会面监控资源汇聚平台维护各监控接入点位巡检、维修服务</w:t>
            </w:r>
            <w:r/>
          </w:p>
        </w:tc>
      </w:tr>
      <w:tr>
        <w:trPr>
          <w:trHeight w:val="39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一机一档</w:t>
            </w:r>
            <w:r/>
          </w:p>
          <w:p>
            <w:pPr>
              <w:pStyle w:val="928"/>
              <w:jc w:val="center"/>
              <w:widowControl/>
              <w:rPr>
                <w:rFonts w:hint="eastAsia"/>
                <w:color w:val="000000"/>
                <w:sz w:val="21"/>
                <w:szCs w:val="21"/>
              </w:rPr>
            </w:pPr>
            <w:r>
              <w:rPr>
                <w:rFonts w:hint="eastAsia"/>
                <w:color w:val="000000"/>
                <w:sz w:val="21"/>
                <w:szCs w:val="21"/>
              </w:rPr>
              <w:t xml:space="preserve">维护服务</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spacing w:line="360" w:lineRule="auto"/>
              <w:widowControl/>
              <w:rPr>
                <w:rFonts w:hint="eastAsia"/>
                <w:color w:val="000000"/>
                <w:sz w:val="21"/>
                <w:szCs w:val="21"/>
              </w:rPr>
            </w:pPr>
            <w:r>
              <w:rPr>
                <w:rFonts w:hint="eastAsia"/>
                <w:color w:val="000000"/>
                <w:sz w:val="21"/>
                <w:szCs w:val="21"/>
              </w:rPr>
              <w:t xml:space="preserve">提供二、三类点位一机一档维护服务</w:t>
            </w:r>
            <w:r/>
          </w:p>
        </w:tc>
      </w:tr>
    </w:tbl>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1、汇聚平台组网服务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本项目通过租赁运营商专线，采用三层汇聚交换机，把各部委办局和社会面监控平台、监控资源通过汇聚交换机及防火墙接入市电子政务外网，再共享整合到政法委“太仓市公共安全视频共享平台”，最后共享至公安视频专网视频监控平台。</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2、云服务器租赁服务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2.1服务器配置清单</w:t>
      </w:r>
      <w:r/>
    </w:p>
    <w:tbl>
      <w:tblPr>
        <w:tblW w:w="9924"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08"/>
        <w:gridCol w:w="1796"/>
        <w:gridCol w:w="4209"/>
        <w:gridCol w:w="850"/>
        <w:gridCol w:w="851"/>
      </w:tblGrid>
      <w:tr>
        <w:trPr>
          <w:trHeight w:val="650"/>
        </w:trPr>
        <w:tc>
          <w:tcPr>
            <w:shd w:val="clear" w:color="auto" w:fill="ffffff"/>
            <w:tcW w:w="71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序号</w:t>
            </w:r>
            <w:r/>
          </w:p>
        </w:tc>
        <w:tc>
          <w:tcPr>
            <w:shd w:val="clear" w:color="auto" w:fill="ffffff"/>
            <w:tcW w:w="1508"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名称</w:t>
            </w:r>
            <w:r/>
          </w:p>
        </w:tc>
        <w:tc>
          <w:tcPr>
            <w:shd w:val="clear" w:color="auto" w:fill="ffffff"/>
            <w:tcW w:w="1796"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技术规格</w:t>
            </w:r>
            <w:r/>
          </w:p>
        </w:tc>
        <w:tc>
          <w:tcPr>
            <w:shd w:val="clear" w:color="auto" w:fill="ffffff"/>
            <w:tcW w:w="4209"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配置说明</w:t>
            </w:r>
            <w:r/>
          </w:p>
        </w:tc>
        <w:tc>
          <w:tcPr>
            <w:shd w:val="clear" w:color="auto" w:fill="ffffff"/>
            <w:tcW w:w="85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单位</w:t>
            </w:r>
            <w:r/>
          </w:p>
        </w:tc>
        <w:tc>
          <w:tcPr>
            <w:shd w:val="clear" w:color="auto" w:fill="ffffff"/>
            <w:tcW w:w="851"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数量</w:t>
            </w:r>
            <w:r/>
          </w:p>
        </w:tc>
      </w:tr>
      <w:tr>
        <w:trPr>
          <w:trHeight w:val="297"/>
        </w:trPr>
        <w:tc>
          <w:tcPr>
            <w:shd w:val="clear" w:color="auto" w:fill="ffffff"/>
            <w:tcW w:w="71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1</w:t>
            </w:r>
            <w:r/>
          </w:p>
        </w:tc>
        <w:tc>
          <w:tcPr>
            <w:shd w:val="clear" w:color="auto" w:fill="ffffff"/>
            <w:tcW w:w="1508"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智能应用服务器</w:t>
            </w:r>
            <w:r/>
          </w:p>
        </w:tc>
        <w:tc>
          <w:tcPr>
            <w:shd w:val="clear" w:color="auto" w:fill="ffffff"/>
            <w:tcW w:w="1796"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32vCPU/64GB内存/1000GB硬盘/1*GE</w:t>
            </w:r>
            <w:r/>
          </w:p>
        </w:tc>
        <w:tc>
          <w:tcPr>
            <w:shd w:val="clear" w:color="auto" w:fill="ffffff"/>
            <w:tcW w:w="4209" w:type="dxa"/>
            <w:vAlign w:val="center"/>
            <w:textDirection w:val="lrTb"/>
            <w:noWrap w:val="false"/>
          </w:tcPr>
          <w:p>
            <w:pPr>
              <w:pStyle w:val="928"/>
              <w:spacing w:line="360" w:lineRule="auto"/>
              <w:widowControl/>
              <w:rPr>
                <w:rFonts w:hint="eastAsia" w:cs="宋体"/>
                <w:color w:val="000000"/>
                <w:sz w:val="21"/>
                <w:szCs w:val="21"/>
              </w:rPr>
            </w:pPr>
            <w:r>
              <w:rPr>
                <w:rFonts w:hint="eastAsia" w:cs="宋体"/>
                <w:color w:val="000000"/>
                <w:sz w:val="21"/>
                <w:szCs w:val="21"/>
              </w:rPr>
              <w:t xml:space="preserve">1、配置指导：单平台配置1台</w:t>
              <w:br w:type="textWrapping" w:clear="all"/>
              <w:t xml:space="preserve">2、部署模块：查询中心组件(isearch)、地图应用组件(imap)、视频应用组件(bvideo)、插件助手(btools)、布控报警应用(balarm)、移动客户端(bmobile)、暂存架(ishelf)、各类智能应用组件</w:t>
              <w:br w:type="textWrapping" w:clear="all"/>
              <w:t xml:space="preserve">3、操作系统：海康版linux操作系统Centos7.4</w:t>
              <w:br w:type="textWrapping" w:clear="all"/>
              <w:t xml:space="preserve">4、支持5万路，100用户并发登录，同时</w:t>
            </w:r>
            <w:r>
              <w:rPr>
                <w:rFonts w:hint="eastAsia" w:cs="宋体"/>
                <w:color w:val="000000"/>
                <w:sz w:val="21"/>
                <w:szCs w:val="21"/>
              </w:rPr>
              <w:t xml:space="preserve">在线2000用户。</w:t>
            </w:r>
            <w:r/>
          </w:p>
        </w:tc>
        <w:tc>
          <w:tcPr>
            <w:shd w:val="clear" w:color="auto" w:fill="ffffff"/>
            <w:tcW w:w="85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台</w:t>
            </w:r>
            <w:r/>
          </w:p>
        </w:tc>
        <w:tc>
          <w:tcPr>
            <w:shd w:val="clear" w:color="auto" w:fill="ffffff"/>
            <w:tcW w:w="851"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1</w:t>
            </w:r>
            <w:r/>
          </w:p>
        </w:tc>
      </w:tr>
      <w:tr>
        <w:trPr>
          <w:trHeight w:val="595"/>
        </w:trPr>
        <w:tc>
          <w:tcPr>
            <w:shd w:val="clear" w:color="auto" w:fill="ffffff"/>
            <w:tcW w:w="71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2</w:t>
            </w:r>
            <w:r/>
          </w:p>
        </w:tc>
        <w:tc>
          <w:tcPr>
            <w:shd w:val="clear" w:color="auto" w:fill="ffffff"/>
            <w:tcW w:w="1508"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智能应用管理服务器</w:t>
            </w:r>
            <w:r/>
          </w:p>
        </w:tc>
        <w:tc>
          <w:tcPr>
            <w:shd w:val="clear" w:color="auto" w:fill="ffffff"/>
            <w:tcW w:w="1796"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32vCPU/64GB内存/1000GB硬盘/1*GE</w:t>
            </w:r>
            <w:r/>
          </w:p>
        </w:tc>
        <w:tc>
          <w:tcPr>
            <w:shd w:val="clear" w:color="auto" w:fill="ffffff"/>
            <w:tcW w:w="4209" w:type="dxa"/>
            <w:vAlign w:val="center"/>
            <w:textDirection w:val="lrTb"/>
            <w:noWrap w:val="false"/>
          </w:tcPr>
          <w:p>
            <w:pPr>
              <w:pStyle w:val="928"/>
              <w:spacing w:line="360" w:lineRule="auto"/>
              <w:widowControl/>
              <w:rPr>
                <w:rFonts w:hint="eastAsia" w:cs="宋体"/>
                <w:color w:val="000000"/>
                <w:sz w:val="21"/>
                <w:szCs w:val="21"/>
              </w:rPr>
            </w:pPr>
            <w:r>
              <w:rPr>
                <w:rFonts w:hint="eastAsia" w:cs="宋体"/>
                <w:color w:val="000000"/>
                <w:sz w:val="21"/>
                <w:szCs w:val="21"/>
              </w:rPr>
              <w:t xml:space="preserve">1、配置指导：单平台配置1台</w:t>
              <w:br w:type="textWrapping" w:clear="all"/>
              <w:t xml:space="preserve">2、部署模块：业务字典组件(xdictionary)、业务资源检索(xres)、业务权</w:t>
            </w:r>
            <w:r>
              <w:rPr>
                <w:rFonts w:hint="eastAsia" w:cs="宋体"/>
                <w:color w:val="000000"/>
                <w:sz w:val="21"/>
                <w:szCs w:val="21"/>
              </w:rPr>
              <w:t xml:space="preserve">限组件(xauth)、报警引擎组件(xalarm)、业务适配组件(xadaptor)、业务资源管理(xresmgr)、应用配置组件(xconfig)、业务任务组件(xjob)、业务执行代理(xtrigger)、JRE(jre18linux64)、tomcat(tomcat85linux64)、注册中心（consul）、简单文件存储（minio）、Active消息(activemq)、Rabbit消息(rabbitmq)、集群代理服务(cluster)</w:t>
              <w:br/>
              <w:t xml:space="preserve">3、操作系统：海康版linux操作系统Centos7.4</w:t>
            </w:r>
            <w:r/>
          </w:p>
        </w:tc>
        <w:tc>
          <w:tcPr>
            <w:shd w:val="clear" w:color="auto" w:fill="ffffff"/>
            <w:tcW w:w="85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台</w:t>
            </w:r>
            <w:r/>
          </w:p>
        </w:tc>
        <w:tc>
          <w:tcPr>
            <w:shd w:val="clear" w:color="auto" w:fill="ffffff"/>
            <w:tcW w:w="851"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1</w:t>
            </w:r>
            <w:r/>
          </w:p>
        </w:tc>
      </w:tr>
      <w:tr>
        <w:trPr>
          <w:trHeight w:val="595"/>
        </w:trPr>
        <w:tc>
          <w:tcPr>
            <w:shd w:val="clear" w:color="auto" w:fill="ffffff"/>
            <w:tcW w:w="71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3</w:t>
            </w:r>
            <w:r/>
          </w:p>
        </w:tc>
        <w:tc>
          <w:tcPr>
            <w:shd w:val="clear" w:color="auto" w:fill="ffffff"/>
            <w:tcW w:w="1508"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核心服务/资源管理调度平台服务器</w:t>
            </w:r>
            <w:r/>
          </w:p>
        </w:tc>
        <w:tc>
          <w:tcPr>
            <w:shd w:val="clear" w:color="auto" w:fill="ffffff"/>
            <w:tcW w:w="1796"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32vCPU/64GB内存/1000GB硬盘/1*GE</w:t>
            </w:r>
            <w:r/>
          </w:p>
        </w:tc>
        <w:tc>
          <w:tcPr>
            <w:shd w:val="clear" w:color="auto" w:fill="ffffff"/>
            <w:tcW w:w="4209" w:type="dxa"/>
            <w:vAlign w:val="center"/>
            <w:textDirection w:val="lrTb"/>
            <w:noWrap w:val="false"/>
          </w:tcPr>
          <w:p>
            <w:pPr>
              <w:pStyle w:val="928"/>
              <w:spacing w:line="360" w:lineRule="auto"/>
              <w:widowControl/>
              <w:rPr>
                <w:rFonts w:hint="eastAsia" w:cs="宋体"/>
                <w:color w:val="000000"/>
                <w:sz w:val="21"/>
                <w:szCs w:val="21"/>
              </w:rPr>
            </w:pPr>
            <w:r>
              <w:rPr>
                <w:rFonts w:hint="eastAsia" w:cs="宋体"/>
                <w:color w:val="000000"/>
                <w:sz w:val="21"/>
                <w:szCs w:val="21"/>
              </w:rPr>
              <w:t xml:space="preserve">1、配置指导：单平台配置1台</w:t>
              <w:br w:type="textWrapping" w:clear="all"/>
              <w:t xml:space="preserve">2、部署模块：智能业务执行(ait)、智能任务管理(aim)、智能调度(ais)、智能调度数据源(aid)、资源管理调度集成(edm)、边缘域管理(e</w:t>
            </w:r>
            <w:r>
              <w:rPr>
                <w:rFonts w:hint="eastAsia" w:cs="宋体"/>
                <w:color w:val="000000"/>
                <w:sz w:val="21"/>
                <w:szCs w:val="21"/>
              </w:rPr>
              <w:t xml:space="preserve">nsv)、计算资源管理调度(cac)、核心服务(bic)、授时服务(ntp)、采集上报(reportservice)、消息推送(mps)、缓存服务(redis)、门户(portal)、移动服务平台(xmobile)、地图通用服务(xmap)、海康地理信息系统(hgis)</w:t>
              <w:br w:type="textWrapping" w:clear="all"/>
              <w:t xml:space="preserve">3、操作系统：海康版linux操作系统Centos7.4</w:t>
            </w:r>
            <w:r/>
          </w:p>
        </w:tc>
        <w:tc>
          <w:tcPr>
            <w:shd w:val="clear" w:color="auto" w:fill="ffffff"/>
            <w:tcW w:w="85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台</w:t>
            </w:r>
            <w:r/>
          </w:p>
        </w:tc>
        <w:tc>
          <w:tcPr>
            <w:shd w:val="clear" w:color="auto" w:fill="ffffff"/>
            <w:tcW w:w="851"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1</w:t>
            </w:r>
            <w:r/>
          </w:p>
        </w:tc>
      </w:tr>
      <w:tr>
        <w:trPr>
          <w:trHeight w:val="595"/>
        </w:trPr>
        <w:tc>
          <w:tcPr>
            <w:shd w:val="clear" w:color="auto" w:fill="ffffff"/>
            <w:tcW w:w="71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4</w:t>
            </w:r>
            <w:r/>
          </w:p>
        </w:tc>
        <w:tc>
          <w:tcPr>
            <w:shd w:val="clear" w:color="auto" w:fill="ffffff"/>
            <w:tcW w:w="1508"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数据库/存储及电视墙管理服务器</w:t>
            </w:r>
            <w:r/>
          </w:p>
        </w:tc>
        <w:tc>
          <w:tcPr>
            <w:shd w:val="clear" w:color="auto" w:fill="ffffff"/>
            <w:tcW w:w="1796"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32vCPU/64GB内存/1000GB硬盘/1*GE</w:t>
            </w:r>
            <w:r/>
          </w:p>
        </w:tc>
        <w:tc>
          <w:tcPr>
            <w:shd w:val="clear" w:color="auto" w:fill="ffffff"/>
            <w:tcW w:w="4209" w:type="dxa"/>
            <w:vAlign w:val="center"/>
            <w:textDirection w:val="lrTb"/>
            <w:noWrap w:val="false"/>
          </w:tcPr>
          <w:p>
            <w:pPr>
              <w:pStyle w:val="928"/>
              <w:spacing w:line="360" w:lineRule="auto"/>
              <w:widowControl/>
              <w:rPr>
                <w:rFonts w:hint="eastAsia" w:cs="宋体"/>
                <w:color w:val="000000"/>
                <w:sz w:val="21"/>
                <w:szCs w:val="21"/>
              </w:rPr>
            </w:pPr>
            <w:r>
              <w:rPr>
                <w:rFonts w:hint="eastAsia" w:cs="宋体"/>
                <w:color w:val="000000"/>
                <w:sz w:val="21"/>
                <w:szCs w:val="21"/>
              </w:rPr>
              <w:t xml:space="preserve">1、配置指导：单平台配置1台</w:t>
              <w:br w:type="textWrapping" w:clear="all"/>
              <w:t xml:space="preserve">2、tvms组件每管理10个电视墙（解码设备上限127个）增加一台服务器</w:t>
              <w:br w:type="textWrapping" w:clear="all"/>
              <w:t xml:space="preserve">3、部署模块：存储接入组件(sac)、联网共享组件(vn</w:t>
            </w:r>
            <w:r>
              <w:rPr>
                <w:rFonts w:hint="eastAsia" w:cs="宋体"/>
                <w:color w:val="000000"/>
                <w:sz w:val="21"/>
                <w:szCs w:val="21"/>
              </w:rPr>
              <w:t xml:space="preserve">sc)、电视墙组件（tvms）、短信代理服务(smsps)、邮件服务器(mailps)</w:t>
              <w:br w:type="textWrapping" w:clear="all"/>
              <w:t xml:space="preserve">4、操作系统：需另外安装海康版linux操作系统Centos7.4</w:t>
            </w:r>
            <w:r/>
          </w:p>
        </w:tc>
        <w:tc>
          <w:tcPr>
            <w:shd w:val="clear" w:color="auto" w:fill="ffffff"/>
            <w:tcW w:w="85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台</w:t>
            </w:r>
            <w:r/>
          </w:p>
        </w:tc>
        <w:tc>
          <w:tcPr>
            <w:shd w:val="clear" w:color="auto" w:fill="ffffff"/>
            <w:tcW w:w="851"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1</w:t>
            </w:r>
            <w:r/>
          </w:p>
        </w:tc>
      </w:tr>
      <w:tr>
        <w:trPr>
          <w:trHeight w:val="595"/>
        </w:trPr>
        <w:tc>
          <w:tcPr>
            <w:shd w:val="clear" w:color="auto" w:fill="ffffff"/>
            <w:tcW w:w="71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5</w:t>
            </w:r>
            <w:r/>
          </w:p>
        </w:tc>
        <w:tc>
          <w:tcPr>
            <w:shd w:val="clear" w:color="auto" w:fill="ffffff"/>
            <w:tcW w:w="1508"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设备接入/视频点播服务器</w:t>
            </w:r>
            <w:r/>
          </w:p>
        </w:tc>
        <w:tc>
          <w:tcPr>
            <w:shd w:val="clear" w:color="auto" w:fill="ffffff"/>
            <w:tcW w:w="1796"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16vCPU/16GB内存/100GB硬盘/1*GE</w:t>
            </w:r>
            <w:r/>
          </w:p>
        </w:tc>
        <w:tc>
          <w:tcPr>
            <w:shd w:val="clear" w:color="auto" w:fill="ffffff"/>
            <w:tcW w:w="4209" w:type="dxa"/>
            <w:vAlign w:val="center"/>
            <w:textDirection w:val="lrTb"/>
            <w:noWrap w:val="false"/>
          </w:tcPr>
          <w:p>
            <w:pPr>
              <w:pStyle w:val="928"/>
              <w:spacing w:line="360" w:lineRule="auto"/>
              <w:widowControl/>
              <w:rPr>
                <w:rFonts w:hint="eastAsia" w:cs="宋体"/>
                <w:color w:val="000000"/>
                <w:sz w:val="21"/>
                <w:szCs w:val="21"/>
              </w:rPr>
            </w:pPr>
            <w:r>
              <w:rPr>
                <w:rFonts w:hint="eastAsia" w:cs="宋体"/>
                <w:color w:val="000000"/>
                <w:sz w:val="21"/>
                <w:szCs w:val="21"/>
              </w:rPr>
              <w:t xml:space="preserve">1、配置指导：每5000台监控设备/10000视频通道增加1台服务器</w:t>
              <w:br w:type="textWrapping" w:clear="all"/>
              <w:t xml:space="preserve">2、部署模块：设备接入组件(dac)、视频点播组件(vod)，需要设置独占带宽（1Gbps）</w:t>
              <w:br w:type="textWrapping" w:clear="all"/>
              <w:t xml:space="preserve">3、单台在千兆网络</w:t>
            </w:r>
            <w:r>
              <w:rPr>
                <w:rFonts w:hint="eastAsia" w:cs="宋体"/>
                <w:color w:val="000000"/>
                <w:sz w:val="21"/>
                <w:szCs w:val="21"/>
              </w:rPr>
              <w:t xml:space="preserve">环境下支持150路4M码流并发取流/或75路8M码流并发取流/或300路2M码流并发取流/或600路1M码流并发取流；并发处理1000条/秒无图报警事件。</w:t>
              <w:br w:type="textWrapping" w:clear="all"/>
              <w:t xml:space="preserve">4、操作系统：海康版linux操作系统Centos7.4</w:t>
            </w:r>
            <w:r/>
          </w:p>
        </w:tc>
        <w:tc>
          <w:tcPr>
            <w:shd w:val="clear" w:color="auto" w:fill="ffffff"/>
            <w:tcW w:w="85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台</w:t>
            </w:r>
            <w:r/>
          </w:p>
        </w:tc>
        <w:tc>
          <w:tcPr>
            <w:shd w:val="clear" w:color="auto" w:fill="ffffff"/>
            <w:tcW w:w="851"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4</w:t>
            </w:r>
            <w:r/>
          </w:p>
        </w:tc>
      </w:tr>
      <w:tr>
        <w:trPr>
          <w:trHeight w:val="595"/>
        </w:trPr>
        <w:tc>
          <w:tcPr>
            <w:shd w:val="clear" w:color="auto" w:fill="ffffff"/>
            <w:tcW w:w="71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6</w:t>
            </w:r>
            <w:r/>
          </w:p>
        </w:tc>
        <w:tc>
          <w:tcPr>
            <w:shd w:val="clear" w:color="auto" w:fill="ffffff"/>
            <w:tcW w:w="1508"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联网网关服务器</w:t>
            </w:r>
            <w:r/>
          </w:p>
        </w:tc>
        <w:tc>
          <w:tcPr>
            <w:shd w:val="clear" w:color="auto" w:fill="ffffff"/>
            <w:tcW w:w="1796"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16vCPU/16GB内存/1000GB硬盘/1*GE</w:t>
            </w:r>
            <w:r/>
          </w:p>
        </w:tc>
        <w:tc>
          <w:tcPr>
            <w:shd w:val="clear" w:color="auto" w:fill="ffffff"/>
            <w:tcW w:w="4209" w:type="dxa"/>
            <w:vAlign w:val="center"/>
            <w:textDirection w:val="lrTb"/>
            <w:noWrap w:val="false"/>
          </w:tcPr>
          <w:p>
            <w:pPr>
              <w:pStyle w:val="928"/>
              <w:spacing w:line="360" w:lineRule="auto"/>
              <w:widowControl/>
              <w:rPr>
                <w:rFonts w:hint="eastAsia" w:cs="宋体"/>
                <w:color w:val="000000"/>
                <w:sz w:val="21"/>
                <w:szCs w:val="21"/>
              </w:rPr>
            </w:pPr>
            <w:r>
              <w:rPr>
                <w:rFonts w:hint="eastAsia" w:cs="宋体"/>
                <w:color w:val="000000"/>
                <w:sz w:val="21"/>
                <w:szCs w:val="21"/>
              </w:rPr>
              <w:t xml:space="preserve">1、配置指导：每20万个下级级联监控点或每10万个向上级级联监控点的管理增加1台服务器(需满足第3点中数据并发量的限制）</w:t>
              <w:br w:type="textWrapping" w:clear="all"/>
              <w:t xml:space="preserve">2、部署模块：联网网关组件(ncg)，需要设置独占带宽（1Gbps）</w:t>
              <w:br w:type="textWrapping" w:clear="all"/>
              <w:t xml:space="preserve">3、单台在千兆网络环境下可同时提供:150路4Mb码流并发取流/或75路8Mb码流并发取流/或300路2Mb码流取流/或600路1Mb码流取流</w:t>
              <w:br w:type="textWrapping" w:clear="all"/>
              <w:t xml:space="preserve">4、操作系统：海康版linux操作系统Centos7.4</w:t>
            </w:r>
            <w:r/>
          </w:p>
        </w:tc>
        <w:tc>
          <w:tcPr>
            <w:shd w:val="clear" w:color="auto" w:fill="ffffff"/>
            <w:tcW w:w="85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台</w:t>
            </w:r>
            <w:r/>
          </w:p>
        </w:tc>
        <w:tc>
          <w:tcPr>
            <w:shd w:val="clear" w:color="auto" w:fill="ffffff"/>
            <w:tcW w:w="851"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1</w:t>
            </w:r>
            <w:r/>
          </w:p>
        </w:tc>
      </w:tr>
      <w:tr>
        <w:trPr>
          <w:trHeight w:val="595"/>
        </w:trPr>
        <w:tc>
          <w:tcPr>
            <w:shd w:val="clear" w:color="auto" w:fill="ffffff"/>
            <w:tcW w:w="71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7</w:t>
            </w:r>
            <w:r/>
          </w:p>
        </w:tc>
        <w:tc>
          <w:tcPr>
            <w:shd w:val="clear" w:color="auto" w:fill="ffffff"/>
            <w:tcW w:w="1508"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视频运维/日志/数据检索服务器</w:t>
            </w:r>
            <w:r/>
          </w:p>
        </w:tc>
        <w:tc>
          <w:tcPr>
            <w:shd w:val="clear" w:color="auto" w:fill="ffffff"/>
            <w:tcW w:w="1796" w:type="dxa"/>
            <w:vAlign w:val="center"/>
            <w:textDirection w:val="lrTb"/>
            <w:noWrap w:val="false"/>
          </w:tcPr>
          <w:p>
            <w:pPr>
              <w:pStyle w:val="928"/>
              <w:widowControl/>
              <w:rPr>
                <w:rFonts w:hint="eastAsia" w:cs="宋体"/>
                <w:bCs/>
                <w:color w:val="000000"/>
                <w:sz w:val="21"/>
                <w:szCs w:val="21"/>
              </w:rPr>
            </w:pPr>
            <w:r>
              <w:rPr>
                <w:rFonts w:hint="eastAsia" w:cs="宋体"/>
                <w:bCs/>
                <w:color w:val="000000"/>
                <w:sz w:val="21"/>
                <w:szCs w:val="21"/>
              </w:rPr>
              <w:t xml:space="preserve">32vCPU/64GB内存/1500GB硬盘/1*GE</w:t>
            </w:r>
            <w:r/>
          </w:p>
        </w:tc>
        <w:tc>
          <w:tcPr>
            <w:shd w:val="clear" w:color="auto" w:fill="ffffff"/>
            <w:tcW w:w="4209" w:type="dxa"/>
            <w:vAlign w:val="center"/>
            <w:textDirection w:val="lrTb"/>
            <w:noWrap w:val="false"/>
          </w:tcPr>
          <w:p>
            <w:pPr>
              <w:pStyle w:val="928"/>
              <w:spacing w:line="360" w:lineRule="auto"/>
              <w:widowControl/>
              <w:rPr>
                <w:rFonts w:hint="eastAsia" w:cs="宋体"/>
                <w:color w:val="000000"/>
                <w:sz w:val="21"/>
                <w:szCs w:val="21"/>
              </w:rPr>
            </w:pPr>
            <w:r>
              <w:rPr>
                <w:rFonts w:hint="eastAsia" w:cs="宋体"/>
                <w:color w:val="000000"/>
                <w:sz w:val="21"/>
                <w:szCs w:val="21"/>
              </w:rPr>
              <w:t xml:space="preserve">1、部署模块：检索服务组件（elasticsearch）、日志服务（logservice）、视频网管组件（nms、paf）</w:t>
              <w:br w:type="textWrapping" w:clear="all"/>
              <w:t xml:space="preserve">2、操作系统：需另外安装海康版linux操作系统Centos7.4</w:t>
              <w:br w:type="textWrapping" w:clear="all"/>
              <w:t xml:space="preserve">3、每个平台配置1台服务器</w:t>
            </w:r>
            <w:r/>
          </w:p>
        </w:tc>
        <w:tc>
          <w:tcPr>
            <w:shd w:val="clear" w:color="auto" w:fill="ffffff"/>
            <w:tcW w:w="850"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台</w:t>
            </w:r>
            <w:r/>
          </w:p>
        </w:tc>
        <w:tc>
          <w:tcPr>
            <w:shd w:val="clear" w:color="auto" w:fill="ffffff"/>
            <w:tcW w:w="851" w:type="dxa"/>
            <w:vAlign w:val="center"/>
            <w:textDirection w:val="lrTb"/>
            <w:noWrap w:val="false"/>
          </w:tcPr>
          <w:p>
            <w:pPr>
              <w:pStyle w:val="928"/>
              <w:jc w:val="center"/>
              <w:widowControl/>
              <w:rPr>
                <w:rFonts w:hint="eastAsia" w:cs="宋体"/>
                <w:bCs/>
                <w:color w:val="000000"/>
                <w:sz w:val="21"/>
                <w:szCs w:val="21"/>
              </w:rPr>
            </w:pPr>
            <w:r>
              <w:rPr>
                <w:rFonts w:hint="eastAsia" w:cs="宋体"/>
                <w:bCs/>
                <w:color w:val="000000"/>
                <w:sz w:val="21"/>
                <w:szCs w:val="21"/>
              </w:rPr>
              <w:t xml:space="preserve">1</w:t>
            </w:r>
            <w:r/>
          </w:p>
        </w:tc>
      </w:tr>
    </w:tbl>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2.2服务要求</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（1）可移植性及开放性</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云服务器平台应适应太仓市政务外网业务系统类型多样、结构复杂的特点，在体系架构、设备选型、软件配置、数据交互等方面需兼容各种主流的应用系统环境，保障业务系统及数据迁移的可移植性。同时，平台提供开放的技术接口，满足各应用系统基于平台的二次开发需求。</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（2）安全性</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云服务器平台作为政务应用的承载体，应严格按照国家及行业安全标准规范设计建设，遵照各级保密法律法规，采取切实有效的措施，确保系统安全稳定运行。</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（3）可扩展性</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投标人在搭建云服务器平台时，应充分考虑未来信息化发展趋势，系统的总体设计采用层次化、组件化设计，为今后平</w:t>
      </w:r>
      <w:r>
        <w:rPr>
          <w:rFonts w:hint="eastAsia" w:cs="宋体"/>
          <w:bCs/>
          <w:color w:val="000000"/>
          <w:sz w:val="21"/>
          <w:szCs w:val="21"/>
        </w:rPr>
        <w:t xml:space="preserve">台扩展留有空间。</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（4）易用性</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云服务器平台应操作简单、使用方便、可集中管理和易于维护。</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2.3服务内容</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（1）基础设施资源服务：包括机房资源服务、网络资源服务、计算资源服务、存储资源服务和灾备服务。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（2）信息安全技术服务：包括安全防护服务、用户安全服务、安全接入服务、安全管理服务、安全扫描服务、网站防护服务等。</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（3）运行保障服务：包括政务云平台的资源监测、资源配置、资源优化、服务监控、事件处理、运维流程、日常巡检、备份恢复、灾备管理、应急预案管理、服</w:t>
      </w:r>
      <w:r>
        <w:rPr>
          <w:rFonts w:hint="eastAsia" w:cs="宋体"/>
          <w:bCs/>
          <w:color w:val="000000"/>
          <w:sz w:val="21"/>
          <w:szCs w:val="21"/>
        </w:rPr>
        <w:t xml:space="preserve">务质量监督和报告等服务。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（4）建立健全配套制度标准。投标企业可提供基于自身平台的相关标准、办法及建议，如：云服务商可提供政务云管理办法、运维制度、应急预案等。</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（5）建立健全满足云安全监管需要的配套检测、监管手段（如：流量），及相应监测办法。</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3、社会面资源汇聚服务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3.1社会面资源汇聚平台维护</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社会资源汇聚平台运行状态监测和日常维护，监控点位的增加、删除、修改以及基础信息录入、维护等，国标编码、视频图像文字标注须符合公安相关规范。</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3.2监控接入点位巡检和维护服务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每天对社会面资源汇聚平台监控接入点位进行巡检，当发现有接入点离线，及时派人维</w:t>
      </w:r>
      <w:r>
        <w:rPr>
          <w:rFonts w:hint="eastAsia" w:cs="宋体"/>
          <w:bCs/>
          <w:color w:val="000000"/>
          <w:sz w:val="21"/>
          <w:szCs w:val="21"/>
        </w:rPr>
        <w:t xml:space="preserve">修，一般故障2小时内修复，线路故障24小时内修复。</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3.3监控接入点位经纬度采集标注服务（支持公安84坐标系）</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接入社会面资源汇聚平台的监控点位须采集设备经纬度，并在地图上进行标注。</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4、一机一档维护服务</w:t>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按要求完成已接入的二、三类视频图像监控设备“一机一档”基础信息的采集建档和维护工作。</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ETC智慧感知系统项目及苏州市公安局下发的20套etc设备的维护（一年）</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维护E</w:t>
      </w:r>
      <w:r>
        <w:rPr>
          <w:rFonts w:cs="宋体"/>
          <w:bCs/>
          <w:color w:val="000000"/>
          <w:sz w:val="21"/>
          <w:szCs w:val="21"/>
        </w:rPr>
        <w:t xml:space="preserve">TC</w:t>
      </w:r>
      <w:r>
        <w:rPr>
          <w:rFonts w:hint="eastAsia" w:cs="宋体"/>
          <w:bCs/>
          <w:color w:val="000000"/>
          <w:sz w:val="21"/>
          <w:szCs w:val="21"/>
        </w:rPr>
        <w:t xml:space="preserve">点位明细表：</w:t>
      </w:r>
      <w:r/>
    </w:p>
    <w:tbl>
      <w:tblPr>
        <w:tblW w:w="8594"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2087"/>
        <w:gridCol w:w="5427"/>
        <w:gridCol w:w="1080"/>
      </w:tblGrid>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cs="宋体"/>
                <w:color w:val="000000"/>
                <w:sz w:val="21"/>
                <w:szCs w:val="21"/>
              </w:rPr>
            </w:pPr>
            <w:r>
              <w:rPr>
                <w:rFonts w:hint="eastAsia" w:cs="宋体"/>
                <w:color w:val="000000"/>
                <w:sz w:val="21"/>
                <w:szCs w:val="21"/>
              </w:rPr>
              <w:t xml:space="preserve">站点编号</w:t>
            </w:r>
            <w:r>
              <w:rPr>
                <w:rFonts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站点名称</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方向</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320585000001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（太仓ETC）上海路长埭弄西向</w:t>
            </w:r>
            <w:r>
              <w:rPr>
                <w:rFonts w:hint="eastAsia" w:cs="宋体"/>
                <w:color w:val="000000"/>
                <w:sz w:val="21"/>
                <w:szCs w:val="21"/>
              </w:rPr>
              <w:t xml:space="preserve">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320585000002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（太仓ETC）苏州路盐铁塘桥东向西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320585000004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（太仓ETC）上海路长春路东向西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320585000003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（太仓ETC）204国道339省道北侧南向北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320585000090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（太仓ETC）娄江路外环一级路南侧南向北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320585000091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（太仓ETC）娄江路外环一级路南侧北向南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320585000016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（太仓ETC）华亭卡口进市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320585000097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（太仓ETC）204国道339省道北侧北向南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w:t>
            </w:r>
            <w:r>
              <w:rPr>
                <w:rFonts w:hint="eastAsia" w:cs="宋体"/>
                <w:color w:val="000000"/>
                <w:sz w:val="21"/>
                <w:szCs w:val="21"/>
              </w:rPr>
              <w:t xml:space="preserve">0585000007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（太仓ETC）华亭卡口出市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320585000087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（太仓ETC）东仓路燕山路北侧南向北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320585000012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（太仓ETC）科博尔厂东出市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320585000019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（太仓ETC）346国道339省道西向东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320585000088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（太仓ETC）东仓路燕山路北侧北向南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320585000046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（太仓ETC）苏州路盐铁塘桥西向东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320585000096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（太仓ETC）昆太路204国道西侧东向西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320585000095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（太仓ETC）昆太路20</w:t>
            </w:r>
            <w:r>
              <w:rPr>
                <w:rFonts w:hint="eastAsia" w:cs="宋体"/>
                <w:color w:val="000000"/>
                <w:sz w:val="21"/>
                <w:szCs w:val="21"/>
              </w:rPr>
              <w:t xml:space="preserve">4国道西侧西向东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320585000018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（太仓ETC）346国道S48延伸入口</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320585000089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（太仓ETC）南园西路盐铁塘桥东向西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320585000049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（太仓ETC）G204县府西街西向东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320585000098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（太仓ETC）南园西路盐铁塘桥西向东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320585000048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（太仓ETC）G204县府西街东向西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320585000093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（太仓ETC）东亭路天津路口南侧北向南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320585000047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（太仓ETC）人民北路燕山</w:t>
            </w:r>
            <w:r>
              <w:rPr>
                <w:rFonts w:hint="eastAsia" w:cs="宋体"/>
                <w:color w:val="000000"/>
                <w:sz w:val="21"/>
                <w:szCs w:val="21"/>
              </w:rPr>
              <w:t xml:space="preserve">路北侧南向北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320585000039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（太仓ETC）昆太路城西卡口进市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320585000013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（太仓ETC）新塘市镇东向西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320585000050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（太仓ETC）人民北路燕山路北侧北向南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320585000092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（太仓ETC）东亭路天津路口南侧南向北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320585000079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（太仓ETC）昆太路城西卡口出市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320585000080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（太仓ETC）太蓬卡口出市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320585000045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（太仓ETC）G15高速朝阳路卡口出市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32058500010</w:t>
            </w:r>
            <w:r>
              <w:rPr>
                <w:rFonts w:hint="eastAsia" w:cs="宋体"/>
                <w:color w:val="000000"/>
                <w:sz w:val="21"/>
                <w:szCs w:val="21"/>
              </w:rPr>
              <w:t xml:space="preserve">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（太仓ETC）G15高速朝阳路卡口进市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320585000041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（太仓ETC）人民路城南桥北堍南向北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320585000028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（太仓ETC）苏昆太太沙公路立交南向北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320585000099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（太仓ETC）苏昆太太沙公路立交北向南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320585000124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（太仓ETC）东仓路339省道北侧南向北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320585000122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（太仓ETC）东仓路339省道北侧北向南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320585000075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（太仓ETC）太蓬卡口进市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320585000038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（太仓ETC）常胜路天津路口</w:t>
            </w:r>
            <w:r>
              <w:rPr>
                <w:rFonts w:hint="eastAsia" w:cs="宋体"/>
                <w:color w:val="000000"/>
                <w:sz w:val="21"/>
                <w:szCs w:val="21"/>
              </w:rPr>
              <w:t xml:space="preserve">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320585000071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（太仓ETC）G204上海路口东侧西向东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320585000037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（太仓ETC）太平北路燕山路北侧北向南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320585000042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（太仓ETC）太平北路燕山路北侧南向北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320585000094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（太仓ETC）常胜路天津路口南侧北向南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320585000043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（太仓ETC）S339板桥高速卡口出市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320585000123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（太仓ETC）沿江高速浏阳路立交西向东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320585000040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（太仓ETC）S33</w:t>
            </w:r>
            <w:r>
              <w:rPr>
                <w:rFonts w:hint="eastAsia" w:cs="宋体"/>
                <w:color w:val="000000"/>
                <w:sz w:val="21"/>
                <w:szCs w:val="21"/>
              </w:rPr>
              <w:t xml:space="preserve">9板桥高速卡口进市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320585000076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（太仓ETC）燕山路G204东侧东向西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320585000077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（太仓ETC）燕山路G204东侧西向东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320585000020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（太仓ETC）346国道洋桥卡口进市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320585000138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（太仓ETC）346国道洋桥卡口出市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320585000140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（太仓ETC）沪通GD太仓站站前大道北向南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320585000078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（太仓ETC）G204上海路口东侧东向西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320585000141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（太仓ETC）沪通GD太仓站站前大道南向北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320585000118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（太仓ETC）沿江高速朝阳路立交东向西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320585000114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（太仓ETC）沿江高速朝阳路立交西向东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320585000072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（太仓ETC）S339五洋路北侧南向北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320585000073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（太仓ETC）S339五洋路北侧北向南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320585000011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（太仓ETC）浏河水闸桥南向北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320585000115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（太仓ETC）沿江高速浏阳路立交东向西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320585000137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（太仓ETC）339省道新塘万安村东向</w:t>
            </w:r>
            <w:r>
              <w:rPr>
                <w:rFonts w:hint="eastAsia" w:cs="宋体"/>
                <w:color w:val="000000"/>
                <w:sz w:val="21"/>
                <w:szCs w:val="21"/>
              </w:rPr>
              <w:t xml:space="preserve">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320585000142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（太仓ETC）339省道新塘万安村西向东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320585000186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（太仓ETC）岳鹿公路双浮路口南侧北向南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320585000112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（太仓ETC）东仓路东仓桥北堍南向北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320585000195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（太仓ETC）郑和中路陆嘉北路南向北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320585000187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（太仓ETC）岳鹿公路双浮路口南侧南向北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320585000194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（太仓ETC）郑和中路陆嘉北路北向南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320585000197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（太仓ETC）上海东路G15高速卡口出市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320585000196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（太仓ETC）上海东路G15高速卡口进市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320585000190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（太仓ETC）岳鹿路归何线路口往常熟南向北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320585000185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（太仓ETC）岳鹿路归何线路口南向北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320585000189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（太仓ETC）岳鹿路归何线路口北向南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320585000148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（太仓ETC）上海东路太平路东侧西向东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320585000149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（太仓ETC）上海东路太平路东侧东向西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320585000116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（太仓ETC）东仓路东仓桥北堍北向南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w:t>
            </w:r>
            <w:r>
              <w:rPr>
                <w:rFonts w:hint="eastAsia" w:cs="宋体"/>
                <w:color w:val="000000"/>
                <w:sz w:val="21"/>
                <w:szCs w:val="21"/>
              </w:rPr>
              <w:t xml:space="preserve">0585000111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（太仓ETC）太平路南珠桥北堍南向北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320585000113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（太仓ETC）太平路南珠桥北堍北向南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320585000191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（太仓ETC）飞沪路陆渡卡口进市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320585000198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（太仓ETC）郑和路兴业路东侧东向西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320585000200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（太仓ETC）郑和路兴业路东侧西向东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320585000193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（太仓ETC）飞沪路陆渡卡口出市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320585000107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（太仓ETC）新北路沙直路直塘农机厂东向西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320585000117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w:t>
            </w:r>
            <w:r>
              <w:rPr>
                <w:rFonts w:hint="eastAsia" w:cs="宋体"/>
                <w:color w:val="000000"/>
                <w:sz w:val="21"/>
                <w:szCs w:val="21"/>
              </w:rPr>
              <w:t xml:space="preserve">仓ETC）S224锡太卡口进市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320585000147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（太仓ETC）临港路高速出口南侧南向北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320585000146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（太仓ETC）临港路高速出口南侧北向南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320585000199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（太仓ETC）郑和路G204东侧东向西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320585000108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（太仓ETC）南环路346国道东侧东向西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320585000119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（太仓ETC）S80疏港高速滨江大道出口出市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320585000051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（太仓ETC）S80疏港高速滨江大道出口进市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320585000145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（太仓ETC）S80疏港高速主线出口出市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320585000120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（太仓ETC）双浮公路346国道西侧西向东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320585000110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（太仓ETC）双浮公路346国道西侧东向西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320585000121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（太仓ETC）南环路346国道东侧西向东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320585000060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（太仓ETC）浏太路346国道西向东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320585000057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（太仓ETC）浏太路346国道东向西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320585000160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（太仓ETC）新北路沙直路直塘农机厂西向东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32058500005</w:t>
            </w:r>
            <w:r>
              <w:rPr>
                <w:rFonts w:hint="eastAsia" w:cs="宋体"/>
                <w:color w:val="000000"/>
                <w:sz w:val="21"/>
                <w:szCs w:val="21"/>
              </w:rPr>
              <w:t xml:space="preserve">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（太仓ETC）346国道S48延伸出口北向南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320585000161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（太仓ETC）G204直塘卡口出市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320585000055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（太仓ETC）346国道339省道北向南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320585000056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（太仓ETC）G204直塘卡口进市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320585000106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（太仓ETC）S224锡太卡口出市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320585000188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（太仓ETC）G346六尺塘桥南向北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320585000036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（太仓ETC）G346六尺塘桥北向南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320585000083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（太仓ETC）岳鹿路江南</w:t>
            </w:r>
            <w:r>
              <w:rPr>
                <w:rFonts w:hint="eastAsia" w:cs="宋体"/>
                <w:color w:val="000000"/>
                <w:sz w:val="21"/>
                <w:szCs w:val="21"/>
              </w:rPr>
              <w:t xml:space="preserve">路北侧北向南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320585000084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（太仓ETC）岳鹿路江南路北侧南向北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320585000151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（太仓ETC）S80疏港高速主线出口进市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320585000144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（太仓ETC）浏河长江路西向东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320585000139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（太仓ETC）浏河长江路东向西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320585000166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（太仓ETC）岳杨路长浜桥北向南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320585000167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（太仓ETC）四通路郑和路口西侧东向西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320585000066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（太仓ETC）双周卡口进市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w:t>
            </w:r>
            <w:r>
              <w:rPr>
                <w:rFonts w:hint="eastAsia" w:cs="宋体"/>
                <w:color w:val="000000"/>
                <w:sz w:val="21"/>
                <w:szCs w:val="21"/>
              </w:rPr>
              <w:t xml:space="preserve">5000064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（太仓ETC）双周卡口出市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320585000101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（太仓ETC）龙江路339省道西向东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320585000102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（太仓ETC）龙江路339省道东向西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320585000152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（太仓ETC）镇北路公园街东向西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320585000150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（太仓ETC）镇北路公园街西向东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320585000105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（太仓ETC）飞马路六里塘桥南侧西向东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320585000054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（太仓ETC）飞马路六里塘桥南侧东向西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320585000170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（太仓ETC）通港路绿化村委东向西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320585000168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（太仓ETC）通港路绿化村委西向东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320585000153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（太仓ETC）岳杨路长浜桥南向北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320585000178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（太仓ETC）沙鹿路银鹿服饰门口南侧东向西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320585000173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（太仓ETC）沙鹿路银鹿服饰门口南侧西向东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320585000165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（太仓ETC）龙江路玖龙大桥北向南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320585000014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（太仓ETC）通港路346东侧西向东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320585000035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（太仓ETC）S80疏港高速璜泾南进市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320585000030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（太仓ETC）滨江大道疏港高速桥北向南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320585000029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（太仓ETC）滨江大道疏港高速桥南向北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320585000010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（太仓ETC）滨江大道银港路东向西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320585000109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（太仓ETC）滨江大道银港路西向东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320585000183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（太仓ETC）G204良辅路口东侧西向东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320585000085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（太仓ETC）204国道新港路东向西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320585000081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（太仓ETC）204国道新港路西向东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w:t>
            </w:r>
            <w:r>
              <w:rPr>
                <w:rFonts w:hint="eastAsia" w:cs="宋体"/>
                <w:color w:val="000000"/>
                <w:sz w:val="21"/>
                <w:szCs w:val="21"/>
              </w:rPr>
              <w:t xml:space="preserve">000129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（太仓ETC）凤北路204国道东向西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320585000126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（太仓ETC）凤北路204国道西向东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320585000067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（太仓ETC）S48双凤高速进市1</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320585000061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（太仓ETC）S48双凤高速出市1</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320585000065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（太仓ETC）S48双凤高速出市2</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320585000032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（太仓ETC）滨江大道浪港桥路西向东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320585000154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（太仓ETC）滨江大道浪港桥路东向西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320585000027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（太仓ETC）港外大道通港路</w:t>
            </w:r>
            <w:r>
              <w:rPr>
                <w:rFonts w:hint="eastAsia" w:cs="宋体"/>
                <w:color w:val="000000"/>
                <w:sz w:val="21"/>
                <w:szCs w:val="21"/>
              </w:rPr>
              <w:t xml:space="preserve">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320585000164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（太仓ETC）港外大道金港路南向北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320585000024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（太仓ETC）港外大道金港路北向南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320585000169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（太仓ETC）G15沙溪高速出市2</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320585000171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（太仓ETC）G15沙溪高速出市1</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320585000006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（太仓ETC）通港路346东侧东向西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320585000052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（太仓ETC）陆璜路通港路北侧南向北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320585000034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（太仓ETC）G15沙溪高速进市2</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w:t>
            </w:r>
            <w:r>
              <w:rPr>
                <w:rFonts w:hint="eastAsia" w:cs="宋体"/>
                <w:color w:val="000000"/>
                <w:sz w:val="21"/>
                <w:szCs w:val="21"/>
              </w:rPr>
              <w:t xml:space="preserve">0585000009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（太仓ETC）346国道浏家港大桥北向南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320585000017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（太仓ETC）346国道浏家港大桥南向北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320585000172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（太仓ETC）四通路洛阳路口西侧东向西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320585000086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（太仓ETC）鹿河江堤卡口出市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320585000082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（太仓ETC）鹿河江堤卡口进市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320585000180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（太仓ETC）G204南郊卡口进市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320585000181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（太仓ETC）G204南郊卡口出市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320585000182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w:t>
            </w:r>
            <w:r>
              <w:rPr>
                <w:rFonts w:hint="eastAsia" w:cs="宋体"/>
                <w:color w:val="000000"/>
                <w:sz w:val="21"/>
                <w:szCs w:val="21"/>
              </w:rPr>
              <w:t xml:space="preserve">）G204良辅路口东侧东向西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320585000023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（太仓ETC）港外大道通港路南向北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320585000053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（太仓ETC）陆璜路通港路南侧北向南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320585000128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（太仓ETC）凤林路204国道西向东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320585000127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（太仓ETC）凤林路204国道东向西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320585000134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（太仓ETC）新周卡口进市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320585000125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（太仓ETC）新周卡口出市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320585000179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（太仓ETC）龙江路玖龙大桥南向北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w:t>
            </w:r>
            <w:r>
              <w:rPr>
                <w:rFonts w:hint="eastAsia" w:cs="宋体"/>
                <w:color w:val="000000"/>
                <w:sz w:val="21"/>
                <w:szCs w:val="21"/>
              </w:rPr>
              <w:t xml:space="preserve">0585000155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（太仓ETC）S80疏港高速G346国道出口进市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320585000130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（太仓ETC）S339新湖卡口出市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320585000131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（太仓ETC）S339新湖卡口进市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320585000005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（太仓ETC）太海汽渡东江堤北向南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320585000156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（太仓ETC）204国道通港路东向西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320585000163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（太仓ETC）204国道通港路西向东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320585000176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（太仓ETC）204国道通港路北向南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w:t>
            </w:r>
            <w:r>
              <w:rPr>
                <w:rFonts w:hint="eastAsia" w:cs="宋体"/>
                <w:color w:val="000000"/>
                <w:sz w:val="21"/>
                <w:szCs w:val="21"/>
              </w:rPr>
              <w:t xml:space="preserve">21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（太仓ETC）204国道通港路南向北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320585000175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（太仓ETC）兴业路郑和路北侧南向北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320585000157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（太仓ETC）兴业路郑和路北侧北向南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320585000103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（太仓ETC）郑和路G204东侧西向东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320585000033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（太仓ETC）S80疏港高速G346国道出口出市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320585000062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（太仓ETC）前进路健雄学院北侧东向西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320585000063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（太仓ETC）前进路健雄学院北侧西向东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320585000159</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（太仓ETC）S48岳王出口进市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320585000158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（太仓ETC）S48岳王出口出市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320585000133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（太仓ETC）广州路204国道南向北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320585000132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（太仓ETC）广州路204国道北向南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320585000135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（太仓ETC）滨江大桥346国道北侧北向南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320585000136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（太仓ETC）滨江大桥346国道北侧南向北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320585000026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（太仓ETC）G15沙溪高速进市1</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320585000074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（太仓ETC）339通海路北侧东向西</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320585000031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（太仓ETC）S80疏港高速璜泾南出市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320585000192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（太仓ETC）339通海路北侧西向东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320585000204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（太仓ETC）339省道岳鹿路西向东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320585000207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（太仓ETC）新港路岳鹿路南向北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320585000205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（太仓ETC）新港路岳鹿路东向西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320585000208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（太仓ETC）新港路岳鹿路北向南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320585000206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（太仓ETC）新港路岳鹿路西向东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w:t>
            </w:r>
            <w:r>
              <w:rPr>
                <w:rFonts w:hint="eastAsia" w:cs="宋体"/>
                <w:color w:val="000000"/>
                <w:sz w:val="21"/>
                <w:szCs w:val="21"/>
              </w:rPr>
              <w:t xml:space="preserve">5000218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（太仓ETC）339省道陆璜路南侧北向南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320585000216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（太仓ETC）339省道陆璜路西向东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320585000215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（太仓ETC）339省道陆璜路东向西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320585000217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（太仓ETC）339省道陆璜路南侧南向北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320585000202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（太仓ETC）346国道通港路西侧西向东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320585000201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（太仓ETC）346国道通港路西侧北向南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320585000044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（太仓ETC）四通路上海路口东侧东向西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w:t>
            </w:r>
            <w:r>
              <w:rPr>
                <w:rFonts w:hint="eastAsia" w:cs="宋体"/>
                <w:color w:val="000000"/>
                <w:sz w:val="21"/>
                <w:szCs w:val="21"/>
              </w:rPr>
              <w:t xml:space="preserve">00213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（太仓ETC）339省道东亭路东向西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320585000219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（太仓ETC）339省道站东大道南侧南向北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320585000222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（太仓ETC）新港路龙江路东向西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320585000068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（太仓ETC）S48双凤高速进市2</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320585000214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（太仓ETC）339省道东亭路西向东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320585000212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（太仓ETC）太仓大道东向西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320585000211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（太仓ETC）太仓大道西向东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320585000221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（太仓ETC）新港路龙江路西向东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320585000220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（太仓ETC）339省道站东大道南侧北向南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320585000022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（太仓ETC）G204老204路口东侧西向东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320585000069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（太仓ETC）东仓新路正夫路南侧北向南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320585000143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（太仓ETC）G204南漳泾路口东侧西向东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320585000184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（太仓ETC）G204南漳泾路口东侧东向西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320585000008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（太仓ETC）346国道339省道东向西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320585000015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（太仓ETC）新塘市</w:t>
            </w:r>
            <w:r>
              <w:rPr>
                <w:rFonts w:hint="eastAsia" w:cs="宋体"/>
                <w:color w:val="000000"/>
                <w:sz w:val="21"/>
                <w:szCs w:val="21"/>
              </w:rPr>
              <w:t xml:space="preserve">镇西向东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320585000070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（太仓ETC）东仓新路正夫路南侧南向北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320585000210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（太仓ETC）东亭路双浮路南向北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320585000209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（太仓ETC）东亭路双浮路北向南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320585000162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（太仓ETC）滨江大道海港路东向西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320585000025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（太仓ETC）滨江大道海港路西向东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320585000058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（太仓ETC）人民路城南桥北堍北向南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320585000203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（太仓ETC）339省道岳鹿路东向西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w:t>
            </w:r>
            <w:r>
              <w:rPr>
                <w:rFonts w:hint="eastAsia" w:cs="宋体"/>
                <w:color w:val="000000"/>
                <w:sz w:val="21"/>
                <w:szCs w:val="21"/>
              </w:rPr>
              <w:t xml:space="preserve">0174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（太仓ETC）346国道339省道南向北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320585000227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（太仓ETC）南郊污水处理厂东向西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320585000228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（太仓ETC）南郊污水处理厂西向东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320585000234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（太仓ETC）太安电灌站西向东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320585000233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（太仓ETC）太安电灌站东向西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320585000235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（太仓ETC）中市路富达路北向南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320585000236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（太仓ETC）中市路富达路南向北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320585000231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（太仓ETC）正夫路东东向西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320585000232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（太仓ETC）正夫路东西向东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320585000239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（太仓ETC）新泾路桥西向东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320585000240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（太仓ETC）新泾路桥东向西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320585000237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（太仓ETC）白云渡路南南向北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320585000238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（太仓ETC）白云渡路南北向南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320585000241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（太仓ETC）沼泾十三组东向西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320585000242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（太仓ETC）沼泾十三组西向东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320585000229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（太仓ETC）正夫路西东向西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w:t>
            </w:r>
            <w:r>
              <w:rPr>
                <w:rFonts w:hint="eastAsia" w:cs="宋体"/>
                <w:color w:val="000000"/>
                <w:sz w:val="21"/>
                <w:szCs w:val="21"/>
              </w:rPr>
              <w:t xml:space="preserve">0585000230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（太仓ETC）正夫路西西向东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320585000280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（太仓ETC）沙南公路白云南路南向北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320585000279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（太仓ETC）沙南公路白云南路北向南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320585000295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（太仓ETC）204正夫路北南向北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320585000296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（太仓ETC）204正夫路北北向南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320585000287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（太仓ETC）城西沼泾小路北向南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320585000283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（太仓ETC）新农村30组小路北向南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320585000299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（太仓ETC）沈海339桥西向东</w:t>
            </w:r>
            <w:r>
              <w:rPr>
                <w:rFonts w:hint="eastAsia"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320585000284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（太仓ETC）南郊南广寺小路北向南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320585000300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（太仓ETC）沈海339桥东向西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320585000274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（太仓ETC）苏昆太上垮桥沪宜高速南向北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320585000273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（太仓ETC）苏昆太上垮桥沪宜高速北向南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320585000308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（太仓ETC）沈海通港路桥东向西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320585000307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（太仓ETC）沈海通港路桥西向东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320585000303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（太仓ETC）沈海新港路桥西向东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w:t>
            </w:r>
            <w:r>
              <w:rPr>
                <w:rFonts w:hint="eastAsia" w:cs="宋体"/>
                <w:color w:val="000000"/>
                <w:sz w:val="21"/>
                <w:szCs w:val="21"/>
              </w:rPr>
              <w:t xml:space="preserve">85000304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（太仓ETC）沈海新港路桥东向西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320585000305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（太仓ETC）沈海双浮路桥西向东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320585000254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（太仓ETC）沙鹿路G346北向南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320585000306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（太仓ETC）沈海双浮路桥东向西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320585000255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（太仓ETC）荣文路永乐环路东向西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320585000276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（太仓ETC）滨江大道郑和大街北向南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320585000275</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（太仓ETC）滨江大道郑和大街南向北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320585000292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（太仓ETC）石桥卡口北向南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320585000291</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（太仓ETC）科博尔卡口北向南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320585000262</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（太仓ETC）G346-S81东向西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320585000261</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（太仓ETC）G346-S81西向东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320585000286</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（太仓ETC）浏河阅兵村K407小路北向南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320585000256</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（太仓ETC）荣文路永乐环路西向东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320585000277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（太仓ETC）S339浮浏线南向北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320585000278</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（太仓ETC）S339浮浏线北向南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w:t>
            </w:r>
            <w:r>
              <w:rPr>
                <w:rFonts w:hint="eastAsia" w:cs="宋体"/>
                <w:color w:val="000000"/>
                <w:sz w:val="21"/>
                <w:szCs w:val="21"/>
              </w:rPr>
              <w:t xml:space="preserve">000290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（太仓ETC）二窑厂卡口西向东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320585000260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（太仓ETC）太浏快速路站前大道西向东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320585000253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（太仓ETC）沙鹿路G346南向北</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320585000259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（太仓ETC）太浏快速路站前大道东向西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320585000332</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（太仓ETC)疏港铁路南门</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320585000333</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(太仓ETC)疏港铁路西门</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320585000270</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（太仓ETC）滨河路东亭路西向东</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东</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320585000269</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（太仓ETC）滨河路东亭路东向西</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西</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320585000104</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（太仓ETC）G346璜泾卡口出市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北</w:t>
            </w:r>
            <w:r/>
          </w:p>
        </w:tc>
      </w:tr>
      <w:tr>
        <w:trPr>
          <w:trHeight w:val="285"/>
        </w:trPr>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320585000177</w:t>
            </w:r>
            <w:r/>
          </w:p>
        </w:tc>
        <w:tc>
          <w:tcPr>
            <w:tcBorders>
              <w:top w:val="single" w:color="000000" w:sz="4" w:space="0"/>
              <w:left w:val="none" w:color="000000" w:sz="4" w:space="0"/>
              <w:bottom w:val="single" w:color="000000" w:sz="4" w:space="0"/>
              <w:right w:val="single" w:color="000000" w:sz="4" w:space="0"/>
            </w:tcBorders>
            <w:tcW w:w="542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（太仓ETC）G346璜泾卡口进市</w:t>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南</w:t>
            </w:r>
            <w:r/>
          </w:p>
        </w:tc>
      </w:tr>
    </w:tbl>
    <w:p>
      <w:pPr>
        <w:pStyle w:val="928"/>
        <w:ind w:firstLine="480"/>
        <w:spacing w:line="360" w:lineRule="auto"/>
        <w:rPr>
          <w:rFonts w:ascii="Times New Roman" w:hAnsi="Times New Roman" w:cs="黑体"/>
          <w:color w:val="000000"/>
        </w:rPr>
      </w:pPr>
      <w:r>
        <w:rPr>
          <w:rFonts w:hint="eastAsia" w:cs="宋体"/>
          <w:bCs/>
          <w:color w:val="000000"/>
          <w:sz w:val="21"/>
          <w:szCs w:val="21"/>
          <w:lang w:bidi="en-US"/>
        </w:rPr>
        <w:t xml:space="preserve">维护期内还有须对</w:t>
      </w:r>
      <w:r>
        <w:rPr>
          <w:rFonts w:cs="宋体"/>
          <w:bCs/>
          <w:color w:val="000000"/>
          <w:sz w:val="21"/>
          <w:szCs w:val="21"/>
          <w:lang w:bidi="en-US"/>
        </w:rPr>
        <w:t xml:space="preserve">37</w:t>
      </w:r>
      <w:r>
        <w:rPr>
          <w:rFonts w:hint="eastAsia" w:cs="宋体"/>
          <w:bCs/>
          <w:color w:val="000000"/>
          <w:sz w:val="21"/>
          <w:szCs w:val="21"/>
          <w:lang w:bidi="en-US"/>
        </w:rPr>
        <w:t xml:space="preserve">台因修路未安装的E</w:t>
      </w:r>
      <w:r>
        <w:rPr>
          <w:rFonts w:cs="宋体"/>
          <w:bCs/>
          <w:color w:val="000000"/>
          <w:sz w:val="21"/>
          <w:szCs w:val="21"/>
          <w:lang w:bidi="en-US"/>
        </w:rPr>
        <w:t xml:space="preserve">TC</w:t>
      </w:r>
      <w:r>
        <w:rPr>
          <w:rFonts w:hint="eastAsia" w:cs="宋体"/>
          <w:bCs/>
          <w:color w:val="000000"/>
          <w:sz w:val="21"/>
          <w:szCs w:val="21"/>
          <w:lang w:bidi="en-US"/>
        </w:rPr>
        <w:t xml:space="preserve">感知设备重新选点安装，除光纤费用外，其他施工费用由中标单位负责。</w:t>
      </w:r>
      <w:r>
        <w:rPr>
          <w:rFonts w:ascii="Times New Roman" w:hAnsi="Times New Roman" w:cs="黑体"/>
          <w:color w:val="000000"/>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火车站反恐维稳项目到期运维（含铁塔服务）</w:t>
      </w:r>
      <w:r>
        <w:rPr>
          <w:rFonts w:ascii="宋体" w:hAnsi="宋体" w:eastAsia="宋体"/>
          <w:color w:val="000000"/>
          <w:sz w:val="21"/>
          <w:szCs w:val="21"/>
        </w:rPr>
      </w:r>
      <w:r/>
    </w:p>
    <w:tbl>
      <w:tblPr>
        <w:tblW w:w="91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59"/>
        <w:gridCol w:w="3099"/>
        <w:gridCol w:w="3345"/>
        <w:gridCol w:w="992"/>
        <w:gridCol w:w="992"/>
      </w:tblGrid>
      <w:tr>
        <w:trPr>
          <w:trHeight w:val="435"/>
        </w:trPr>
        <w:tc>
          <w:tcPr>
            <w:tcW w:w="759"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序号</w:t>
            </w:r>
            <w:r/>
          </w:p>
        </w:tc>
        <w:tc>
          <w:tcPr>
            <w:tcW w:w="3099"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设备名称</w:t>
            </w:r>
            <w:r/>
          </w:p>
        </w:tc>
        <w:tc>
          <w:tcPr>
            <w:tcW w:w="3345"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规格参数</w:t>
            </w:r>
            <w:r/>
          </w:p>
        </w:tc>
        <w:tc>
          <w:tcPr>
            <w:tcW w:w="992"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数量</w:t>
            </w:r>
            <w:r/>
          </w:p>
        </w:tc>
        <w:tc>
          <w:tcPr>
            <w:tcW w:w="992"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单位</w:t>
            </w:r>
            <w:r/>
          </w:p>
        </w:tc>
      </w:tr>
      <w:tr>
        <w:trPr>
          <w:trHeight w:val="435"/>
        </w:trPr>
        <w:tc>
          <w:tcPr>
            <w:gridSpan w:val="3"/>
            <w:tcW w:w="7203"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t xml:space="preserve">一、太仓火车站周边超级智能车辆卡口系统</w:t>
            </w:r>
            <w:r/>
          </w:p>
        </w:tc>
        <w:tc>
          <w:tcPr>
            <w:tcW w:w="992"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435"/>
        </w:trPr>
        <w:tc>
          <w:tcPr>
            <w:gridSpan w:val="2"/>
            <w:tcW w:w="3858"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t xml:space="preserve">1.1、900万超级卡口</w:t>
            </w:r>
            <w:r/>
          </w:p>
        </w:tc>
        <w:tc>
          <w:tcPr>
            <w:tcW w:w="3345"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900万超级卡口抓拍单元</w:t>
            </w:r>
            <w:r/>
          </w:p>
        </w:tc>
        <w:tc>
          <w:tcPr>
            <w:tcW w:w="334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详见原招标设备具体技术参数要求</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LED频闪灯</w:t>
            </w:r>
            <w:r/>
          </w:p>
        </w:tc>
        <w:tc>
          <w:tcPr>
            <w:tcW w:w="334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详见原招标</w:t>
            </w:r>
            <w:r>
              <w:rPr>
                <w:rFonts w:hint="eastAsia"/>
                <w:color w:val="000000"/>
                <w:sz w:val="21"/>
                <w:szCs w:val="21"/>
              </w:rPr>
              <w:t xml:space="preserve">设备具体技术参数要求</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闪光灯</w:t>
            </w:r>
            <w:r/>
          </w:p>
        </w:tc>
        <w:tc>
          <w:tcPr>
            <w:tcW w:w="334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详见原招标设备具体技术参数要求</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支架.抱箍</w:t>
            </w:r>
            <w:r/>
          </w:p>
        </w:tc>
        <w:tc>
          <w:tcPr>
            <w:tcW w:w="334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相应配套</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30</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gridSpan w:val="2"/>
            <w:tcW w:w="3858"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t xml:space="preserve">1.2、前端网络传输设备</w:t>
            </w:r>
            <w:r/>
          </w:p>
        </w:tc>
        <w:tc>
          <w:tcPr>
            <w:tcW w:w="3345"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摄像机SD存储卡</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64G相应配套</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张</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前端光交换机</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10端口千兆以太网交换机(8GE+2SFP)</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光纤模块</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光纤模块（配套交换机）</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对</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光纤收发器</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单模单纤千兆收发器</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对</w:t>
            </w:r>
            <w:r/>
          </w:p>
        </w:tc>
      </w:tr>
      <w:tr>
        <w:trPr>
          <w:trHeight w:val="435"/>
        </w:trPr>
        <w:tc>
          <w:tcPr>
            <w:gridSpan w:val="2"/>
            <w:tcW w:w="3858"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t xml:space="preserve">1.3、立杆、相应配套辅材</w:t>
            </w:r>
            <w:r/>
          </w:p>
        </w:tc>
        <w:tc>
          <w:tcPr>
            <w:tcW w:w="3345" w:type="dxa"/>
            <w:vAlign w:val="bottom"/>
            <w:textDirection w:val="lrTb"/>
            <w:noWrap w:val="false"/>
          </w:tcPr>
          <w:p>
            <w:pPr>
              <w:pStyle w:val="928"/>
              <w:jc w:val="left"/>
              <w:widowControl/>
              <w:rPr>
                <w:rFonts w:hint="eastAsia"/>
                <w:b/>
                <w:bCs/>
                <w:color w:val="000000"/>
                <w:sz w:val="21"/>
                <w:szCs w:val="21"/>
              </w:rPr>
            </w:pPr>
            <w:r>
              <w:rPr>
                <w:rFonts w:hint="eastAsia"/>
                <w:b/>
                <w:bCs/>
                <w:color w:val="000000"/>
                <w:sz w:val="21"/>
                <w:szCs w:val="21"/>
              </w:rPr>
            </w:r>
            <w:r/>
          </w:p>
        </w:tc>
        <w:tc>
          <w:tcPr>
            <w:tcW w:w="992" w:type="dxa"/>
            <w:vAlign w:val="bottom"/>
            <w:textDirection w:val="lrTb"/>
            <w:noWrap w:val="false"/>
          </w:tcPr>
          <w:p>
            <w:pPr>
              <w:pStyle w:val="928"/>
              <w:jc w:val="left"/>
              <w:widowControl/>
              <w:rPr>
                <w:rFonts w:hint="eastAsia"/>
                <w:color w:val="000000"/>
                <w:sz w:val="21"/>
                <w:szCs w:val="21"/>
              </w:rPr>
            </w:pPr>
            <w:r>
              <w:rPr>
                <w:rFonts w:hint="eastAsia"/>
                <w:color w:val="000000"/>
                <w:sz w:val="21"/>
                <w:szCs w:val="21"/>
              </w:rPr>
            </w:r>
            <w:r/>
          </w:p>
        </w:tc>
        <w:tc>
          <w:tcPr>
            <w:tcW w:w="992" w:type="dxa"/>
            <w:vAlign w:val="bottom"/>
            <w:textDirection w:val="lrTb"/>
            <w:noWrap w:val="false"/>
          </w:tcPr>
          <w:p>
            <w:pPr>
              <w:pStyle w:val="928"/>
              <w:jc w:val="left"/>
              <w:widowControl/>
              <w:rPr>
                <w:rFonts w:hint="eastAsia"/>
                <w:color w:val="000000"/>
                <w:sz w:val="21"/>
                <w:szCs w:val="21"/>
              </w:rPr>
            </w:pPr>
            <w:r>
              <w:rPr>
                <w:rFonts w:hint="eastAsia"/>
                <w:color w:val="000000"/>
                <w:sz w:val="21"/>
                <w:szCs w:val="21"/>
              </w:rPr>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L型立杆</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高6.3米,臂长11米</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T型立杆加横杆</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横杆臂长3米</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基础（含杆件地笼等）</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地笼、混凝土、螺栓</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9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抱杆箱</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不锈钢700*600*220cm（包含抱箍，空开，漏电保护器,防雷模块）</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前进路（电路改造）</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含(电表初装费）</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汽吊运输（含立杆拆除）</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汽吊运输（含立杆拆除）</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项</w:t>
            </w:r>
            <w:r/>
          </w:p>
        </w:tc>
      </w:tr>
      <w:tr>
        <w:trPr>
          <w:trHeight w:val="1080"/>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7</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相应配套辅材</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外接电源线RVV2*2.5/电源线RVV2*1.5/控制线RVVP2*1.0/六类4对UTP电缆//硅芯管HDPE40/绿化开挖含恢复/道板开挖含恢复/路面开挖含恢复/相应配套辅材等</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gridSpan w:val="3"/>
            <w:tcW w:w="7203"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t xml:space="preserve">二、太仓南站主要道路增补车辆违停及高空</w:t>
            </w:r>
            <w:r>
              <w:rPr>
                <w:rFonts w:hint="eastAsia"/>
                <w:b/>
                <w:bCs/>
                <w:color w:val="000000"/>
                <w:sz w:val="21"/>
                <w:szCs w:val="21"/>
              </w:rPr>
              <w:t xml:space="preserve">瞭望系统</w:t>
            </w:r>
            <w:r/>
          </w:p>
        </w:tc>
        <w:tc>
          <w:tcPr>
            <w:tcW w:w="992"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435"/>
        </w:trPr>
        <w:tc>
          <w:tcPr>
            <w:gridSpan w:val="2"/>
            <w:tcW w:w="3858"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t xml:space="preserve">2.1、违停及高空瞭望</w:t>
            </w:r>
            <w:r/>
          </w:p>
        </w:tc>
        <w:tc>
          <w:tcPr>
            <w:tcW w:w="3345"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400万违停球机</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详见原招标设备具体技术参数要求</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400万8寸融智能红外超星光球机</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详见原招标设备具体技术参数要求</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r>
      <w:tr>
        <w:trPr>
          <w:trHeight w:val="49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摄像机电源</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AC24V电源变换器/配套，AC220V输入，AC24V输出，输出功率60W</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摄像机横臂</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0.6米*1.5米（包括抱箍）</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违停禁令标志标牌</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违停禁令标志标牌</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540"/>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抱杆箱</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不锈钢 500*400*190cm（包含抱箍，空开，漏电保护器,防雷模块）</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990"/>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7</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相应配套辅材</w:t>
            </w:r>
            <w:r>
              <w:rPr>
                <w:rFonts w:hint="eastAsia"/>
                <w:color w:val="000000"/>
                <w:sz w:val="21"/>
                <w:szCs w:val="21"/>
              </w:rPr>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外接电源线RVV2*2.5/电源线RVV2*1.5/六类4对UTP/绿化开挖含恢复/道板开挖含恢复/路面开挖含恢复/相应配套辅材等</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gridSpan w:val="3"/>
            <w:tcW w:w="7203"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t xml:space="preserve">三、太仓车站重点区域人脸识别及视频监控系统</w:t>
            </w:r>
            <w:r/>
          </w:p>
        </w:tc>
        <w:tc>
          <w:tcPr>
            <w:tcW w:w="992"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435"/>
        </w:trPr>
        <w:tc>
          <w:tcPr>
            <w:gridSpan w:val="2"/>
            <w:tcW w:w="3858"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t xml:space="preserve">3.1、人脸识别及视频监控</w:t>
            </w:r>
            <w:r/>
          </w:p>
        </w:tc>
        <w:tc>
          <w:tcPr>
            <w:tcW w:w="3345"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r>
            <w:r/>
          </w:p>
        </w:tc>
        <w:tc>
          <w:tcPr>
            <w:tcW w:w="992"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3099"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400万人脸抓拍一体化AI筒型网络摄像机</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详见原招标设备具体技术参数要求</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r>
      <w:tr>
        <w:trPr>
          <w:trHeight w:val="510"/>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3099"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400万星光级AI轻智能抓拍筒型网络摄像机</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详见原招标设备具体技术参数要求</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r>
      <w:tr>
        <w:trPr>
          <w:trHeight w:val="540"/>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电源变换器</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AC24V电源变换器/配套，AC220V输入，AC24V输出，输出功率60W</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摄像机电源</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12V3A/YK-151</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r>
      <w:tr>
        <w:trPr>
          <w:trHeight w:val="540"/>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摄像机立杆（包括基础）</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3.5米*0.6米（包括基础地笼、混凝土浇注等C25混凝土）</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摄像机横臂</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0.6米*1.5米（包括抱箍）</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55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7</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设备箱不锈钢材质</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450*350*180（包括2P开关、7位多用插座、绝缘板、抱箍）</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810"/>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线材</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电源接入线RVV2*1.5/摄像机电源线RVV2X1国标2芯铜芯软护套线、UTP6六类网线等</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10</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600"/>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9</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波纹管/管线预埋/辅材等</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波纹管Ø25-Ø32/保护管Ø20-Ø32（管线预埋土石方开挖.修复）辅材等</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10</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435"/>
        </w:trPr>
        <w:tc>
          <w:tcPr>
            <w:gridSpan w:val="2"/>
            <w:tcW w:w="3858"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t xml:space="preserve">四、存储联网中心配套设备</w:t>
            </w:r>
            <w:r/>
          </w:p>
        </w:tc>
        <w:tc>
          <w:tcPr>
            <w:tcW w:w="3345" w:type="dxa"/>
            <w:vAlign w:val="bottom"/>
            <w:textDirection w:val="lrTb"/>
            <w:noWrap w:val="false"/>
          </w:tcPr>
          <w:p>
            <w:pPr>
              <w:pStyle w:val="928"/>
              <w:jc w:val="left"/>
              <w:widowControl/>
              <w:rPr>
                <w:rFonts w:hint="eastAsia"/>
                <w:b/>
                <w:bCs/>
                <w:color w:val="000000"/>
                <w:sz w:val="21"/>
                <w:szCs w:val="21"/>
              </w:rPr>
            </w:pPr>
            <w:r>
              <w:rPr>
                <w:rFonts w:hint="eastAsia"/>
                <w:b/>
                <w:bCs/>
                <w:color w:val="000000"/>
                <w:sz w:val="21"/>
                <w:szCs w:val="21"/>
              </w:rPr>
            </w:r>
            <w:r/>
          </w:p>
        </w:tc>
        <w:tc>
          <w:tcPr>
            <w:tcW w:w="992" w:type="dxa"/>
            <w:vAlign w:val="bottom"/>
            <w:textDirection w:val="lrTb"/>
            <w:noWrap w:val="false"/>
          </w:tcPr>
          <w:p>
            <w:pPr>
              <w:pStyle w:val="928"/>
              <w:jc w:val="left"/>
              <w:widowControl/>
              <w:rPr>
                <w:rFonts w:hint="eastAsia"/>
                <w:color w:val="000000"/>
                <w:sz w:val="21"/>
                <w:szCs w:val="21"/>
              </w:rPr>
            </w:pPr>
            <w:r>
              <w:rPr>
                <w:rFonts w:hint="eastAsia"/>
                <w:color w:val="000000"/>
                <w:sz w:val="21"/>
                <w:szCs w:val="21"/>
              </w:rPr>
            </w:r>
            <w:r/>
          </w:p>
        </w:tc>
        <w:tc>
          <w:tcPr>
            <w:tcW w:w="992" w:type="dxa"/>
            <w:vAlign w:val="bottom"/>
            <w:textDirection w:val="lrTb"/>
            <w:noWrap w:val="false"/>
          </w:tcPr>
          <w:p>
            <w:pPr>
              <w:pStyle w:val="928"/>
              <w:jc w:val="left"/>
              <w:widowControl/>
              <w:rPr>
                <w:rFonts w:hint="eastAsia"/>
                <w:color w:val="000000"/>
                <w:sz w:val="21"/>
                <w:szCs w:val="21"/>
              </w:rPr>
            </w:pPr>
            <w:r>
              <w:rPr>
                <w:rFonts w:hint="eastAsia"/>
                <w:color w:val="000000"/>
                <w:sz w:val="21"/>
                <w:szCs w:val="21"/>
              </w:rPr>
            </w:r>
            <w:r/>
          </w:p>
        </w:tc>
      </w:tr>
      <w:tr>
        <w:trPr>
          <w:trHeight w:val="396"/>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网络硬盘录像机（60路存储90天）</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3U标准机架式IP存储，DSP+ARM架构，嵌入式软硬件设计；支持64路高清，320M带宽网络视频接入；支持16个SATA盘位；支持RAID 0、1、5、6、10多种RAID模式及全局热备，多重保护数据安全；支持4K分辨率接入和解码输出；支持H.265、H.264编码前端自适应接入；支持关键视频添加标签和加锁保护、整机热备、断网续传、SMART 2.0等功能；2个千兆以太网口，充分满足网络预览、</w:t>
            </w:r>
            <w:r>
              <w:rPr>
                <w:rFonts w:hint="eastAsia"/>
                <w:color w:val="000000"/>
                <w:sz w:val="21"/>
                <w:szCs w:val="21"/>
              </w:rPr>
              <w:t xml:space="preserve">回放以及备份应用。</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3.5寸监控级硬盘8T</w:t>
            </w:r>
            <w:r/>
          </w:p>
        </w:tc>
        <w:tc>
          <w:tcPr>
            <w:tcW w:w="334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监控级硬盘8T,7200,3.5</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只</w:t>
            </w:r>
            <w:r/>
          </w:p>
        </w:tc>
      </w:tr>
      <w:tr>
        <w:trPr>
          <w:trHeight w:val="435"/>
        </w:trPr>
        <w:tc>
          <w:tcPr>
            <w:tcW w:w="75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309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视频会议终端</w:t>
            </w:r>
            <w:r/>
          </w:p>
        </w:tc>
        <w:tc>
          <w:tcPr>
            <w:tcW w:w="334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详见原招标设备具体技术参数要求</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r>
      <w:tr>
        <w:trPr>
          <w:trHeight w:val="285"/>
        </w:trPr>
        <w:tc>
          <w:tcPr>
            <w:gridSpan w:val="2"/>
            <w:tcW w:w="3858" w:type="dxa"/>
            <w:vAlign w:val="center"/>
            <w:textDirection w:val="lrTb"/>
            <w:noWrap w:val="false"/>
          </w:tcPr>
          <w:p>
            <w:pPr>
              <w:pStyle w:val="928"/>
              <w:jc w:val="left"/>
              <w:widowControl/>
              <w:rPr>
                <w:rFonts w:hint="eastAsia"/>
                <w:b/>
                <w:bCs/>
                <w:color w:val="000000"/>
                <w:sz w:val="21"/>
                <w:szCs w:val="21"/>
              </w:rPr>
            </w:pPr>
            <w:r>
              <w:rPr>
                <w:rFonts w:hint="eastAsia"/>
                <w:b/>
                <w:bCs/>
                <w:color w:val="000000"/>
                <w:sz w:val="21"/>
                <w:szCs w:val="21"/>
              </w:rPr>
              <w:t xml:space="preserve">五、其他</w:t>
            </w:r>
            <w:r/>
          </w:p>
        </w:tc>
        <w:tc>
          <w:tcPr>
            <w:tcW w:w="3345" w:type="dxa"/>
            <w:vAlign w:val="bottom"/>
            <w:textDirection w:val="lrTb"/>
            <w:noWrap w:val="false"/>
          </w:tcPr>
          <w:p>
            <w:pPr>
              <w:pStyle w:val="928"/>
              <w:jc w:val="left"/>
              <w:widowControl/>
              <w:rPr>
                <w:rFonts w:hint="eastAsia"/>
                <w:b/>
                <w:bCs/>
                <w:color w:val="000000"/>
                <w:sz w:val="21"/>
                <w:szCs w:val="21"/>
              </w:rPr>
            </w:pPr>
            <w:r>
              <w:rPr>
                <w:rFonts w:hint="eastAsia"/>
                <w:b/>
                <w:bCs/>
                <w:color w:val="000000"/>
                <w:sz w:val="21"/>
                <w:szCs w:val="21"/>
              </w:rPr>
            </w:r>
            <w:r/>
          </w:p>
        </w:tc>
        <w:tc>
          <w:tcPr>
            <w:tcW w:w="992" w:type="dxa"/>
            <w:vAlign w:val="bottom"/>
            <w:textDirection w:val="lrTb"/>
            <w:noWrap w:val="false"/>
          </w:tcPr>
          <w:p>
            <w:pPr>
              <w:pStyle w:val="928"/>
              <w:jc w:val="left"/>
              <w:widowControl/>
              <w:rPr>
                <w:rFonts w:hint="eastAsia"/>
                <w:color w:val="000000"/>
                <w:sz w:val="21"/>
                <w:szCs w:val="21"/>
              </w:rPr>
            </w:pPr>
            <w:r>
              <w:rPr>
                <w:rFonts w:hint="eastAsia"/>
                <w:color w:val="000000"/>
                <w:sz w:val="21"/>
                <w:szCs w:val="21"/>
              </w:rPr>
            </w:r>
            <w:r/>
          </w:p>
        </w:tc>
        <w:tc>
          <w:tcPr>
            <w:tcW w:w="992" w:type="dxa"/>
            <w:vAlign w:val="bottom"/>
            <w:textDirection w:val="lrTb"/>
            <w:noWrap w:val="false"/>
          </w:tcPr>
          <w:p>
            <w:pPr>
              <w:pStyle w:val="928"/>
              <w:jc w:val="left"/>
              <w:widowControl/>
              <w:rPr>
                <w:rFonts w:hint="eastAsia"/>
                <w:color w:val="000000"/>
                <w:sz w:val="21"/>
                <w:szCs w:val="21"/>
              </w:rPr>
            </w:pPr>
            <w:r>
              <w:rPr>
                <w:rFonts w:hint="eastAsia"/>
                <w:color w:val="000000"/>
                <w:sz w:val="21"/>
                <w:szCs w:val="21"/>
              </w:rPr>
            </w:r>
            <w:r/>
          </w:p>
        </w:tc>
      </w:tr>
      <w:tr>
        <w:trPr>
          <w:trHeight w:val="480"/>
        </w:trPr>
        <w:tc>
          <w:tcPr>
            <w:tcW w:w="759"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1</w:t>
            </w:r>
            <w:r/>
          </w:p>
        </w:tc>
        <w:tc>
          <w:tcPr>
            <w:tcW w:w="3099"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信号塔服务</w:t>
            </w:r>
            <w:r/>
          </w:p>
        </w:tc>
        <w:tc>
          <w:tcPr>
            <w:tcW w:w="3345"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信号塔专业服务(含一年信号塔租用)</w:t>
            </w:r>
            <w:r/>
          </w:p>
        </w:tc>
        <w:tc>
          <w:tcPr>
            <w:tcW w:w="992"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1</w:t>
            </w:r>
            <w:r/>
          </w:p>
        </w:tc>
        <w:tc>
          <w:tcPr>
            <w:tcW w:w="992"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套</w:t>
            </w:r>
            <w:r/>
          </w:p>
        </w:tc>
      </w:tr>
    </w:tbl>
    <w:p>
      <w:pPr>
        <w:pStyle w:val="928"/>
        <w:ind w:firstLine="480"/>
        <w:jc w:val="left"/>
        <w:spacing w:after="200" w:line="276" w:lineRule="auto"/>
        <w:widowControl/>
        <w:rPr>
          <w:rFonts w:hint="eastAsia" w:cs="宋体"/>
          <w:color w:val="000000"/>
          <w:sz w:val="21"/>
          <w:szCs w:val="21"/>
          <w:lang w:eastAsia="en-US"/>
        </w:rPr>
      </w:pPr>
      <w:r>
        <w:rPr>
          <w:rFonts w:hint="eastAsia" w:cs="宋体"/>
          <w:color w:val="000000"/>
          <w:sz w:val="21"/>
          <w:szCs w:val="21"/>
          <w:lang w:eastAsia="en-US"/>
        </w:rPr>
        <w:t xml:space="preserve">车卡点位明细：</w:t>
      </w:r>
      <w:r/>
    </w:p>
    <w:tbl>
      <w:tblPr>
        <w:tblW w:w="55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0"/>
      </w:tblGrid>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CK_前进路健雄学院北东向西1</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CK_前进路健雄学院北东向西2</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CK_前进路健雄学院北东向西3</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CK_前进路健雄学院北西向东1</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CK_前进路健雄学院北西向东2</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CK_前进路健雄学院北西向东3</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CK_339省道新塘万安村东向西1</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CK_339省道新塘万安村东向西2</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CK_339省道新塘万安村东向西3</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CK_339省道新塘万安村西向东1</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CK_339省道新塘万安村西向东2</w:t>
            </w:r>
            <w:r/>
          </w:p>
        </w:tc>
      </w:tr>
      <w:tr>
        <w:trPr>
          <w:trHeight w:val="285"/>
        </w:trPr>
        <w:tc>
          <w:tcPr>
            <w:tcW w:w="55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CK_339省道新塘万安村西向东3</w:t>
            </w:r>
            <w:r/>
          </w:p>
        </w:tc>
      </w:tr>
    </w:tbl>
    <w:p>
      <w:pPr>
        <w:pStyle w:val="928"/>
        <w:ind w:firstLine="480"/>
        <w:jc w:val="left"/>
        <w:spacing w:after="200" w:line="276" w:lineRule="auto"/>
        <w:widowControl/>
        <w:rPr>
          <w:rFonts w:hint="eastAsia" w:cs="宋体"/>
          <w:color w:val="000000"/>
          <w:sz w:val="21"/>
          <w:szCs w:val="21"/>
          <w:lang w:eastAsia="en-US"/>
        </w:rPr>
      </w:pPr>
      <w:r>
        <w:rPr>
          <w:rFonts w:hint="eastAsia" w:cs="宋体"/>
          <w:color w:val="000000"/>
          <w:sz w:val="21"/>
          <w:szCs w:val="21"/>
          <w:lang w:eastAsia="en-US"/>
        </w:rPr>
        <w:t xml:space="preserve">人卡点位明细：</w:t>
      </w:r>
      <w:r/>
    </w:p>
    <w:tbl>
      <w:tblPr>
        <w:tblW w:w="55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0"/>
      </w:tblGrid>
      <w:tr>
        <w:trPr>
          <w:trHeight w:val="285"/>
        </w:trPr>
        <w:tc>
          <w:tcPr>
            <w:tcW w:w="5520" w:type="dxa"/>
            <w:vAlign w:val="top"/>
            <w:textDirection w:val="lrTb"/>
            <w:noWrap/>
          </w:tcPr>
          <w:p>
            <w:pPr>
              <w:pStyle w:val="928"/>
              <w:jc w:val="left"/>
              <w:spacing w:after="200" w:line="276" w:lineRule="auto"/>
              <w:widowControl/>
              <w:rPr>
                <w:rFonts w:hint="eastAsia" w:cs="宋体"/>
                <w:color w:val="000000"/>
                <w:sz w:val="21"/>
                <w:szCs w:val="21"/>
                <w:lang w:eastAsia="en-US"/>
              </w:rPr>
            </w:pPr>
            <w:r>
              <w:rPr>
                <w:rFonts w:hint="eastAsia" w:cs="宋体"/>
                <w:color w:val="000000"/>
                <w:sz w:val="21"/>
                <w:szCs w:val="21"/>
                <w:lang w:eastAsia="en-US"/>
              </w:rPr>
              <w:t xml:space="preserve">rxsb_太仓南站出口</w:t>
            </w:r>
            <w:r/>
          </w:p>
        </w:tc>
      </w:tr>
      <w:tr>
        <w:trPr>
          <w:trHeight w:val="285"/>
        </w:trPr>
        <w:tc>
          <w:tcPr>
            <w:tcW w:w="5520" w:type="dxa"/>
            <w:vAlign w:val="top"/>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rxsb_太仓南站东安检门</w:t>
            </w:r>
            <w:r/>
          </w:p>
        </w:tc>
      </w:tr>
      <w:tr>
        <w:trPr>
          <w:trHeight w:val="285"/>
        </w:trPr>
        <w:tc>
          <w:tcPr>
            <w:tcW w:w="5520" w:type="dxa"/>
            <w:vAlign w:val="top"/>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rxsb_太仓南站西安检门</w:t>
            </w:r>
            <w:r/>
          </w:p>
        </w:tc>
      </w:tr>
    </w:tbl>
    <w:p>
      <w:pPr>
        <w:pStyle w:val="928"/>
        <w:ind w:firstLine="480"/>
        <w:jc w:val="left"/>
        <w:spacing w:after="200" w:line="276" w:lineRule="auto"/>
        <w:widowControl/>
        <w:rPr>
          <w:rFonts w:hint="eastAsia" w:cs="宋体"/>
          <w:color w:val="000000"/>
          <w:sz w:val="21"/>
          <w:szCs w:val="21"/>
          <w:lang w:eastAsia="en-US"/>
        </w:rPr>
      </w:pPr>
      <w:r>
        <w:rPr>
          <w:rFonts w:hint="eastAsia" w:cs="宋体"/>
          <w:color w:val="000000"/>
          <w:sz w:val="21"/>
          <w:szCs w:val="21"/>
          <w:lang w:eastAsia="en-US"/>
        </w:rPr>
        <w:t xml:space="preserve">监控点位明细：</w:t>
      </w:r>
      <w:r/>
    </w:p>
    <w:tbl>
      <w:tblPr>
        <w:tblW w:w="29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20"/>
      </w:tblGrid>
      <w:tr>
        <w:trPr>
          <w:trHeight w:val="300"/>
        </w:trPr>
        <w:tc>
          <w:tcPr>
            <w:tcW w:w="2920" w:type="dxa"/>
            <w:vAlign w:val="bottom"/>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太仓南站高空鹰眼球机</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lang w:eastAsia="en-US"/>
              </w:rPr>
            </w:pPr>
            <w:r>
              <w:rPr>
                <w:rFonts w:hint="eastAsia" w:cs="宋体"/>
                <w:color w:val="000000"/>
                <w:sz w:val="21"/>
                <w:szCs w:val="21"/>
                <w:lang w:eastAsia="en-US"/>
              </w:rPr>
              <w:t xml:space="preserve">车站北门（向东）</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lang w:eastAsia="en-US"/>
              </w:rPr>
            </w:pPr>
            <w:r>
              <w:rPr>
                <w:rFonts w:hint="eastAsia" w:cs="宋体"/>
                <w:color w:val="000000"/>
                <w:sz w:val="21"/>
                <w:szCs w:val="21"/>
                <w:lang w:eastAsia="en-US"/>
              </w:rPr>
              <w:t xml:space="preserve">车站北门（向西）</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lang w:eastAsia="en-US"/>
              </w:rPr>
            </w:pPr>
            <w:r>
              <w:rPr>
                <w:rFonts w:hint="eastAsia" w:cs="宋体"/>
                <w:color w:val="000000"/>
                <w:sz w:val="21"/>
                <w:szCs w:val="21"/>
                <w:lang w:eastAsia="en-US"/>
              </w:rPr>
              <w:t xml:space="preserve">车站岗亭（向北）</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lang w:eastAsia="en-US"/>
              </w:rPr>
            </w:pPr>
            <w:r>
              <w:rPr>
                <w:rFonts w:hint="eastAsia" w:cs="宋体"/>
                <w:color w:val="000000"/>
                <w:sz w:val="21"/>
                <w:szCs w:val="21"/>
                <w:lang w:eastAsia="en-US"/>
              </w:rPr>
              <w:t xml:space="preserve">车站岗亭（向南）</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汽车站东北角（向南）</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汽车站东北角（向西）</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汽车站西南角（向北）</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汽车站西南角（向东）</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HW仓隆酒店东</w:t>
            </w:r>
            <w:r>
              <w:rPr>
                <w:rFonts w:hint="eastAsia" w:cs="宋体"/>
                <w:color w:val="000000"/>
                <w:sz w:val="21"/>
                <w:szCs w:val="21"/>
              </w:rPr>
              <w:t xml:space="preserve">南角向西</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rPr>
            </w:pPr>
            <w:r>
              <w:rPr>
                <w:rFonts w:hint="eastAsia" w:cs="宋体"/>
                <w:color w:val="000000"/>
                <w:sz w:val="21"/>
                <w:szCs w:val="21"/>
              </w:rPr>
              <w:t xml:space="preserve">高铁太仓站站前广场球</w:t>
            </w:r>
            <w:r/>
          </w:p>
        </w:tc>
      </w:tr>
      <w:tr>
        <w:trPr>
          <w:trHeight w:val="285"/>
        </w:trPr>
        <w:tc>
          <w:tcPr>
            <w:tcW w:w="2920" w:type="dxa"/>
            <w:vAlign w:val="center"/>
            <w:textDirection w:val="lrTb"/>
            <w:noWrap/>
          </w:tcPr>
          <w:p>
            <w:pPr>
              <w:pStyle w:val="928"/>
              <w:jc w:val="left"/>
              <w:spacing w:after="200" w:line="276" w:lineRule="auto"/>
              <w:widowControl/>
              <w:rPr>
                <w:rFonts w:hint="eastAsia" w:cs="宋体"/>
                <w:color w:val="000000"/>
                <w:sz w:val="21"/>
                <w:szCs w:val="21"/>
                <w:lang w:eastAsia="en-US"/>
              </w:rPr>
            </w:pPr>
            <w:r>
              <w:rPr>
                <w:rFonts w:hint="eastAsia" w:cs="宋体"/>
                <w:color w:val="000000"/>
                <w:sz w:val="21"/>
                <w:szCs w:val="21"/>
                <w:lang w:eastAsia="en-US"/>
              </w:rPr>
              <w:t xml:space="preserve">万达广场2号门</w:t>
            </w:r>
            <w:r/>
          </w:p>
        </w:tc>
      </w:tr>
    </w:tbl>
    <w:p>
      <w:pPr>
        <w:pStyle w:val="1717"/>
        <w:ind w:firstLine="0"/>
        <w:rPr>
          <w:rFonts w:hint="eastAsia" w:eastAsia="等线"/>
          <w:color w:val="000000"/>
          <w:lang w:eastAsia="zh-CN"/>
        </w:rPr>
      </w:pPr>
      <w:r>
        <w:rPr>
          <w:rFonts w:hint="eastAsia" w:eastAsia="等线"/>
          <w:color w:val="000000"/>
          <w:lang w:eastAsia="zh-CN"/>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太仓站、太仓南站公安技防设施到期运维（故障线路恢复难度大16车卡+22人卡+26监控）</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车卡明细：</w:t>
      </w:r>
      <w:r/>
    </w:p>
    <w:tbl>
      <w:tblPr>
        <w:tblW w:w="76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07"/>
        <w:gridCol w:w="2085"/>
        <w:gridCol w:w="3654"/>
        <w:gridCol w:w="1141"/>
      </w:tblGrid>
      <w:tr>
        <w:trPr>
          <w:trHeight w:val="285"/>
        </w:trPr>
        <w:tc>
          <w:tcPr>
            <w:tcW w:w="807" w:type="dxa"/>
            <w:vAlign w:val="center"/>
            <w:textDirection w:val="lrTb"/>
            <w:noWrap w:val="false"/>
          </w:tcPr>
          <w:p>
            <w:pPr>
              <w:pStyle w:val="928"/>
              <w:jc w:val="center"/>
              <w:widowControl/>
              <w:rPr>
                <w:rFonts w:cs="宋体"/>
                <w:color w:val="000000"/>
                <w:sz w:val="21"/>
                <w:szCs w:val="21"/>
              </w:rPr>
            </w:pPr>
            <w:r>
              <w:rPr>
                <w:rFonts w:hint="eastAsia" w:cs="宋体"/>
                <w:color w:val="000000"/>
                <w:sz w:val="21"/>
                <w:szCs w:val="21"/>
              </w:rPr>
              <w:t xml:space="preserve">序号</w:t>
            </w:r>
            <w:r>
              <w:rPr>
                <w:rFonts w:cs="宋体"/>
                <w:color w:val="000000"/>
                <w:sz w:val="21"/>
                <w:szCs w:val="21"/>
              </w:rPr>
            </w:r>
            <w:r/>
          </w:p>
        </w:tc>
        <w:tc>
          <w:tcPr>
            <w:tcW w:w="208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辖区</w:t>
            </w:r>
            <w:r/>
          </w:p>
        </w:tc>
        <w:tc>
          <w:tcPr>
            <w:tcW w:w="3654"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点位</w:t>
            </w:r>
            <w:r/>
          </w:p>
        </w:tc>
        <w:tc>
          <w:tcPr>
            <w:tcW w:w="114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类型</w:t>
            </w:r>
            <w:r/>
          </w:p>
        </w:tc>
      </w:tr>
      <w:tr>
        <w:trPr>
          <w:trHeight w:val="777"/>
        </w:trPr>
        <w:tc>
          <w:tcPr>
            <w:tcW w:w="807"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w:t>
            </w:r>
            <w:r>
              <w:rPr>
                <w:rFonts w:hint="eastAsia" w:cs="黑体"/>
                <w:color w:val="000000"/>
                <w:sz w:val="21"/>
                <w:szCs w:val="21"/>
              </w:rPr>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PK_太仓站站南路地面出口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PK_太仓站站南路地库出口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PK_太仓站站南路出租车出口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PK_太仓站站前大道入口1</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PK_太仓站站前大道入口2</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PK_太仓站站前大道地面出口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7</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PK_太仓站站前大道地库出口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w:t>
            </w:r>
            <w:r>
              <w:rPr>
                <w:rFonts w:hint="eastAsia"/>
                <w:color w:val="000000"/>
                <w:sz w:val="21"/>
                <w:szCs w:val="21"/>
              </w:rPr>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PK_太仓站北入口出站</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9</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PK_太仓站北入口地库进站</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10</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PK_太仓站北入口地面进站</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11</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PK_太仓站出租车进口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12</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PK_太仓南站地下车库西北出口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13</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PK_太仓南站站房管理处进口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14</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PK_太仓南站地下车库东北入口卡口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7"/>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15</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PK_太仓南站地下车库西南入口卡口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r>
        <w:trPr>
          <w:trHeight w:val="779"/>
        </w:trPr>
        <w:tc>
          <w:tcPr>
            <w:tcW w:w="80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16</w:t>
            </w:r>
            <w:r/>
          </w:p>
        </w:tc>
        <w:tc>
          <w:tcPr>
            <w:tcW w:w="208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w:t>
            </w:r>
            <w:r/>
          </w:p>
        </w:tc>
        <w:tc>
          <w:tcPr>
            <w:tcW w:w="365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PK_太仓南站地下车库东北出口卡口</w:t>
            </w:r>
            <w:r/>
          </w:p>
        </w:tc>
        <w:tc>
          <w:tcPr>
            <w:tcW w:w="114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普卡</w:t>
            </w:r>
            <w:r/>
          </w:p>
        </w:tc>
      </w:tr>
    </w:tbl>
    <w:p>
      <w:pPr>
        <w:pStyle w:val="928"/>
        <w:contextualSpacing/>
        <w:ind w:firstLine="420"/>
        <w:spacing w:line="360" w:lineRule="auto"/>
        <w:rPr>
          <w:rFonts w:cs="宋体"/>
          <w:bCs/>
          <w:color w:val="000000"/>
          <w:sz w:val="21"/>
          <w:szCs w:val="21"/>
          <w:lang w:bidi="en-US"/>
        </w:rPr>
      </w:pPr>
      <w:r>
        <w:rPr>
          <w:rFonts w:hint="eastAsia" w:cs="宋体"/>
          <w:bCs/>
          <w:color w:val="000000"/>
          <w:sz w:val="21"/>
          <w:szCs w:val="21"/>
          <w:lang w:bidi="en-US"/>
        </w:rPr>
        <w:t xml:space="preserve">人卡明细：</w:t>
      </w:r>
      <w:r>
        <w:rPr>
          <w:rFonts w:cs="宋体"/>
          <w:bCs/>
          <w:color w:val="000000"/>
          <w:sz w:val="21"/>
          <w:szCs w:val="21"/>
          <w:lang w:bidi="en-US"/>
        </w:rPr>
      </w:r>
      <w:r/>
    </w:p>
    <w:tbl>
      <w:tblPr>
        <w:tblW w:w="7847"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863"/>
        <w:gridCol w:w="1589"/>
        <w:gridCol w:w="3924"/>
        <w:gridCol w:w="1471"/>
      </w:tblGrid>
      <w:tr>
        <w:trPr>
          <w:trHeight w:val="285"/>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cs="宋体"/>
                <w:color w:val="000000"/>
                <w:sz w:val="21"/>
                <w:szCs w:val="21"/>
              </w:rPr>
            </w:pPr>
            <w:r>
              <w:rPr>
                <w:rFonts w:hint="eastAsia" w:cs="宋体"/>
                <w:color w:val="000000"/>
                <w:sz w:val="21"/>
                <w:szCs w:val="21"/>
              </w:rPr>
              <w:t xml:space="preserve">序号</w:t>
            </w:r>
            <w:r>
              <w:rPr>
                <w:rFonts w:cs="宋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辖区</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点位</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类型</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rPr>
                <w:rFonts w:hint="eastAsia"/>
                <w:color w:val="000000"/>
                <w:sz w:val="21"/>
                <w:szCs w:val="21"/>
              </w:rPr>
              <w:t xml:space="preserve">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rxsb_高铁太仓站进站通道1</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2</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rxsb_高铁太仓站进站检票1</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3</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rxsb_高铁太仓站进站通道2</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4</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rxsb_高铁太仓站进站检票2</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5</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rxsb_高铁太仓站进站检票3</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6</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rxsb_高铁太仓站进站通道3</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7</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rxsb_高铁太仓站售票1</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8</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rxsb_高铁太仓站进站检票4</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9</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rxsb_高铁太仓站安检2</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10</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w:t>
            </w:r>
            <w:r>
              <w:rPr>
                <w:rFonts w:hint="eastAsia"/>
                <w:color w:val="000000"/>
                <w:sz w:val="21"/>
                <w:szCs w:val="21"/>
              </w:rPr>
              <w:t xml:space="preserve">sb_高铁太仓站出站1</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11</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rxsb_高铁太仓站出站3</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12</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rxsb_高铁太仓站安检1</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13</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rxsb_高铁太仓站出站2</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14</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rxsb_高铁太仓站出站4</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15</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rxsb_高铁太仓站售票2</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16</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rxsb_高铁太仓站候车大厅出口</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17</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rxsb_高铁太仓南站出站通道1</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18</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rxsb_高铁太仓南站出站通道2</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19</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rxsb_高铁太仓南站进站通道东</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20</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rxsb_高铁太仓南站进站通道西</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21</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rxsb_高铁太仓南站出站通道西</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r>
        <w:trPr>
          <w:trHeight w:val="5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928"/>
              <w:jc w:val="center"/>
              <w:widowControl/>
              <w:rPr>
                <w:rFonts w:hint="eastAsia" w:cs="黑体"/>
                <w:color w:val="000000"/>
                <w:sz w:val="21"/>
                <w:szCs w:val="21"/>
              </w:rPr>
            </w:pPr>
            <w:r>
              <w:rPr>
                <w:rFonts w:hint="eastAsia"/>
                <w:color w:val="000000"/>
                <w:sz w:val="21"/>
                <w:szCs w:val="21"/>
              </w:rPr>
              <w:t xml:space="preserve">22</w:t>
            </w:r>
            <w:r>
              <w:rPr>
                <w:rFonts w:hint="eastAsia" w:cs="黑体"/>
                <w:color w:val="000000"/>
                <w:sz w:val="21"/>
                <w:szCs w:val="21"/>
              </w:rPr>
            </w:r>
            <w:r/>
          </w:p>
        </w:tc>
        <w:tc>
          <w:tcPr>
            <w:tcBorders>
              <w:top w:val="single" w:color="000000" w:sz="4" w:space="0"/>
              <w:left w:val="none" w:color="000000" w:sz="4" w:space="0"/>
              <w:bottom w:val="single" w:color="000000" w:sz="4" w:space="0"/>
              <w:right w:val="single" w:color="000000" w:sz="4" w:space="0"/>
            </w:tcBorders>
            <w:tcW w:w="158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科教新城派出所</w:t>
            </w:r>
            <w:r/>
          </w:p>
        </w:tc>
        <w:tc>
          <w:tcPr>
            <w:tcBorders>
              <w:top w:val="single" w:color="000000" w:sz="4" w:space="0"/>
              <w:left w:val="none" w:color="000000" w:sz="4" w:space="0"/>
              <w:bottom w:val="single" w:color="000000" w:sz="4" w:space="0"/>
              <w:right w:val="single" w:color="000000" w:sz="4" w:space="0"/>
            </w:tcBorders>
            <w:tcW w:w="392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rxsb_高铁太仓南站出站通道东</w:t>
            </w:r>
            <w:r/>
          </w:p>
        </w:tc>
        <w:tc>
          <w:tcPr>
            <w:tcBorders>
              <w:top w:val="single" w:color="000000" w:sz="4" w:space="0"/>
              <w:left w:val="none" w:color="000000" w:sz="4" w:space="0"/>
              <w:bottom w:val="single" w:color="000000" w:sz="4" w:space="0"/>
              <w:right w:val="single" w:color="000000" w:sz="4" w:space="0"/>
            </w:tcBorders>
            <w:tcW w:w="1471"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人卡</w:t>
            </w:r>
            <w:r/>
          </w:p>
        </w:tc>
      </w:tr>
    </w:tbl>
    <w:p>
      <w:pPr>
        <w:pStyle w:val="928"/>
        <w:ind w:firstLine="420"/>
        <w:spacing w:line="360" w:lineRule="auto"/>
        <w:rPr>
          <w:rFonts w:ascii="Times New Roman" w:hAnsi="Times New Roman"/>
          <w:color w:val="000000"/>
          <w:sz w:val="21"/>
          <w:szCs w:val="21"/>
        </w:rPr>
      </w:pPr>
      <w:r>
        <w:rPr>
          <w:rFonts w:hint="eastAsia"/>
          <w:color w:val="000000"/>
          <w:sz w:val="21"/>
          <w:szCs w:val="21"/>
        </w:rPr>
        <w:t xml:space="preserve">监控明细：</w:t>
      </w:r>
      <w:r>
        <w:rPr>
          <w:rFonts w:ascii="Times New Roman" w:hAnsi="Times New Roman"/>
          <w:color w:val="000000"/>
          <w:sz w:val="21"/>
          <w:szCs w:val="21"/>
        </w:rPr>
      </w:r>
      <w:r/>
    </w:p>
    <w:tbl>
      <w:tblPr>
        <w:tblW w:w="8286"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2049"/>
        <w:gridCol w:w="6237"/>
      </w:tblGrid>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cs="宋体"/>
                <w:b/>
                <w:bCs/>
                <w:color w:val="000000"/>
                <w:sz w:val="21"/>
                <w:szCs w:val="21"/>
              </w:rPr>
            </w:pPr>
            <w:r>
              <w:rPr>
                <w:rFonts w:hint="eastAsia" w:cs="宋体"/>
                <w:b/>
                <w:bCs/>
                <w:color w:val="000000"/>
                <w:sz w:val="21"/>
                <w:szCs w:val="21"/>
              </w:rPr>
              <w:t xml:space="preserve">站点</w:t>
            </w:r>
            <w:r>
              <w:rPr>
                <w:rFonts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监控点位</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高铁太仓站出口球</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太仓站北入口违停</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太仓站地库1</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太仓站地库2</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太仓站地库3</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太仓站地库4</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太仓站地库南出口地面违停</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太仓站西北出口违停</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太仓站西南进口违停</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太仓站站北路违停</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太仓站站南路违停</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太仓站站西大道北向南违停</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太仓站站西大道南向北违停</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太仓南站出租车停车出口违停抓拍</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太仓南站地下广场东北角违停抓拍</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太仓南站地下广场东南角违停抓拍</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太仓南站地下广场西北角违停抓拍</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太仓南站地下广场西南角违停抓拍</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太仓南站东仓新路路口违停抓拍</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太仓南站辅楼鹰眼</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太仓南站公交停车场违停抓拍</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太仓南站广场东南角</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太仓南站广场西北角</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太仓南站经三路违停抓拍</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太仓南站铁路用房违停抓拍</w:t>
            </w:r>
            <w:r/>
          </w:p>
        </w:tc>
      </w:tr>
      <w:tr>
        <w:trPr>
          <w:trHeight w:val="285"/>
        </w:trPr>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pStyle w:val="928"/>
              <w:jc w:val="center"/>
              <w:widowControl/>
              <w:rPr>
                <w:rFonts w:hint="eastAsia" w:cs="宋体"/>
                <w:b/>
                <w:bCs/>
                <w:color w:val="000000"/>
                <w:sz w:val="21"/>
                <w:szCs w:val="21"/>
              </w:rPr>
            </w:pPr>
            <w:r>
              <w:rPr>
                <w:rFonts w:hint="eastAsia" w:cs="宋体"/>
                <w:b/>
                <w:bCs/>
                <w:color w:val="000000"/>
                <w:sz w:val="21"/>
                <w:szCs w:val="21"/>
              </w:rPr>
              <w:t xml:space="preserve">太仓南站</w:t>
            </w:r>
            <w:r/>
          </w:p>
        </w:tc>
        <w:tc>
          <w:tcPr>
            <w:tcBorders>
              <w:top w:val="single" w:color="000000" w:sz="4" w:space="0"/>
              <w:left w:val="none" w:color="000000" w:sz="4" w:space="0"/>
              <w:bottom w:val="single" w:color="000000" w:sz="4" w:space="0"/>
              <w:right w:val="single" w:color="000000" w:sz="4" w:space="0"/>
            </w:tcBorders>
            <w:tcW w:w="6237"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太仓南站正夫路南违停抓拍</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雪亮工程驻场维护服务人员2人到期，需要继续驻场服务1年</w:t>
      </w:r>
      <w:r>
        <w:rPr>
          <w:rFonts w:ascii="宋体" w:hAnsi="宋体" w:eastAsia="宋体"/>
          <w:color w:val="000000"/>
          <w:sz w:val="21"/>
          <w:szCs w:val="21"/>
        </w:rPr>
      </w:r>
      <w:r/>
    </w:p>
    <w:p>
      <w:pPr>
        <w:pStyle w:val="928"/>
        <w:ind w:firstLine="420"/>
        <w:spacing w:line="360" w:lineRule="auto"/>
        <w:rPr>
          <w:rFonts w:hint="eastAsia" w:ascii="Times New Roman" w:hAnsi="Times New Roman"/>
          <w:color w:val="000000"/>
        </w:rPr>
      </w:pPr>
      <w:r>
        <w:rPr>
          <w:rFonts w:hint="eastAsia"/>
          <w:color w:val="000000"/>
          <w:sz w:val="21"/>
          <w:szCs w:val="21"/>
        </w:rPr>
        <w:t xml:space="preserve">不少于二人的驻场外包服务。主要负责协助太仓市政法委综指中心、太仓市公安局开展太仓市雪亮工程建设相关工作，服务期限为一年，包括但不限于协助进行市级监控联网共享应用平台的日常维护管理、各类设备一机一档的制作维护管理，各单位监控设备联网对接协调维护，各类监控运行质态运维等；协助太仓市公安局对全市治安监控、社会面监控日常管理协调运维工作，</w:t>
      </w:r>
      <w:r>
        <w:rPr>
          <w:rFonts w:hint="eastAsia"/>
          <w:color w:val="000000"/>
          <w:sz w:val="21"/>
          <w:szCs w:val="21"/>
        </w:rPr>
        <w:t xml:space="preserve">制作报表通报、国标处理、平台治理、点位推送等；协调太仓市信息港社会面监控平台及相关前端设备的对接、治理、维护工作。工作地点太仓市公安局。工作时间参照政府机关工作日工作时间，必要时需要7*24小时服务，加班解决雪亮工程相关工作。食宿自理。（驻场人员须通过公安机关慧安平台审核）</w:t>
      </w:r>
      <w:r>
        <w:rPr>
          <w:rFonts w:hint="eastAsia" w:ascii="Times New Roman" w:hAnsi="Times New Roman"/>
          <w:color w:val="000000"/>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监视居住专用场所（智能化）改造工程</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对已经过保太仓市公安局监视居住点的智能化运维，主要包括：</w:t>
      </w:r>
      <w:r/>
    </w:p>
    <w:p>
      <w:pPr>
        <w:pStyle w:val="1741"/>
        <w:numPr>
          <w:ilvl w:val="0"/>
          <w:numId w:val="46"/>
        </w:numPr>
        <w:rPr>
          <w:rFonts w:ascii="宋体" w:hAnsi="宋体"/>
          <w:color w:val="000000"/>
          <w:sz w:val="21"/>
          <w:szCs w:val="21"/>
        </w:rPr>
      </w:pPr>
      <w:r>
        <w:rPr>
          <w:rFonts w:hint="eastAsia" w:ascii="宋体" w:hAnsi="宋体"/>
          <w:color w:val="000000"/>
          <w:sz w:val="21"/>
          <w:szCs w:val="21"/>
        </w:rPr>
        <w:t xml:space="preserve">网络系统及管线、交换机面板等设施</w:t>
      </w:r>
      <w:r>
        <w:rPr>
          <w:rFonts w:ascii="宋体" w:hAnsi="宋体"/>
          <w:color w:val="000000"/>
          <w:sz w:val="21"/>
          <w:szCs w:val="21"/>
        </w:rPr>
      </w:r>
      <w:r/>
    </w:p>
    <w:p>
      <w:pPr>
        <w:pStyle w:val="1741"/>
        <w:numPr>
          <w:ilvl w:val="0"/>
          <w:numId w:val="46"/>
        </w:numPr>
        <w:rPr>
          <w:rFonts w:ascii="宋体" w:hAnsi="宋体"/>
          <w:color w:val="000000"/>
          <w:sz w:val="21"/>
          <w:szCs w:val="21"/>
        </w:rPr>
      </w:pPr>
      <w:r>
        <w:rPr>
          <w:rFonts w:hint="eastAsia" w:ascii="宋体" w:hAnsi="宋体"/>
          <w:color w:val="000000"/>
          <w:sz w:val="21"/>
          <w:szCs w:val="21"/>
        </w:rPr>
        <w:t xml:space="preserve">有线电视系统</w:t>
      </w:r>
      <w:r>
        <w:rPr>
          <w:rFonts w:ascii="宋体" w:hAnsi="宋体"/>
          <w:color w:val="000000"/>
          <w:sz w:val="21"/>
          <w:szCs w:val="21"/>
        </w:rPr>
      </w:r>
      <w:r/>
    </w:p>
    <w:p>
      <w:pPr>
        <w:pStyle w:val="1741"/>
        <w:numPr>
          <w:ilvl w:val="0"/>
          <w:numId w:val="46"/>
        </w:numPr>
        <w:rPr>
          <w:rFonts w:ascii="宋体" w:hAnsi="宋体"/>
          <w:color w:val="000000"/>
          <w:sz w:val="21"/>
          <w:szCs w:val="21"/>
        </w:rPr>
      </w:pPr>
      <w:r>
        <w:rPr>
          <w:rFonts w:hint="eastAsia" w:ascii="宋体" w:hAnsi="宋体"/>
          <w:color w:val="000000"/>
          <w:sz w:val="21"/>
          <w:szCs w:val="21"/>
        </w:rPr>
        <w:t xml:space="preserve">视频监控系统</w:t>
      </w:r>
      <w:r>
        <w:rPr>
          <w:rFonts w:ascii="宋体" w:hAnsi="宋体"/>
          <w:color w:val="000000"/>
          <w:sz w:val="21"/>
          <w:szCs w:val="21"/>
        </w:rPr>
      </w:r>
      <w:r/>
    </w:p>
    <w:p>
      <w:pPr>
        <w:pStyle w:val="1741"/>
        <w:numPr>
          <w:ilvl w:val="0"/>
          <w:numId w:val="46"/>
        </w:numPr>
        <w:rPr>
          <w:rFonts w:ascii="宋体" w:hAnsi="宋体"/>
          <w:color w:val="000000"/>
          <w:sz w:val="21"/>
          <w:szCs w:val="21"/>
        </w:rPr>
      </w:pPr>
      <w:r>
        <w:rPr>
          <w:rFonts w:hint="eastAsia" w:ascii="宋体" w:hAnsi="宋体"/>
          <w:color w:val="000000"/>
          <w:sz w:val="21"/>
          <w:szCs w:val="21"/>
        </w:rPr>
        <w:t xml:space="preserve">电子围栏报警系统</w:t>
      </w:r>
      <w:r>
        <w:rPr>
          <w:rFonts w:ascii="宋体" w:hAnsi="宋体"/>
          <w:color w:val="000000"/>
          <w:sz w:val="21"/>
          <w:szCs w:val="21"/>
        </w:rPr>
      </w:r>
      <w:r/>
    </w:p>
    <w:p>
      <w:pPr>
        <w:pStyle w:val="1741"/>
        <w:numPr>
          <w:ilvl w:val="0"/>
          <w:numId w:val="46"/>
        </w:numPr>
        <w:rPr>
          <w:rFonts w:ascii="宋体" w:hAnsi="宋体"/>
          <w:color w:val="000000"/>
          <w:sz w:val="21"/>
          <w:szCs w:val="21"/>
        </w:rPr>
      </w:pPr>
      <w:r>
        <w:rPr>
          <w:rFonts w:hint="eastAsia" w:ascii="宋体" w:hAnsi="宋体" w:cs="Times New Roman"/>
          <w:color w:val="000000"/>
          <w:sz w:val="21"/>
          <w:szCs w:val="21"/>
        </w:rPr>
        <w:t xml:space="preserve">U</w:t>
      </w:r>
      <w:r>
        <w:rPr>
          <w:rFonts w:ascii="宋体" w:hAnsi="宋体"/>
          <w:color w:val="000000"/>
          <w:sz w:val="21"/>
          <w:szCs w:val="21"/>
        </w:rPr>
        <w:t xml:space="preserve">PS</w:t>
      </w:r>
      <w:r>
        <w:rPr>
          <w:rFonts w:hint="eastAsia" w:ascii="宋体" w:hAnsi="宋体"/>
          <w:color w:val="000000"/>
          <w:sz w:val="21"/>
          <w:szCs w:val="21"/>
        </w:rPr>
        <w:t xml:space="preserve">电源系统</w:t>
      </w:r>
      <w:r>
        <w:rPr>
          <w:rFonts w:ascii="宋体" w:hAnsi="宋体"/>
          <w:color w:val="000000"/>
          <w:sz w:val="21"/>
          <w:szCs w:val="21"/>
        </w:rPr>
      </w:r>
      <w:r/>
    </w:p>
    <w:p>
      <w:pPr>
        <w:pStyle w:val="1741"/>
        <w:numPr>
          <w:ilvl w:val="0"/>
          <w:numId w:val="46"/>
        </w:numPr>
        <w:rPr>
          <w:rFonts w:ascii="宋体" w:hAnsi="宋体"/>
          <w:color w:val="000000"/>
          <w:sz w:val="21"/>
          <w:szCs w:val="21"/>
        </w:rPr>
      </w:pPr>
      <w:r>
        <w:rPr>
          <w:rFonts w:hint="eastAsia" w:ascii="宋体" w:hAnsi="宋体"/>
          <w:color w:val="000000"/>
          <w:sz w:val="21"/>
          <w:szCs w:val="21"/>
        </w:rPr>
        <w:t xml:space="preserve">门禁系统</w:t>
      </w:r>
      <w:r>
        <w:rPr>
          <w:rFonts w:ascii="宋体" w:hAnsi="宋体"/>
          <w:color w:val="000000"/>
          <w:sz w:val="21"/>
          <w:szCs w:val="21"/>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智慧交通一期基础预备项目过期维保服务</w:t>
      </w:r>
      <w:r>
        <w:rPr>
          <w:rFonts w:ascii="宋体" w:hAnsi="宋体" w:eastAsia="宋体"/>
          <w:color w:val="000000"/>
          <w:sz w:val="21"/>
          <w:szCs w:val="21"/>
        </w:rPr>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对以下采购的软硬件及服务进行维护</w:t>
      </w:r>
      <w:r/>
    </w:p>
    <w:tbl>
      <w:tblPr>
        <w:tblW w:w="91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67"/>
        <w:gridCol w:w="2835"/>
        <w:gridCol w:w="3260"/>
        <w:gridCol w:w="992"/>
        <w:gridCol w:w="1134"/>
      </w:tblGrid>
      <w:tr>
        <w:trPr>
          <w:trHeight w:val="285"/>
        </w:trPr>
        <w:tc>
          <w:tcPr>
            <w:tcW w:w="967" w:type="dxa"/>
            <w:vAlign w:val="center"/>
            <w:textDirection w:val="lrTb"/>
            <w:noWrap w:val="false"/>
          </w:tcPr>
          <w:p>
            <w:pPr>
              <w:pStyle w:val="928"/>
              <w:jc w:val="center"/>
              <w:widowControl/>
              <w:rPr>
                <w:color w:val="000000"/>
                <w:sz w:val="21"/>
                <w:szCs w:val="21"/>
              </w:rPr>
            </w:pPr>
            <w:r>
              <w:rPr>
                <w:rFonts w:hint="eastAsia"/>
                <w:color w:val="000000"/>
                <w:sz w:val="21"/>
                <w:szCs w:val="21"/>
              </w:rPr>
              <w:t xml:space="preserve">序号</w:t>
            </w:r>
            <w:r>
              <w:rPr>
                <w:color w:val="000000"/>
                <w:sz w:val="21"/>
                <w:szCs w:val="21"/>
              </w:rPr>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标的物名称</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品牌、规格</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单位</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数量</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环保卡口</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华为X2391-20-TL</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12</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环保补光灯</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华为CXBG-2-MC-ACC5513</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16</w:t>
            </w:r>
            <w:r/>
          </w:p>
        </w:tc>
      </w:tr>
      <w:tr>
        <w:trPr>
          <w:trHeight w:val="480"/>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前端监控链路租赁</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条/1年</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16</w:t>
            </w:r>
            <w:r/>
          </w:p>
        </w:tc>
      </w:tr>
      <w:tr>
        <w:trPr>
          <w:trHeight w:val="480"/>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高分可视化图形工作站</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DELL T3640</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显示器</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DELL U4919DW</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480"/>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智慧乘车采集面板（含通信卡）</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卡联 CL-818G</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15</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7</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开发对接服务费</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480"/>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视频云转发存储服务器</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华为IVS3800XS</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9</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聚档管理服务器</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华为IVS3800XC</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r>
      <w:tr>
        <w:trPr>
          <w:trHeight w:val="480"/>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10</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智慧乘车解析比对一体机</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华为IVS3800XC</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11</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台式电脑</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戴尔 OptiPlex 3080 Micro 300226</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12</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显示器</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显示器 DELL E2720H</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13</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笔记本14寸</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DELL Latitude 3420 330038</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14</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笔记本15.6寸</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DELL Latitude 5520 320037</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15</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服务器硬盘</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希捷 ST16000NM001G</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16</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16</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智慧停车扩容</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85"/>
        </w:trPr>
        <w:tc>
          <w:tcPr>
            <w:tcW w:w="9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17</w:t>
            </w:r>
            <w:r/>
          </w:p>
        </w:tc>
        <w:tc>
          <w:tcPr>
            <w:tcW w:w="283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智慧停车调研费</w:t>
            </w:r>
            <w:r/>
          </w:p>
        </w:tc>
        <w:tc>
          <w:tcPr>
            <w:tcW w:w="32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项</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bl>
    <w:p>
      <w:pPr>
        <w:pStyle w:val="928"/>
        <w:rPr>
          <w:rFonts w:cs="宋体"/>
          <w:color w:val="000000"/>
          <w:sz w:val="21"/>
          <w:szCs w:val="21"/>
        </w:rPr>
      </w:pPr>
      <w:r>
        <w:rPr>
          <w:rFonts w:hint="eastAsia" w:cs="宋体"/>
          <w:color w:val="000000"/>
          <w:sz w:val="21"/>
          <w:szCs w:val="21"/>
        </w:rPr>
        <w:t xml:space="preserve">点位明细：</w:t>
      </w:r>
      <w:r>
        <w:rPr>
          <w:rFonts w:cs="宋体"/>
          <w:color w:val="000000"/>
          <w:sz w:val="21"/>
          <w:szCs w:val="21"/>
        </w:rPr>
      </w:r>
      <w:r/>
    </w:p>
    <w:tbl>
      <w:tblPr>
        <w:tblW w:w="552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0"/>
      </w:tblGrid>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CK_东仓路郑和路北侧北向南</w:t>
            </w:r>
            <w:r>
              <w:rPr>
                <w:rFonts w:cs="宋体"/>
                <w:color w:val="000000"/>
                <w:sz w:val="21"/>
                <w:szCs w:val="21"/>
              </w:rPr>
            </w:r>
            <w:r/>
          </w:p>
        </w:tc>
      </w:tr>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CK_陆璜公路339省道北侧北向南</w:t>
            </w:r>
            <w:r>
              <w:rPr>
                <w:rFonts w:cs="宋体"/>
                <w:color w:val="000000"/>
                <w:sz w:val="21"/>
                <w:szCs w:val="21"/>
              </w:rPr>
            </w:r>
            <w:r/>
          </w:p>
        </w:tc>
      </w:tr>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CK_太平路海运堤路北50米</w:t>
            </w:r>
            <w:r>
              <w:rPr>
                <w:rFonts w:cs="宋体"/>
                <w:color w:val="000000"/>
                <w:sz w:val="21"/>
                <w:szCs w:val="21"/>
              </w:rPr>
            </w:r>
            <w:r/>
          </w:p>
        </w:tc>
      </w:tr>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CK_人民路弇山路路口南侧</w:t>
            </w:r>
            <w:r>
              <w:rPr>
                <w:rFonts w:cs="宋体"/>
                <w:color w:val="000000"/>
                <w:sz w:val="21"/>
                <w:szCs w:val="21"/>
              </w:rPr>
            </w:r>
            <w:r/>
          </w:p>
        </w:tc>
      </w:tr>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CK_太平路弇山路路口西侧</w:t>
            </w:r>
            <w:r>
              <w:rPr>
                <w:rFonts w:cs="宋体"/>
                <w:color w:val="000000"/>
                <w:sz w:val="21"/>
                <w:szCs w:val="21"/>
              </w:rPr>
            </w:r>
            <w:r/>
          </w:p>
        </w:tc>
      </w:tr>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CK_人民路向阳路东</w:t>
            </w:r>
            <w:r>
              <w:rPr>
                <w:rFonts w:cs="宋体"/>
                <w:color w:val="000000"/>
                <w:sz w:val="21"/>
                <w:szCs w:val="21"/>
              </w:rPr>
            </w:r>
            <w:r/>
          </w:p>
        </w:tc>
      </w:tr>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CK_东仓新路健雄路西侧西向东</w:t>
            </w:r>
            <w:r>
              <w:rPr>
                <w:rFonts w:cs="宋体"/>
                <w:color w:val="000000"/>
                <w:sz w:val="21"/>
                <w:szCs w:val="21"/>
              </w:rPr>
            </w:r>
            <w:r/>
          </w:p>
        </w:tc>
      </w:tr>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CK_滨河路东亭路东侧东向西</w:t>
            </w:r>
            <w:r>
              <w:rPr>
                <w:rFonts w:cs="宋体"/>
                <w:color w:val="000000"/>
                <w:sz w:val="21"/>
                <w:szCs w:val="21"/>
              </w:rPr>
            </w:r>
            <w:r/>
          </w:p>
        </w:tc>
      </w:tr>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CK_通港路岳鹿路东侧东向西</w:t>
            </w:r>
            <w:r>
              <w:rPr>
                <w:rFonts w:cs="宋体"/>
                <w:color w:val="000000"/>
                <w:sz w:val="21"/>
                <w:szCs w:val="21"/>
              </w:rPr>
            </w:r>
            <w:r/>
          </w:p>
        </w:tc>
      </w:tr>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CK_339省道兴业路西侧西向东</w:t>
            </w:r>
            <w:r>
              <w:rPr>
                <w:rFonts w:cs="宋体"/>
                <w:color w:val="000000"/>
                <w:sz w:val="21"/>
                <w:szCs w:val="21"/>
              </w:rPr>
            </w:r>
            <w:r/>
          </w:p>
        </w:tc>
      </w:tr>
      <w:tr>
        <w:trPr>
          <w:trHeight w:val="285"/>
        </w:trPr>
        <w:tc>
          <w:tcPr>
            <w:tcW w:w="5520" w:type="dxa"/>
            <w:vAlign w:val="bottom"/>
            <w:textDirection w:val="lrTb"/>
            <w:noWrap/>
          </w:tcPr>
          <w:p>
            <w:pPr>
              <w:pStyle w:val="928"/>
              <w:rPr>
                <w:rFonts w:cs="宋体"/>
                <w:color w:val="000000"/>
                <w:sz w:val="21"/>
                <w:szCs w:val="21"/>
              </w:rPr>
            </w:pPr>
            <w:r>
              <w:rPr>
                <w:rFonts w:hint="eastAsia" w:cs="宋体"/>
                <w:color w:val="000000"/>
                <w:sz w:val="21"/>
                <w:szCs w:val="21"/>
              </w:rPr>
              <w:t xml:space="preserve">CK_346国道S48南侧南向北</w:t>
            </w:r>
            <w:r>
              <w:rPr>
                <w:rFonts w:cs="宋体"/>
                <w:color w:val="000000"/>
                <w:sz w:val="21"/>
                <w:szCs w:val="21"/>
              </w:rPr>
            </w:r>
            <w:r/>
          </w:p>
        </w:tc>
      </w:tr>
    </w:tbl>
    <w:p>
      <w:pPr>
        <w:pStyle w:val="1717"/>
        <w:rPr>
          <w:rFonts w:hint="eastAsia"/>
          <w:color w:val="000000"/>
          <w:lang w:eastAsia="zh-CN"/>
        </w:rPr>
      </w:pPr>
      <w:r>
        <w:rPr>
          <w:rFonts w:hint="eastAsia"/>
          <w:color w:val="000000"/>
          <w:lang w:eastAsia="zh-CN"/>
        </w:rPr>
      </w:r>
      <w:r/>
    </w:p>
    <w:p>
      <w:pPr>
        <w:pStyle w:val="930"/>
        <w:numPr>
          <w:ilvl w:val="1"/>
          <w:numId w:val="45"/>
        </w:numPr>
        <w:spacing w:before="0" w:after="0" w:line="360" w:lineRule="auto"/>
        <w:tabs>
          <w:tab w:val="left" w:pos="567" w:leader="none"/>
          <w:tab w:val="left" w:pos="576" w:leader="none"/>
        </w:tabs>
        <w:rPr>
          <w:rFonts w:hint="eastAsia" w:ascii="宋体" w:hAnsi="宋体" w:eastAsia="宋体"/>
          <w:color w:val="000000"/>
          <w:sz w:val="21"/>
          <w:szCs w:val="21"/>
        </w:rPr>
      </w:pPr>
      <w:r>
        <w:rPr>
          <w:rFonts w:hint="eastAsia" w:ascii="宋体" w:hAnsi="宋体" w:eastAsia="宋体"/>
          <w:color w:val="000000"/>
          <w:sz w:val="21"/>
          <w:szCs w:val="21"/>
        </w:rPr>
        <w:t xml:space="preserve">2020年度人像卡口项目标段一到期运维</w:t>
      </w:r>
      <w:r/>
    </w:p>
    <w:tbl>
      <w:tblPr>
        <w:tblW w:w="9136"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77"/>
        <w:gridCol w:w="777"/>
        <w:gridCol w:w="3671"/>
        <w:gridCol w:w="2210"/>
        <w:gridCol w:w="567"/>
        <w:gridCol w:w="1134"/>
      </w:tblGrid>
      <w:tr>
        <w:trPr>
          <w:trHeight w:val="285"/>
        </w:trPr>
        <w:tc>
          <w:tcPr>
            <w:tcW w:w="777" w:type="dxa"/>
            <w:vAlign w:val="center"/>
            <w:textDirection w:val="lrTb"/>
            <w:noWrap w:val="false"/>
          </w:tcPr>
          <w:p>
            <w:pPr>
              <w:pStyle w:val="928"/>
              <w:jc w:val="center"/>
              <w:widowControl/>
              <w:rPr>
                <w:color w:val="000000"/>
                <w:sz w:val="21"/>
                <w:szCs w:val="21"/>
              </w:rPr>
            </w:pPr>
            <w:r>
              <w:rPr>
                <w:rFonts w:hint="eastAsia"/>
                <w:color w:val="000000"/>
                <w:sz w:val="21"/>
                <w:szCs w:val="21"/>
              </w:rPr>
              <w:t xml:space="preserve">序号</w:t>
            </w:r>
            <w:r>
              <w:rPr>
                <w:color w:val="000000"/>
                <w:sz w:val="21"/>
                <w:szCs w:val="21"/>
              </w:rPr>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标的物名称</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品牌、规格</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生产厂家</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单</w:t>
            </w:r>
            <w:r>
              <w:rPr>
                <w:rFonts w:hint="eastAsia"/>
                <w:color w:val="000000"/>
                <w:sz w:val="21"/>
                <w:szCs w:val="21"/>
              </w:rPr>
              <w:t xml:space="preserve">位</w:t>
            </w:r>
            <w:r/>
          </w:p>
        </w:tc>
        <w:tc>
          <w:tcPr>
            <w:tcW w:w="1134"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决算数量</w:t>
            </w:r>
            <w:r/>
          </w:p>
        </w:tc>
      </w:tr>
      <w:tr>
        <w:trPr>
          <w:trHeight w:val="420"/>
        </w:trPr>
        <w:tc>
          <w:tcPr>
            <w:gridSpan w:val="6"/>
            <w:tcW w:w="9136" w:type="dxa"/>
            <w:vAlign w:val="center"/>
            <w:textDirection w:val="lrTb"/>
            <w:noWrap w:val="false"/>
          </w:tcPr>
          <w:p>
            <w:pPr>
              <w:pStyle w:val="928"/>
              <w:widowControl/>
              <w:rPr>
                <w:rFonts w:hint="eastAsia"/>
                <w:color w:val="000000"/>
                <w:sz w:val="21"/>
                <w:szCs w:val="21"/>
              </w:rPr>
            </w:pPr>
            <w:r>
              <w:rPr>
                <w:rFonts w:hint="eastAsia"/>
                <w:color w:val="000000"/>
                <w:sz w:val="21"/>
                <w:szCs w:val="21"/>
              </w:rPr>
              <w:t xml:space="preserve">一、环保超级及智能车辆卡口（一标段建设部分）</w:t>
            </w:r>
            <w:r/>
          </w:p>
        </w:tc>
      </w:tr>
      <w:tr>
        <w:trPr>
          <w:trHeight w:val="398"/>
        </w:trPr>
        <w:tc>
          <w:tcPr>
            <w:gridSpan w:val="6"/>
            <w:tcW w:w="9136" w:type="dxa"/>
            <w:vAlign w:val="center"/>
            <w:textDirection w:val="lrTb"/>
            <w:noWrap w:val="false"/>
          </w:tcPr>
          <w:p>
            <w:pPr>
              <w:pStyle w:val="928"/>
              <w:widowControl/>
              <w:rPr>
                <w:rFonts w:hint="eastAsia"/>
                <w:color w:val="000000"/>
                <w:sz w:val="21"/>
                <w:szCs w:val="21"/>
              </w:rPr>
            </w:pPr>
            <w:r>
              <w:rPr>
                <w:rFonts w:hint="eastAsia"/>
                <w:color w:val="000000"/>
                <w:sz w:val="21"/>
                <w:szCs w:val="21"/>
              </w:rPr>
              <w:t xml:space="preserve">1.1、900万超级卡口</w:t>
            </w:r>
            <w:r/>
          </w:p>
        </w:tc>
      </w:tr>
      <w:tr>
        <w:trPr>
          <w:trHeight w:val="96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900万超级卡口抓拍单元</w:t>
            </w:r>
            <w:r>
              <w:rPr>
                <w:rFonts w:hint="eastAsia"/>
                <w:b/>
                <w:bCs/>
                <w:color w:val="000000"/>
                <w:sz w:val="21"/>
                <w:szCs w:val="21"/>
              </w:rPr>
              <w:t xml:space="preserve">A</w:t>
            </w:r>
            <w:r>
              <w:rPr>
                <w:rFonts w:hint="eastAsia"/>
                <w:color w:val="000000"/>
                <w:sz w:val="21"/>
                <w:szCs w:val="21"/>
              </w:rPr>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品牌：海康威视</w:t>
              <w:br w:type="textWrapping" w:clear="all"/>
              <w:t xml:space="preserve">规格：iDS-TCV900-BEF/X</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杭州海康威视数字技术股份有限公司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120</w:t>
            </w:r>
            <w:r/>
          </w:p>
        </w:tc>
      </w:tr>
      <w:tr>
        <w:trPr>
          <w:trHeight w:val="120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LED频闪灯</w:t>
            </w:r>
            <w:r>
              <w:rPr>
                <w:rFonts w:hint="eastAsia"/>
                <w:b/>
                <w:bCs/>
                <w:color w:val="000000"/>
                <w:sz w:val="21"/>
                <w:szCs w:val="21"/>
              </w:rPr>
              <w:t xml:space="preserve">A</w:t>
            </w:r>
            <w:r>
              <w:rPr>
                <w:rFonts w:hint="eastAsia"/>
                <w:color w:val="000000"/>
                <w:sz w:val="21"/>
                <w:szCs w:val="21"/>
              </w:rPr>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品牌：海康威视</w:t>
              <w:br w:type="textWrapping" w:clear="all"/>
              <w:t xml:space="preserve">规格：CXBG-1-PS-DS-TL2000A-L1-N 超级卡口摄像机专用频闪灯，原则上一套频闪灯覆盖一条车道。</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杭州海康威视数字技术股份有限公司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112</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900万超级卡口抓拍单元</w:t>
            </w:r>
            <w:r>
              <w:rPr>
                <w:rFonts w:hint="eastAsia"/>
                <w:b/>
                <w:bCs/>
                <w:color w:val="000000"/>
                <w:sz w:val="21"/>
                <w:szCs w:val="21"/>
              </w:rPr>
              <w:t xml:space="preserve">B</w:t>
            </w:r>
            <w:r>
              <w:rPr>
                <w:rFonts w:hint="eastAsia"/>
                <w:color w:val="000000"/>
                <w:sz w:val="21"/>
                <w:szCs w:val="21"/>
              </w:rPr>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品牌：华为</w:t>
              <w:br w:type="textWrapping" w:clear="all"/>
              <w:t xml:space="preserve">规格：M2391-T</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华为技术有限公司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20</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LED频闪灯</w:t>
            </w:r>
            <w:r>
              <w:rPr>
                <w:rFonts w:hint="eastAsia"/>
                <w:b/>
                <w:bCs/>
                <w:color w:val="000000"/>
                <w:sz w:val="21"/>
                <w:szCs w:val="21"/>
              </w:rPr>
              <w:t xml:space="preserve">B</w:t>
            </w:r>
            <w:r>
              <w:rPr>
                <w:rFonts w:hint="eastAsia"/>
                <w:color w:val="000000"/>
                <w:sz w:val="21"/>
                <w:szCs w:val="21"/>
              </w:rPr>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品牌：华为</w:t>
              <w:br w:type="textWrapping" w:clear="all"/>
              <w:t xml:space="preserve">规格：CXBG-1-PS-ACC5410</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华为技术有限公司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20</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闪光灯</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品牌：光宝</w:t>
              <w:br w:type="textWrapping" w:clear="all"/>
              <w:t xml:space="preserve">规格：G-300F</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温州市光宝摄影器材有限公司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140</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支架.抱箍</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规格：相应配套，采用304不锈钢材料</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272</w:t>
            </w:r>
            <w:r/>
          </w:p>
        </w:tc>
      </w:tr>
      <w:tr>
        <w:trPr>
          <w:trHeight w:val="442"/>
        </w:trPr>
        <w:tc>
          <w:tcPr>
            <w:gridSpan w:val="6"/>
            <w:tcW w:w="9136" w:type="dxa"/>
            <w:vAlign w:val="center"/>
            <w:textDirection w:val="lrTb"/>
            <w:noWrap w:val="false"/>
          </w:tcPr>
          <w:p>
            <w:pPr>
              <w:pStyle w:val="928"/>
              <w:widowControl/>
              <w:rPr>
                <w:rFonts w:hint="eastAsia"/>
                <w:color w:val="000000"/>
                <w:sz w:val="21"/>
                <w:szCs w:val="21"/>
              </w:rPr>
            </w:pPr>
            <w:r>
              <w:rPr>
                <w:rFonts w:hint="eastAsia"/>
                <w:color w:val="000000"/>
                <w:sz w:val="21"/>
                <w:szCs w:val="21"/>
              </w:rPr>
              <w:t xml:space="preserve">1.2、900万环保超卡</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900万环保车辆人脸卡口抓拍单元</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品牌：科达</w:t>
              <w:br w:type="textWrapping" w:clear="all"/>
              <w:t xml:space="preserve">规格：IPC695</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苏州科达科技股份有限公司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18</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闪光灯</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品牌：科达</w:t>
              <w:br w:type="textWrapping" w:clear="all"/>
              <w:t xml:space="preserve">规格：CXBG-2-MC-K308</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苏州科达科技股份有限公司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rPr>
                <w:rFonts w:hint="eastAsia"/>
                <w:color w:val="000000"/>
                <w:sz w:val="21"/>
                <w:szCs w:val="21"/>
              </w:rPr>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18</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LED频闪补光灯</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品牌：科达</w:t>
              <w:br w:type="textWrapping" w:clear="all"/>
              <w:t xml:space="preserve">规格：CXBG-1-PS-K210</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苏州科达科技股份有限公司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18</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支架.抱箍</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规格：相应配套，采用304不锈钢材料</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54</w:t>
            </w:r>
            <w:r/>
          </w:p>
        </w:tc>
      </w:tr>
      <w:tr>
        <w:trPr>
          <w:trHeight w:val="389"/>
        </w:trPr>
        <w:tc>
          <w:tcPr>
            <w:gridSpan w:val="6"/>
            <w:tcW w:w="9136" w:type="dxa"/>
            <w:vAlign w:val="center"/>
            <w:textDirection w:val="lrTb"/>
            <w:noWrap w:val="false"/>
          </w:tcPr>
          <w:p>
            <w:pPr>
              <w:pStyle w:val="928"/>
              <w:widowControl/>
              <w:rPr>
                <w:rFonts w:hint="eastAsia"/>
                <w:color w:val="000000"/>
                <w:sz w:val="21"/>
                <w:szCs w:val="21"/>
              </w:rPr>
            </w:pPr>
            <w:r>
              <w:rPr>
                <w:rFonts w:hint="eastAsia"/>
                <w:color w:val="000000"/>
                <w:sz w:val="21"/>
                <w:szCs w:val="21"/>
              </w:rPr>
              <w:t xml:space="preserve">1.3、300万智能环保卡口</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300万智能环保卡口单元</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品牌：大华</w:t>
              <w:br w:type="textWrapping" w:clear="all"/>
              <w:t xml:space="preserve">规格：DH-CP302-AU1G</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浙江大华技术股份有限公司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29</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四合一生态补光灯</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品牌：大华</w:t>
              <w:br w:type="textWrapping" w:clear="all"/>
              <w:t xml:space="preserve">规格：DH-ITALF-300AG</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浙江大华技术股份有限公司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29</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支架.抱箍</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规格：相应配套，采用304不锈钢材料</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w:t>
            </w:r>
            <w:r/>
          </w:p>
        </w:tc>
      </w:tr>
      <w:tr>
        <w:trPr>
          <w:trHeight w:val="480"/>
        </w:trPr>
        <w:tc>
          <w:tcPr>
            <w:gridSpan w:val="6"/>
            <w:tcW w:w="9136" w:type="dxa"/>
            <w:vAlign w:val="center"/>
            <w:textDirection w:val="lrTb"/>
            <w:noWrap w:val="false"/>
          </w:tcPr>
          <w:p>
            <w:pPr>
              <w:pStyle w:val="928"/>
              <w:widowControl/>
              <w:rPr>
                <w:rFonts w:hint="eastAsia"/>
                <w:color w:val="000000"/>
                <w:sz w:val="21"/>
                <w:szCs w:val="21"/>
              </w:rPr>
            </w:pPr>
            <w:r>
              <w:rPr>
                <w:rFonts w:hint="eastAsia"/>
                <w:color w:val="000000"/>
                <w:sz w:val="21"/>
                <w:szCs w:val="21"/>
              </w:rPr>
              <w:t xml:space="preserve">1.4、前端网络传输设备</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摄像机SD存储卡</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规格：64G相应配套</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张</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187</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前端光交换机</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品牌：航天大为</w:t>
              <w:br w:type="textWrapping" w:clear="all"/>
              <w:t xml:space="preserve">规格：DWM210DSF</w:t>
              <w:br w:type="textWrapping" w:clear="all"/>
              <w:t xml:space="preserve">10端口千兆以太网交换机(8GE+2SFP)</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江苏航天大为科技股份有限公司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40</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千兆光纤模块</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品牌：航天大为</w:t>
              <w:br w:type="textWrapping" w:clear="all"/>
              <w:t xml:space="preserve">规格：SFPSG3-20/40/60</w:t>
              <w:br w:type="textWrapping" w:clear="all"/>
              <w:t xml:space="preserve">单模单纤20KM*10对，40KM*20对，60KM*10对</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江苏航天大为科技股份有限公司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对</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40</w:t>
            </w:r>
            <w:r/>
          </w:p>
        </w:tc>
      </w:tr>
      <w:tr>
        <w:trPr>
          <w:trHeight w:val="96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光纤收发器</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品牌：航天大为</w:t>
              <w:br w:type="textWrapping" w:clear="all"/>
              <w:t xml:space="preserve">规格：DWM114G</w:t>
              <w:br w:type="textWrapping" w:clear="all"/>
              <w:t xml:space="preserve">单</w:t>
            </w:r>
            <w:r>
              <w:rPr>
                <w:rFonts w:hint="eastAsia"/>
                <w:color w:val="000000"/>
                <w:sz w:val="21"/>
                <w:szCs w:val="21"/>
              </w:rPr>
              <w:t xml:space="preserve">模单纤千兆收发器，20KM*12对，40KM*12对，后端可支持机架式框架</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江苏航天大为科技股份有限公司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对</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24</w:t>
            </w:r>
            <w:r/>
          </w:p>
        </w:tc>
      </w:tr>
      <w:tr>
        <w:trPr>
          <w:trHeight w:val="409"/>
        </w:trPr>
        <w:tc>
          <w:tcPr>
            <w:gridSpan w:val="6"/>
            <w:tcW w:w="9136" w:type="dxa"/>
            <w:vAlign w:val="center"/>
            <w:textDirection w:val="lrTb"/>
            <w:noWrap w:val="false"/>
          </w:tcPr>
          <w:p>
            <w:pPr>
              <w:pStyle w:val="928"/>
              <w:widowControl/>
              <w:rPr>
                <w:rFonts w:hint="eastAsia"/>
                <w:color w:val="000000"/>
                <w:sz w:val="21"/>
                <w:szCs w:val="21"/>
              </w:rPr>
            </w:pPr>
            <w:r>
              <w:rPr>
                <w:rFonts w:hint="eastAsia"/>
                <w:color w:val="000000"/>
                <w:sz w:val="21"/>
                <w:szCs w:val="21"/>
              </w:rPr>
              <w:t xml:space="preserve">1.5、立杆、相应配套辅材</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辅道加横杆</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规格：辅道加横杆臂长4米（含抱箍等，抱箍采用304不锈钢材料）</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L型立杆</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规格：高6.3米，臂长7米</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L型立杆</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规格：高6.3米，臂长11米</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T型立杆</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规格：高6.3米,臂长7米4米</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T型立杆</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规格：高6.3米,臂长11米11米</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基础（含杆件地笼等）</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规格：地笼、混凝土、螺栓，相关配件采用304不锈钢材质</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10</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7</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抱杆箱</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规格：不锈钢700*600*220cm（包含抱箍，空开，漏电保护器,防雷模块），箱体、配件等采用304不锈钢材料</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20</w:t>
            </w:r>
            <w:r/>
          </w:p>
        </w:tc>
      </w:tr>
      <w:tr>
        <w:trPr>
          <w:trHeight w:val="16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相应配套辅材</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规格：外接电源线RVV2*2.5/电源线RVV2*1.5/控制线RVVP2*1.0/六类4对UTP电缆/硅芯管HDPE40/镀锌钢管Ф50/接地/接地连接线/绿化开挖含恢复/道</w:t>
            </w:r>
            <w:r>
              <w:rPr>
                <w:rFonts w:hint="eastAsia"/>
                <w:color w:val="000000"/>
                <w:sz w:val="21"/>
                <w:szCs w:val="21"/>
              </w:rPr>
              <w:t xml:space="preserve">板开挖含恢复/路面开挖含恢复/架空线含钢丝绳及配件/相应配套辅材等，工程中使用的抱箍、螺丝、螺帽、箱体等配件全部使用304不锈钢材质</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38</w:t>
            </w:r>
            <w:r/>
          </w:p>
        </w:tc>
      </w:tr>
      <w:tr>
        <w:trPr>
          <w:trHeight w:val="315"/>
        </w:trPr>
        <w:tc>
          <w:tcPr>
            <w:gridSpan w:val="6"/>
            <w:tcW w:w="9136" w:type="dxa"/>
            <w:vAlign w:val="center"/>
            <w:textDirection w:val="lrTb"/>
            <w:noWrap w:val="false"/>
          </w:tcPr>
          <w:p>
            <w:pPr>
              <w:pStyle w:val="928"/>
              <w:widowControl/>
              <w:rPr>
                <w:rFonts w:hint="eastAsia"/>
                <w:color w:val="000000"/>
                <w:sz w:val="21"/>
                <w:szCs w:val="21"/>
              </w:rPr>
            </w:pPr>
            <w:r>
              <w:rPr>
                <w:rFonts w:hint="eastAsia"/>
                <w:color w:val="000000"/>
                <w:sz w:val="21"/>
                <w:szCs w:val="21"/>
              </w:rPr>
              <w:t xml:space="preserve">1.6、存储联网中心配套设备</w:t>
            </w:r>
            <w:r/>
          </w:p>
        </w:tc>
      </w:tr>
      <w:tr>
        <w:trPr>
          <w:trHeight w:val="120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网络存储设备</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品牌：海康威视</w:t>
              <w:br w:type="textWrapping" w:clear="all"/>
              <w:t xml:space="preserve">规格：DS-A71048R</w:t>
              <w:br w:type="textWrapping" w:clear="all"/>
              <w:t xml:space="preserve">机架式/8U48盘位/SATA硬盘/1536Mbps接入带宽/64位多核处理器、4GB、2个千兆数据网口，1个千兆管理网口/冗余电源/最高可接入前端256路</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杭州海康威视数字技术股份有限公司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96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8T企业级硬盘</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品牌：海康威视</w:t>
              <w:br w:type="textWrapping" w:clear="all"/>
              <w:t xml:space="preserve">规格：HK728TAH</w:t>
              <w:br w:type="textWrapping" w:clear="all"/>
              <w:t xml:space="preserve">8TB,7200RPM, 256MB, SATA</w:t>
            </w:r>
            <w:r>
              <w:rPr>
                <w:rFonts w:hint="eastAsia"/>
                <w:color w:val="000000"/>
                <w:sz w:val="21"/>
                <w:szCs w:val="21"/>
              </w:rPr>
              <w:t xml:space="preserve"> 6Gb/s，三年质保</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杭州海康威视数字技术股份有限公司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只</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48</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补光无极灯</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品牌：开元</w:t>
              <w:br w:type="textWrapping" w:clear="all"/>
              <w:t xml:space="preserve">规格：AFBG-2  80W</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浙江开元光电照明科技有限公司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50</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48光口安全汇聚交换机</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品牌：华三</w:t>
              <w:br w:type="textWrapping" w:clear="all"/>
              <w:t xml:space="preserve">规格：LS-5560X-54F-EI</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新华三技术有限公司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96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打印机</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品牌：富可视</w:t>
              <w:br w:type="textWrapping" w:clear="all"/>
              <w:t xml:space="preserve">规格：FM-2833ND</w:t>
              <w:br w:type="textWrapping" w:clear="all"/>
              <w:t xml:space="preserve">黑白激光多功能一体机(打印、复印、扫描、自动双面打印、有线网络）</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珠海奔图电子有限公司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r>
      <w:tr>
        <w:trPr>
          <w:trHeight w:val="675"/>
        </w:trPr>
        <w:tc>
          <w:tcPr>
            <w:gridSpan w:val="6"/>
            <w:tcW w:w="9136" w:type="dxa"/>
            <w:vAlign w:val="center"/>
            <w:textDirection w:val="lrTb"/>
            <w:noWrap w:val="false"/>
          </w:tcPr>
          <w:p>
            <w:pPr>
              <w:pStyle w:val="928"/>
              <w:widowControl/>
              <w:rPr>
                <w:rFonts w:hint="eastAsia"/>
                <w:color w:val="000000"/>
                <w:sz w:val="21"/>
                <w:szCs w:val="21"/>
              </w:rPr>
            </w:pPr>
            <w:r>
              <w:rPr>
                <w:rFonts w:hint="eastAsia"/>
                <w:color w:val="000000"/>
                <w:sz w:val="21"/>
                <w:szCs w:val="21"/>
              </w:rPr>
              <w:t xml:space="preserve">二、设备采购部分</w:t>
            </w:r>
            <w:r/>
          </w:p>
        </w:tc>
      </w:tr>
      <w:tr>
        <w:trPr>
          <w:trHeight w:val="96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防毒墙</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品牌：网</w:t>
            </w:r>
            <w:r>
              <w:rPr>
                <w:rFonts w:hint="eastAsia"/>
                <w:color w:val="000000"/>
                <w:sz w:val="21"/>
                <w:szCs w:val="21"/>
              </w:rPr>
              <w:t xml:space="preserve">神</w:t>
              <w:br w:type="textWrapping" w:clear="all"/>
              <w:t xml:space="preserve">规格：NSG5000 TG-25</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网神信息技术（北京）股份有限公司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台</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数据库运维</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品牌：安华金和</w:t>
              <w:br w:type="textWrapping" w:clear="all"/>
              <w:t xml:space="preserve">规格：DOMS-EGA- 2000B</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北京安华金和科技有限公司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边界集控设备</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品牌：合众</w:t>
              <w:br w:type="textWrapping" w:clear="all"/>
              <w:t xml:space="preserve">规格：CM-350</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杭州合众数据技术有限公司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GPU套件</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品牌：戴尔</w:t>
              <w:br w:type="textWrapping" w:clear="all"/>
              <w:t xml:space="preserve">规格：原厂配套</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戴尔（中国）有限公司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96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系统服务费</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规格：定制</w:t>
              <w:br w:type="textWrapping" w:clear="all"/>
              <w:t xml:space="preserve">本项目涉及前后端软硬件技术服务费（365天*24小时）</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项</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386"/>
        </w:trPr>
        <w:tc>
          <w:tcPr>
            <w:gridSpan w:val="6"/>
            <w:tcW w:w="9136" w:type="dxa"/>
            <w:vAlign w:val="center"/>
            <w:textDirection w:val="lrTb"/>
            <w:noWrap w:val="false"/>
          </w:tcPr>
          <w:p>
            <w:pPr>
              <w:pStyle w:val="928"/>
              <w:widowControl/>
              <w:rPr>
                <w:rFonts w:hint="eastAsia"/>
                <w:color w:val="000000"/>
                <w:sz w:val="21"/>
                <w:szCs w:val="21"/>
              </w:rPr>
            </w:pPr>
            <w:r>
              <w:rPr>
                <w:rFonts w:hint="eastAsia"/>
                <w:color w:val="000000"/>
                <w:sz w:val="21"/>
                <w:szCs w:val="21"/>
              </w:rPr>
              <w:t xml:space="preserve">三、点位增加部分</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900万环保车辆人脸卡口抓拍单元</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品牌：科达</w:t>
              <w:br w:type="textWrapping" w:clear="all"/>
              <w:t xml:space="preserve">规格：IPC695</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苏州科达科技股份有限公司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18</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闪光灯</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品牌：科达</w:t>
              <w:br w:type="textWrapping" w:clear="all"/>
              <w:t xml:space="preserve">规格：CXBG-2-MC-K308</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苏州科达科技股份有限公司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18</w:t>
            </w:r>
            <w:r/>
          </w:p>
        </w:tc>
      </w:tr>
      <w:tr>
        <w:trPr>
          <w:trHeight w:val="72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LED频闪补光灯</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品牌：科达</w:t>
              <w:br w:type="textWrapping" w:clear="all"/>
              <w:t xml:space="preserve">规格：CXBG-1-PS-K210</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苏州科达科技股份有限公司</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18</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支架.抱箍</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规格：相应配套，采用304不锈钢材料</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54</w:t>
            </w:r>
            <w:r/>
          </w:p>
        </w:tc>
      </w:tr>
      <w:tr>
        <w:trPr>
          <w:trHeight w:val="4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摄像机SD存储卡</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规格：64G相应配套</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张</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18</w:t>
            </w:r>
            <w:r/>
          </w:p>
        </w:tc>
      </w:tr>
      <w:tr>
        <w:trPr>
          <w:trHeight w:val="1680"/>
        </w:trPr>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tcW w:w="77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相应配套辅材</w:t>
            </w:r>
            <w:r/>
          </w:p>
        </w:tc>
        <w:tc>
          <w:tcPr>
            <w:tcW w:w="3671"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品牌：国产</w:t>
              <w:br w:type="textWrapping" w:clear="all"/>
              <w:t xml:space="preserve">规格：外接电源线RVV2*2.5/电源线</w:t>
            </w:r>
            <w:r>
              <w:rPr>
                <w:rFonts w:hint="eastAsia"/>
                <w:color w:val="000000"/>
                <w:sz w:val="21"/>
                <w:szCs w:val="21"/>
              </w:rPr>
              <w:t xml:space="preserve">RVV2*1.5/控制线RVVP2*1.0/六类4对UTP电缆/硅芯管HDPE40/镀锌钢管Ф50/接地/接地连接线/绿化开挖含恢复/道板开挖含恢复/路面开挖含恢复/架空线含钢丝绳及配件/相应配套辅材等，工程中使用的抱箍、螺丝、螺帽、箱体等配件全部使用304不锈钢材质</w:t>
            </w:r>
            <w:r/>
          </w:p>
        </w:tc>
        <w:tc>
          <w:tcPr>
            <w:tcW w:w="221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中国</w:t>
            </w:r>
            <w:r/>
          </w:p>
        </w:tc>
        <w:tc>
          <w:tcPr>
            <w:tcW w:w="567"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套</w:t>
            </w:r>
            <w:r/>
          </w:p>
        </w:tc>
        <w:tc>
          <w:tcPr>
            <w:tcW w:w="1134"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r>
    </w:tbl>
    <w:p>
      <w:pPr>
        <w:pStyle w:val="1717"/>
        <w:ind w:firstLine="420"/>
        <w:spacing w:after="0" w:line="240" w:lineRule="auto"/>
        <w:rPr>
          <w:rFonts w:hint="eastAsia" w:eastAsia="宋体"/>
          <w:color w:val="000000"/>
          <w:lang w:eastAsia="zh-CN"/>
        </w:rPr>
      </w:pPr>
      <w:r>
        <w:rPr>
          <w:rFonts w:hint="eastAsia" w:eastAsia="宋体"/>
          <w:color w:val="000000"/>
          <w:lang w:eastAsia="zh-CN"/>
        </w:rPr>
        <w:t xml:space="preserve">抓拍点位：</w:t>
      </w:r>
      <w:r/>
    </w:p>
    <w:tbl>
      <w:tblPr>
        <w:tblW w:w="552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0"/>
      </w:tblGrid>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CK_339省道346国道东侧东向西1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CK_339省道346国道东侧东向西2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PK_339省道346国道东侧东向西3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CK_339省道346国道东侧西向东1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CK_339省道346国道东侧西向东2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PK_339省道346国道东侧西向东3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CK_G204新浏河大桥南堍南向北1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CK_G204新浏河大桥南堍南向北2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PK_G204新浏河大桥南堍南向北辅道</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CK_G204新浏河大桥南堍南向北3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CK_G204新浏河大桥南堍南向北4</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PK_G204新浏河大桥南堍北向南辅道</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CK_S339五洋路北侧北向南1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CK_S339五洋路北侧北向南2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PK_S339五洋路北侧北向南3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CK_S339五洋路北侧南向北1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CK_S339五洋路北侧南向北2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PK_S339五洋路北侧南向北3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CK_三高线滨</w:t>
            </w:r>
            <w:r>
              <w:rPr>
                <w:rFonts w:hint="eastAsia" w:cs="宋体"/>
                <w:color w:val="000000"/>
                <w:sz w:val="21"/>
                <w:szCs w:val="21"/>
              </w:rPr>
              <w:t xml:space="preserve">江大道西侧东向西</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PK_三高线滨江大道西侧东向西辅道</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CK_三高线滨江大道西侧西向东</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PK_三高线滨江大道西侧西向东辅道</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CK_朝阳路盐铁塘桥西向东</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CK_朝阳路盐铁塘桥东向西</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CK_郑和大街浏河医院西向东1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CK_郑和大街浏河医院西向东2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CK_郑和大街浏河医院西向东3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PK_郑和大街浏河医院西向东4</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CK_郑和大街浏河医院东向西1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CK_郑和大街浏河医院东向西2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PK_郑和大街浏河医院东向西3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CK_岳鹿路江南路北侧北向南1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CK_岳鹿路江南路北侧北向南2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PK_岳鹿路江南路北侧北向南3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CK_岳鹿路江南路北侧南向北1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CK_岳鹿路江南路北侧南向北2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PK_岳鹿路江南路北侧南向北3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CK_岳鹿路新港路南侧北向南1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CK_岳鹿路新港路南侧北向南2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PK_岳鹿路新港路南侧北向南3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CK_岳鹿路新港路南侧南向北1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CK_岳鹿路新港路南侧南向北2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PK_岳鹿路新港路南侧南向北3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CK_鹿北路安息堂东西向东</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CK_鹿北路安息堂东东向西</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CK_双浮公路346国道西侧东向西1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CK_双浮公路346国道西侧东向西2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PK_双浮公路346国道西侧东向西3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CK_双</w:t>
            </w:r>
            <w:r>
              <w:rPr>
                <w:rFonts w:hint="eastAsia" w:cs="宋体"/>
                <w:color w:val="000000"/>
                <w:sz w:val="21"/>
                <w:szCs w:val="21"/>
              </w:rPr>
              <w:t xml:space="preserve">浮公路346国道西侧西向东1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CK_双浮公路346国道西侧西向东2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PK_双浮公路346国道西侧西向东3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CK_双浮路204国道西侧西向东1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CK_双浮路204国道西侧西向东2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PK_双浮路204国道西侧西向东3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CK_双浮路204国道西侧东向西1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CK_双浮路204国道西侧东向西2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PK_双浮路204国道西侧东向西3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CK_四通路洛阳路北侧南向北1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CK_四通路洛阳路北侧南向北2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PK_四通路洛阳路北侧南向北3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CK_四通路洛阳路北侧北向南1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CK_四通路洛阳路北侧北向南2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PK_四通路洛阳路北侧北向南3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CK_陆璜公路杨林塘北南向北1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CK_陆璜公路杨林塘北南向北2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PK_陆璜公路杨林塘北南向北3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CK_陆璜公路杨林塘北北向南1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CK_陆璜公路杨林塘北北向南2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PK_陆璜公路杨林塘北北向南3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CK_新港路牌楼镇东西向东1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PK_新港路牌楼镇东西向东2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CK_新港路牌楼镇东东向西1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PK_新港路牌楼镇东东向西2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CK_兴业路禅寺路南侧北向南1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PK_兴业路禅寺路南侧北向南2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CK_兴业路禅寺路南侧南向北1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PK_兴业路禅寺路南侧南向北2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CK_沈海高</w:t>
            </w:r>
            <w:r>
              <w:rPr>
                <w:rFonts w:hint="eastAsia" w:cs="宋体"/>
                <w:color w:val="000000"/>
                <w:sz w:val="21"/>
                <w:szCs w:val="21"/>
              </w:rPr>
              <w:t xml:space="preserve">速上海路立交东向西1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CK_沈海高速上海路立交东向西2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CK_沈海高速上海路立交东向西3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CK_沈海高速上海路立交西向东1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CK_沈海高速上海路立交西向东2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CK_沈海高速上海路立交西向东3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CK_岳鹿公路双浮路口南侧南向北1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CK_岳鹿公路双浮路口南侧南向北2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CK_岳鹿公路双浮路口南侧北向南1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CK_岳鹿公路双浮路口南侧北向南2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CK_沙鹿路鹿河镇标南南向北1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CK_沙鹿路鹿河镇标南南向北2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CK_沙鹿路鹿河镇标南北向南1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CK_沙鹿路鹿河镇标南北向南2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CK_郑和路兴业路东侧东向西1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CK_郑和路兴业路东侧东向西2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CK_郑和路兴业路东侧东向西3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CK_郑和路兴业路东侧东向西4</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CK_郑和路兴业路东侧西向东1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CK_郑和路兴业路东侧西向东2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CK_郑和路兴业路东侧西向东3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CK_中市路陆嘉南路西侧东向西1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CK_中市路陆嘉南路西侧东向西2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CK_中市路陆嘉南路西侧西向东1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CK_中市路陆嘉南路西侧西向东2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CK_G204上海西路西向东</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CK_G204上海西路东向西</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CK_G204县府西街东向西1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CK_G204县府西街东向西2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PK_G204县府</w:t>
            </w:r>
            <w:r>
              <w:rPr>
                <w:rFonts w:hint="eastAsia" w:cs="宋体"/>
                <w:color w:val="000000"/>
                <w:sz w:val="21"/>
                <w:szCs w:val="21"/>
              </w:rPr>
              <w:t xml:space="preserve">西街东向西3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CK_G204县府西街西向东1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CK_G204县府西街西向东2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PK_G204县府西街西向东3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CK_G204燕山路东向西1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CK_G204燕山路东向西2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CK_G204燕山路东向西3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CK_G204燕山路东向西4</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CK_G204燕山路西向东1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CK_G204燕山路西向东2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CK_G204郑和路西向东1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CK_G204郑和路西向东2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CK_G204郑和路东向西1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CK_G204郑和路东向西2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CK_东仓路燕山路北北向南1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CK_东仓路燕山路北北向南2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CK_东仓路燕山路北</w:t>
            </w:r>
            <w:r>
              <w:rPr>
                <w:rFonts w:hint="eastAsia" w:cs="宋体"/>
                <w:color w:val="000000"/>
                <w:sz w:val="21"/>
                <w:szCs w:val="21"/>
              </w:rPr>
              <w:t xml:space="preserve">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CK_东仓路燕山路北南向北1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CK_东仓路燕山路北南向北2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CK_东仓路燕山路北南向北3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CK_南园路盐铁塘桥东向西</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CK_南园路盐铁塘桥西向东</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CK_人民北路苏州路北侧北向南1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CK_人民北路苏州路北侧北向南2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CK_人民北路苏州路北侧南向北1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CK_人民北路苏州路北侧南向北2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CK_人民北路弇山路北侧桥北向南1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CK_人民北路弇山路北侧桥北向南2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CK_人民北路弇山路北侧桥南向北1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CK_人民北路弇山路北侧桥南向北2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CK_人民路城南桥北堍南向北1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w:t>
            </w:r>
            <w:r>
              <w:rPr>
                <w:rFonts w:hint="eastAsia" w:cs="宋体"/>
                <w:color w:val="000000"/>
                <w:sz w:val="21"/>
                <w:szCs w:val="21"/>
              </w:rPr>
              <w:t xml:space="preserve">_人民路城南桥北堍南向北2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CK_人民路城南桥北堍北向南1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CK_人民路城南桥北堍北向南2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CK_苏州路盐铁塘桥东向西1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CK_苏州路盐铁塘桥东向西2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CK_苏州路盐铁塘桥东向西3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CK_苏州路盐铁塘桥西向东1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CK_苏州路盐铁塘桥西向东2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CK_苏州路盐铁塘桥西向东3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CK_太平路南珠桥北堍北向南1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CK_太平路南珠桥北堍北向南2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CK_太平路南珠桥北堍南向北1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CK_太平路南珠桥北堍南向北2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CK_太平路燕山路北侧南向北1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CK_太平路燕山路北侧南向北2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CK_太平路燕山路北侧北向南1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CK_太平路燕山路北侧北向南2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CK_太平路燕山路北侧北向南3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CK_天津路常胜路北向南1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CK_天津路常胜路北向南2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CK_天津路常胜路北向南3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CK_天津路常胜路南向北1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CK_天津路常胜路南向北2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CK_天津路常胜路南向北3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CK_天津路常胜路南向北4</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CK_天津路东亭路北向南1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CK_天津路东亭路北向南2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PK_天津路东亭路北向南3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CK_天津路东亭路南向北1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CK_天津路东亭路南向北2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CK_天津路东亭路南向北3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CK_沈海高速朝阳路立交东向西1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w:t>
            </w:r>
            <w:r>
              <w:rPr>
                <w:rFonts w:hint="eastAsia" w:cs="宋体"/>
                <w:color w:val="000000"/>
                <w:sz w:val="21"/>
                <w:szCs w:val="21"/>
              </w:rPr>
              <w:t xml:space="preserve">K_沈海高速朝阳路立交东向西2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CK_沈海高速朝阳路立交西向东1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CK_沈海高速朝阳路立交西向东2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CK_204国道新华西路东向西1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CK_204国道新华西路东向西2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CK_204国道新华西路西向东</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CK_天津路娄江路南向北1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CK_天津路娄江路南向北2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CK_天津路娄江路北向南1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CK_天津路娄江路北向南2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CK_天津路娄江路北向南3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CK_东仓路东仓桥北堍北向南1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CK_东仓路东仓桥北堍北向南2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CK_东仓路东仓桥北堍北向南3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CK_东仓路东仓桥北堍南向北1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CK_东仓路东仓桥北堍南向北</w:t>
            </w:r>
            <w:r>
              <w:rPr>
                <w:rFonts w:hint="eastAsia" w:cs="宋体"/>
                <w:color w:val="000000"/>
                <w:sz w:val="21"/>
                <w:szCs w:val="21"/>
              </w:rPr>
              <w:t xml:space="preserve">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CK_东仓路东仓桥北堍南向北3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CK_东仓路东仓桥北堍南向北4</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CK_半泾北路苏州路北侧南向北1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CK_半泾北路苏州路北侧南向北2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CK_半泾北路苏州路北侧北向南1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CK_半泾北路苏州路北侧北向南2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CK_常胜北路苏州路北侧南向北1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CK_常胜北路苏州路北侧南向北2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CK_常胜北路苏州路北侧南向北3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CK_常胜北路苏州路北侧北向南1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CK_常胜北路苏州路北侧北向南2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CK_常胜北路苏州路北侧北向南3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CK_常胜北路苏州路北侧北向南4</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CK_上海东路娄江路东侧东向</w:t>
            </w:r>
            <w:r>
              <w:rPr>
                <w:rFonts w:hint="eastAsia" w:cs="宋体"/>
                <w:color w:val="000000"/>
                <w:sz w:val="21"/>
                <w:szCs w:val="21"/>
              </w:rPr>
              <w:t xml:space="preserve">西1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CK_上海东路娄江路东侧东向西2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CK_上海东路娄江路东侧东向西3</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CK_上海东路娄江路东侧东向西4</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CK_上海东路娄江路东侧西向东1</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CK_上海东路娄江路东侧西向东2</w:t>
            </w:r>
            <w:r/>
          </w:p>
        </w:tc>
      </w:tr>
      <w:tr>
        <w:trPr>
          <w:trHeight w:val="285"/>
        </w:trPr>
        <w:tc>
          <w:tcPr>
            <w:tcW w:w="5520" w:type="dxa"/>
            <w:vAlign w:val="bottom"/>
            <w:textDirection w:val="lrTb"/>
            <w:noWrap/>
          </w:tcPr>
          <w:p>
            <w:pPr>
              <w:pStyle w:val="928"/>
              <w:jc w:val="left"/>
              <w:spacing w:after="200"/>
              <w:widowControl/>
              <w:rPr>
                <w:rFonts w:hint="eastAsia" w:cs="宋体"/>
                <w:color w:val="000000"/>
                <w:sz w:val="21"/>
                <w:szCs w:val="21"/>
              </w:rPr>
            </w:pPr>
            <w:r>
              <w:rPr>
                <w:rFonts w:hint="eastAsia" w:cs="宋体"/>
                <w:color w:val="000000"/>
                <w:sz w:val="21"/>
                <w:szCs w:val="21"/>
              </w:rPr>
              <w:t xml:space="preserve">CK_上海东路娄江路东侧西向东3</w:t>
            </w:r>
            <w:r/>
          </w:p>
        </w:tc>
      </w:tr>
    </w:tbl>
    <w:p>
      <w:pPr>
        <w:pStyle w:val="928"/>
        <w:rPr>
          <w:rFonts w:hint="eastAsia"/>
          <w:color w:val="000000"/>
        </w:rPr>
      </w:pPr>
      <w:r>
        <w:rPr>
          <w:rFonts w:hint="eastAsia"/>
          <w:color w:val="000000"/>
        </w:rPr>
      </w:r>
      <w:r/>
    </w:p>
    <w:p>
      <w:pPr>
        <w:pStyle w:val="930"/>
        <w:numPr>
          <w:ilvl w:val="1"/>
          <w:numId w:val="45"/>
        </w:numPr>
        <w:spacing w:before="0" w:after="0" w:line="360" w:lineRule="auto"/>
        <w:tabs>
          <w:tab w:val="left" w:pos="567" w:leader="none"/>
          <w:tab w:val="left" w:pos="576" w:leader="none"/>
        </w:tabs>
        <w:rPr>
          <w:rFonts w:hint="eastAsia" w:ascii="宋体" w:hAnsi="宋体" w:eastAsia="宋体"/>
          <w:color w:val="000000"/>
          <w:sz w:val="21"/>
          <w:szCs w:val="21"/>
        </w:rPr>
      </w:pPr>
      <w:r>
        <w:rPr>
          <w:rFonts w:hint="eastAsia" w:ascii="宋体" w:hAnsi="宋体" w:eastAsia="宋体"/>
          <w:color w:val="000000"/>
          <w:sz w:val="21"/>
          <w:szCs w:val="21"/>
        </w:rPr>
        <w:t xml:space="preserve">2020年度人像卡口项目标段二采购部分到期运维</w:t>
      </w:r>
      <w:r/>
    </w:p>
    <w:tbl>
      <w:tblPr>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1687"/>
        <w:gridCol w:w="4577"/>
        <w:gridCol w:w="992"/>
        <w:gridCol w:w="992"/>
      </w:tblGrid>
      <w:tr>
        <w:trPr>
          <w:trHeight w:val="402"/>
        </w:trPr>
        <w:tc>
          <w:tcPr>
            <w:tcW w:w="966" w:type="dxa"/>
            <w:vAlign w:val="center"/>
            <w:textDirection w:val="lrTb"/>
            <w:noWrap w:val="false"/>
          </w:tcPr>
          <w:p>
            <w:pPr>
              <w:pStyle w:val="928"/>
              <w:widowControl/>
              <w:rPr>
                <w:rFonts w:cs="Calibri"/>
                <w:b/>
                <w:bCs/>
                <w:color w:val="000000"/>
                <w:sz w:val="21"/>
                <w:szCs w:val="21"/>
              </w:rPr>
            </w:pPr>
            <w:r>
              <w:rPr>
                <w:rFonts w:hint="eastAsia" w:cs="Calibri"/>
                <w:b/>
                <w:bCs/>
                <w:color w:val="000000"/>
                <w:sz w:val="21"/>
                <w:szCs w:val="21"/>
              </w:rPr>
              <w:t xml:space="preserve">序号</w:t>
            </w:r>
            <w:r>
              <w:rPr>
                <w:rFonts w:cs="Calibri"/>
                <w:b/>
                <w:bCs/>
                <w:color w:val="000000"/>
                <w:sz w:val="21"/>
                <w:szCs w:val="21"/>
              </w:rPr>
            </w:r>
            <w:r/>
          </w:p>
        </w:tc>
        <w:tc>
          <w:tcPr>
            <w:tcW w:w="1687" w:type="dxa"/>
            <w:vAlign w:val="center"/>
            <w:textDirection w:val="lrTb"/>
            <w:noWrap w:val="false"/>
          </w:tcPr>
          <w:p>
            <w:pPr>
              <w:pStyle w:val="928"/>
              <w:jc w:val="center"/>
              <w:widowControl/>
              <w:rPr>
                <w:rFonts w:hint="eastAsia" w:cs="Calibri"/>
                <w:b/>
                <w:bCs/>
                <w:color w:val="000000"/>
                <w:sz w:val="21"/>
                <w:szCs w:val="21"/>
              </w:rPr>
            </w:pPr>
            <w:r>
              <w:rPr>
                <w:rFonts w:hint="eastAsia" w:cs="Calibri"/>
                <w:b/>
                <w:bCs/>
                <w:color w:val="000000"/>
                <w:sz w:val="21"/>
                <w:szCs w:val="21"/>
              </w:rPr>
              <w:t xml:space="preserve">设备名称</w:t>
            </w:r>
            <w:r/>
          </w:p>
        </w:tc>
        <w:tc>
          <w:tcPr>
            <w:tcW w:w="4577" w:type="dxa"/>
            <w:vAlign w:val="center"/>
            <w:textDirection w:val="lrTb"/>
            <w:noWrap w:val="false"/>
          </w:tcPr>
          <w:p>
            <w:pPr>
              <w:pStyle w:val="928"/>
              <w:jc w:val="center"/>
              <w:widowControl/>
              <w:rPr>
                <w:rFonts w:hint="eastAsia" w:cs="Calibri"/>
                <w:b/>
                <w:bCs/>
                <w:color w:val="000000"/>
                <w:sz w:val="21"/>
                <w:szCs w:val="21"/>
              </w:rPr>
            </w:pPr>
            <w:r>
              <w:rPr>
                <w:rFonts w:hint="eastAsia" w:cs="Calibri"/>
                <w:b/>
                <w:bCs/>
                <w:color w:val="000000"/>
                <w:sz w:val="21"/>
                <w:szCs w:val="21"/>
              </w:rPr>
              <w:t xml:space="preserve">规格参数</w:t>
            </w:r>
            <w:r/>
          </w:p>
        </w:tc>
        <w:tc>
          <w:tcPr>
            <w:tcW w:w="992" w:type="dxa"/>
            <w:vAlign w:val="center"/>
            <w:textDirection w:val="lrTb"/>
            <w:noWrap w:val="false"/>
          </w:tcPr>
          <w:p>
            <w:pPr>
              <w:pStyle w:val="928"/>
              <w:jc w:val="center"/>
              <w:widowControl/>
              <w:rPr>
                <w:rFonts w:hint="eastAsia" w:cs="Calibri"/>
                <w:b/>
                <w:bCs/>
                <w:color w:val="000000"/>
                <w:sz w:val="21"/>
                <w:szCs w:val="21"/>
              </w:rPr>
            </w:pPr>
            <w:r>
              <w:rPr>
                <w:rFonts w:hint="eastAsia" w:cs="Calibri"/>
                <w:b/>
                <w:bCs/>
                <w:color w:val="000000"/>
                <w:sz w:val="21"/>
                <w:szCs w:val="21"/>
              </w:rPr>
              <w:t xml:space="preserve">数量</w:t>
            </w:r>
            <w:r/>
          </w:p>
        </w:tc>
        <w:tc>
          <w:tcPr>
            <w:tcW w:w="992" w:type="dxa"/>
            <w:vAlign w:val="center"/>
            <w:textDirection w:val="lrTb"/>
            <w:noWrap w:val="false"/>
          </w:tcPr>
          <w:p>
            <w:pPr>
              <w:pStyle w:val="928"/>
              <w:jc w:val="center"/>
              <w:widowControl/>
              <w:rPr>
                <w:rFonts w:hint="eastAsia" w:cs="Calibri"/>
                <w:b/>
                <w:bCs/>
                <w:color w:val="000000"/>
                <w:sz w:val="21"/>
                <w:szCs w:val="21"/>
              </w:rPr>
            </w:pPr>
            <w:r>
              <w:rPr>
                <w:rFonts w:hint="eastAsia" w:cs="Calibri"/>
                <w:b/>
                <w:bCs/>
                <w:color w:val="000000"/>
                <w:sz w:val="21"/>
                <w:szCs w:val="21"/>
              </w:rPr>
              <w:t xml:space="preserve">单位</w:t>
            </w:r>
            <w:r/>
          </w:p>
        </w:tc>
      </w:tr>
      <w:tr>
        <w:trPr>
          <w:trHeight w:val="402"/>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1</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服务器A（SSD)</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详见原招标参数4.2.4.1</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5</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台</w:t>
            </w:r>
            <w:r/>
          </w:p>
        </w:tc>
      </w:tr>
      <w:tr>
        <w:trPr>
          <w:trHeight w:val="402"/>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2</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服务器B</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详见原招标参数4.2.4.2</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10</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台</w:t>
            </w:r>
            <w:r/>
          </w:p>
        </w:tc>
      </w:tr>
      <w:tr>
        <w:trPr>
          <w:trHeight w:val="601"/>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3</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违规外联检测设备</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详见原招标参数4.2.4.3</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1</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套</w:t>
            </w:r>
            <w:r/>
          </w:p>
        </w:tc>
      </w:tr>
      <w:tr>
        <w:trPr>
          <w:trHeight w:val="601"/>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4</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视频专用台式电脑</w:t>
            </w:r>
            <w:r/>
          </w:p>
        </w:tc>
        <w:tc>
          <w:tcPr>
            <w:tcW w:w="4577" w:type="dxa"/>
            <w:vAlign w:val="top"/>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i7-10700/16GB/M.256GB SSD+1TB/AMD R5 430 2G独立显卡/键盘鼠标/3年/3年硬盘不返回/windows10家庭版 中文</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6</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台</w:t>
            </w:r>
            <w:r/>
          </w:p>
        </w:tc>
      </w:tr>
      <w:tr>
        <w:trPr>
          <w:trHeight w:val="402"/>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5</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高清视频会议摄像机</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详见原招标参数4.2.4.4</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2</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套</w:t>
            </w:r>
            <w:r/>
          </w:p>
        </w:tc>
      </w:tr>
      <w:tr>
        <w:trPr>
          <w:trHeight w:val="402"/>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6</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人车存储节点</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详见原招标参数4.2.4.5</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1</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台</w:t>
            </w:r>
            <w:r/>
          </w:p>
        </w:tc>
      </w:tr>
      <w:tr>
        <w:trPr>
          <w:trHeight w:val="402"/>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7</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扩容硬盘（含授权）</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10T扩容硬盘</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12</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只</w:t>
            </w:r>
            <w:r/>
          </w:p>
        </w:tc>
      </w:tr>
      <w:tr>
        <w:trPr>
          <w:trHeight w:val="402"/>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8</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400万人脸抓拍筒机</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详见原招标参数4.2.4.6</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5</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套</w:t>
            </w:r>
            <w:r/>
          </w:p>
        </w:tc>
      </w:tr>
      <w:tr>
        <w:trPr>
          <w:trHeight w:val="402"/>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9</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800万车辆微光抓拍筒机</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详见原招标参数4.2.4.7</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4</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套</w:t>
            </w:r>
            <w:r/>
          </w:p>
        </w:tc>
      </w:tr>
      <w:tr>
        <w:trPr>
          <w:trHeight w:val="402"/>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10</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一拖N智能相机</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详见</w:t>
            </w:r>
            <w:r>
              <w:rPr>
                <w:rFonts w:hint="eastAsia" w:cs="Calibri"/>
                <w:color w:val="000000"/>
                <w:sz w:val="21"/>
                <w:szCs w:val="21"/>
              </w:rPr>
              <w:t xml:space="preserve">原招标参数4.2.4.8</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1</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套</w:t>
            </w:r>
            <w:r/>
          </w:p>
        </w:tc>
      </w:tr>
      <w:tr>
        <w:trPr>
          <w:trHeight w:val="402"/>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11</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结构化智能球机</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详见原招标参数4.2.4.9</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1</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套</w:t>
            </w:r>
            <w:r/>
          </w:p>
        </w:tc>
      </w:tr>
      <w:tr>
        <w:trPr>
          <w:trHeight w:val="402"/>
        </w:trPr>
        <w:tc>
          <w:tcPr>
            <w:tcW w:w="966"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12</w:t>
            </w:r>
            <w:r/>
          </w:p>
        </w:tc>
        <w:tc>
          <w:tcPr>
            <w:tcW w:w="168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万兆光模块</w:t>
            </w:r>
            <w:r/>
          </w:p>
        </w:tc>
        <w:tc>
          <w:tcPr>
            <w:tcW w:w="4577" w:type="dxa"/>
            <w:vAlign w:val="center"/>
            <w:textDirection w:val="lrTb"/>
            <w:noWrap w:val="false"/>
          </w:tcPr>
          <w:p>
            <w:pPr>
              <w:pStyle w:val="928"/>
              <w:jc w:val="left"/>
              <w:widowControl/>
              <w:rPr>
                <w:rFonts w:hint="eastAsia" w:cs="Calibri"/>
                <w:color w:val="000000"/>
                <w:sz w:val="21"/>
                <w:szCs w:val="21"/>
              </w:rPr>
            </w:pPr>
            <w:r>
              <w:rPr>
                <w:rFonts w:hint="eastAsia" w:cs="Calibri"/>
                <w:color w:val="000000"/>
                <w:sz w:val="21"/>
                <w:szCs w:val="21"/>
              </w:rPr>
              <w:t xml:space="preserve">万兆单模60KM单纤10G光模块sfp+接口 兼容h3c、华为</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6</w:t>
            </w:r>
            <w:r/>
          </w:p>
        </w:tc>
        <w:tc>
          <w:tcPr>
            <w:tcW w:w="992" w:type="dxa"/>
            <w:vAlign w:val="center"/>
            <w:textDirection w:val="lrTb"/>
            <w:noWrap w:val="false"/>
          </w:tcPr>
          <w:p>
            <w:pPr>
              <w:pStyle w:val="928"/>
              <w:jc w:val="center"/>
              <w:widowControl/>
              <w:rPr>
                <w:rFonts w:hint="eastAsia" w:cs="Calibri"/>
                <w:color w:val="000000"/>
                <w:sz w:val="21"/>
                <w:szCs w:val="21"/>
              </w:rPr>
            </w:pPr>
            <w:r>
              <w:rPr>
                <w:rFonts w:hint="eastAsia" w:cs="Calibri"/>
                <w:color w:val="000000"/>
                <w:sz w:val="21"/>
                <w:szCs w:val="21"/>
              </w:rPr>
              <w:t xml:space="preserve">对</w:t>
            </w:r>
            <w:r/>
          </w:p>
        </w:tc>
      </w:tr>
    </w:tbl>
    <w:p>
      <w:pPr>
        <w:pStyle w:val="930"/>
        <w:numPr>
          <w:ilvl w:val="1"/>
          <w:numId w:val="45"/>
        </w:numPr>
        <w:spacing w:before="0" w:after="0" w:line="360" w:lineRule="auto"/>
        <w:tabs>
          <w:tab w:val="left" w:pos="567" w:leader="none"/>
          <w:tab w:val="left" w:pos="576" w:leader="none"/>
        </w:tabs>
        <w:rPr>
          <w:rFonts w:hint="eastAsia" w:ascii="宋体" w:hAnsi="宋体" w:eastAsia="宋体"/>
          <w:color w:val="000000"/>
          <w:sz w:val="21"/>
          <w:szCs w:val="21"/>
        </w:rPr>
      </w:pPr>
      <w:r>
        <w:rPr>
          <w:rFonts w:hint="eastAsia" w:ascii="宋体" w:hAnsi="宋体" w:eastAsia="宋体"/>
          <w:color w:val="000000"/>
          <w:sz w:val="21"/>
          <w:szCs w:val="21"/>
        </w:rPr>
        <w:t xml:space="preserve">指挥中心大屏建设项目到期运维</w:t>
      </w:r>
      <w:r/>
    </w:p>
    <w:p>
      <w:pPr>
        <w:pStyle w:val="1741"/>
        <w:rPr>
          <w:rFonts w:ascii="宋体" w:hAnsi="宋体"/>
          <w:color w:val="000000"/>
          <w:sz w:val="21"/>
          <w:szCs w:val="21"/>
        </w:rPr>
      </w:pPr>
      <w:r>
        <w:rPr>
          <w:rFonts w:hint="eastAsia" w:ascii="宋体" w:hAnsi="宋体"/>
          <w:color w:val="000000"/>
          <w:sz w:val="21"/>
          <w:szCs w:val="21"/>
        </w:rPr>
        <w:t xml:space="preserve">主要维护清单如下：</w:t>
      </w:r>
      <w:r>
        <w:rPr>
          <w:rFonts w:ascii="宋体" w:hAnsi="宋体"/>
          <w:color w:val="000000"/>
          <w:sz w:val="21"/>
          <w:szCs w:val="21"/>
        </w:rPr>
      </w:r>
      <w:r/>
    </w:p>
    <w:p>
      <w:pPr>
        <w:pStyle w:val="1741"/>
        <w:numPr>
          <w:ilvl w:val="0"/>
          <w:numId w:val="49"/>
        </w:numPr>
        <w:rPr>
          <w:color w:val="000000"/>
          <w:sz w:val="21"/>
          <w:szCs w:val="21"/>
        </w:rPr>
      </w:pPr>
      <w:r>
        <w:rPr>
          <w:rFonts w:hint="eastAsia" w:ascii="宋体" w:hAnsi="宋体"/>
          <w:color w:val="000000"/>
          <w:sz w:val="21"/>
          <w:szCs w:val="21"/>
        </w:rPr>
        <w:t xml:space="preserve">指挥大屏：</w:t>
      </w:r>
      <w:r>
        <w:rPr>
          <w:color w:val="000000"/>
          <w:sz w:val="21"/>
          <w:szCs w:val="21"/>
        </w:rPr>
      </w:r>
      <w:r/>
    </w:p>
    <w:tbl>
      <w:tblPr>
        <w:tblW w:w="9204"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06"/>
        <w:gridCol w:w="2501"/>
        <w:gridCol w:w="2315"/>
        <w:gridCol w:w="1581"/>
        <w:gridCol w:w="851"/>
        <w:gridCol w:w="850"/>
      </w:tblGrid>
      <w:tr>
        <w:trPr>
          <w:trHeight w:val="601"/>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序号</w:t>
            </w:r>
            <w:r>
              <w:rPr>
                <w:rFonts w:cs="Calibri"/>
                <w:color w:val="000000"/>
                <w:sz w:val="21"/>
                <w:szCs w:val="21"/>
              </w:rPr>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标的物名称</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品牌、规格</w:t>
            </w:r>
            <w:r>
              <w:rPr>
                <w:rFonts w:cs="Calibri"/>
                <w:color w:val="000000"/>
                <w:sz w:val="21"/>
                <w:szCs w:val="21"/>
              </w:rPr>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生产厂家</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单位</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数量</w:t>
            </w:r>
            <w:r>
              <w:rPr>
                <w:rFonts w:cs="Calibri"/>
                <w:color w:val="000000"/>
                <w:sz w:val="21"/>
                <w:szCs w:val="21"/>
              </w:rPr>
            </w:r>
            <w:r/>
          </w:p>
        </w:tc>
      </w:tr>
      <w:tr>
        <w:trPr>
          <w:trHeight w:val="775"/>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1</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室内小间距</w:t>
            </w:r>
            <w:r>
              <w:rPr>
                <w:rFonts w:cs="Calibri"/>
                <w:color w:val="000000"/>
                <w:sz w:val="21"/>
                <w:szCs w:val="21"/>
              </w:rPr>
              <w:t xml:space="preserve">LED</w:t>
            </w:r>
            <w:r>
              <w:rPr>
                <w:rFonts w:hint="eastAsia" w:cs="Calibri"/>
                <w:color w:val="000000"/>
                <w:sz w:val="21"/>
                <w:szCs w:val="21"/>
              </w:rPr>
              <w:t xml:space="preserve">显示屏</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DH-PHSIA1.2-EH</w:t>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平方</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72</w:t>
            </w:r>
            <w:r/>
          </w:p>
        </w:tc>
      </w:tr>
      <w:tr>
        <w:trPr>
          <w:trHeight w:val="775"/>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2</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室内小间距</w:t>
            </w:r>
            <w:r>
              <w:rPr>
                <w:rFonts w:cs="Calibri"/>
                <w:color w:val="000000"/>
                <w:sz w:val="21"/>
                <w:szCs w:val="21"/>
              </w:rPr>
              <w:t xml:space="preserve">LED</w:t>
            </w:r>
            <w:r>
              <w:rPr>
                <w:rFonts w:hint="eastAsia" w:cs="Calibri"/>
                <w:color w:val="000000"/>
                <w:sz w:val="21"/>
                <w:szCs w:val="21"/>
              </w:rPr>
              <w:t xml:space="preserve">显示屏</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DH-PHSIA1.2-EH</w:t>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平方</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5.76</w:t>
            </w:r>
            <w:r/>
          </w:p>
        </w:tc>
      </w:tr>
      <w:tr>
        <w:trPr>
          <w:trHeight w:val="601"/>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3</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显示屏独立主控</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DH-LCS-M6</w:t>
            </w:r>
            <w:r>
              <w:rPr>
                <w:rFonts w:cs="Calibri"/>
                <w:color w:val="000000"/>
                <w:sz w:val="21"/>
                <w:szCs w:val="21"/>
              </w:rPr>
              <w:t xml:space="preserve">00</w:t>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台</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32</w:t>
            </w:r>
            <w:r/>
          </w:p>
        </w:tc>
      </w:tr>
      <w:tr>
        <w:trPr>
          <w:trHeight w:val="601"/>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4</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大屏安装结构</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定制</w:t>
            </w:r>
            <w:r>
              <w:rPr>
                <w:rFonts w:cs="Calibri"/>
                <w:color w:val="000000"/>
                <w:sz w:val="21"/>
                <w:szCs w:val="21"/>
              </w:rPr>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套</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2</w:t>
            </w:r>
            <w:r/>
          </w:p>
        </w:tc>
      </w:tr>
      <w:tr>
        <w:trPr>
          <w:trHeight w:val="601"/>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5</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配套附件包</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定制</w:t>
            </w:r>
            <w:r>
              <w:rPr>
                <w:rFonts w:cs="Calibri"/>
                <w:color w:val="000000"/>
                <w:sz w:val="21"/>
                <w:szCs w:val="21"/>
              </w:rPr>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套</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2</w:t>
            </w:r>
            <w:r/>
          </w:p>
        </w:tc>
      </w:tr>
      <w:tr>
        <w:trPr>
          <w:trHeight w:val="601"/>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6</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大屏线缆</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定制</w:t>
            </w:r>
            <w:r>
              <w:rPr>
                <w:rFonts w:cs="Calibri"/>
                <w:color w:val="000000"/>
                <w:sz w:val="21"/>
                <w:szCs w:val="21"/>
              </w:rPr>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套</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2</w:t>
            </w:r>
            <w:r/>
          </w:p>
        </w:tc>
      </w:tr>
      <w:tr>
        <w:trPr>
          <w:trHeight w:val="601"/>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7</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配电柜</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定制</w:t>
            </w:r>
            <w:r>
              <w:rPr>
                <w:rFonts w:cs="Calibri"/>
                <w:color w:val="000000"/>
                <w:sz w:val="21"/>
                <w:szCs w:val="21"/>
              </w:rPr>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套</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2</w:t>
            </w:r>
            <w:r/>
          </w:p>
        </w:tc>
      </w:tr>
      <w:tr>
        <w:trPr>
          <w:trHeight w:val="606"/>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8</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大屏控制器</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DH-DSCON3000</w:t>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台</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2</w:t>
            </w:r>
            <w:r/>
          </w:p>
        </w:tc>
      </w:tr>
      <w:tr>
        <w:trPr>
          <w:trHeight w:val="601"/>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9</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大屏输入板卡</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VI0401HH-DC3000</w:t>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块</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6</w:t>
            </w:r>
            <w:r/>
          </w:p>
        </w:tc>
      </w:tr>
      <w:tr>
        <w:trPr>
          <w:trHeight w:val="601"/>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10</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大屏</w:t>
            </w:r>
            <w:r>
              <w:rPr>
                <w:rFonts w:cs="Calibri"/>
                <w:color w:val="000000"/>
                <w:sz w:val="21"/>
                <w:szCs w:val="21"/>
              </w:rPr>
              <w:t xml:space="preserve">4K</w:t>
            </w:r>
            <w:r>
              <w:rPr>
                <w:rFonts w:hint="eastAsia" w:cs="Calibri"/>
                <w:color w:val="000000"/>
                <w:sz w:val="21"/>
                <w:szCs w:val="21"/>
              </w:rPr>
              <w:t xml:space="preserve">输入板卡</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VI0201UH-DC3000</w:t>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块</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2</w:t>
            </w:r>
            <w:r/>
          </w:p>
        </w:tc>
      </w:tr>
      <w:tr>
        <w:trPr>
          <w:trHeight w:val="619"/>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11</w:t>
            </w:r>
            <w:r/>
          </w:p>
        </w:tc>
        <w:tc>
          <w:tcPr>
            <w:shd w:val="clear" w:color="auto" w:fill="ffffff"/>
            <w:tcMar>
              <w:left w:w="108" w:type="dxa"/>
              <w:top w:w="0" w:type="dxa"/>
              <w:right w:w="108" w:type="dxa"/>
              <w:bottom w:w="0" w:type="dxa"/>
            </w:tcMar>
            <w:tcW w:w="250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大屏输出板卡</w:t>
            </w:r>
            <w:r>
              <w:rPr>
                <w:rFonts w:cs="Calibri"/>
                <w:color w:val="000000"/>
                <w:sz w:val="21"/>
                <w:szCs w:val="21"/>
              </w:rPr>
            </w:r>
            <w:r/>
          </w:p>
        </w:tc>
        <w:tc>
          <w:tcPr>
            <w:shd w:val="clear" w:color="auto" w:fill="ffffff"/>
            <w:tcMar>
              <w:left w:w="108" w:type="dxa"/>
              <w:top w:w="0" w:type="dxa"/>
              <w:right w:w="108" w:type="dxa"/>
              <w:bottom w:w="0" w:type="dxa"/>
            </w:tcMar>
            <w:tcW w:w="2315"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VO0401HH-DC3000</w:t>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块</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10</w:t>
            </w:r>
            <w:r/>
          </w:p>
        </w:tc>
      </w:tr>
    </w:tbl>
    <w:p>
      <w:pPr>
        <w:pStyle w:val="928"/>
        <w:rPr>
          <w:rFonts w:ascii="Times New Roman" w:hAnsi="Times New Roman" w:cs="黑体"/>
          <w:color w:val="000000"/>
        </w:rPr>
      </w:pPr>
      <w:r>
        <w:rPr>
          <w:rFonts w:ascii="Times New Roman" w:hAnsi="Times New Roman" w:cs="黑体"/>
          <w:color w:val="000000"/>
        </w:rPr>
      </w:r>
      <w:r/>
    </w:p>
    <w:p>
      <w:pPr>
        <w:pStyle w:val="1741"/>
        <w:numPr>
          <w:ilvl w:val="0"/>
          <w:numId w:val="49"/>
        </w:numPr>
        <w:rPr>
          <w:rFonts w:ascii="宋体" w:hAnsi="宋体"/>
          <w:color w:val="000000"/>
          <w:sz w:val="21"/>
          <w:szCs w:val="21"/>
        </w:rPr>
      </w:pPr>
      <w:r>
        <w:rPr>
          <w:rFonts w:hint="eastAsia" w:ascii="宋体" w:hAnsi="宋体"/>
          <w:color w:val="000000"/>
          <w:sz w:val="21"/>
          <w:szCs w:val="21"/>
        </w:rPr>
        <w:t xml:space="preserve">大数据大屏：</w:t>
      </w:r>
      <w:r>
        <w:rPr>
          <w:rFonts w:ascii="宋体" w:hAnsi="宋体"/>
          <w:color w:val="000000"/>
          <w:sz w:val="21"/>
          <w:szCs w:val="21"/>
        </w:rPr>
      </w:r>
      <w:r/>
    </w:p>
    <w:tbl>
      <w:tblPr>
        <w:tblW w:w="9204"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06"/>
        <w:gridCol w:w="2570"/>
        <w:gridCol w:w="2246"/>
        <w:gridCol w:w="1581"/>
        <w:gridCol w:w="851"/>
        <w:gridCol w:w="850"/>
      </w:tblGrid>
      <w:tr>
        <w:trPr>
          <w:trHeight w:val="601"/>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序号</w:t>
            </w:r>
            <w:r>
              <w:rPr>
                <w:rFonts w:cs="Calibri"/>
                <w:color w:val="000000"/>
                <w:sz w:val="21"/>
                <w:szCs w:val="21"/>
              </w:rPr>
            </w:r>
            <w:r/>
          </w:p>
        </w:tc>
        <w:tc>
          <w:tcPr>
            <w:shd w:val="clear" w:color="auto" w:fill="ffffff"/>
            <w:tcMar>
              <w:left w:w="108" w:type="dxa"/>
              <w:top w:w="0" w:type="dxa"/>
              <w:right w:w="108" w:type="dxa"/>
              <w:bottom w:w="0" w:type="dxa"/>
            </w:tcMar>
            <w:tcW w:w="2570"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标的物名称</w:t>
            </w:r>
            <w:r>
              <w:rPr>
                <w:rFonts w:cs="Calibri"/>
                <w:color w:val="000000"/>
                <w:sz w:val="21"/>
                <w:szCs w:val="21"/>
              </w:rPr>
            </w:r>
            <w:r/>
          </w:p>
        </w:tc>
        <w:tc>
          <w:tcPr>
            <w:shd w:val="clear" w:color="auto" w:fill="ffffff"/>
            <w:tcMar>
              <w:left w:w="108" w:type="dxa"/>
              <w:top w:w="0" w:type="dxa"/>
              <w:right w:w="108" w:type="dxa"/>
              <w:bottom w:w="0" w:type="dxa"/>
            </w:tcMar>
            <w:tcW w:w="2246"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品牌、规</w:t>
            </w:r>
            <w:r>
              <w:rPr>
                <w:rFonts w:hint="eastAsia" w:cs="Calibri"/>
                <w:b/>
                <w:bCs/>
                <w:color w:val="000000"/>
                <w:sz w:val="21"/>
                <w:szCs w:val="21"/>
              </w:rPr>
              <w:t xml:space="preserve">格</w:t>
            </w:r>
            <w:r>
              <w:rPr>
                <w:rFonts w:cs="Calibri"/>
                <w:color w:val="000000"/>
                <w:sz w:val="21"/>
                <w:szCs w:val="21"/>
              </w:rPr>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生产厂家</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单位</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b/>
                <w:bCs/>
                <w:color w:val="000000"/>
                <w:sz w:val="21"/>
                <w:szCs w:val="21"/>
              </w:rPr>
              <w:t xml:space="preserve">数量</w:t>
            </w:r>
            <w:r>
              <w:rPr>
                <w:rFonts w:cs="Calibri"/>
                <w:color w:val="000000"/>
                <w:sz w:val="21"/>
                <w:szCs w:val="21"/>
              </w:rPr>
            </w:r>
            <w:r/>
          </w:p>
        </w:tc>
      </w:tr>
      <w:tr>
        <w:trPr>
          <w:trHeight w:val="775"/>
        </w:trPr>
        <w:tc>
          <w:tcPr>
            <w:shd w:val="clear" w:color="auto" w:fill="ffffff"/>
            <w:tcMar>
              <w:left w:w="108" w:type="dxa"/>
              <w:top w:w="0" w:type="dxa"/>
              <w:right w:w="108" w:type="dxa"/>
              <w:bottom w:w="0" w:type="dxa"/>
            </w:tcMar>
            <w:tcW w:w="110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1</w:t>
            </w:r>
            <w:r/>
          </w:p>
        </w:tc>
        <w:tc>
          <w:tcPr>
            <w:shd w:val="clear" w:color="auto" w:fill="ffffff"/>
            <w:tcMar>
              <w:left w:w="108" w:type="dxa"/>
              <w:top w:w="0" w:type="dxa"/>
              <w:right w:w="108" w:type="dxa"/>
              <w:bottom w:w="0" w:type="dxa"/>
            </w:tcMar>
            <w:tcW w:w="2570"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室内小间距</w:t>
            </w:r>
            <w:r>
              <w:rPr>
                <w:rFonts w:cs="Calibri"/>
                <w:color w:val="000000"/>
                <w:sz w:val="21"/>
                <w:szCs w:val="21"/>
              </w:rPr>
              <w:t xml:space="preserve">LED</w:t>
            </w:r>
            <w:r>
              <w:rPr>
                <w:rFonts w:hint="eastAsia" w:cs="Calibri"/>
                <w:color w:val="000000"/>
                <w:sz w:val="21"/>
                <w:szCs w:val="21"/>
              </w:rPr>
              <w:t xml:space="preserve">显示屏(含控制器、独立主控、配电柜、安装结构、辅材等)</w:t>
            </w:r>
            <w:r>
              <w:rPr>
                <w:rFonts w:cs="Calibri"/>
                <w:color w:val="000000"/>
                <w:sz w:val="21"/>
                <w:szCs w:val="21"/>
              </w:rPr>
            </w:r>
            <w:r/>
          </w:p>
        </w:tc>
        <w:tc>
          <w:tcPr>
            <w:shd w:val="clear" w:color="auto" w:fill="ffffff"/>
            <w:tcMar>
              <w:left w:w="108" w:type="dxa"/>
              <w:top w:w="0" w:type="dxa"/>
              <w:right w:w="108" w:type="dxa"/>
              <w:bottom w:w="0" w:type="dxa"/>
            </w:tcMar>
            <w:tcW w:w="2246"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DH-PHSIA1.2-SH</w:t>
            </w:r>
            <w:r/>
          </w:p>
        </w:tc>
        <w:tc>
          <w:tcPr>
            <w:shd w:val="clear" w:color="auto" w:fill="ffffff"/>
            <w:tcMar>
              <w:left w:w="108" w:type="dxa"/>
              <w:top w:w="0" w:type="dxa"/>
              <w:right w:w="108" w:type="dxa"/>
              <w:bottom w:w="0" w:type="dxa"/>
            </w:tcMar>
            <w:tcW w:w="158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浙江大华</w:t>
            </w:r>
            <w:r>
              <w:rPr>
                <w:rFonts w:cs="Calibri"/>
                <w:color w:val="000000"/>
                <w:sz w:val="21"/>
                <w:szCs w:val="21"/>
              </w:rPr>
            </w:r>
            <w:r/>
          </w:p>
        </w:tc>
        <w:tc>
          <w:tcPr>
            <w:shd w:val="clear" w:color="auto" w:fill="ffffff"/>
            <w:tcMar>
              <w:left w:w="108" w:type="dxa"/>
              <w:top w:w="0" w:type="dxa"/>
              <w:right w:w="108" w:type="dxa"/>
              <w:bottom w:w="0" w:type="dxa"/>
            </w:tcMar>
            <w:tcW w:w="851" w:type="dxa"/>
            <w:vAlign w:val="center"/>
            <w:textDirection w:val="lrTb"/>
            <w:noWrap w:val="false"/>
          </w:tcPr>
          <w:p>
            <w:pPr>
              <w:pStyle w:val="928"/>
              <w:jc w:val="center"/>
              <w:spacing w:line="480" w:lineRule="atLeast"/>
              <w:widowControl/>
              <w:rPr>
                <w:rFonts w:cs="Calibri"/>
                <w:color w:val="000000"/>
                <w:sz w:val="21"/>
                <w:szCs w:val="21"/>
              </w:rPr>
            </w:pPr>
            <w:r>
              <w:rPr>
                <w:rFonts w:hint="eastAsia" w:cs="Calibri"/>
                <w:color w:val="000000"/>
                <w:sz w:val="21"/>
                <w:szCs w:val="21"/>
              </w:rPr>
              <w:t xml:space="preserve">平方</w:t>
            </w:r>
            <w:r>
              <w:rPr>
                <w:rFonts w:cs="Calibri"/>
                <w:color w:val="000000"/>
                <w:sz w:val="21"/>
                <w:szCs w:val="21"/>
              </w:rPr>
            </w:r>
            <w:r/>
          </w:p>
        </w:tc>
        <w:tc>
          <w:tcPr>
            <w:shd w:val="clear" w:color="auto" w:fill="ffffff"/>
            <w:tcMar>
              <w:left w:w="108" w:type="dxa"/>
              <w:top w:w="0" w:type="dxa"/>
              <w:right w:w="108" w:type="dxa"/>
              <w:bottom w:w="0" w:type="dxa"/>
            </w:tcMar>
            <w:tcW w:w="850" w:type="dxa"/>
            <w:vAlign w:val="center"/>
            <w:textDirection w:val="lrTb"/>
            <w:noWrap w:val="false"/>
          </w:tcPr>
          <w:p>
            <w:pPr>
              <w:pStyle w:val="928"/>
              <w:jc w:val="center"/>
              <w:spacing w:line="480" w:lineRule="atLeast"/>
              <w:widowControl/>
              <w:rPr>
                <w:rFonts w:cs="Calibri"/>
                <w:color w:val="000000"/>
                <w:sz w:val="21"/>
                <w:szCs w:val="21"/>
              </w:rPr>
            </w:pPr>
            <w:r>
              <w:rPr>
                <w:rFonts w:cs="Calibri"/>
                <w:color w:val="000000"/>
                <w:sz w:val="21"/>
                <w:szCs w:val="21"/>
              </w:rPr>
              <w:t xml:space="preserve">5</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二维码门牌管理平台维护服务</w:t>
      </w:r>
      <w:r>
        <w:rPr>
          <w:rFonts w:ascii="宋体" w:hAnsi="宋体" w:eastAsia="宋体"/>
          <w:color w:val="000000"/>
          <w:sz w:val="21"/>
          <w:szCs w:val="21"/>
        </w:rPr>
      </w:r>
      <w:r/>
    </w:p>
    <w:p>
      <w:pPr>
        <w:pStyle w:val="1714"/>
        <w:ind w:firstLine="422"/>
        <w:spacing w:after="0" w:line="360" w:lineRule="auto"/>
        <w:rPr>
          <w:rFonts w:hint="eastAsia" w:eastAsia="宋体"/>
          <w:b/>
          <w:bCs/>
          <w:color w:val="000000"/>
          <w:sz w:val="21"/>
          <w:szCs w:val="21"/>
          <w:lang w:eastAsia="zh-CN"/>
        </w:rPr>
      </w:pPr>
      <w:r>
        <w:rPr>
          <w:rFonts w:hint="eastAsia" w:eastAsia="宋体"/>
          <w:b/>
          <w:bCs/>
          <w:color w:val="000000"/>
          <w:sz w:val="21"/>
          <w:szCs w:val="21"/>
          <w:lang w:eastAsia="zh-CN"/>
        </w:rPr>
        <w:t xml:space="preserve">1、二维码门牌软件维护服务参数要求</w:t>
      </w:r>
      <w:r/>
    </w:p>
    <w:p>
      <w:pPr>
        <w:pStyle w:val="1714"/>
        <w:ind w:firstLine="422"/>
        <w:spacing w:after="0" w:line="360" w:lineRule="auto"/>
        <w:rPr>
          <w:rFonts w:hint="eastAsia" w:eastAsia="宋体"/>
          <w:b/>
          <w:bCs/>
          <w:color w:val="000000"/>
          <w:sz w:val="21"/>
          <w:szCs w:val="21"/>
          <w:lang w:eastAsia="zh-CN"/>
        </w:rPr>
      </w:pPr>
      <w:r>
        <w:rPr>
          <w:rFonts w:hint="eastAsia" w:eastAsia="宋体"/>
          <w:b/>
          <w:bCs/>
          <w:color w:val="000000"/>
          <w:sz w:val="21"/>
          <w:szCs w:val="21"/>
          <w:lang w:eastAsia="zh-CN"/>
        </w:rPr>
        <w:t xml:space="preserve">1.1 门牌综合管理运维平台软件</w:t>
      </w:r>
      <w:r/>
    </w:p>
    <w:p>
      <w:pPr>
        <w:pStyle w:val="1714"/>
        <w:ind w:firstLine="420"/>
        <w:spacing w:after="0" w:line="360" w:lineRule="auto"/>
        <w:rPr>
          <w:rFonts w:hint="eastAsia" w:eastAsia="宋体"/>
          <w:b/>
          <w:bCs/>
          <w:color w:val="000000"/>
          <w:sz w:val="21"/>
          <w:szCs w:val="21"/>
          <w:lang w:eastAsia="zh-CN"/>
        </w:rPr>
      </w:pPr>
      <w:r>
        <w:rPr>
          <w:rFonts w:hint="eastAsia" w:eastAsia="宋体"/>
          <w:color w:val="000000"/>
          <w:sz w:val="21"/>
          <w:szCs w:val="21"/>
          <w:lang w:eastAsia="zh-CN"/>
        </w:rPr>
        <w:t xml:space="preserve">二维码数字门牌是以大数据、物联网等数字技术为支撑，将人口、房屋、地址等属性与特定标识相关联，从而建立</w:t>
      </w:r>
      <w:r>
        <w:rPr>
          <w:rFonts w:hint="eastAsia" w:ascii="微软雅黑" w:hAnsi="微软雅黑" w:eastAsia="微软雅黑" w:cs="微软雅黑"/>
          <w:color w:val="000000"/>
          <w:sz w:val="21"/>
          <w:szCs w:val="21"/>
          <w:lang w:eastAsia="zh-CN"/>
        </w:rPr>
        <w:t xml:space="preserve">⼀</w:t>
      </w:r>
      <w:r>
        <w:rPr>
          <w:rFonts w:hint="eastAsia" w:eastAsia="宋体"/>
          <w:color w:val="000000"/>
          <w:sz w:val="21"/>
          <w:szCs w:val="21"/>
          <w:lang w:eastAsia="zh-CN"/>
        </w:rPr>
        <w:t xml:space="preserve">种高粘性、高信任度、网格化的新型地址管理模式。为了保障对物理门牌整个生命周期中规范、有序的管理，因此建立了一套数字化门牌管理系统。数字化门牌管理系统对门</w:t>
      </w:r>
      <w:r>
        <w:rPr>
          <w:rFonts w:hint="eastAsia" w:eastAsia="宋体"/>
          <w:color w:val="000000"/>
          <w:sz w:val="21"/>
          <w:szCs w:val="21"/>
          <w:lang w:eastAsia="zh-CN"/>
        </w:rPr>
        <w:t xml:space="preserve">牌生命周期中的：门牌申请、门牌审批、门牌制作、门牌签收、门牌安装、门牌验收、门牌质量管理等一系列环节起到流程实时监管的机制。</w:t>
      </w:r>
      <w:r>
        <w:rPr>
          <w:rFonts w:hint="eastAsia" w:eastAsia="宋体"/>
          <w:b/>
          <w:bCs/>
          <w:color w:val="000000"/>
          <w:sz w:val="21"/>
          <w:szCs w:val="21"/>
          <w:lang w:eastAsia="zh-CN"/>
        </w:rPr>
      </w:r>
      <w:r/>
    </w:p>
    <w:tbl>
      <w:tblPr>
        <w:tblW w:w="104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07"/>
        <w:gridCol w:w="7845"/>
      </w:tblGrid>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序号</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功能模块名称</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详细功能参数要求</w:t>
            </w:r>
            <w:r>
              <w:rPr>
                <w:rFonts w:hint="eastAsia" w:eastAsia="宋体" w:cs="Times New Roman"/>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门牌申请</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1714"/>
              <w:ind w:firstLine="0"/>
              <w:jc w:val="both"/>
              <w:spacing w:line="400" w:lineRule="exact"/>
              <w:rPr>
                <w:rFonts w:hint="eastAsia" w:eastAsia="宋体" w:cs="Times New Roman"/>
                <w:color w:val="000000"/>
                <w:sz w:val="21"/>
                <w:szCs w:val="21"/>
                <w:lang w:eastAsia="zh-CN"/>
              </w:rPr>
            </w:pPr>
            <w:r>
              <w:rPr>
                <w:rFonts w:hint="eastAsia" w:eastAsia="宋体"/>
                <w:color w:val="000000"/>
                <w:sz w:val="21"/>
                <w:szCs w:val="21"/>
                <w:lang w:eastAsia="zh-CN"/>
              </w:rPr>
              <w:t xml:space="preserve">数字化门牌管理系统对接苏州市局二维码门牌大市应用系统、</w:t>
            </w:r>
            <w:r>
              <w:rPr>
                <w:rFonts w:eastAsia="宋体" w:cs="Arial"/>
                <w:color w:val="000000"/>
                <w:sz w:val="21"/>
                <w:szCs w:val="21"/>
                <w:lang w:eastAsia="zh-CN"/>
              </w:rPr>
              <w:t xml:space="preserve">“</w:t>
            </w:r>
            <w:r>
              <w:rPr>
                <w:rFonts w:hint="eastAsia" w:eastAsia="宋体"/>
                <w:color w:val="000000"/>
                <w:sz w:val="21"/>
                <w:szCs w:val="21"/>
                <w:lang w:eastAsia="zh-CN"/>
              </w:rPr>
              <w:t xml:space="preserve">一标多实</w:t>
            </w:r>
            <w:r>
              <w:rPr>
                <w:rFonts w:eastAsia="宋体" w:cs="Arial"/>
                <w:color w:val="000000"/>
                <w:sz w:val="21"/>
                <w:szCs w:val="21"/>
                <w:lang w:eastAsia="zh-CN"/>
              </w:rPr>
              <w:t xml:space="preserve">”</w:t>
            </w:r>
            <w:r>
              <w:rPr>
                <w:rFonts w:hint="eastAsia" w:eastAsia="宋体"/>
                <w:color w:val="000000"/>
                <w:sz w:val="21"/>
                <w:szCs w:val="21"/>
                <w:lang w:eastAsia="zh-CN"/>
              </w:rPr>
              <w:t xml:space="preserve">信息采集应用系统。由派出所人员根据苏州市局</w:t>
            </w:r>
            <w:r>
              <w:rPr>
                <w:rFonts w:eastAsia="宋体" w:cs="Arial"/>
                <w:color w:val="000000"/>
                <w:sz w:val="21"/>
                <w:szCs w:val="21"/>
                <w:lang w:eastAsia="zh-CN"/>
              </w:rPr>
              <w:t xml:space="preserve">“</w:t>
            </w:r>
            <w:r>
              <w:rPr>
                <w:rFonts w:hint="eastAsia" w:eastAsia="宋体"/>
                <w:color w:val="000000"/>
                <w:sz w:val="21"/>
                <w:szCs w:val="21"/>
                <w:lang w:eastAsia="zh-CN"/>
              </w:rPr>
              <w:t xml:space="preserve">一标多实</w:t>
            </w:r>
            <w:r>
              <w:rPr>
                <w:rFonts w:eastAsia="宋体" w:cs="Arial"/>
                <w:color w:val="000000"/>
                <w:sz w:val="21"/>
                <w:szCs w:val="21"/>
                <w:lang w:eastAsia="zh-CN"/>
              </w:rPr>
              <w:t xml:space="preserve">”</w:t>
            </w:r>
            <w:r>
              <w:rPr>
                <w:rFonts w:hint="eastAsia" w:eastAsia="宋体"/>
                <w:color w:val="000000"/>
                <w:sz w:val="21"/>
                <w:szCs w:val="21"/>
                <w:lang w:eastAsia="zh-CN"/>
              </w:rPr>
              <w:t xml:space="preserve">基础数据，将自己所在辖区范围内的居民个人及单位门牌信息集中统一通过门牌管理系统提出门牌申请。</w:t>
            </w:r>
            <w:r>
              <w:rPr>
                <w:rFonts w:hint="eastAsia" w:eastAsia="宋体" w:cs="Times New Roman"/>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门牌审批</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928"/>
              <w:spacing w:line="400" w:lineRule="exact"/>
              <w:rPr>
                <w:rFonts w:hint="eastAsia"/>
                <w:b/>
                <w:bCs/>
                <w:color w:val="000000"/>
                <w:sz w:val="21"/>
                <w:szCs w:val="21"/>
              </w:rPr>
            </w:pPr>
            <w:r>
              <w:rPr>
                <w:rFonts w:hint="eastAsia"/>
                <w:color w:val="000000"/>
                <w:sz w:val="21"/>
                <w:szCs w:val="21"/>
              </w:rPr>
              <w:t xml:space="preserve">派出所提出的门牌申请通过门牌综合管理运维平台流转至市公安局进行门牌审批。如审批未通过，将退单到上一级重新申请。</w:t>
            </w:r>
            <w:r>
              <w:rPr>
                <w:rFonts w:hint="eastAsia"/>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二维码图像生成</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928"/>
              <w:spacing w:line="400" w:lineRule="exact"/>
              <w:rPr>
                <w:rFonts w:hint="eastAsia"/>
                <w:color w:val="000000"/>
                <w:sz w:val="21"/>
                <w:szCs w:val="21"/>
              </w:rPr>
            </w:pPr>
            <w:r>
              <w:rPr>
                <w:rFonts w:hint="eastAsia"/>
                <w:color w:val="000000"/>
                <w:sz w:val="21"/>
                <w:szCs w:val="21"/>
              </w:rPr>
              <w:t xml:space="preserve">通过GPU处理单元设备，批量生成二维码图像、自动图像校正、图像打包数据文件、文件加密。</w:t>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二维码图像核验</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928"/>
              <w:spacing w:line="400" w:lineRule="exact"/>
              <w:rPr>
                <w:rFonts w:hint="eastAsia"/>
                <w:color w:val="000000"/>
                <w:sz w:val="21"/>
                <w:szCs w:val="21"/>
              </w:rPr>
            </w:pPr>
            <w:r>
              <w:rPr>
                <w:rFonts w:hint="eastAsia"/>
                <w:color w:val="000000"/>
                <w:sz w:val="21"/>
                <w:szCs w:val="21"/>
              </w:rPr>
              <w:t xml:space="preserve">对根据省厅、苏州二维码标准生成的二维码图像进行批量解析和核验，发现问题二维码，上报上级部门，纠正错误图像。</w:t>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门牌制作</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1714"/>
              <w:ind w:firstLine="0"/>
              <w:jc w:val="both"/>
              <w:spacing w:line="400" w:lineRule="exact"/>
              <w:rPr>
                <w:rFonts w:hint="eastAsia" w:eastAsia="宋体" w:cs="Times New Roman"/>
                <w:b/>
                <w:bCs/>
                <w:color w:val="000000"/>
                <w:sz w:val="21"/>
                <w:szCs w:val="21"/>
                <w:lang w:eastAsia="zh-CN"/>
              </w:rPr>
            </w:pPr>
            <w:r>
              <w:rPr>
                <w:rFonts w:hint="eastAsia" w:eastAsia="宋体"/>
                <w:color w:val="000000"/>
                <w:sz w:val="21"/>
                <w:szCs w:val="21"/>
                <w:lang w:eastAsia="zh-CN"/>
              </w:rPr>
              <w:t xml:space="preserve">审批完成后的门牌通过门牌综合管理运维平台流转至厂家进行门牌制作，厂家对制牌过程中的异常数据通过门牌管理系统反馈至上一级。</w:t>
            </w:r>
            <w:r>
              <w:rPr>
                <w:rFonts w:hint="eastAsia" w:eastAsia="宋体" w:cs="Times New Roman"/>
                <w:b/>
                <w:bCs/>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门牌签收</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928"/>
              <w:spacing w:line="400" w:lineRule="exact"/>
              <w:rPr>
                <w:rFonts w:hint="eastAsia"/>
                <w:color w:val="000000"/>
                <w:sz w:val="21"/>
                <w:szCs w:val="21"/>
              </w:rPr>
            </w:pPr>
            <w:r>
              <w:rPr>
                <w:rFonts w:hint="eastAsia"/>
                <w:color w:val="000000"/>
                <w:sz w:val="21"/>
                <w:szCs w:val="21"/>
              </w:rPr>
              <w:t xml:space="preserve">制作完成后的门牌会根据门牌标准地址发送至所在区的各区派出所。各区派出所通过专业定制扫码设备对门牌进行签收确认</w:t>
            </w:r>
            <w:r>
              <w:rPr>
                <w:rFonts w:hint="eastAsia"/>
                <w:color w:val="000000"/>
                <w:sz w:val="21"/>
                <w:szCs w:val="21"/>
              </w:rPr>
              <w:t xml:space="preserve">，各区派出所对于门牌存在漏发、错发、门牌损坏的情况，通过门牌综合管理运维平台及时反馈给门牌厂家及时处理。</w:t>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7</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门牌安装和</w:t>
            </w:r>
            <w:r>
              <w:rPr>
                <w:rFonts w:hint="eastAsia" w:eastAsia="宋体" w:cs="Times New Roman"/>
                <w:b/>
                <w:bCs/>
                <w:color w:val="000000"/>
                <w:sz w:val="21"/>
                <w:szCs w:val="21"/>
              </w:rPr>
            </w:r>
            <w:r/>
          </w:p>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问题上报</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1714"/>
              <w:ind w:firstLine="0"/>
              <w:jc w:val="both"/>
              <w:spacing w:line="400" w:lineRule="exact"/>
              <w:rPr>
                <w:rFonts w:hint="eastAsia" w:eastAsia="宋体" w:cs="Times New Roman"/>
                <w:b/>
                <w:bCs/>
                <w:color w:val="000000"/>
                <w:sz w:val="21"/>
                <w:szCs w:val="21"/>
                <w:lang w:eastAsia="zh-CN"/>
              </w:rPr>
            </w:pPr>
            <w:r>
              <w:rPr>
                <w:rFonts w:hint="eastAsia" w:eastAsia="宋体"/>
                <w:color w:val="000000"/>
                <w:sz w:val="21"/>
                <w:szCs w:val="21"/>
                <w:lang w:eastAsia="zh-CN"/>
              </w:rPr>
              <w:t xml:space="preserve">厂家通过门牌综合管理运维平台接收到需要上门安装门牌的信息时，安排门牌安装人员根据标准规范快速完成门牌安装。门牌数据采集及</w:t>
            </w:r>
            <w:r>
              <w:rPr>
                <w:rFonts w:hint="eastAsia" w:eastAsia="宋体" w:cs="Times New Roman"/>
                <w:color w:val="000000"/>
                <w:sz w:val="21"/>
                <w:szCs w:val="21"/>
                <w:lang w:eastAsia="zh-CN"/>
              </w:rPr>
              <w:t xml:space="preserve">GIS</w:t>
            </w:r>
            <w:r>
              <w:rPr>
                <w:rFonts w:hint="eastAsia" w:eastAsia="宋体"/>
                <w:color w:val="000000"/>
                <w:sz w:val="21"/>
                <w:szCs w:val="21"/>
                <w:lang w:eastAsia="zh-CN"/>
              </w:rPr>
              <w:t xml:space="preserve">上图标注。安装过程发现的问题数据通过</w:t>
            </w:r>
            <w:r>
              <w:rPr>
                <w:rFonts w:hint="eastAsia" w:eastAsia="宋体" w:cs="Times New Roman"/>
                <w:color w:val="000000"/>
                <w:sz w:val="21"/>
                <w:szCs w:val="21"/>
                <w:lang w:eastAsia="zh-CN"/>
              </w:rPr>
              <w:t xml:space="preserve">App</w:t>
            </w:r>
            <w:r>
              <w:rPr>
                <w:rFonts w:hint="eastAsia" w:eastAsia="宋体"/>
                <w:color w:val="000000"/>
                <w:sz w:val="21"/>
                <w:szCs w:val="21"/>
                <w:lang w:eastAsia="zh-CN"/>
              </w:rPr>
              <w:t xml:space="preserve">上报到后台进行管理。</w:t>
            </w:r>
            <w:r>
              <w:rPr>
                <w:rFonts w:hint="eastAsia" w:eastAsia="宋体" w:cs="Times New Roman"/>
                <w:b/>
                <w:bCs/>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8</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门牌验收</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1714"/>
              <w:ind w:firstLine="0"/>
              <w:jc w:val="both"/>
              <w:spacing w:line="400" w:lineRule="exact"/>
              <w:rPr>
                <w:rFonts w:hint="eastAsia" w:eastAsia="宋体" w:cs="Times New Roman"/>
                <w:b/>
                <w:bCs/>
                <w:color w:val="000000"/>
                <w:sz w:val="21"/>
                <w:szCs w:val="21"/>
                <w:lang w:eastAsia="zh-CN"/>
              </w:rPr>
            </w:pPr>
            <w:r>
              <w:rPr>
                <w:rFonts w:hint="eastAsia" w:eastAsia="宋体"/>
                <w:color w:val="000000"/>
                <w:sz w:val="21"/>
                <w:szCs w:val="21"/>
                <w:lang w:eastAsia="zh-CN"/>
              </w:rPr>
              <w:t xml:space="preserve">门牌验收采用门牌抽样检查的方式对门牌实行抽检验收，通过门牌综合管理运维平台及时反馈验收情况并通知门牌生成安装人员及时上门处理。</w:t>
            </w:r>
            <w:r>
              <w:rPr>
                <w:rFonts w:hint="eastAsia" w:eastAsia="宋体" w:cs="Times New Roman"/>
                <w:b/>
                <w:bCs/>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9</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b/>
                <w:bCs/>
                <w:color w:val="000000"/>
                <w:sz w:val="21"/>
                <w:szCs w:val="21"/>
              </w:rPr>
              <w:t xml:space="preserve">门牌质量管理</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1714"/>
              <w:ind w:firstLine="0"/>
              <w:jc w:val="both"/>
              <w:spacing w:line="400" w:lineRule="exact"/>
              <w:rPr>
                <w:rFonts w:hint="eastAsia" w:eastAsia="宋体" w:cs="Times New Roman"/>
                <w:b/>
                <w:bCs/>
                <w:color w:val="000000"/>
                <w:sz w:val="21"/>
                <w:szCs w:val="21"/>
                <w:lang w:eastAsia="zh-CN"/>
              </w:rPr>
            </w:pPr>
            <w:r>
              <w:rPr>
                <w:rFonts w:hint="eastAsia" w:eastAsia="宋体"/>
                <w:color w:val="000000"/>
                <w:sz w:val="21"/>
                <w:szCs w:val="21"/>
                <w:lang w:eastAsia="zh-CN"/>
              </w:rPr>
              <w:t xml:space="preserve">通过门牌管理系统可查询每一块门牌的出厂、安装及保</w:t>
            </w:r>
            <w:r>
              <w:rPr>
                <w:rFonts w:hint="eastAsia" w:eastAsia="宋体"/>
                <w:color w:val="000000"/>
                <w:sz w:val="21"/>
                <w:szCs w:val="21"/>
                <w:lang w:eastAsia="zh-CN"/>
              </w:rPr>
              <w:t xml:space="preserve">修状态。</w:t>
            </w:r>
            <w:r>
              <w:rPr>
                <w:rFonts w:hint="eastAsia" w:eastAsia="宋体" w:cs="Times New Roman"/>
                <w:b/>
                <w:bCs/>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10</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lang w:eastAsia="zh-CN"/>
              </w:rPr>
            </w:pPr>
            <w:r>
              <w:rPr>
                <w:rFonts w:hint="eastAsia" w:eastAsia="宋体"/>
                <w:b/>
                <w:bCs/>
                <w:color w:val="000000"/>
                <w:sz w:val="21"/>
                <w:szCs w:val="21"/>
                <w:lang w:eastAsia="zh-CN"/>
              </w:rPr>
              <w:t xml:space="preserve">门牌安装图像质量自动检测</w:t>
            </w:r>
            <w:r>
              <w:rPr>
                <w:rFonts w:hint="eastAsia" w:eastAsia="宋体" w:cs="Times New Roman"/>
                <w:b/>
                <w:bCs/>
                <w:color w:val="000000"/>
                <w:sz w:val="21"/>
                <w:szCs w:val="21"/>
                <w:lang w:eastAsia="zh-CN"/>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1714"/>
              <w:ind w:firstLine="0"/>
              <w:jc w:val="both"/>
              <w:spacing w:line="400" w:lineRule="exact"/>
              <w:rPr>
                <w:rFonts w:hint="eastAsia" w:eastAsia="宋体" w:cs="Times New Roman"/>
                <w:color w:val="000000"/>
                <w:sz w:val="21"/>
                <w:szCs w:val="21"/>
                <w:lang w:eastAsia="zh-CN"/>
              </w:rPr>
            </w:pPr>
            <w:r>
              <w:rPr>
                <w:rFonts w:hint="eastAsia" w:eastAsia="宋体"/>
                <w:color w:val="000000"/>
                <w:sz w:val="21"/>
                <w:szCs w:val="21"/>
                <w:lang w:eastAsia="zh-CN"/>
              </w:rPr>
              <w:t xml:space="preserve">通过</w:t>
            </w:r>
            <w:r>
              <w:rPr>
                <w:rFonts w:hint="eastAsia" w:eastAsia="宋体" w:cs="Times New Roman"/>
                <w:color w:val="000000"/>
                <w:sz w:val="21"/>
                <w:szCs w:val="21"/>
                <w:lang w:eastAsia="zh-CN"/>
              </w:rPr>
              <w:t xml:space="preserve">GPU</w:t>
            </w:r>
            <w:r>
              <w:rPr>
                <w:rFonts w:hint="eastAsia" w:eastAsia="宋体"/>
                <w:color w:val="000000"/>
                <w:sz w:val="21"/>
                <w:szCs w:val="21"/>
                <w:lang w:eastAsia="zh-CN"/>
              </w:rPr>
              <w:t xml:space="preserve">处理单元，批量并发处理采集终端提交的安装照片图像，通过图像质量分析算法、自动分析提交的图像，问题数据报警提醒。</w:t>
            </w:r>
            <w:r>
              <w:rPr>
                <w:rFonts w:hint="eastAsia" w:eastAsia="宋体" w:cs="Times New Roman"/>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1714"/>
              <w:ind w:firstLine="0"/>
              <w:jc w:val="center"/>
              <w:spacing w:line="400" w:lineRule="exact"/>
              <w:rPr>
                <w:rFonts w:hint="eastAsia" w:eastAsia="宋体" w:cs="Times New Roman"/>
                <w:b/>
                <w:bCs/>
                <w:color w:val="000000"/>
                <w:sz w:val="21"/>
                <w:szCs w:val="21"/>
              </w:rPr>
            </w:pPr>
            <w:r>
              <w:rPr>
                <w:rFonts w:hint="eastAsia" w:eastAsia="宋体" w:cs="Times New Roman"/>
                <w:b/>
                <w:bCs/>
                <w:color w:val="000000"/>
                <w:sz w:val="21"/>
                <w:szCs w:val="21"/>
              </w:rPr>
              <w:t xml:space="preserve">11</w:t>
            </w:r>
            <w:r/>
          </w:p>
        </w:tc>
        <w:tc>
          <w:tcPr>
            <w:tcBorders>
              <w:top w:val="single" w:color="000000" w:sz="4" w:space="0"/>
              <w:left w:val="none" w:color="000000" w:sz="4" w:space="0"/>
              <w:bottom w:val="single" w:color="000000" w:sz="4" w:space="0"/>
              <w:right w:val="single" w:color="000000" w:sz="4" w:space="0"/>
            </w:tcBorders>
            <w:tcW w:w="1907" w:type="dxa"/>
            <w:vAlign w:val="top"/>
            <w:textDirection w:val="lrTb"/>
            <w:noWrap w:val="false"/>
          </w:tcPr>
          <w:p>
            <w:pPr>
              <w:pStyle w:val="1714"/>
              <w:ind w:firstLine="0"/>
              <w:jc w:val="center"/>
              <w:spacing w:line="400" w:lineRule="exact"/>
              <w:rPr>
                <w:rFonts w:hint="eastAsia" w:eastAsia="宋体" w:cs="Times New Roman"/>
                <w:b/>
                <w:bCs/>
                <w:color w:val="000000"/>
                <w:sz w:val="21"/>
                <w:szCs w:val="21"/>
                <w:lang w:eastAsia="zh-CN"/>
              </w:rPr>
            </w:pPr>
            <w:r>
              <w:rPr>
                <w:rFonts w:hint="eastAsia" w:eastAsia="宋体"/>
                <w:b/>
                <w:bCs/>
                <w:color w:val="000000"/>
                <w:sz w:val="21"/>
                <w:szCs w:val="21"/>
                <w:lang w:eastAsia="zh-CN"/>
              </w:rPr>
              <w:t xml:space="preserve">数字门牌运维和报修管理</w:t>
            </w:r>
            <w:r>
              <w:rPr>
                <w:rFonts w:hint="eastAsia" w:eastAsia="宋体" w:cs="Times New Roman"/>
                <w:b/>
                <w:bCs/>
                <w:color w:val="000000"/>
                <w:sz w:val="21"/>
                <w:szCs w:val="21"/>
                <w:lang w:eastAsia="zh-CN"/>
              </w:rPr>
            </w:r>
            <w:r/>
          </w:p>
        </w:tc>
        <w:tc>
          <w:tcPr>
            <w:tcBorders>
              <w:top w:val="single" w:color="000000" w:sz="4" w:space="0"/>
              <w:left w:val="none" w:color="000000" w:sz="4" w:space="0"/>
              <w:bottom w:val="single" w:color="000000" w:sz="4" w:space="0"/>
              <w:right w:val="single" w:color="000000" w:sz="4" w:space="0"/>
            </w:tcBorders>
            <w:tcW w:w="7845" w:type="dxa"/>
            <w:vAlign w:val="top"/>
            <w:textDirection w:val="lrTb"/>
            <w:noWrap w:val="false"/>
          </w:tcPr>
          <w:p>
            <w:pPr>
              <w:pStyle w:val="1714"/>
              <w:ind w:firstLine="0"/>
              <w:jc w:val="both"/>
              <w:spacing w:line="400" w:lineRule="exact"/>
              <w:rPr>
                <w:rFonts w:hint="eastAsia" w:eastAsia="宋体" w:cs="Times New Roman"/>
                <w:b/>
                <w:bCs/>
                <w:color w:val="000000"/>
                <w:sz w:val="21"/>
                <w:szCs w:val="21"/>
              </w:rPr>
            </w:pPr>
            <w:r>
              <w:rPr>
                <w:rFonts w:hint="eastAsia" w:eastAsia="宋体"/>
                <w:color w:val="000000"/>
                <w:sz w:val="21"/>
                <w:szCs w:val="21"/>
                <w:lang w:eastAsia="zh-CN"/>
              </w:rPr>
              <w:t xml:space="preserve">平台定期推送任务，提示派出所和综合治理网格巡查员定期巡查门牌情况，发现错误、丢失、损坏等情况通过手机端软件上报，后台生成维护工单，交运维人员维修。</w:t>
            </w:r>
            <w:r>
              <w:rPr>
                <w:rFonts w:hint="eastAsia" w:eastAsia="宋体"/>
                <w:color w:val="000000"/>
                <w:sz w:val="21"/>
                <w:szCs w:val="21"/>
              </w:rPr>
              <w:t xml:space="preserve">定期统计运维情况，生成报表。</w:t>
            </w:r>
            <w:r>
              <w:rPr>
                <w:rFonts w:hint="eastAsia" w:eastAsia="宋体" w:cs="Times New Roman"/>
                <w:b/>
                <w:bCs/>
                <w:color w:val="000000"/>
                <w:sz w:val="21"/>
                <w:szCs w:val="21"/>
              </w:rPr>
            </w:r>
            <w:r/>
          </w:p>
        </w:tc>
      </w:tr>
    </w:tbl>
    <w:p>
      <w:pPr>
        <w:pStyle w:val="1714"/>
        <w:ind w:firstLine="422"/>
        <w:spacing w:after="0" w:line="360" w:lineRule="auto"/>
        <w:rPr>
          <w:rFonts w:eastAsia="宋体"/>
          <w:b/>
          <w:bCs/>
          <w:color w:val="000000"/>
          <w:sz w:val="21"/>
          <w:szCs w:val="21"/>
          <w:lang w:eastAsia="zh-CN"/>
        </w:rPr>
      </w:pPr>
      <w:r>
        <w:rPr>
          <w:rFonts w:hint="eastAsia" w:eastAsia="宋体"/>
          <w:b/>
          <w:bCs/>
          <w:color w:val="000000"/>
          <w:sz w:val="21"/>
          <w:szCs w:val="21"/>
          <w:lang w:eastAsia="zh-CN"/>
        </w:rPr>
        <w:t xml:space="preserve">1.2二维码综合应用平台软件</w:t>
      </w:r>
      <w:r>
        <w:rPr>
          <w:rFonts w:eastAsia="宋体"/>
          <w:b/>
          <w:bCs/>
          <w:color w:val="000000"/>
          <w:sz w:val="21"/>
          <w:szCs w:val="21"/>
          <w:lang w:eastAsia="zh-CN"/>
        </w:rPr>
      </w:r>
      <w:r/>
    </w:p>
    <w:p>
      <w:pPr>
        <w:pStyle w:val="1714"/>
        <w:ind w:firstLine="420"/>
        <w:spacing w:after="0" w:line="360" w:lineRule="auto"/>
        <w:rPr>
          <w:rFonts w:hint="eastAsia" w:eastAsia="宋体"/>
          <w:color w:val="000000"/>
          <w:sz w:val="21"/>
          <w:szCs w:val="21"/>
          <w:lang w:eastAsia="zh-CN"/>
        </w:rPr>
      </w:pPr>
      <w:r>
        <w:rPr>
          <w:rFonts w:hint="eastAsia" w:eastAsia="宋体"/>
          <w:color w:val="000000"/>
          <w:sz w:val="21"/>
          <w:szCs w:val="21"/>
          <w:lang w:eastAsia="zh-CN"/>
        </w:rPr>
        <w:t xml:space="preserve">定制开发太仓市二维码综合应用平台软件，以数字门牌二维码为逻辑索引ID，以扫描二维码</w:t>
      </w:r>
      <w:r>
        <w:rPr>
          <w:rFonts w:hint="eastAsia" w:eastAsia="宋体"/>
          <w:color w:val="000000"/>
          <w:sz w:val="21"/>
          <w:szCs w:val="21"/>
          <w:lang w:eastAsia="zh-CN"/>
        </w:rPr>
        <w:t xml:space="preserve">为应用触发入口，融合政府各相关应用平台的数据和功能，将数字门牌对应的地理位置信息赋能于各相关业务流程，提高管理效能，优化用户体验，实现政府管理流程到户，方便群众和企业接驳政府各部门在线办事入口。最终实现智慧城市各部分机能基于数字门牌地址信息的地图化、精细化管理。</w:t>
      </w:r>
      <w:r/>
    </w:p>
    <w:p>
      <w:pPr>
        <w:pStyle w:val="1714"/>
        <w:ind w:firstLine="420"/>
        <w:spacing w:after="0" w:line="360" w:lineRule="auto"/>
        <w:rPr>
          <w:rFonts w:hint="eastAsia" w:eastAsia="宋体"/>
          <w:color w:val="000000"/>
          <w:sz w:val="21"/>
          <w:szCs w:val="21"/>
          <w:lang w:eastAsia="zh-CN"/>
        </w:rPr>
      </w:pPr>
      <w:r>
        <w:rPr>
          <w:rFonts w:hint="eastAsia" w:eastAsia="宋体"/>
          <w:color w:val="000000"/>
          <w:sz w:val="21"/>
          <w:szCs w:val="21"/>
          <w:lang w:eastAsia="zh-CN"/>
        </w:rPr>
        <w:t xml:space="preserve">软件以二维码门牌扫码应用为入口，进一步扩展为支持太仓本地的自主申报，对接苏州市公安局居民自主申报服务，增加太仓本地的个性化需求，实现二维码在基础信息采集和人口管理的多个业务流程中的应用。</w:t>
      </w:r>
      <w:r/>
    </w:p>
    <w:tbl>
      <w:tblPr>
        <w:tblW w:w="103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867"/>
        <w:gridCol w:w="779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b/>
                <w:bCs/>
                <w:color w:val="000000"/>
                <w:sz w:val="21"/>
                <w:szCs w:val="21"/>
              </w:rPr>
              <w:t xml:space="preserve">序号</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867"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b/>
                <w:bCs/>
                <w:color w:val="000000"/>
                <w:sz w:val="21"/>
                <w:szCs w:val="21"/>
              </w:rPr>
              <w:t xml:space="preserve">功能模块名称</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794"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b/>
                <w:bCs/>
                <w:color w:val="000000"/>
                <w:sz w:val="21"/>
                <w:szCs w:val="21"/>
              </w:rPr>
              <w:t xml:space="preserve">详细功能参数要求</w:t>
            </w:r>
            <w:r>
              <w:rPr>
                <w:rFonts w:hint="eastAsia" w:eastAsia="宋体" w:cs="Times New Roman"/>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cs="Times New Roman"/>
                <w:b/>
                <w:bCs/>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1867"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b/>
                <w:bCs/>
                <w:color w:val="000000"/>
                <w:sz w:val="21"/>
                <w:szCs w:val="21"/>
              </w:rPr>
              <w:t xml:space="preserve">个人申报</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794" w:type="dxa"/>
            <w:vAlign w:val="top"/>
            <w:textDirection w:val="lrTb"/>
            <w:noWrap w:val="false"/>
          </w:tcPr>
          <w:p>
            <w:pPr>
              <w:pStyle w:val="1714"/>
              <w:ind w:firstLine="0"/>
              <w:jc w:val="both"/>
              <w:spacing w:line="271" w:lineRule="auto"/>
              <w:rPr>
                <w:rFonts w:hint="eastAsia" w:eastAsia="宋体" w:cs="Times New Roman"/>
                <w:color w:val="000000"/>
                <w:sz w:val="21"/>
                <w:szCs w:val="21"/>
                <w:lang w:eastAsia="zh-CN"/>
              </w:rPr>
            </w:pPr>
            <w:r>
              <w:rPr>
                <w:rFonts w:hint="eastAsia" w:eastAsia="宋体"/>
                <w:color w:val="000000"/>
                <w:sz w:val="21"/>
                <w:szCs w:val="21"/>
                <w:lang w:eastAsia="zh-CN"/>
              </w:rPr>
              <w:t xml:space="preserve">开发微信小程</w:t>
            </w:r>
            <w:r>
              <w:rPr>
                <w:rFonts w:hint="eastAsia" w:eastAsia="宋体"/>
                <w:color w:val="000000"/>
                <w:sz w:val="21"/>
                <w:szCs w:val="21"/>
                <w:lang w:eastAsia="zh-CN"/>
              </w:rPr>
              <w:t xml:space="preserve">序，实现居民个人的居住信息申报，实现实名认证人证合一比对、实现户籍人口居住信息申报、流动人口居住信息申报和居住证办理、实现本人申报和代替他人申报的功能、查看个人申报历史数据、获取个人二维码身份信息、业务办理提醒功能。</w:t>
            </w:r>
            <w:r>
              <w:rPr>
                <w:rFonts w:hint="eastAsia" w:eastAsia="宋体" w:cs="Times New Roman"/>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cs="Times New Roman"/>
                <w:b/>
                <w:bCs/>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1867"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b/>
                <w:bCs/>
                <w:color w:val="000000"/>
                <w:sz w:val="21"/>
                <w:szCs w:val="21"/>
              </w:rPr>
              <w:t xml:space="preserve">房主申报</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794" w:type="dxa"/>
            <w:vAlign w:val="top"/>
            <w:textDirection w:val="lrTb"/>
            <w:noWrap w:val="false"/>
          </w:tcPr>
          <w:p>
            <w:pPr>
              <w:pStyle w:val="1714"/>
              <w:ind w:firstLine="0"/>
              <w:jc w:val="both"/>
              <w:spacing w:line="271" w:lineRule="auto"/>
              <w:rPr>
                <w:rFonts w:hint="eastAsia" w:eastAsia="宋体" w:cs="Times New Roman"/>
                <w:color w:val="000000"/>
                <w:sz w:val="21"/>
                <w:szCs w:val="21"/>
                <w:lang w:eastAsia="zh-CN"/>
              </w:rPr>
            </w:pPr>
            <w:r>
              <w:rPr>
                <w:rFonts w:hint="eastAsia" w:eastAsia="宋体"/>
                <w:color w:val="000000"/>
                <w:sz w:val="21"/>
                <w:szCs w:val="21"/>
                <w:lang w:eastAsia="zh-CN"/>
              </w:rPr>
              <w:t xml:space="preserve">开发微信小程序，实现房主的出租房屋信息申报，实现实名认证人证合一比对、实现房主本人申报和代替他们申报、实现承租人申报、查看已申报历史数据、业务办理提醒功能。</w:t>
            </w:r>
            <w:r>
              <w:rPr>
                <w:rFonts w:hint="eastAsia" w:eastAsia="宋体" w:cs="Times New Roman"/>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cs="Times New Roman"/>
                <w:b/>
                <w:bCs/>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1867"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b/>
                <w:bCs/>
                <w:color w:val="000000"/>
                <w:sz w:val="21"/>
                <w:szCs w:val="21"/>
              </w:rPr>
              <w:t xml:space="preserve">企业申报</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794" w:type="dxa"/>
            <w:vAlign w:val="top"/>
            <w:textDirection w:val="lrTb"/>
            <w:noWrap w:val="false"/>
          </w:tcPr>
          <w:p>
            <w:pPr>
              <w:pStyle w:val="1714"/>
              <w:ind w:firstLine="0"/>
              <w:jc w:val="both"/>
              <w:spacing w:line="271" w:lineRule="auto"/>
              <w:rPr>
                <w:rFonts w:hint="eastAsia" w:eastAsia="宋体" w:cs="Times New Roman"/>
                <w:color w:val="000000"/>
                <w:sz w:val="21"/>
                <w:szCs w:val="21"/>
                <w:lang w:eastAsia="zh-CN"/>
              </w:rPr>
            </w:pPr>
            <w:r>
              <w:rPr>
                <w:rFonts w:hint="eastAsia" w:eastAsia="宋体"/>
                <w:color w:val="000000"/>
                <w:sz w:val="21"/>
                <w:szCs w:val="21"/>
                <w:lang w:eastAsia="zh-CN"/>
              </w:rPr>
              <w:t xml:space="preserve">开发</w:t>
            </w:r>
            <w:r>
              <w:rPr>
                <w:rFonts w:hint="eastAsia" w:eastAsia="宋体" w:cs="Times New Roman"/>
                <w:color w:val="000000"/>
                <w:sz w:val="21"/>
                <w:szCs w:val="21"/>
                <w:lang w:eastAsia="zh-CN"/>
              </w:rPr>
              <w:t xml:space="preserve">web</w:t>
            </w:r>
            <w:r>
              <w:rPr>
                <w:rFonts w:hint="eastAsia" w:eastAsia="宋体"/>
                <w:color w:val="000000"/>
                <w:sz w:val="21"/>
                <w:szCs w:val="21"/>
                <w:lang w:eastAsia="zh-CN"/>
              </w:rPr>
              <w:t xml:space="preserve">端企业批量人员申报功能，实现批量电子表格和人员照片的上传，实现企业申报和个人申报的数据后</w:t>
            </w:r>
            <w:r>
              <w:rPr>
                <w:rFonts w:hint="eastAsia" w:eastAsia="宋体"/>
                <w:color w:val="000000"/>
                <w:sz w:val="21"/>
                <w:szCs w:val="21"/>
                <w:lang w:eastAsia="zh-CN"/>
              </w:rPr>
              <w:t xml:space="preserve">台关联，实现数据统计功能。</w:t>
            </w:r>
            <w:r>
              <w:rPr>
                <w:rFonts w:hint="eastAsia" w:eastAsia="宋体" w:cs="Times New Roman"/>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cs="Times New Roman"/>
                <w:b/>
                <w:bCs/>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1867"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b/>
                <w:bCs/>
                <w:color w:val="000000"/>
                <w:sz w:val="21"/>
                <w:szCs w:val="21"/>
              </w:rPr>
              <w:t xml:space="preserve">中介申报</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794" w:type="dxa"/>
            <w:vAlign w:val="top"/>
            <w:textDirection w:val="lrTb"/>
            <w:noWrap w:val="false"/>
          </w:tcPr>
          <w:p>
            <w:pPr>
              <w:pStyle w:val="1714"/>
              <w:ind w:firstLine="0"/>
              <w:jc w:val="both"/>
              <w:spacing w:line="271" w:lineRule="auto"/>
              <w:rPr>
                <w:rFonts w:hint="eastAsia" w:eastAsia="宋体" w:cs="Times New Roman"/>
                <w:color w:val="000000"/>
                <w:sz w:val="21"/>
                <w:szCs w:val="21"/>
                <w:lang w:eastAsia="zh-CN"/>
              </w:rPr>
            </w:pPr>
            <w:r>
              <w:rPr>
                <w:rFonts w:hint="eastAsia" w:eastAsia="宋体"/>
                <w:color w:val="000000"/>
                <w:sz w:val="21"/>
                <w:szCs w:val="21"/>
                <w:lang w:eastAsia="zh-CN"/>
              </w:rPr>
              <w:t xml:space="preserve">开发微信小程序，实现劳务中介、房产中介的交易信息上报，将劳务合同中的个人信息及房产交易中双方个人信息上传到后台，实现后台数据关联。</w:t>
            </w:r>
            <w:r>
              <w:rPr>
                <w:rFonts w:hint="eastAsia" w:eastAsia="宋体" w:cs="Times New Roman"/>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cs="Times New Roman"/>
                <w:b/>
                <w:bCs/>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867"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b/>
                <w:bCs/>
                <w:color w:val="000000"/>
                <w:sz w:val="21"/>
                <w:szCs w:val="21"/>
              </w:rPr>
              <w:t xml:space="preserve">面对面扫码核查比对</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794" w:type="dxa"/>
            <w:vAlign w:val="top"/>
            <w:textDirection w:val="lrTb"/>
            <w:noWrap w:val="false"/>
          </w:tcPr>
          <w:p>
            <w:pPr>
              <w:pStyle w:val="1714"/>
              <w:ind w:firstLine="0"/>
              <w:jc w:val="both"/>
              <w:spacing w:line="271" w:lineRule="auto"/>
              <w:rPr>
                <w:rFonts w:hint="eastAsia" w:eastAsia="宋体" w:cs="Times New Roman"/>
                <w:color w:val="000000"/>
                <w:sz w:val="21"/>
                <w:szCs w:val="21"/>
                <w:lang w:eastAsia="zh-CN"/>
              </w:rPr>
            </w:pPr>
            <w:r>
              <w:rPr>
                <w:rFonts w:hint="eastAsia" w:eastAsia="宋体"/>
                <w:color w:val="000000"/>
                <w:sz w:val="21"/>
                <w:szCs w:val="21"/>
                <w:lang w:eastAsia="zh-CN"/>
              </w:rPr>
              <w:t xml:space="preserve">开发微信小程序实现面对面扫码核查比对个人的信息，通过扫码获取个人信息用于信息采集，由网格员、协管员对居民进行信息核验。</w:t>
            </w:r>
            <w:r>
              <w:rPr>
                <w:rFonts w:hint="eastAsia" w:eastAsia="宋体" w:cs="Times New Roman"/>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cs="Times New Roman"/>
                <w:b/>
                <w:bCs/>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1867"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cs="Times New Roman"/>
                <w:b/>
                <w:bCs/>
                <w:color w:val="000000"/>
                <w:sz w:val="21"/>
                <w:szCs w:val="21"/>
              </w:rPr>
              <w:t xml:space="preserve">Web</w:t>
            </w:r>
            <w:r>
              <w:rPr>
                <w:rFonts w:hint="eastAsia" w:eastAsia="宋体"/>
                <w:b/>
                <w:bCs/>
                <w:color w:val="000000"/>
                <w:sz w:val="21"/>
                <w:szCs w:val="21"/>
              </w:rPr>
              <w:t xml:space="preserve">后台审核</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794" w:type="dxa"/>
            <w:vAlign w:val="top"/>
            <w:textDirection w:val="lrTb"/>
            <w:noWrap w:val="false"/>
          </w:tcPr>
          <w:p>
            <w:pPr>
              <w:pStyle w:val="1714"/>
              <w:ind w:firstLine="0"/>
              <w:jc w:val="both"/>
              <w:spacing w:line="271" w:lineRule="auto"/>
              <w:rPr>
                <w:rFonts w:hint="eastAsia" w:eastAsia="宋体" w:cs="Times New Roman"/>
                <w:color w:val="000000"/>
                <w:sz w:val="21"/>
                <w:szCs w:val="21"/>
                <w:lang w:eastAsia="zh-CN"/>
              </w:rPr>
            </w:pPr>
            <w:r>
              <w:rPr>
                <w:rFonts w:hint="eastAsia" w:eastAsia="宋体"/>
                <w:color w:val="000000"/>
                <w:sz w:val="21"/>
                <w:szCs w:val="21"/>
                <w:lang w:eastAsia="zh-CN"/>
              </w:rPr>
              <w:t xml:space="preserve">局端、各派出所可以对辖区内申报的信息分类管理、逐个审核，与派出所历年登记的人口信息进行比对、对存疑的数据审核不通过、下发给协管员、网格员上门核查，可以关联统计企业和中介申报的数据，推动申报工作减轻派出所上门采集数据的工作量。</w:t>
            </w:r>
            <w:r>
              <w:rPr>
                <w:rFonts w:hint="eastAsia" w:eastAsia="宋体" w:cs="Times New Roman"/>
                <w:color w:val="000000"/>
                <w:sz w:val="21"/>
                <w:szCs w:val="21"/>
                <w:lang w:eastAsia="zh-CN"/>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cs="Times New Roman"/>
                <w:b/>
                <w:bCs/>
                <w:color w:val="000000"/>
                <w:sz w:val="21"/>
                <w:szCs w:val="21"/>
              </w:rPr>
              <w:t xml:space="preserve">7</w:t>
            </w:r>
            <w:r/>
          </w:p>
        </w:tc>
        <w:tc>
          <w:tcPr>
            <w:tcBorders>
              <w:top w:val="single" w:color="000000" w:sz="4" w:space="0"/>
              <w:left w:val="none" w:color="000000" w:sz="4" w:space="0"/>
              <w:bottom w:val="single" w:color="000000" w:sz="4" w:space="0"/>
              <w:right w:val="single" w:color="000000" w:sz="4" w:space="0"/>
            </w:tcBorders>
            <w:tcW w:w="1867" w:type="dxa"/>
            <w:vAlign w:val="top"/>
            <w:textDirection w:val="lrTb"/>
            <w:noWrap w:val="false"/>
          </w:tcPr>
          <w:p>
            <w:pPr>
              <w:pStyle w:val="1714"/>
              <w:ind w:firstLine="0"/>
              <w:jc w:val="center"/>
              <w:spacing w:line="271" w:lineRule="auto"/>
              <w:rPr>
                <w:rFonts w:hint="eastAsia" w:eastAsia="宋体" w:cs="Times New Roman"/>
                <w:b/>
                <w:bCs/>
                <w:color w:val="000000"/>
                <w:sz w:val="21"/>
                <w:szCs w:val="21"/>
              </w:rPr>
            </w:pPr>
            <w:r>
              <w:rPr>
                <w:rFonts w:hint="eastAsia" w:eastAsia="宋体"/>
                <w:b/>
                <w:bCs/>
                <w:color w:val="000000"/>
                <w:sz w:val="21"/>
                <w:szCs w:val="21"/>
              </w:rPr>
              <w:t xml:space="preserve">数字门牌应用平台</w:t>
            </w:r>
            <w:r>
              <w:rPr>
                <w:rFonts w:hint="eastAsia" w:eastAsia="宋体" w:cs="Times New Roman"/>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794" w:type="dxa"/>
            <w:vAlign w:val="top"/>
            <w:textDirection w:val="lrTb"/>
            <w:noWrap w:val="false"/>
          </w:tcPr>
          <w:p>
            <w:pPr>
              <w:pStyle w:val="1714"/>
              <w:ind w:firstLine="0"/>
              <w:jc w:val="both"/>
              <w:spacing w:line="400" w:lineRule="exact"/>
              <w:rPr>
                <w:rFonts w:hint="eastAsia" w:eastAsia="宋体" w:cs="Times New Roman"/>
                <w:color w:val="000000"/>
                <w:sz w:val="21"/>
                <w:szCs w:val="21"/>
                <w:lang w:eastAsia="zh-CN"/>
              </w:rPr>
            </w:pPr>
            <w:r>
              <w:rPr>
                <w:rFonts w:hint="eastAsia" w:eastAsia="宋体"/>
                <w:color w:val="000000"/>
                <w:sz w:val="21"/>
                <w:szCs w:val="21"/>
                <w:lang w:eastAsia="zh-CN"/>
              </w:rPr>
              <w:t xml:space="preserve">市民扫描门牌上的二维码就可以查看该地址的基本情况、社区民警及联系电话、地理位置等基本信息；数字门牌还可以提供地点导航、快递物流、报警急救、房屋管理、流动人口登记局等服务。同时，它可对接网上便民服务的接口，市民可扫描门牌二维码进入</w:t>
            </w:r>
            <w:r>
              <w:rPr>
                <w:rFonts w:eastAsia="宋体" w:cs="Arial"/>
                <w:color w:val="000000"/>
                <w:sz w:val="21"/>
                <w:szCs w:val="21"/>
                <w:lang w:eastAsia="zh-CN"/>
              </w:rPr>
              <w:t xml:space="preserve">“</w:t>
            </w:r>
            <w:r>
              <w:rPr>
                <w:rFonts w:hint="eastAsia" w:eastAsia="宋体"/>
                <w:color w:val="000000"/>
                <w:sz w:val="21"/>
                <w:szCs w:val="21"/>
                <w:lang w:eastAsia="zh-CN"/>
              </w:rPr>
              <w:t xml:space="preserve">数字门牌</w:t>
            </w:r>
            <w:r>
              <w:rPr>
                <w:rFonts w:eastAsia="宋体" w:cs="Arial"/>
                <w:color w:val="000000"/>
                <w:sz w:val="21"/>
                <w:szCs w:val="21"/>
                <w:lang w:eastAsia="zh-CN"/>
              </w:rPr>
              <w:t xml:space="preserve">”</w:t>
            </w:r>
            <w:r>
              <w:rPr>
                <w:rFonts w:hint="eastAsia" w:eastAsia="宋体"/>
                <w:color w:val="000000"/>
                <w:sz w:val="21"/>
                <w:szCs w:val="21"/>
                <w:lang w:eastAsia="zh-CN"/>
              </w:rPr>
              <w:t xml:space="preserve">页面，快速办理公安、住建、医疗、邮政、缴费等业务，便民服务网延伸至家门口。具体分为二维码门牌地址信息库子系统、门牌地址信息共享子系统、公众互联网服务子系统、后台研判管理子系统。</w:t>
            </w:r>
            <w:r>
              <w:rPr>
                <w:rFonts w:hint="eastAsia" w:eastAsia="宋体" w:cs="Times New Roman"/>
                <w:color w:val="000000"/>
                <w:sz w:val="21"/>
                <w:szCs w:val="21"/>
                <w:lang w:eastAsia="zh-CN"/>
              </w:rPr>
            </w:r>
            <w:r/>
          </w:p>
        </w:tc>
      </w:tr>
    </w:tbl>
    <w:p>
      <w:pPr>
        <w:pStyle w:val="1714"/>
        <w:ind w:firstLine="422"/>
        <w:spacing w:after="0" w:line="360" w:lineRule="auto"/>
        <w:rPr>
          <w:rFonts w:eastAsia="宋体"/>
          <w:b/>
          <w:bCs/>
          <w:color w:val="000000"/>
          <w:sz w:val="21"/>
          <w:szCs w:val="21"/>
          <w:lang w:eastAsia="zh-CN"/>
        </w:rPr>
      </w:pPr>
      <w:r>
        <w:rPr>
          <w:rFonts w:hint="eastAsia" w:eastAsia="宋体"/>
          <w:b/>
          <w:bCs/>
          <w:color w:val="000000"/>
          <w:sz w:val="21"/>
          <w:szCs w:val="21"/>
          <w:lang w:eastAsia="zh-CN"/>
        </w:rPr>
        <w:t xml:space="preserve">1.3 手</w:t>
      </w:r>
      <w:r>
        <w:rPr>
          <w:rFonts w:hint="eastAsia" w:eastAsia="宋体"/>
          <w:b/>
          <w:bCs/>
          <w:color w:val="000000"/>
          <w:sz w:val="21"/>
          <w:szCs w:val="21"/>
          <w:lang w:eastAsia="zh-CN"/>
        </w:rPr>
        <w:t xml:space="preserve">持一体机门牌安装维护App软件</w:t>
      </w:r>
      <w:r>
        <w:rPr>
          <w:rFonts w:eastAsia="宋体"/>
          <w:b/>
          <w:bCs/>
          <w:color w:val="000000"/>
          <w:sz w:val="21"/>
          <w:szCs w:val="21"/>
          <w:lang w:eastAsia="zh-CN"/>
        </w:rPr>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1、加密功能：</w:t>
      </w:r>
      <w:r>
        <w:rPr>
          <w:rFonts w:hint="eastAsia"/>
          <w:color w:val="000000"/>
          <w:sz w:val="21"/>
          <w:szCs w:val="21"/>
        </w:rPr>
        <w:t xml:space="preserve">支持软件和工程加密，提供手势加密和数字加密方式，每次打开软件或者工程时需要验证密码；</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2、导入功能：</w:t>
      </w:r>
      <w:r>
        <w:rPr>
          <w:rFonts w:hint="eastAsia"/>
          <w:color w:val="000000"/>
          <w:sz w:val="21"/>
          <w:szCs w:val="21"/>
        </w:rPr>
        <w:t xml:space="preserve">软件支持海量shp、dxf、sit、cdi数据的导入叠加显示，导入dxf时，支持颜色，文字等信息的导入，便于在工作时进行多种数据的操作；</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3、导出功能：</w:t>
      </w:r>
      <w:r>
        <w:rPr>
          <w:rFonts w:hint="eastAsia"/>
          <w:color w:val="000000"/>
          <w:sz w:val="21"/>
          <w:szCs w:val="21"/>
        </w:rPr>
        <w:t xml:space="preserve">软件支持采集数据导出为shp、dxf、csv和kml文件； </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4、在线/离线地图：</w:t>
      </w:r>
      <w:r>
        <w:rPr>
          <w:rFonts w:hint="eastAsia"/>
          <w:color w:val="000000"/>
          <w:sz w:val="21"/>
          <w:szCs w:val="21"/>
        </w:rPr>
        <w:t xml:space="preserve">软件支持在软件操作界面一键链接PGIS内网或外网地图，便于在实际工作中查看当前的位置，并支持离线数据应用；</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5、导航功能：</w:t>
      </w:r>
      <w:r>
        <w:rPr>
          <w:rFonts w:hint="eastAsia"/>
          <w:color w:val="000000"/>
          <w:sz w:val="21"/>
          <w:szCs w:val="21"/>
        </w:rPr>
        <w:t xml:space="preserve">可根据输入的坐标、已</w:t>
      </w:r>
      <w:r>
        <w:rPr>
          <w:rFonts w:hint="eastAsia"/>
          <w:color w:val="000000"/>
          <w:sz w:val="21"/>
          <w:szCs w:val="21"/>
        </w:rPr>
        <w:t xml:space="preserve">采集对象的坐标、地图选取的坐标或直接利用在线或离线地图进行导航，并在数据采集窗口直观显示导航的信息；</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6、坐标显示：</w:t>
      </w:r>
      <w:r>
        <w:rPr>
          <w:rFonts w:hint="eastAsia"/>
          <w:color w:val="000000"/>
          <w:sz w:val="21"/>
          <w:szCs w:val="21"/>
        </w:rPr>
        <w:t xml:space="preserve">软件主界面可支持显示坐标及对应高程信息，并且经纬度坐标支持“度与度分秒”两种显示方式；</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7、面板显示功能：</w:t>
      </w:r>
      <w:r>
        <w:rPr>
          <w:rFonts w:hint="eastAsia"/>
          <w:color w:val="000000"/>
          <w:sz w:val="21"/>
          <w:szCs w:val="21"/>
        </w:rPr>
        <w:t xml:space="preserve">支持在主界面显示日期和时间，便于在工作时随时查看时间；</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8、轨迹记录：</w:t>
      </w:r>
      <w:r>
        <w:rPr>
          <w:rFonts w:hint="eastAsia"/>
          <w:color w:val="000000"/>
          <w:sz w:val="21"/>
          <w:szCs w:val="21"/>
        </w:rPr>
        <w:t xml:space="preserve">支持按时间或距离记录终端轨迹，并支持将轨迹导出为gpx、kml、kmz文件，便于后期通过轨迹文件的数据分析了解外业情况；</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9、连接功能：</w:t>
      </w:r>
      <w:r>
        <w:rPr>
          <w:rFonts w:hint="eastAsia"/>
          <w:color w:val="000000"/>
          <w:sz w:val="21"/>
          <w:szCs w:val="21"/>
        </w:rPr>
        <w:t xml:space="preserve">内置GNSS定位配置软件，支持通过WIFI、蓝牙连接第三方定位模块或接收机</w:t>
      </w:r>
      <w:r>
        <w:rPr>
          <w:rFonts w:hint="eastAsia"/>
          <w:color w:val="000000"/>
          <w:sz w:val="21"/>
          <w:szCs w:val="21"/>
        </w:rPr>
        <w:t xml:space="preserve">获取高精度位置；</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10、模板功能：</w:t>
      </w:r>
      <w:r>
        <w:rPr>
          <w:rFonts w:hint="eastAsia"/>
          <w:color w:val="000000"/>
          <w:sz w:val="21"/>
          <w:szCs w:val="21"/>
        </w:rPr>
        <w:t xml:space="preserve">软件支持自定义工程文件模板和坐标系文件模板，支持在软件里打开sxwu工程和进行.crd坐标系文件的导入；</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11、一级菜单：</w:t>
      </w:r>
      <w:r>
        <w:rPr>
          <w:rFonts w:hint="eastAsia"/>
          <w:color w:val="000000"/>
          <w:sz w:val="21"/>
          <w:szCs w:val="21"/>
        </w:rPr>
        <w:t xml:space="preserve">软件支持图层字段导入txt文本，快速添加一级菜单，便于工程数据模板的快速形成；</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12、批量导入：</w:t>
      </w:r>
      <w:r>
        <w:rPr>
          <w:rFonts w:hint="eastAsia"/>
          <w:color w:val="000000"/>
          <w:sz w:val="21"/>
          <w:szCs w:val="21"/>
        </w:rPr>
        <w:t xml:space="preserve">支持批量导入csv格式点线面，提高作业效率；</w:t>
      </w:r>
      <w:r/>
    </w:p>
    <w:p>
      <w:pPr>
        <w:pStyle w:val="928"/>
        <w:ind w:firstLine="422"/>
        <w:jc w:val="left"/>
        <w:spacing w:line="360" w:lineRule="auto"/>
        <w:widowControl/>
        <w:rPr>
          <w:rFonts w:hint="eastAsia"/>
          <w:color w:val="000000"/>
          <w:sz w:val="21"/>
          <w:szCs w:val="21"/>
        </w:rPr>
      </w:pPr>
      <w:r>
        <w:rPr>
          <w:rFonts w:hint="eastAsia"/>
          <w:b/>
          <w:bCs/>
          <w:color w:val="000000"/>
          <w:sz w:val="21"/>
          <w:szCs w:val="21"/>
        </w:rPr>
        <w:t xml:space="preserve">13、坐标系定义</w:t>
      </w:r>
      <w:r>
        <w:rPr>
          <w:rFonts w:hint="eastAsia"/>
          <w:color w:val="000000"/>
          <w:sz w:val="21"/>
          <w:szCs w:val="21"/>
        </w:rPr>
        <w:t xml:space="preserve">：支持新建国内通用平面、经纬度及坐标系统工程，便于不同项目选择对应坐标系统进行工程作业；</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14、手绘操作：</w:t>
      </w:r>
      <w:r>
        <w:rPr>
          <w:rFonts w:hint="eastAsia"/>
          <w:color w:val="000000"/>
          <w:sz w:val="21"/>
          <w:szCs w:val="21"/>
        </w:rPr>
        <w:t xml:space="preserve">支持手绘进行调绘操作，也可通过屏幕十字光标，精准绘制地理图形；</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15、采集方式：</w:t>
      </w:r>
      <w:r>
        <w:rPr>
          <w:rFonts w:hint="eastAsia"/>
          <w:color w:val="000000"/>
          <w:sz w:val="21"/>
          <w:szCs w:val="21"/>
        </w:rPr>
        <w:t xml:space="preserve">支持平滑采集操作，采用全</w:t>
      </w:r>
      <w:r>
        <w:rPr>
          <w:rFonts w:hint="eastAsia"/>
          <w:color w:val="000000"/>
          <w:sz w:val="21"/>
          <w:szCs w:val="21"/>
        </w:rPr>
        <w:t xml:space="preserve">新算法采集数据，提高数据采集精度；</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16、在线导航：</w:t>
      </w:r>
      <w:r>
        <w:rPr>
          <w:rFonts w:hint="eastAsia"/>
          <w:color w:val="000000"/>
          <w:sz w:val="21"/>
          <w:szCs w:val="21"/>
        </w:rPr>
        <w:t xml:space="preserve">支持联网状态下，可在软件里对目标地点进行路径导航；</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17、电子罗盘：</w:t>
      </w:r>
      <w:r>
        <w:rPr>
          <w:rFonts w:hint="eastAsia"/>
          <w:color w:val="000000"/>
          <w:sz w:val="21"/>
          <w:szCs w:val="21"/>
        </w:rPr>
        <w:t xml:space="preserve">支持在采集面板显示电子罗盘，方便外业人员定向找方位；</w:t>
      </w:r>
      <w:r/>
    </w:p>
    <w:p>
      <w:pPr>
        <w:pStyle w:val="928"/>
        <w:ind w:firstLine="422"/>
        <w:jc w:val="left"/>
        <w:spacing w:line="360" w:lineRule="auto"/>
        <w:widowControl/>
        <w:rPr>
          <w:rFonts w:hint="eastAsia"/>
          <w:color w:val="000000"/>
          <w:sz w:val="21"/>
          <w:szCs w:val="21"/>
        </w:rPr>
      </w:pPr>
      <w:r>
        <w:rPr>
          <w:rFonts w:hint="eastAsia"/>
          <w:b/>
          <w:color w:val="000000"/>
          <w:sz w:val="21"/>
          <w:szCs w:val="21"/>
        </w:rPr>
        <w:t xml:space="preserve">18、语言切换：</w:t>
      </w:r>
      <w:r>
        <w:rPr>
          <w:rFonts w:hint="eastAsia"/>
          <w:color w:val="000000"/>
          <w:sz w:val="21"/>
          <w:szCs w:val="21"/>
        </w:rPr>
        <w:t xml:space="preserve">支持软件语言自动跟随系统语言切换，也可设置中文、英文直接切换；</w:t>
      </w:r>
      <w:r/>
    </w:p>
    <w:p>
      <w:pPr>
        <w:pStyle w:val="1713"/>
        <w:ind w:firstLine="422"/>
        <w:spacing w:after="0" w:line="360" w:lineRule="auto"/>
        <w:rPr>
          <w:rFonts w:hint="eastAsia"/>
          <w:color w:val="000000"/>
          <w:lang w:eastAsia="zh-CN"/>
        </w:rPr>
      </w:pPr>
      <w:r>
        <w:rPr>
          <w:rFonts w:hint="eastAsia" w:ascii="宋体" w:hAnsi="宋体" w:eastAsia="宋体"/>
          <w:b/>
          <w:color w:val="000000"/>
          <w:sz w:val="21"/>
          <w:szCs w:val="21"/>
          <w:lang w:eastAsia="zh-CN"/>
        </w:rPr>
        <w:t xml:space="preserve">19</w:t>
      </w:r>
      <w:r>
        <w:rPr>
          <w:rFonts w:hint="eastAsia" w:ascii="宋体" w:hAnsi="宋体" w:eastAsia="宋体" w:cs="宋体"/>
          <w:b/>
          <w:color w:val="000000"/>
          <w:sz w:val="21"/>
          <w:szCs w:val="21"/>
          <w:lang w:eastAsia="zh-CN"/>
        </w:rPr>
        <w:t xml:space="preserve">、图层字段：</w:t>
      </w:r>
      <w:r>
        <w:rPr>
          <w:rFonts w:hint="eastAsia" w:ascii="宋体" w:hAnsi="宋体" w:eastAsia="宋体" w:cs="宋体"/>
          <w:color w:val="000000"/>
          <w:sz w:val="21"/>
          <w:szCs w:val="21"/>
          <w:lang w:eastAsia="zh-CN"/>
        </w:rPr>
        <w:t xml:space="preserve">支持</w:t>
      </w:r>
      <w:r>
        <w:rPr>
          <w:rFonts w:ascii="宋体" w:hAnsi="宋体" w:eastAsia="宋体" w:cs="Arial"/>
          <w:color w:val="000000"/>
          <w:sz w:val="21"/>
          <w:szCs w:val="21"/>
          <w:lang w:eastAsia="zh-CN"/>
        </w:rPr>
        <w:t xml:space="preserve">“</w:t>
      </w:r>
      <w:r>
        <w:rPr>
          <w:rFonts w:hint="eastAsia" w:ascii="宋体" w:hAnsi="宋体" w:eastAsia="宋体" w:cs="宋体"/>
          <w:color w:val="000000"/>
          <w:sz w:val="21"/>
          <w:szCs w:val="21"/>
          <w:lang w:eastAsia="zh-CN"/>
        </w:rPr>
        <w:t xml:space="preserve">图层</w:t>
      </w:r>
      <w:r>
        <w:rPr>
          <w:rFonts w:hint="eastAsia" w:ascii="宋体" w:hAnsi="宋体" w:eastAsia="宋体"/>
          <w:color w:val="000000"/>
          <w:sz w:val="21"/>
          <w:szCs w:val="21"/>
          <w:lang w:eastAsia="zh-CN"/>
        </w:rPr>
        <w:t xml:space="preserve">-</w:t>
      </w:r>
      <w:r>
        <w:rPr>
          <w:rFonts w:hint="eastAsia" w:ascii="宋体" w:hAnsi="宋体" w:eastAsia="宋体" w:cs="宋体"/>
          <w:color w:val="000000"/>
          <w:sz w:val="21"/>
          <w:szCs w:val="21"/>
          <w:lang w:eastAsia="zh-CN"/>
        </w:rPr>
        <w:t xml:space="preserve">字段</w:t>
      </w:r>
      <w:r>
        <w:rPr>
          <w:rFonts w:hint="eastAsia" w:ascii="宋体" w:hAnsi="宋体" w:eastAsia="宋体"/>
          <w:color w:val="000000"/>
          <w:sz w:val="21"/>
          <w:szCs w:val="21"/>
          <w:lang w:eastAsia="zh-CN"/>
        </w:rPr>
        <w:t xml:space="preserve">-</w:t>
      </w:r>
      <w:r>
        <w:rPr>
          <w:rFonts w:hint="eastAsia" w:ascii="宋体" w:hAnsi="宋体" w:eastAsia="宋体" w:cs="宋体"/>
          <w:color w:val="000000"/>
          <w:sz w:val="21"/>
          <w:szCs w:val="21"/>
          <w:lang w:eastAsia="zh-CN"/>
        </w:rPr>
        <w:t xml:space="preserve">编辑</w:t>
      </w:r>
      <w:r>
        <w:rPr>
          <w:rFonts w:ascii="宋体" w:hAnsi="宋体" w:eastAsia="宋体" w:cs="Arial"/>
          <w:color w:val="000000"/>
          <w:sz w:val="21"/>
          <w:szCs w:val="21"/>
          <w:lang w:eastAsia="zh-CN"/>
        </w:rPr>
        <w:t xml:space="preserve">”</w:t>
      </w:r>
      <w:r>
        <w:rPr>
          <w:rFonts w:hint="eastAsia" w:ascii="宋体" w:hAnsi="宋体" w:eastAsia="宋体" w:cs="宋体"/>
          <w:color w:val="000000"/>
          <w:sz w:val="21"/>
          <w:szCs w:val="21"/>
          <w:lang w:eastAsia="zh-CN"/>
        </w:rPr>
        <w:t xml:space="preserve">中显示名称或别名，实现在字段管理和属性查询中显示名称或别名。</w:t>
      </w:r>
      <w:r>
        <w:rPr>
          <w:rFonts w:hint="eastAsia"/>
          <w:color w:val="000000"/>
          <w:lang w:eastAsia="zh-CN"/>
        </w:rPr>
      </w:r>
      <w:r/>
    </w:p>
    <w:p>
      <w:pPr>
        <w:pStyle w:val="1714"/>
        <w:ind w:firstLine="422"/>
        <w:spacing w:after="0" w:line="360" w:lineRule="auto"/>
        <w:rPr>
          <w:rFonts w:eastAsia="宋体"/>
          <w:b/>
          <w:bCs/>
          <w:color w:val="000000"/>
          <w:sz w:val="21"/>
          <w:szCs w:val="21"/>
          <w:lang w:eastAsia="zh-CN"/>
        </w:rPr>
      </w:pPr>
      <w:r>
        <w:rPr>
          <w:rFonts w:hint="eastAsia" w:eastAsia="宋体"/>
          <w:b/>
          <w:bCs/>
          <w:color w:val="000000"/>
          <w:sz w:val="21"/>
          <w:szCs w:val="21"/>
          <w:lang w:eastAsia="zh-CN"/>
        </w:rPr>
        <w:t xml:space="preserve">1.4 一标多实系统数据对接服务</w:t>
      </w:r>
      <w:r>
        <w:rPr>
          <w:rFonts w:eastAsia="宋体"/>
          <w:b/>
          <w:bCs/>
          <w:color w:val="000000"/>
          <w:sz w:val="21"/>
          <w:szCs w:val="21"/>
          <w:lang w:eastAsia="zh-CN"/>
        </w:rPr>
      </w:r>
      <w:r/>
    </w:p>
    <w:p>
      <w:pPr>
        <w:pStyle w:val="1714"/>
        <w:ind w:firstLine="420"/>
        <w:spacing w:after="0" w:line="360" w:lineRule="auto"/>
        <w:rPr>
          <w:rFonts w:hint="eastAsia" w:ascii="Times New Roman" w:hAnsi="Times New Roman" w:cs="Times New Roman"/>
          <w:color w:val="000000"/>
          <w:sz w:val="21"/>
          <w:szCs w:val="21"/>
          <w:lang w:eastAsia="zh-CN"/>
        </w:rPr>
      </w:pPr>
      <w:r>
        <w:rPr>
          <w:rFonts w:hint="eastAsia" w:eastAsia="宋体"/>
          <w:color w:val="000000"/>
          <w:sz w:val="21"/>
          <w:szCs w:val="21"/>
          <w:lang w:eastAsia="zh-CN"/>
        </w:rPr>
        <w:t xml:space="preserve">实现与苏州市公安局</w:t>
      </w:r>
      <w:r>
        <w:rPr>
          <w:rFonts w:hint="eastAsia" w:eastAsia="宋体"/>
          <w:b/>
          <w:bCs/>
          <w:color w:val="000000"/>
          <w:sz w:val="21"/>
          <w:szCs w:val="21"/>
          <w:lang w:eastAsia="zh-CN"/>
        </w:rPr>
        <w:t xml:space="preserve">一标多实系统</w:t>
      </w:r>
      <w:r>
        <w:rPr>
          <w:rFonts w:hint="eastAsia" w:eastAsia="宋体"/>
          <w:color w:val="000000"/>
          <w:sz w:val="21"/>
          <w:szCs w:val="21"/>
          <w:lang w:eastAsia="zh-CN"/>
        </w:rPr>
        <w:t xml:space="preserve">的无缝对接，投标单位须提供详细的对接方案，描述业务流程对接、数据对接、功能整合。</w:t>
      </w:r>
      <w:r>
        <w:rPr>
          <w:rFonts w:hint="eastAsia" w:ascii="Times New Roman" w:hAnsi="Times New Roman" w:cs="Times New Roman"/>
          <w:color w:val="000000"/>
          <w:sz w:val="21"/>
          <w:szCs w:val="21"/>
          <w:lang w:eastAsia="zh-CN"/>
        </w:rPr>
      </w:r>
      <w:r/>
    </w:p>
    <w:p>
      <w:pPr>
        <w:pStyle w:val="1714"/>
        <w:ind w:firstLine="422"/>
        <w:spacing w:after="0" w:line="360" w:lineRule="auto"/>
        <w:rPr>
          <w:rFonts w:eastAsia="宋体"/>
          <w:b/>
          <w:bCs/>
          <w:color w:val="000000"/>
          <w:sz w:val="21"/>
          <w:szCs w:val="21"/>
          <w:lang w:eastAsia="zh-CN"/>
        </w:rPr>
      </w:pPr>
      <w:r>
        <w:rPr>
          <w:rFonts w:hint="eastAsia" w:eastAsia="宋体"/>
          <w:b/>
          <w:bCs/>
          <w:color w:val="000000"/>
          <w:sz w:val="21"/>
          <w:szCs w:val="21"/>
          <w:lang w:eastAsia="zh-CN"/>
        </w:rPr>
        <w:t xml:space="preserve">1.5苏州全市二维码门牌全面应用平台对接软件</w:t>
      </w:r>
      <w:r>
        <w:rPr>
          <w:rFonts w:eastAsia="宋体"/>
          <w:b/>
          <w:bCs/>
          <w:color w:val="000000"/>
          <w:sz w:val="21"/>
          <w:szCs w:val="21"/>
          <w:lang w:eastAsia="zh-CN"/>
        </w:rPr>
      </w:r>
      <w:r/>
    </w:p>
    <w:p>
      <w:pPr>
        <w:pStyle w:val="1714"/>
        <w:ind w:firstLine="420"/>
        <w:spacing w:after="0" w:line="360" w:lineRule="auto"/>
        <w:rPr>
          <w:rFonts w:hint="eastAsia"/>
          <w:b/>
          <w:bCs/>
          <w:color w:val="000000"/>
          <w:sz w:val="21"/>
          <w:szCs w:val="21"/>
          <w:lang w:eastAsia="zh-CN"/>
        </w:rPr>
      </w:pPr>
      <w:r>
        <w:rPr>
          <w:rFonts w:hint="eastAsia" w:eastAsia="宋体"/>
          <w:color w:val="000000"/>
          <w:sz w:val="21"/>
          <w:szCs w:val="21"/>
          <w:lang w:eastAsia="zh-CN"/>
        </w:rPr>
        <w:t xml:space="preserve">实现与苏州市公安局</w:t>
      </w:r>
      <w:r>
        <w:rPr>
          <w:rFonts w:hint="eastAsia" w:eastAsia="宋体"/>
          <w:b/>
          <w:bCs/>
          <w:color w:val="000000"/>
          <w:sz w:val="21"/>
          <w:szCs w:val="21"/>
          <w:lang w:eastAsia="zh-CN"/>
        </w:rPr>
        <w:t xml:space="preserve">大市二维码门牌全面应用平台</w:t>
      </w:r>
      <w:r>
        <w:rPr>
          <w:rFonts w:hint="eastAsia" w:eastAsia="宋体"/>
          <w:color w:val="000000"/>
          <w:sz w:val="21"/>
          <w:szCs w:val="21"/>
          <w:lang w:eastAsia="zh-CN"/>
        </w:rPr>
        <w:t xml:space="preserve">的无缝对接，投标单位须提供详细的对接方案，描述业务流程对接、数据对接、功能整合。</w:t>
      </w:r>
      <w:r>
        <w:rPr>
          <w:rFonts w:hint="eastAsia"/>
          <w:b/>
          <w:bCs/>
          <w:color w:val="000000"/>
          <w:sz w:val="21"/>
          <w:szCs w:val="21"/>
          <w:lang w:eastAsia="zh-CN"/>
        </w:rPr>
      </w:r>
      <w:r/>
    </w:p>
    <w:p>
      <w:pPr>
        <w:pStyle w:val="1714"/>
        <w:ind w:firstLine="422"/>
        <w:spacing w:after="0" w:line="360" w:lineRule="auto"/>
        <w:rPr>
          <w:rFonts w:hint="eastAsia" w:eastAsia="宋体"/>
          <w:b/>
          <w:bCs/>
          <w:color w:val="000000"/>
          <w:sz w:val="21"/>
          <w:szCs w:val="21"/>
          <w:lang w:eastAsia="zh-CN"/>
        </w:rPr>
      </w:pPr>
      <w:r>
        <w:rPr>
          <w:rFonts w:hint="eastAsia" w:eastAsia="宋体"/>
          <w:b/>
          <w:bCs/>
          <w:color w:val="000000"/>
          <w:sz w:val="21"/>
          <w:szCs w:val="21"/>
          <w:lang w:eastAsia="zh-CN"/>
        </w:rPr>
        <w:t xml:space="preserve">1.6太仓市公安局派出所工作平台地址门牌数据对接软件</w:t>
      </w:r>
      <w:r/>
    </w:p>
    <w:p>
      <w:pPr>
        <w:pStyle w:val="1714"/>
        <w:ind w:firstLine="420"/>
        <w:spacing w:after="0" w:line="360" w:lineRule="auto"/>
        <w:rPr>
          <w:rFonts w:hint="eastAsia"/>
          <w:color w:val="000000"/>
          <w:sz w:val="21"/>
          <w:szCs w:val="21"/>
          <w:lang w:eastAsia="zh-CN"/>
        </w:rPr>
      </w:pPr>
      <w:r>
        <w:rPr>
          <w:rFonts w:hint="eastAsia" w:eastAsia="宋体"/>
          <w:color w:val="000000"/>
          <w:sz w:val="21"/>
          <w:szCs w:val="21"/>
          <w:lang w:eastAsia="zh-CN"/>
        </w:rPr>
        <w:t xml:space="preserve">实现与太仓市公安局派出所工作平台的无缝对接，投标单位须提供详细的对接方案，描述业务流程对接、数据对接、功能整合。</w:t>
      </w:r>
      <w:r>
        <w:rPr>
          <w:rFonts w:hint="eastAsia"/>
          <w:color w:val="000000"/>
          <w:sz w:val="21"/>
          <w:szCs w:val="21"/>
          <w:lang w:eastAsia="zh-CN"/>
        </w:rPr>
      </w:r>
      <w:r/>
    </w:p>
    <w:p>
      <w:pPr>
        <w:pStyle w:val="1714"/>
        <w:ind w:firstLine="422"/>
        <w:spacing w:after="0" w:line="360" w:lineRule="auto"/>
        <w:rPr>
          <w:rFonts w:hint="eastAsia" w:eastAsia="宋体"/>
          <w:b/>
          <w:bCs/>
          <w:color w:val="000000"/>
          <w:sz w:val="21"/>
          <w:szCs w:val="21"/>
          <w:lang w:eastAsia="zh-CN"/>
        </w:rPr>
      </w:pPr>
      <w:r>
        <w:rPr>
          <w:rFonts w:hint="eastAsia" w:eastAsia="宋体"/>
          <w:b/>
          <w:bCs/>
          <w:color w:val="000000"/>
          <w:sz w:val="21"/>
          <w:szCs w:val="21"/>
          <w:lang w:eastAsia="zh-CN"/>
        </w:rPr>
        <w:t xml:space="preserve">2、地图数据更新服务和数字地图平台对接服务</w:t>
      </w:r>
      <w:r/>
    </w:p>
    <w:p>
      <w:pPr>
        <w:pStyle w:val="1715"/>
        <w:contextualSpacing/>
        <w:jc w:val="both"/>
        <w:spacing w:after="0" w:line="360" w:lineRule="auto"/>
        <w:widowControl w:val="off"/>
        <w:tabs>
          <w:tab w:val="left" w:pos="709" w:leader="none"/>
        </w:tabs>
        <w:rPr>
          <w:rFonts w:hint="eastAsia" w:ascii="宋体" w:hAnsi="宋体" w:eastAsia="宋体"/>
          <w:color w:val="000000"/>
          <w:sz w:val="21"/>
          <w:szCs w:val="21"/>
          <w:lang w:eastAsia="zh-CN"/>
        </w:rPr>
      </w:pPr>
      <w:r>
        <w:rPr>
          <w:rFonts w:hint="eastAsia" w:ascii="宋体" w:hAnsi="宋体" w:eastAsia="宋体" w:cs="宋体"/>
          <w:color w:val="000000"/>
          <w:sz w:val="21"/>
          <w:szCs w:val="21"/>
          <w:lang w:eastAsia="zh-CN"/>
        </w:rPr>
        <w:t xml:space="preserve">2.1在二维码门牌安装和数据采集和定位信息上传过程中，发现现有数字地图</w:t>
      </w:r>
      <w:r>
        <w:rPr>
          <w:rFonts w:hint="eastAsia" w:ascii="宋体" w:hAnsi="宋体" w:eastAsia="宋体"/>
          <w:color w:val="000000"/>
          <w:sz w:val="21"/>
          <w:szCs w:val="21"/>
          <w:lang w:eastAsia="zh-CN"/>
        </w:rPr>
        <w:t xml:space="preserve">GIS</w:t>
      </w:r>
      <w:r>
        <w:rPr>
          <w:rFonts w:hint="eastAsia" w:ascii="宋体" w:hAnsi="宋体" w:eastAsia="宋体" w:cs="宋体"/>
          <w:color w:val="000000"/>
          <w:sz w:val="21"/>
          <w:szCs w:val="21"/>
          <w:lang w:eastAsia="zh-CN"/>
        </w:rPr>
        <w:t xml:space="preserve">数据的偏差和缺失，实现上报；太仓城区及重点乡镇倾斜摄影数据，数据格式为</w:t>
      </w:r>
      <w:r>
        <w:rPr>
          <w:rFonts w:hint="eastAsia" w:ascii="宋体" w:hAnsi="宋体" w:eastAsia="宋体"/>
          <w:color w:val="000000"/>
          <w:sz w:val="21"/>
          <w:szCs w:val="21"/>
          <w:lang w:eastAsia="zh-CN"/>
        </w:rPr>
        <w:t xml:space="preserve">OSDG,</w:t>
      </w:r>
      <w:r>
        <w:rPr>
          <w:rFonts w:hint="eastAsia" w:ascii="宋体" w:hAnsi="宋体" w:eastAsia="宋体" w:cs="宋体"/>
          <w:color w:val="000000"/>
          <w:sz w:val="21"/>
          <w:szCs w:val="21"/>
          <w:lang w:eastAsia="zh-CN"/>
        </w:rPr>
        <w:t xml:space="preserve">平面精度为</w:t>
      </w:r>
      <w:r>
        <w:rPr>
          <w:rFonts w:ascii="宋体" w:hAnsi="宋体" w:eastAsia="宋体" w:cs="Arial"/>
          <w:color w:val="000000"/>
          <w:sz w:val="21"/>
          <w:szCs w:val="21"/>
          <w:lang w:eastAsia="zh-CN"/>
        </w:rPr>
        <w:t xml:space="preserve">≤±</w:t>
      </w:r>
      <w:r>
        <w:rPr>
          <w:rFonts w:hint="eastAsia" w:ascii="宋体" w:hAnsi="宋体" w:eastAsia="宋体"/>
          <w:color w:val="000000"/>
          <w:sz w:val="21"/>
          <w:szCs w:val="21"/>
          <w:lang w:eastAsia="zh-CN"/>
        </w:rPr>
        <w:t xml:space="preserve">0.3m</w:t>
      </w:r>
      <w:r>
        <w:rPr>
          <w:rFonts w:hint="eastAsia" w:ascii="宋体" w:hAnsi="宋体" w:eastAsia="宋体" w:cs="宋体"/>
          <w:color w:val="000000"/>
          <w:sz w:val="21"/>
          <w:szCs w:val="21"/>
          <w:lang w:eastAsia="zh-CN"/>
        </w:rPr>
        <w:t xml:space="preserve">，高程精度</w:t>
      </w:r>
      <w:r>
        <w:rPr>
          <w:rFonts w:ascii="宋体" w:hAnsi="宋体" w:eastAsia="宋体" w:cs="Arial"/>
          <w:color w:val="000000"/>
          <w:sz w:val="21"/>
          <w:szCs w:val="21"/>
          <w:lang w:eastAsia="zh-CN"/>
        </w:rPr>
        <w:t xml:space="preserve">≤±</w:t>
      </w:r>
      <w:r>
        <w:rPr>
          <w:rFonts w:hint="eastAsia" w:ascii="宋体" w:hAnsi="宋体" w:eastAsia="宋体"/>
          <w:color w:val="000000"/>
          <w:sz w:val="21"/>
          <w:szCs w:val="21"/>
          <w:lang w:eastAsia="zh-CN"/>
        </w:rPr>
        <w:t xml:space="preserve">0.8m,</w:t>
      </w:r>
      <w:r>
        <w:rPr>
          <w:rFonts w:hint="eastAsia" w:ascii="宋体" w:hAnsi="宋体" w:eastAsia="宋体" w:cs="宋体"/>
          <w:color w:val="000000"/>
          <w:sz w:val="21"/>
          <w:szCs w:val="21"/>
          <w:lang w:eastAsia="zh-CN"/>
        </w:rPr>
        <w:t xml:space="preserve">坐标系采用</w:t>
      </w:r>
      <w:r>
        <w:rPr>
          <w:rFonts w:hint="eastAsia" w:ascii="宋体" w:hAnsi="宋体" w:eastAsia="宋体"/>
          <w:color w:val="000000"/>
          <w:sz w:val="21"/>
          <w:szCs w:val="21"/>
          <w:lang w:eastAsia="zh-CN"/>
        </w:rPr>
        <w:t xml:space="preserve">CGCS2000</w:t>
      </w:r>
      <w:r>
        <w:rPr>
          <w:rFonts w:hint="eastAsia" w:ascii="宋体" w:hAnsi="宋体" w:eastAsia="宋体" w:cs="宋体"/>
          <w:color w:val="000000"/>
          <w:sz w:val="21"/>
          <w:szCs w:val="21"/>
          <w:lang w:eastAsia="zh-CN"/>
        </w:rPr>
        <w:t xml:space="preserve">。数据质量要求：数据完整、齐全，影像无遮挡，去除空中悬浮物、噪点等；采集范围由采购单位决定，总面积不超过</w:t>
      </w:r>
      <w:r>
        <w:rPr>
          <w:rFonts w:hint="eastAsia" w:ascii="宋体" w:hAnsi="宋体" w:eastAsia="宋体"/>
          <w:color w:val="000000"/>
          <w:sz w:val="21"/>
          <w:szCs w:val="21"/>
          <w:lang w:eastAsia="zh-CN"/>
        </w:rPr>
        <w:t xml:space="preserve">80</w:t>
      </w:r>
      <w:r>
        <w:rPr>
          <w:rFonts w:hint="eastAsia" w:ascii="宋体" w:hAnsi="宋体" w:eastAsia="宋体" w:cs="宋体"/>
          <w:color w:val="000000"/>
          <w:sz w:val="21"/>
          <w:szCs w:val="21"/>
          <w:lang w:eastAsia="zh-CN"/>
        </w:rPr>
        <w:t xml:space="preserve">平方公里；</w:t>
      </w:r>
      <w:r>
        <w:rPr>
          <w:rFonts w:hint="eastAsia" w:ascii="宋体" w:hAnsi="宋体" w:eastAsia="宋体"/>
          <w:color w:val="000000"/>
          <w:sz w:val="21"/>
          <w:szCs w:val="21"/>
          <w:lang w:eastAsia="zh-CN"/>
        </w:rPr>
      </w:r>
      <w:r/>
    </w:p>
    <w:p>
      <w:pPr>
        <w:pStyle w:val="1715"/>
        <w:contextualSpacing/>
        <w:jc w:val="both"/>
        <w:spacing w:after="0" w:line="360" w:lineRule="auto"/>
        <w:widowControl w:val="off"/>
        <w:tabs>
          <w:tab w:val="left" w:pos="709"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2.2提供地图基础数据的采集和导入现有数字地图GIS平台的工具软件，完成数据更新维护；</w:t>
      </w:r>
      <w:r/>
    </w:p>
    <w:p>
      <w:pPr>
        <w:pStyle w:val="1715"/>
        <w:contextualSpacing/>
        <w:jc w:val="both"/>
        <w:spacing w:after="0" w:line="360" w:lineRule="auto"/>
        <w:widowControl w:val="off"/>
        <w:tabs>
          <w:tab w:val="left" w:pos="709"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2.3扩展太仓公安局地图数据展示平台，形成数字门牌对应的标准地址数据上图工作机制，建立业务地理关联管理体系，利用地图技术分层展示；</w:t>
      </w:r>
      <w:r/>
    </w:p>
    <w:p>
      <w:pPr>
        <w:pStyle w:val="1715"/>
        <w:contextualSpacing/>
        <w:jc w:val="both"/>
        <w:spacing w:after="0" w:line="360" w:lineRule="auto"/>
        <w:widowControl w:val="off"/>
        <w:tabs>
          <w:tab w:val="left" w:pos="709"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2.4能够在统一的地图上展现数字门牌相关信息，包括地址、房屋、门牌安装</w:t>
      </w:r>
      <w:r>
        <w:rPr>
          <w:rFonts w:hint="eastAsia" w:ascii="宋体" w:hAnsi="宋体" w:eastAsia="宋体" w:cs="宋体"/>
          <w:color w:val="000000"/>
          <w:sz w:val="21"/>
          <w:szCs w:val="21"/>
          <w:lang w:eastAsia="zh-CN"/>
        </w:rPr>
        <w:t xml:space="preserve">数据、精确地定位；</w:t>
      </w:r>
      <w:r/>
    </w:p>
    <w:p>
      <w:pPr>
        <w:pStyle w:val="1715"/>
        <w:contextualSpacing/>
        <w:jc w:val="both"/>
        <w:spacing w:after="0" w:line="360" w:lineRule="auto"/>
        <w:widowControl w:val="off"/>
        <w:tabs>
          <w:tab w:val="left" w:pos="709"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2.5扩展新的展示图层，应引入各种应用标签，更新公安原有的人、房数据的定位数据，重新展现人、房图层，实现PGIS地图、天地图切换融合，实现警情、案件、人口、地址等各类数据在平台地图中展示；</w:t>
      </w:r>
      <w:r/>
    </w:p>
    <w:p>
      <w:pPr>
        <w:pStyle w:val="1715"/>
        <w:contextualSpacing/>
        <w:jc w:val="both"/>
        <w:spacing w:after="0" w:line="360" w:lineRule="auto"/>
        <w:widowControl w:val="off"/>
        <w:tabs>
          <w:tab w:val="left" w:pos="709"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2.6支持放大、缩小、测距、面积等地图应用常用功能，支持空间检索、周边查询、位置查询等开放式应用接口，支持大容量数据一图加载展示，支持点线面数据采集标绘、建模，支持太仓市公安局二维码门牌平台、视频平台及其他平台对接展示，地图平台响应速度秒级；</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太仓市公安局全员考系统一年的维护服务</w:t>
      </w:r>
      <w:r>
        <w:rPr>
          <w:rFonts w:ascii="宋体" w:hAnsi="宋体" w:eastAsia="宋体"/>
          <w:color w:val="000000"/>
          <w:sz w:val="21"/>
          <w:szCs w:val="21"/>
        </w:rPr>
      </w:r>
      <w:r/>
    </w:p>
    <w:p>
      <w:pPr>
        <w:pStyle w:val="928"/>
        <w:contextualSpacing/>
        <w:ind w:firstLine="420"/>
        <w:spacing w:line="360" w:lineRule="auto"/>
        <w:rPr>
          <w:rFonts w:hint="eastAsia"/>
          <w:color w:val="000000"/>
        </w:rPr>
      </w:pPr>
      <w:r>
        <w:rPr>
          <w:rFonts w:hint="eastAsia" w:cs="宋体"/>
          <w:bCs/>
          <w:color w:val="000000"/>
          <w:sz w:val="21"/>
          <w:szCs w:val="21"/>
          <w:lang w:bidi="en-US"/>
        </w:rPr>
        <w:t xml:space="preserve">按照市局“考核对象全覆盖、考核责任全落实</w:t>
      </w:r>
      <w:r>
        <w:rPr>
          <w:rFonts w:hint="eastAsia" w:cs="宋体"/>
          <w:bCs/>
          <w:color w:val="000000"/>
          <w:sz w:val="21"/>
          <w:szCs w:val="21"/>
          <w:lang w:bidi="en-US"/>
        </w:rPr>
        <w:t xml:space="preserve">、考核内容全方位、考核流程全控制”的要求，要坚持平台化的开放设计理念。系统总体架构基于大数据警务战略建设的总体思路和警务大数据工程建设的整体技术框架，构建以人事管理系统、法度系统、执法监督系统、智慧督察系统、接处警系统、警务基础平台、信息报送系统、社区民警考核系统、交警六合一平台、笔录系统等源头系统数据接入汇聚，清洗加工数据专题，研发全警绩效考核系统应用和辅警绩效管理应用。具体要求如下：</w:t>
      </w:r>
      <w:r>
        <w:rPr>
          <w:rFonts w:hint="eastAsia"/>
          <w:color w:val="000000"/>
        </w:rPr>
      </w:r>
      <w:r/>
    </w:p>
    <w:tbl>
      <w:tblPr>
        <w:tblW w:w="77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5"/>
        <w:gridCol w:w="2370"/>
        <w:gridCol w:w="3315"/>
      </w:tblGrid>
      <w:tr>
        <w:trPr/>
        <w:tc>
          <w:tcPr>
            <w:gridSpan w:val="2"/>
            <w:tcW w:w="445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项目建设内容</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模块功能</w:t>
            </w:r>
            <w:r/>
          </w:p>
        </w:tc>
      </w:tr>
      <w:tr>
        <w:trPr>
          <w:cantSplit/>
        </w:trPr>
        <w:tc>
          <w:tcPr>
            <w:tcW w:w="2085" w:type="dxa"/>
            <w:vAlign w:val="center"/>
            <w:vMerge w:val="restart"/>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民警绩效管理</w:t>
            </w:r>
            <w:r/>
          </w:p>
        </w:tc>
        <w:tc>
          <w:tcPr>
            <w:tcW w:w="2370" w:type="dxa"/>
            <w:vAlign w:val="center"/>
            <w:vMerge w:val="restart"/>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资源库集建设</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资源库集建设</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人力资源管理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考核系</w:t>
            </w:r>
            <w:r>
              <w:rPr>
                <w:rFonts w:hint="eastAsia"/>
                <w:color w:val="000000"/>
                <w:sz w:val="21"/>
                <w:szCs w:val="21"/>
              </w:rPr>
              <w:t xml:space="preserve">数管理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考核方案管理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考核指标管理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考核数据采集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考评通报管理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一键生成考核通报</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考核结果复议</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restart"/>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日常管理模块</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办案积分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考勤管理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加班管理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请假出差</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警务排班</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综合评价</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双随机检查</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移动端应用模块</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移动端应用模块</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数据对接</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数据对接</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数据专题</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数据专题</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大屏展示</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大屏展示</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支撑工具</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支撑工具</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系统运行安全与管理</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系统运行安全与管理</w:t>
            </w:r>
            <w:r/>
          </w:p>
        </w:tc>
      </w:tr>
      <w:tr>
        <w:trPr>
          <w:cantSplit/>
        </w:trPr>
        <w:tc>
          <w:tcPr>
            <w:tcW w:w="2085" w:type="dxa"/>
            <w:vAlign w:val="center"/>
            <w:vMerge w:val="restart"/>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辅警绩效管理</w:t>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资源库集建设</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资源库集建设</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数据对接</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数据对接</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restart"/>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基础信息</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人员信息维护</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人员信息档案</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招聘管理</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招聘管理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岗位调动</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岗位调动</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人才库</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人才库</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减员管理</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减员管理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restart"/>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运行管理</w:t>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系统管理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安全管理</w:t>
            </w:r>
            <w:r/>
          </w:p>
        </w:tc>
      </w:tr>
      <w:tr>
        <w:trPr>
          <w:cantSplit/>
        </w:trPr>
        <w:tc>
          <w:tcPr>
            <w:tcW w:w="4455"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2370" w:type="dxa"/>
            <w:vAlign w:val="center"/>
            <w:vMerge w:val="continue"/>
            <w:textDirection w:val="lrTb"/>
            <w:noWrap w:val="false"/>
          </w:tcPr>
          <w:p>
            <w:pPr>
              <w:pStyle w:val="928"/>
              <w:jc w:val="center"/>
              <w:spacing w:line="400" w:lineRule="atLeast"/>
              <w:rPr>
                <w:color w:val="000000"/>
                <w:sz w:val="21"/>
                <w:szCs w:val="21"/>
              </w:rPr>
            </w:pPr>
            <w:r>
              <w:rPr>
                <w:color w:val="000000"/>
                <w:sz w:val="21"/>
                <w:szCs w:val="21"/>
              </w:rPr>
            </w:r>
            <w:r/>
          </w:p>
        </w:tc>
        <w:tc>
          <w:tcPr>
            <w:tcW w:w="331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民警授权管理</w:t>
            </w:r>
            <w:r/>
          </w:p>
        </w:tc>
      </w:tr>
    </w:tbl>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系统日常运维：</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日常运维对于甲方在日常使用过程中出现的问题，乙方提供多种渠道的服务：</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1、通过甲方的QQ或微信群提供系统的技术支撑服务。</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2、提供维护专员的服务电话，按服务时间提供咨询服务。</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3、提供对系统故障的修复服务。</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4、根据运维处理情况提供年度运维报告。</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5、按约定周期定期对软件运行状态进行检查和分析，完成巡检</w:t>
      </w:r>
      <w:r>
        <w:rPr>
          <w:rFonts w:hint="eastAsia" w:cs="宋体"/>
          <w:bCs/>
          <w:color w:val="000000"/>
          <w:sz w:val="21"/>
          <w:szCs w:val="21"/>
          <w:lang w:bidi="en-US"/>
        </w:rPr>
        <w:t xml:space="preserve">报告。（巡检：1年4次）</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远程业务系统功能调整：</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乙方向甲方提供累计不超过20工日的需求调整服务，用于系统功能改进。</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远程技术保障：</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针对各类角色用户制定专门的培训课程，甲方负责培训活动的组织，乙方负责系统的操作培训，并提供培训视频和系统操作手册（电子版）。</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现场上门保障服务：</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乙方按甲方要求前往指定地点进行20工日上门保障服务。</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对于上述服务内容的补充说明：</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1、超出上述服务内容的，由甲乙双方另行协商服务方式及费用。</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2、乙方指导甲方系统管理员对系统相关故障的诊断，制定维护计划，提供相关故障的处理方案，协调并解决系统运行过程中的各类问题。</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3、因第三方提供的设备或软件系统引起的故障，乙方有责任及时报告甲方，在第三方修复故障时乙方提供必要的配合，但第三方提供的设备或软件系统故障的排查和修复，不在乙方的服务范围内。</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4、乙方对数据进行定期备份，交由甲方保管，在系统故障时候进行数据恢复工作，因乙方原因导致数据丢失的，扣除相应维护费用。</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5、乙方的服务方式主要为：电话服务、QQ或微信的线上服务及远程登录服务；在通过上述服务无法解决问题时，可提供现场服务；在甲方遇到紧急情况时，乙方技术人员须24小时内到达现场。</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6、</w:t>
      </w:r>
      <w:r>
        <w:rPr>
          <w:rFonts w:hint="eastAsia" w:cs="宋体"/>
          <w:bCs/>
          <w:color w:val="000000"/>
          <w:sz w:val="21"/>
          <w:szCs w:val="21"/>
          <w:lang w:bidi="en-US"/>
        </w:rPr>
        <w:t xml:space="preserve">乙方及时提供软件的补丁升级，补丁升级包括对甲方已有的软件性能的提升、缺陷的修正，补丁升级的工作量不计入业务系统功能调整的工作量中。</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执法办案管理中心信息化项目运维</w:t>
      </w:r>
      <w:r>
        <w:rPr>
          <w:rFonts w:ascii="宋体" w:hAnsi="宋体" w:eastAsia="宋体"/>
          <w:color w:val="000000"/>
          <w:sz w:val="21"/>
          <w:szCs w:val="21"/>
        </w:rPr>
      </w:r>
      <w:r/>
    </w:p>
    <w:p>
      <w:pPr>
        <w:pStyle w:val="928"/>
        <w:ind w:firstLine="422"/>
        <w:spacing w:line="360" w:lineRule="auto"/>
        <w:rPr>
          <w:rFonts w:hint="eastAsia"/>
          <w:b/>
          <w:bCs/>
          <w:color w:val="000000"/>
          <w:sz w:val="21"/>
          <w:szCs w:val="21"/>
        </w:rPr>
      </w:pPr>
      <w:r>
        <w:rPr>
          <w:rFonts w:hint="eastAsia"/>
          <w:b/>
          <w:bCs/>
          <w:color w:val="000000"/>
          <w:sz w:val="21"/>
          <w:szCs w:val="21"/>
        </w:rPr>
        <w:t xml:space="preserve">1、运维目标</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太仓市公安局执法办案管理中心信息化项目，于2019年12月开始建设，2020年9月30日验收，目前系统处于正常运行阶段。为进一步加强和规范项目的维护服务，保证项目的稳定、高效运行，提高应对突发事件的组织指挥和应急处置能力，最大限度地预防和减少突发信息安全事件及其造成的损害，确保系统安全畅通，为客户提供及时、有效、稳定的服务。</w:t>
      </w:r>
      <w:r/>
    </w:p>
    <w:p>
      <w:pPr>
        <w:pStyle w:val="928"/>
        <w:ind w:firstLine="422"/>
        <w:spacing w:line="360" w:lineRule="auto"/>
        <w:rPr>
          <w:rFonts w:hint="eastAsia"/>
          <w:b/>
          <w:bCs/>
          <w:color w:val="000000"/>
          <w:sz w:val="21"/>
          <w:szCs w:val="21"/>
        </w:rPr>
      </w:pPr>
      <w:r>
        <w:rPr>
          <w:rFonts w:hint="eastAsia"/>
          <w:b/>
          <w:bCs/>
          <w:color w:val="000000"/>
          <w:sz w:val="21"/>
          <w:szCs w:val="21"/>
        </w:rPr>
        <w:t xml:space="preserve">2、服务要求</w:t>
      </w:r>
      <w:r>
        <w:rPr>
          <w:rFonts w:hint="eastAsia"/>
          <w:b/>
          <w:bCs/>
          <w:color w:val="000000"/>
          <w:sz w:val="21"/>
          <w:szCs w:val="21"/>
        </w:rPr>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服务时间：根据用户需求以及项目状况，提供5*8h/周的电话受理服务请求帮助客户解决技术问题。</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响应时间：接到故障报告后1小时内予以实质性响应，并提供解决计划和方案。</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日常工作中耐心解答用户提问，对用户提出的问题有问必答、耐心解释，对用户不懂的地方不教训、不责备。对待疑难问题不装懂、不推诿，婉言向用户解释并请相关人员答复用户。 </w:t>
      </w:r>
      <w:r/>
    </w:p>
    <w:p>
      <w:pPr>
        <w:pStyle w:val="928"/>
        <w:ind w:firstLine="422"/>
        <w:spacing w:line="360" w:lineRule="auto"/>
        <w:rPr>
          <w:rFonts w:hint="eastAsia"/>
          <w:b/>
          <w:bCs/>
          <w:color w:val="000000"/>
          <w:sz w:val="21"/>
          <w:szCs w:val="21"/>
        </w:rPr>
      </w:pPr>
      <w:r>
        <w:rPr>
          <w:rFonts w:hint="eastAsia"/>
          <w:b/>
          <w:bCs/>
          <w:color w:val="000000"/>
          <w:sz w:val="21"/>
          <w:szCs w:val="21"/>
        </w:rPr>
        <w:t xml:space="preserve">3、技术方案</w:t>
      </w:r>
      <w:r/>
    </w:p>
    <w:p>
      <w:pPr>
        <w:pStyle w:val="928"/>
        <w:contextualSpacing/>
        <w:ind w:firstLine="422"/>
        <w:spacing w:line="360" w:lineRule="auto"/>
        <w:rPr>
          <w:rFonts w:hint="eastAsia" w:cs="宋体"/>
          <w:b/>
          <w:color w:val="000000"/>
          <w:sz w:val="21"/>
          <w:szCs w:val="21"/>
          <w:lang w:bidi="en-US"/>
        </w:rPr>
      </w:pPr>
      <w:r>
        <w:rPr>
          <w:rFonts w:hint="eastAsia" w:cs="宋体"/>
          <w:b/>
          <w:color w:val="000000"/>
          <w:sz w:val="21"/>
          <w:szCs w:val="21"/>
          <w:lang w:bidi="en-US"/>
        </w:rPr>
        <w:t xml:space="preserve">3.1软件部分维护服务内容</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软件维护服务内容包括：</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1、每月针对服务器进行全方位的巡检，进行日常的维护、服务器运行稳定性检查，确保系统运行稳定，最终以巡检报告的</w:t>
      </w:r>
      <w:r>
        <w:rPr>
          <w:rFonts w:hint="eastAsia" w:cs="宋体"/>
          <w:bCs/>
          <w:color w:val="000000"/>
          <w:sz w:val="21"/>
          <w:szCs w:val="21"/>
          <w:lang w:bidi="en-US"/>
        </w:rPr>
        <w:t xml:space="preserve">形式向客户汇报；</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2、软件系统故障处理，明细如下：</w:t>
      </w:r>
      <w:r/>
    </w:p>
    <w:tbl>
      <w:tblPr>
        <w:tblW w:w="883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263"/>
        <w:gridCol w:w="6572"/>
      </w:tblGrid>
      <w:tr>
        <w:trPr>
          <w:trHeight w:val="420"/>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服务内容</w:t>
            </w:r>
            <w:r/>
          </w:p>
        </w:tc>
        <w:tc>
          <w:tcPr>
            <w:tcBorders>
              <w:top w:val="single" w:color="000000" w:sz="4" w:space="0"/>
              <w:left w:val="none" w:color="000000" w:sz="4" w:space="0"/>
              <w:bottom w:val="single" w:color="000000" w:sz="4" w:space="0"/>
              <w:right w:val="single" w:color="000000" w:sz="4" w:space="0"/>
            </w:tcBorders>
            <w:tcW w:w="657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说明</w:t>
            </w:r>
            <w:r/>
          </w:p>
        </w:tc>
      </w:tr>
      <w:tr>
        <w:trPr>
          <w:trHeight w:val="4880"/>
        </w:trPr>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系统故障处理</w:t>
            </w:r>
            <w:r/>
          </w:p>
        </w:tc>
        <w:tc>
          <w:tcPr>
            <w:tcBorders>
              <w:top w:val="single" w:color="000000" w:sz="4" w:space="0"/>
              <w:left w:val="none" w:color="000000" w:sz="4" w:space="0"/>
              <w:bottom w:val="single" w:color="000000" w:sz="4" w:space="0"/>
              <w:right w:val="single" w:color="000000" w:sz="4" w:space="0"/>
            </w:tcBorders>
            <w:tcW w:w="6572"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一般故障：</w:t>
              <w:br w:type="textWrapping" w:clear="all"/>
              <w:t xml:space="preserve">1.业务系统某个页面报错</w:t>
              <w:br w:type="textWrapping" w:clear="all"/>
              <w:t xml:space="preserve">2.非核心功能页面打开较慢（业务系统首页面属于核心功能）</w:t>
              <w:br w:type="textWrapping" w:clear="all"/>
              <w:t xml:space="preserve">3.音视频系统故障</w:t>
              <w:br w:type="textWrapping" w:clear="all"/>
              <w:t xml:space="preserve">4.数据备份出现异常</w:t>
              <w:br w:type="textWrapping" w:clear="all"/>
              <w:t xml:space="preserve">5.应用环境（操作系统、数据库等）的日志中抛出异常，暂时还没有直接影响系统</w:t>
              <w:br w:type="textWrapping" w:clear="all"/>
              <w:t xml:space="preserve">6.重复出现两次以上的非核心故障</w:t>
              <w:br w:type="textWrapping" w:clear="all"/>
              <w:t xml:space="preserve">紧急故障：</w:t>
              <w:br w:type="textWrapping" w:clear="all"/>
              <w:t xml:space="preserve">1.业务系统无法访问</w:t>
              <w:br w:type="textWrapping" w:clear="all"/>
              <w:t xml:space="preserve">2业务系统核心功能访问很慢（一般8s以上）</w:t>
              <w:br w:type="textWrapping" w:clear="all"/>
              <w:t xml:space="preserve">4.操作系统、硬件故障导致应用无法正常访问</w:t>
              <w:br w:type="textWrapping" w:clear="all"/>
              <w:t xml:space="preserve">重大故障：</w:t>
              <w:br w:type="textWrapping" w:clear="all"/>
              <w:t xml:space="preserve">1.系统被攻击导致的数据泄漏</w:t>
              <w:br w:type="textWrapping" w:clear="all"/>
              <w:t xml:space="preserve">2.系统数据丢失导致的业务瘫痪</w:t>
            </w:r>
            <w:r/>
          </w:p>
        </w:tc>
      </w:tr>
    </w:tbl>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3、指导和协助客户诊断软件各种故障，制定维护和故障处理方法，协调并解决软件系统日常运行管理过程中出现的各类问题；</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4、根据客户要求，提供对系统管理员的培训、使用人员的操作培训，包括日常使用咨询、手册编写、大课培训；</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5、及时提供业务系统软件的补丁升级，补丁升级包括对甲方已有的软件功能的提升、缺陷的修正；</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6、根据甲方的需要对软件进行个别的、小规模的修改，整体工作量不超过10个工作日；</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7、提供业务系统的移机、服务器的迁移、软件系统的灾难性恢复；</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8、指导客户做好相关数据的备份；</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9、上级部</w:t>
      </w:r>
      <w:r>
        <w:rPr>
          <w:rFonts w:hint="eastAsia" w:cs="宋体"/>
          <w:bCs/>
          <w:color w:val="000000"/>
          <w:sz w:val="21"/>
          <w:szCs w:val="21"/>
          <w:lang w:bidi="en-US"/>
        </w:rPr>
        <w:t xml:space="preserve">门下发的安全通报及其他问题处理；</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10、提供客户方会议、汇报等相关支撑：主要包含系统对接协调会，系统功能演示，升级、改造方案讨论，上级调研、视察保障等。</w:t>
      </w:r>
      <w:r/>
    </w:p>
    <w:p>
      <w:pPr>
        <w:pStyle w:val="928"/>
        <w:contextualSpacing/>
        <w:ind w:firstLine="422"/>
        <w:spacing w:line="360" w:lineRule="auto"/>
        <w:rPr>
          <w:rFonts w:hint="eastAsia" w:cs="宋体"/>
          <w:b/>
          <w:color w:val="000000"/>
          <w:sz w:val="21"/>
          <w:szCs w:val="21"/>
          <w:lang w:bidi="en-US"/>
        </w:rPr>
      </w:pPr>
      <w:r>
        <w:rPr>
          <w:rFonts w:hint="eastAsia" w:cs="宋体"/>
          <w:b/>
          <w:color w:val="000000"/>
          <w:sz w:val="21"/>
          <w:szCs w:val="21"/>
          <w:lang w:bidi="en-US"/>
        </w:rPr>
        <w:t xml:space="preserve">3.2硬件部分维护服务内容</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硬件设备维护服务，详细如下：</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3.2.1本项目硬件清单：</w:t>
      </w:r>
      <w:r/>
    </w:p>
    <w:tbl>
      <w:tblPr>
        <w:tblW w:w="9924"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2672"/>
        <w:gridCol w:w="2403"/>
        <w:gridCol w:w="1861"/>
        <w:gridCol w:w="992"/>
        <w:gridCol w:w="993"/>
      </w:tblGrid>
      <w:tr>
        <w:trPr>
          <w:trHeight w:val="651"/>
        </w:trPr>
        <w:tc>
          <w:tcPr>
            <w:tcW w:w="1003"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序号</w:t>
            </w:r>
            <w:r/>
          </w:p>
        </w:tc>
        <w:tc>
          <w:tcPr>
            <w:tcW w:w="2672"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设备名称</w:t>
            </w:r>
            <w:r/>
          </w:p>
        </w:tc>
        <w:tc>
          <w:tcPr>
            <w:tcW w:w="2403"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品牌、规格</w:t>
            </w:r>
            <w:r/>
          </w:p>
        </w:tc>
        <w:tc>
          <w:tcPr>
            <w:tcW w:w="1861"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生产厂家</w:t>
            </w:r>
            <w:r/>
          </w:p>
        </w:tc>
        <w:tc>
          <w:tcPr>
            <w:tcW w:w="992"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单位</w:t>
            </w:r>
            <w:r/>
          </w:p>
        </w:tc>
        <w:tc>
          <w:tcPr>
            <w:tcW w:w="993"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数量</w:t>
            </w:r>
            <w:r/>
          </w:p>
        </w:tc>
      </w:tr>
      <w:tr>
        <w:trPr>
          <w:trHeight w:val="495"/>
        </w:trPr>
        <w:tc>
          <w:tcPr>
            <w:gridSpan w:val="6"/>
            <w:tcW w:w="9924" w:type="dxa"/>
            <w:vAlign w:val="center"/>
            <w:textDirection w:val="lrTb"/>
            <w:noWrap w:val="false"/>
          </w:tcPr>
          <w:p>
            <w:pPr>
              <w:pStyle w:val="928"/>
              <w:jc w:val="center"/>
              <w:spacing w:line="400" w:lineRule="atLeast"/>
              <w:rPr>
                <w:rFonts w:hint="eastAsia"/>
                <w:color w:val="000000"/>
                <w:sz w:val="21"/>
                <w:szCs w:val="21"/>
              </w:rPr>
            </w:pPr>
            <w:r>
              <w:rPr>
                <w:rFonts w:hint="eastAsia"/>
                <w:b/>
                <w:bCs/>
                <w:color w:val="000000"/>
                <w:sz w:val="21"/>
                <w:szCs w:val="21"/>
              </w:rPr>
              <w:t xml:space="preserve">一、执法办案中心建设</w:t>
            </w:r>
            <w:r>
              <w:rPr>
                <w:rFonts w:hint="eastAsia"/>
                <w:color w:val="000000"/>
                <w:sz w:val="21"/>
                <w:szCs w:val="21"/>
              </w:rPr>
            </w:r>
            <w:r/>
          </w:p>
        </w:tc>
      </w:tr>
      <w:tr>
        <w:trPr>
          <w:trHeight w:val="133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高清网络半球摄像机(200万像素,变焦2.7-12mm)</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海康威视DS-2CD2726CSZ-IZS</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105</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高清拍照摄像机(200万像素,嵌入式球机)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海康威视DS-2DE4220YW-D</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1898"/>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高清网络特写半球摄像机(200万像素,支持485通讯,变焦2.8-12mm)</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海康威视DS-2CD5124YWD-IZS</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吸顶拾音器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快鱼C400NX+AMP211</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北京快鱼电子股份公司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28</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壁装拾音器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快鱼B400NX+AMP211</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北京快鱼电子股份公司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36</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桌面式身份证读卡器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精伦IDR210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精伦电子股份有限公司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电子签字屏</w:t>
            </w:r>
            <w:r>
              <w:rPr>
                <w:rFonts w:hint="eastAsia"/>
                <w:color w:val="000000"/>
                <w:sz w:val="21"/>
                <w:szCs w:val="21"/>
              </w:rPr>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优派PD1011</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优派科技(中国)有限公司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高拍仪</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EpointEP1000A3</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快速入区自助一体机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EpointAC3.0-F</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自助服务适配器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EpointS-AC3.0-F</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55寸液晶电视机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创维55E392G</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深圳创维-RGB电子有限公司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55寸电视机固定支架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创维定制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深圳创维-RGB电子有限公司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付</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多媒体高清播放盒</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EpointT</w:t>
            </w:r>
            <w:r>
              <w:rPr>
                <w:rFonts w:hint="eastAsia"/>
                <w:color w:val="000000"/>
                <w:sz w:val="21"/>
                <w:szCs w:val="21"/>
              </w:rPr>
              <w:t xml:space="preserve">M-HD-BOXPLUS</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18</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信息发布适配器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EpointS-TM-HD-BOXplus</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18</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虹膜采集仪</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万里红WLH-IRIS-JD6</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北京万里红科技股份有限公司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虹膜比对设备</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万里红WLH-IRIS-ZD8800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北京万里红科技股份有限公司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手机智能存放柜</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伤情拍照摄像机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罗技C525</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罗技(中国)科技有限公司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双面智能物品</w:t>
            </w:r>
            <w:r>
              <w:rPr>
                <w:rFonts w:hint="eastAsia"/>
                <w:color w:val="000000"/>
                <w:sz w:val="21"/>
                <w:szCs w:val="21"/>
              </w:rPr>
              <w:t xml:space="preserve">柜-主柜</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双面智能物品柜-副柜</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2542"/>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人员基础信息一体化采集设备</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海鑫RXC-H1-00001其中计算机型号：DellOptiPlex3060Tower233286；显示器型号：DellE2216H；激光打印机型号：兄弟HL-2260D</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北京海鑫科金高科技股份有限公司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手持式金属探测仪</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中安高科MD-3003B1</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深圳中安高科电子有限公司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金属安检门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中安高</w:t>
            </w:r>
            <w:r>
              <w:rPr>
                <w:rFonts w:hint="eastAsia"/>
                <w:color w:val="000000"/>
                <w:sz w:val="21"/>
                <w:szCs w:val="21"/>
              </w:rPr>
              <w:t xml:space="preserve">科ZA3000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深圳中安高科电子有限公司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摆动式速通门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铁军TJ-ST05</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深圳市铁军智能科技有限公司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1182"/>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嵌入式平板电话机(含通信控制主机，实现只能呼出不能呼入，自动录音)</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昆仑KNZD-15+德视伟业DS-S20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昆仑科技有限公司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22寸液晶智能播放终端</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EpointTM-HD-V22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信息发布适配器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EpointS-TM-HD-V22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智能播放终端固定支架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付</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1433"/>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智能控制箱</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TJSMCMO-LC04+MO-UFIR01</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南京泰杰赛智能科技有限公司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26</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被讯/询问人笔录显示屏</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联想S27i-10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联想集团</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16</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被讯/询问人权利告知语音播报系统</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捷通华声TTS</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北京捷通华声科技股份有限公司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语音播报有源音箱</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CDKCDK-516Y</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希迪可(广州)音响科技有限公司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16</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电子签名捺印终端</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捷宇星M30A-Epoint</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16</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时间/温湿度屏</w:t>
            </w:r>
            <w:r>
              <w:rPr>
                <w:rFonts w:hint="eastAsia"/>
                <w:color w:val="000000"/>
                <w:sz w:val="21"/>
                <w:szCs w:val="21"/>
              </w:rPr>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海康威视IS-TH100-A/K</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18</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门牌LED显示屏</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航天鼎彩</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中国航天南京鼎彩光电科技有限公司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16</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电源供电器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明纬LRS-150-12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明纬(广州)电子有限公司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16</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多通道混音回声抑制主机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快鱼AMP412NX</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北京快鱼电子股份公司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有源吸顶音箱</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CDKCDK-516Y</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希迪可(广州)音响科技有限公司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调音开关</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CDKCK-6</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希迪可(广州)音响科技有限公司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直接对讲设备(一对)</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昆仑KNZD-09*2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昆仑科技有限公司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授时服务器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EpointTS1.0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行为管理适配器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EpointS-TS1.0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执法办案管控平台应用服务器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DELLR740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戴尔(中国)有限公司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执法办案管控平台数据库服务器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DELLR740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戴尔(中国)有限公司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录像文件存储机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EpointFS1.0-85-GA</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8"/>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一体化存储适配器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w:t>
            </w:r>
            <w:r>
              <w:rPr>
                <w:rFonts w:hint="eastAsia"/>
                <w:color w:val="000000"/>
                <w:sz w:val="21"/>
                <w:szCs w:val="21"/>
              </w:rPr>
              <w:t xml:space="preserve">ointS-FS1.0-85-GA</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1433"/>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蓝光光盘打印刻录一体机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派美雅Bravo4202Blu</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厦门市美亚柏科信息股份有限公司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“一案一打包”审讯画面合成及刻录服务软件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审讯画面合成管理服务器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DELLR440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戴尔(中国)有限公司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GPU服务器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曙光W380-G30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曙光信息产业股份有限公司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监控综合管理服务器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DELLR440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戴尔(中国)有限公司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监控综合管理平台</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海康威视iVMS-8200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网络硬盘录像机NVR(16路16盘位)</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海康威视DS-8616N-I16</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NVR专用硬盘-4TB</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希捷ST8000VX001</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希捷国际科技(无锡)有限公司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120</w:t>
            </w:r>
            <w:r/>
          </w:p>
        </w:tc>
      </w:tr>
      <w:tr>
        <w:trPr>
          <w:trHeight w:val="1433"/>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智能控制箱总线主控器(含24V电源模块)</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TJSMCSMC-EC10+SMC-DC-24</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南京泰杰赛智能科技有限公司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服务器机柜</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图腾G28042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图腾电子设备(昆山)有限公司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液晶拼接屏</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洛菲特LFT460P-4</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南京洛菲特数码科技有限公司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大屏拼接框</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洛菲特定制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南京洛菲特数码科技有限公司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大屏拼接基座</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洛菲特定制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南京洛菲特数码科技有限公司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HDMI线，10米</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金佳极速10米</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深圳市金佳佰业科技有限公司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20</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编码输入板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海康威视DS-6408HFH-B20VD</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解码输出板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海康威视DS-6532HD-B20D</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w:t>
            </w:r>
            <w:r>
              <w:rPr>
                <w:rFonts w:hint="eastAsia"/>
                <w:color w:val="000000"/>
                <w:sz w:val="21"/>
                <w:szCs w:val="21"/>
              </w:rPr>
              <w:t xml:space="preserve">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视频综合平台机箱</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海康威视DS-B20-S03-A/RTH</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机柜</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图腾G26642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图腾电子设备(昆山)有限公司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视频综合平台</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海康威视DS-B21-04D-12HU</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心率监测防拆腕带定位标签(磁扣式)</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清研讯科Tb4000-b</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清研讯科(北京)科技有限公司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民警胸卡</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清研讯科Tb1000-g</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清研讯科(北京)科技有限公司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张</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50</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高精度定位基站</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清研讯科U3000-x</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清研讯科(北京)科技有限公司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45</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人员精确定位服务器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DELLR440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清研讯科(北京)科技有限公司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人员精确定位数据交换服务器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DELLR440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戴尔(中国)有限公司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1902"/>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嵌入式位置计算服务器软件(人员精确定位计算引擎软件)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清研讯科Localsense-GIS</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戴尔(中国)有限公司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核心交换机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DCNCS6200-28X-HI-24F</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武汉神州数码云科网络技术有限公司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48口接入交换机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DCNS480</w:t>
            </w:r>
            <w:r>
              <w:rPr>
                <w:rFonts w:hint="eastAsia"/>
                <w:color w:val="000000"/>
                <w:sz w:val="21"/>
                <w:szCs w:val="21"/>
              </w:rPr>
              <w:t xml:space="preserve">0-52P-SI</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武汉神州数码云科网络技术有限公司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光模块</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DCNSFP-LX-L</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武汉神州数码云科网络技术有限公司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30</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核心交换机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DCNS5750E-16F-SI-R</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武汉神州数码云科网络技术有限公司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24口接入交换机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DCNS4800-28P-SI</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武汉神州数码云科网络技术有限公司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24口POE交换机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DCNS4800-28P-P-SI</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武汉神州数码云科网络技术有限公司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防火墙</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DCNDCFW-1800E-N3002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武汉神州数码</w:t>
            </w:r>
            <w:r>
              <w:rPr>
                <w:rFonts w:hint="eastAsia"/>
                <w:color w:val="000000"/>
                <w:sz w:val="21"/>
                <w:szCs w:val="21"/>
              </w:rPr>
              <w:t xml:space="preserve">云科网络技术有限公司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红外报警探测器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豪恩LH-912E</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深圳市豪恩安全科技有限公司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报警按钮</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豪恩HO-01B+</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深圳市豪恩安全科技有限公司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25</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声光报警器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豪恩HC-103</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深圳市豪恩安全科技有限公司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r>
      <w:tr>
        <w:trPr>
          <w:trHeight w:val="1902"/>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报警控制主机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BOSCHDS7400xi+DS7436+DS7447V3+DS7432*2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博世(上海)安保系统有限公司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RFID智能案卷保管柜-主柜</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RFID智</w:t>
            </w:r>
            <w:r>
              <w:rPr>
                <w:rFonts w:hint="eastAsia"/>
                <w:color w:val="000000"/>
                <w:sz w:val="21"/>
                <w:szCs w:val="21"/>
              </w:rPr>
              <w:t xml:space="preserve">能案卷保管柜-副柜</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RFID感应通道</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万全VC-420T</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深圳市万全智能技术有限公司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RFID标签</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万全LA-86</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深圳市万全智能技术有限公司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10000</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涉案财物保管柜-主柜</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涉案财物保管柜-副柜</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Epoint定制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江苏国泰新点软件有限公司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桌面式RFID读写器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万全VD-67E</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深圳市万全智能技术有限公司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手持式RFID读写器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万全VH-82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深圳市万全智能技术有限公司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1898"/>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3D拍照摄像系统</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奥视景OTHKIN-A+T400-1+200CM</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苏州中科广视文化科技有限公司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数字会议系统主机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LAXCT-200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广州市锐丰音响科技股份有限公司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数字会议主席单元</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LAXCT-201C</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广州市锐丰音响科技股份有限公司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数字会议代表单元</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LAXCT-201D</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广州市锐丰音响科技股份有限公司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18</w:t>
            </w:r>
            <w:r/>
          </w:p>
        </w:tc>
      </w:tr>
      <w:tr>
        <w:trPr>
          <w:trHeight w:val="968"/>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数字会议系统延长器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LAX定制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广州市锐丰音响科技股份有限公司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1433"/>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无线手持话筒</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JTSRU-992/RU-850LTH*2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得琦电子股份有限公司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会议音箱</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LAXLS08</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广州市锐丰音响科技股份有限公司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功率放大器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LAXDT300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广州市锐丰音响科技股份有限公司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数字媒体矩阵</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RFDP0808AEC</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广州市锐丰智能科技有限公司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控制面板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RFP3</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广州市锐丰智能科技有限公司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电源时序器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LAXPSC801N</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广州市锐丰音响科技股份有限公司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HDMI单网线延长器(一对)</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迈拓维矩MT-ED06</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广州市迈拓维矩电子有限公司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5000流明投影机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SONYVPL-F530W</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索尼(中国)有限公司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投影机固定吊架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美欣定制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北京美欣科技有限公司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付</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电动幕布120寸</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红叶120英寸16：10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红叶视听器材有限公司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辅材</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金脑袋定制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苏州金脑袋智能系统工程有限公司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UPS主机(20KVA)</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艾特网能UR-0200DAL</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深圳市艾特网能技术有限公司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电池</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OTP6FM-100</w:t>
            </w:r>
            <w:r>
              <w:rPr>
                <w:rFonts w:hint="eastAsia"/>
                <w:color w:val="000000"/>
                <w:sz w:val="21"/>
                <w:szCs w:val="21"/>
              </w:rPr>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广州市欧托匹电池有限公司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节</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64</w:t>
            </w:r>
            <w:r/>
          </w:p>
        </w:tc>
      </w:tr>
      <w:tr>
        <w:trPr>
          <w:trHeight w:val="968"/>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电池柜(含电池连接线)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普菲克B16</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江苏普菲克电气科技有限公司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直流开关盒</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普菲克100A</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江苏普菲克电气科技有限公司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UPS总输入输出电缆</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华美RVV5*10mm²</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无锡市华美电缆有限公司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40</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机柜输入线缆</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华美ZR-YJV3*2.5mm²</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无锡市华美电缆有限公司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UPS并机维修旁路柜</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普菲克GBL100GU</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江苏普菲克电气科技有限公司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承重支架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普菲克定制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江苏普菲克电气科</w:t>
            </w:r>
            <w:r>
              <w:rPr>
                <w:rFonts w:hint="eastAsia"/>
                <w:color w:val="000000"/>
                <w:sz w:val="21"/>
                <w:szCs w:val="21"/>
              </w:rPr>
              <w:t xml:space="preserve">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安装辅材</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金脑袋定制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苏州金脑袋智能系统工程有限公司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单门双向门禁控制器(含机箱电源)</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披克PK-C388/DE+PK-H38X</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披克科技有限公司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24</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刷卡+密码读卡器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披克PK-R357/KW34</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披克科技有限公司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48</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双门磁力锁</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披克PKL320DLS-27</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披克科技有限公司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把</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单门磁力锁</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披克PKL320LS-27</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披克科技有限公司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把</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门禁管理软件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披克PK-ACV10.0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披克</w:t>
            </w:r>
            <w:r>
              <w:rPr>
                <w:rFonts w:hint="eastAsia"/>
                <w:color w:val="000000"/>
                <w:sz w:val="21"/>
                <w:szCs w:val="21"/>
              </w:rPr>
              <w:t xml:space="preserve">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门禁发卡器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披克PK-557XK/USB</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披克科技有限公司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492"/>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标准IC卡</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披克PK-M1</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披克科技有限公司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张</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100</w:t>
            </w:r>
            <w:r/>
          </w:p>
        </w:tc>
      </w:tr>
      <w:tr>
        <w:trPr>
          <w:trHeight w:val="968"/>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86型双孔面板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克维拉KV2011M2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134</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86型单孔面板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克维拉KV2011M1</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金属地插(铜，2口)</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克维拉KV2013M2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28</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多媒体地插</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六类非屏蔽信息模块</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克维拉KV1080I</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359</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六类非屏蔽双绞线缆</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克维拉KV1610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箱</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138</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六类非屏蔽24口模块式配线架(含24个模块)</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克维拉KV8080224</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25</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RJ45-RJ45六类非屏蔽跳线(2米)</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克维拉KA561002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462</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RJ45-110超五类非屏蔽跳线(1对，2米)</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克维拉KA581102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81</w:t>
            </w:r>
            <w:r/>
          </w:p>
        </w:tc>
      </w:tr>
      <w:tr>
        <w:trPr>
          <w:trHeight w:val="1898"/>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19”</w:t>
            </w:r>
            <w:r>
              <w:rPr>
                <w:rFonts w:hint="eastAsia"/>
                <w:color w:val="000000"/>
                <w:sz w:val="21"/>
                <w:szCs w:val="21"/>
              </w:rPr>
              <w:t xml:space="preserve">100对110配线架(含20个5对或25个4对连接块)</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克维拉KV9019100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19"1U理线器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克维拉KV900001</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LC-LC单模光纤跳纤(双芯，2米)</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克维拉KR619U2LL02</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克维拉(中国)有限公司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监听线RVVP3*0.5</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赛格RVVP3*0.5</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扬州赛格布线科技集团</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400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信号线RVV2*1.0</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赛格RVV2*1.0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扬州赛格布线科技集团</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5200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信号线R</w:t>
            </w:r>
            <w:r>
              <w:rPr>
                <w:rFonts w:hint="eastAsia"/>
                <w:color w:val="000000"/>
                <w:sz w:val="21"/>
                <w:szCs w:val="21"/>
              </w:rPr>
              <w:t xml:space="preserve">VV4*1.0</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赛格RVV4*1.0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扬州赛格布线科技集团</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150</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音箱线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赛格金银线(300支)</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扬州赛格布线科技集团</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400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信号线RVV4*0.75</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赛格RVV4*0.75</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扬州赛格布线科技集团</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1800</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信号线RVVP8*1.0</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赛格RVVP8*1.0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扬州赛格布线科技集团</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4300</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HDMI成品线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金佳极速15米</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深圳市金佳佰业科技有限公司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PVC20</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培达PVC20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江苏培达塑料有限公司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4000</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PVC</w:t>
            </w:r>
            <w:r>
              <w:rPr>
                <w:rFonts w:hint="eastAsia"/>
                <w:color w:val="000000"/>
                <w:sz w:val="21"/>
                <w:szCs w:val="21"/>
              </w:rPr>
              <w:t xml:space="preserve">25</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培达PVC25</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江苏培达塑料有限公司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800</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镀锌桥架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鸿瑞200*100*1.2，国标</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张家港市鸿瑞电缆桥架有限公司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50</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镀锌桥架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鸿瑞300*100*1.2，国标</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张家港市鸿瑞电缆桥架有限公司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150</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镀锌桥架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鸿瑞400*100*1.5，国标</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张家港市鸿瑞电缆桥架有限公司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15</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单路解码器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海康威视DS-6901UD</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968"/>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光纤链路</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金脑袋定制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苏州金脑袋智能系统工程有限公司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年</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149</w:t>
            </w:r>
            <w:r>
              <w:rPr>
                <w:rFonts w:hint="eastAsia"/>
                <w:color w:val="000000"/>
                <w:sz w:val="21"/>
                <w:szCs w:val="21"/>
              </w:rPr>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基础智能化</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金脑袋定制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苏州金脑袋智能系统工程有限公司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150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辅材</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金脑袋定制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苏州金脑袋智能系统工程有限公司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492"/>
        </w:trPr>
        <w:tc>
          <w:tcPr>
            <w:gridSpan w:val="6"/>
            <w:tcW w:w="9924" w:type="dxa"/>
            <w:vAlign w:val="center"/>
            <w:textDirection w:val="lrTb"/>
            <w:noWrap w:val="false"/>
          </w:tcPr>
          <w:p>
            <w:pPr>
              <w:pStyle w:val="928"/>
              <w:jc w:val="center"/>
              <w:spacing w:line="400" w:lineRule="atLeast"/>
              <w:rPr>
                <w:rFonts w:hint="eastAsia"/>
                <w:color w:val="000000"/>
                <w:sz w:val="21"/>
                <w:szCs w:val="21"/>
              </w:rPr>
            </w:pPr>
            <w:r>
              <w:rPr>
                <w:rFonts w:hint="eastAsia"/>
                <w:b/>
                <w:bCs/>
                <w:color w:val="000000"/>
                <w:sz w:val="21"/>
                <w:szCs w:val="21"/>
              </w:rPr>
              <w:t xml:space="preserve">二、事故中队信息化改造</w:t>
            </w:r>
            <w:r>
              <w:rPr>
                <w:rFonts w:hint="eastAsia"/>
                <w:color w:val="000000"/>
                <w:sz w:val="21"/>
                <w:szCs w:val="21"/>
              </w:rPr>
            </w:r>
            <w:r/>
          </w:p>
        </w:tc>
      </w:tr>
      <w:tr>
        <w:trPr>
          <w:trHeight w:val="495"/>
        </w:trPr>
        <w:tc>
          <w:tcPr>
            <w:gridSpan w:val="6"/>
            <w:tcW w:w="9924" w:type="dxa"/>
            <w:vAlign w:val="center"/>
            <w:textDirection w:val="lrTb"/>
            <w:noWrap w:val="false"/>
          </w:tcPr>
          <w:p>
            <w:pPr>
              <w:pStyle w:val="928"/>
              <w:jc w:val="center"/>
              <w:spacing w:line="400" w:lineRule="atLeast"/>
              <w:rPr>
                <w:rFonts w:hint="eastAsia"/>
                <w:color w:val="000000"/>
                <w:sz w:val="21"/>
                <w:szCs w:val="21"/>
              </w:rPr>
            </w:pPr>
            <w:r>
              <w:rPr>
                <w:rFonts w:hint="eastAsia"/>
                <w:b/>
                <w:bCs/>
                <w:color w:val="000000"/>
                <w:sz w:val="21"/>
                <w:szCs w:val="21"/>
              </w:rPr>
              <w:t xml:space="preserve">门禁系统</w:t>
            </w:r>
            <w:r>
              <w:rPr>
                <w:rFonts w:hint="eastAsia"/>
                <w:color w:val="000000"/>
                <w:sz w:val="21"/>
                <w:szCs w:val="21"/>
              </w:rPr>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四门门禁控制器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KEYKINGDPU3004/S</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深圳市金凯科技有限公司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铁箱电源</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KEYKINGSMPS1260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深圳市金凯科技有限公司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双门门禁锁</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埃思尔128DS</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苏州埃思尔智能设备公司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15</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单门磁力锁</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埃思尔128DS</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苏州埃思尔智能设备公司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电插锁</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埃思尔大厅玻璃门电插锁</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苏州埃思尔智能设备公司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电动门专用锁</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埃思尔配套专用</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苏州埃思尔智能设备公司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读卡器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KEYKING6609M</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深圳市金凯科技有限公司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28</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出门按钮</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埃思尔配套专用</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苏州埃思尔智能设备公司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28</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自动门门套</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原有门套改造</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苏州金脑袋智能系统工程有限公司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r>
      <w:tr>
        <w:trPr>
          <w:trHeight w:val="1902"/>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成品平开型材门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门扇采用合金型材(颜色为亮银色，接近不锈钢颜色)圆柱成品门</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苏州金脑袋智能系统工程有限公司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樘</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开门电机设备</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海德博格PD-220D</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沈阳海德博格自动化装备有限</w:t>
            </w:r>
            <w:r>
              <w:rPr>
                <w:rFonts w:hint="eastAsia"/>
                <w:color w:val="000000"/>
                <w:sz w:val="21"/>
                <w:szCs w:val="21"/>
              </w:rPr>
              <w:t xml:space="preserve">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电源线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扬州金诚RVV2*1.0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扬州金诚线缆有限公司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400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网线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康宁贝尔超五类</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箱</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施工辅材</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公园管材</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永高股份有限公司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492"/>
        </w:trPr>
        <w:tc>
          <w:tcPr>
            <w:gridSpan w:val="6"/>
            <w:tcW w:w="9924" w:type="dxa"/>
            <w:vAlign w:val="center"/>
            <w:textDirection w:val="lrTb"/>
            <w:noWrap w:val="false"/>
          </w:tcPr>
          <w:p>
            <w:pPr>
              <w:pStyle w:val="928"/>
              <w:jc w:val="center"/>
              <w:spacing w:line="400" w:lineRule="atLeast"/>
              <w:rPr>
                <w:rFonts w:hint="eastAsia"/>
                <w:color w:val="000000"/>
                <w:sz w:val="21"/>
                <w:szCs w:val="21"/>
              </w:rPr>
            </w:pPr>
            <w:r>
              <w:rPr>
                <w:rFonts w:hint="eastAsia"/>
                <w:b/>
                <w:bCs/>
                <w:color w:val="000000"/>
                <w:sz w:val="21"/>
                <w:szCs w:val="21"/>
              </w:rPr>
              <w:t xml:space="preserve">监控系统</w:t>
            </w:r>
            <w:r>
              <w:rPr>
                <w:rFonts w:hint="eastAsia"/>
                <w:color w:val="000000"/>
                <w:sz w:val="21"/>
                <w:szCs w:val="21"/>
              </w:rPr>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网络半球摄像机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海康威视DS-2CD2120F-IS</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拾音器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海康威视IS-SYQ100-B</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网络硬盘录像机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海康威视DS-8616N-I8</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杭州海康威视数字技术股份有限公司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监控硬盘</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西部数据4T</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西部数据(上海)有限公司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块</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网络交换机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H3CLS-S5110V2-28P-SI</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新华三技术有限公司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摄像机电源</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12V-10A</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小耳朵(广东)电子科技股份有限公司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968"/>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电源线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金诚RVV2*1.0</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扬州金诚线缆有限公司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300</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网线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康宁贝尔超五类</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箱</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拾音器信号线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金诚RVV4*0.5</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扬州金诚线缆有限公司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100</w:t>
            </w:r>
            <w:r/>
          </w:p>
        </w:tc>
      </w:tr>
      <w:tr>
        <w:trPr>
          <w:trHeight w:val="492"/>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施工辅材</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公园管材</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永高股份有限公司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495"/>
        </w:trPr>
        <w:tc>
          <w:tcPr>
            <w:gridSpan w:val="6"/>
            <w:tcW w:w="9924" w:type="dxa"/>
            <w:vAlign w:val="center"/>
            <w:textDirection w:val="lrTb"/>
            <w:noWrap w:val="false"/>
          </w:tcPr>
          <w:p>
            <w:pPr>
              <w:pStyle w:val="928"/>
              <w:jc w:val="center"/>
              <w:spacing w:line="400" w:lineRule="atLeast"/>
              <w:rPr>
                <w:rFonts w:hint="eastAsia"/>
                <w:color w:val="000000"/>
                <w:sz w:val="21"/>
                <w:szCs w:val="21"/>
              </w:rPr>
            </w:pPr>
            <w:r>
              <w:rPr>
                <w:rFonts w:hint="eastAsia"/>
                <w:b/>
                <w:bCs/>
                <w:color w:val="000000"/>
                <w:sz w:val="21"/>
                <w:szCs w:val="21"/>
              </w:rPr>
              <w:t xml:space="preserve">综合布线</w:t>
            </w:r>
            <w:r>
              <w:rPr>
                <w:rFonts w:hint="eastAsia"/>
                <w:color w:val="000000"/>
                <w:sz w:val="21"/>
                <w:szCs w:val="21"/>
              </w:rPr>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rPr>
                <w:rFonts w:hint="eastAsia"/>
                <w:color w:val="000000"/>
                <w:sz w:val="21"/>
                <w:szCs w:val="21"/>
              </w:rPr>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有线电视面板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康宁贝尔含模块</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单口网络面板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康宁贝尔单口</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双口网络面板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康宁贝尔双口</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电话模块</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康宁贝尔电话模块</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六类网络模块</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康宁贝尔六类网络模块</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24</w:t>
            </w:r>
            <w:r/>
          </w:p>
        </w:tc>
      </w:tr>
      <w:tr>
        <w:trPr>
          <w:trHeight w:val="1429"/>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六类网络配线架</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康宁贝尔24口网络配线架</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条</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1433"/>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网络交换机</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H3CLS-S5110V2-28P-S</w:t>
            </w:r>
            <w:r>
              <w:rPr>
                <w:rFonts w:hint="eastAsia"/>
                <w:color w:val="000000"/>
                <w:sz w:val="21"/>
                <w:szCs w:val="21"/>
              </w:rPr>
              <w:t xml:space="preserve">I</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新华三技术有限公司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有线电视分配器</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视贝一进8出</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厦门视贝科技有限公司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0"/>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六类网线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康宁贝尔六类</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箱</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r>
      <w:tr>
        <w:trPr>
          <w:trHeight w:val="968"/>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电话线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康宁贝尔4芯电话线</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箱</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64"/>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有线电视线</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康宁贝尔SYWV75-5</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苏州康宁贝尔电子科技有限公司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300</w:t>
            </w:r>
            <w:r/>
          </w:p>
        </w:tc>
      </w:tr>
      <w:tr>
        <w:trPr>
          <w:trHeight w:val="495"/>
        </w:trPr>
        <w:tc>
          <w:tcPr>
            <w:tcW w:w="100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w:t>
            </w:r>
            <w:r/>
          </w:p>
        </w:tc>
        <w:tc>
          <w:tcPr>
            <w:tcW w:w="267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施工辅材</w:t>
            </w:r>
            <w:r/>
          </w:p>
        </w:tc>
        <w:tc>
          <w:tcPr>
            <w:tcW w:w="2403"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公园线管</w:t>
            </w:r>
            <w:r/>
          </w:p>
        </w:tc>
        <w:tc>
          <w:tcPr>
            <w:tcW w:w="186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永高股份有限公司</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9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bl>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3.2.2针对上述硬件设备故障，投标单位第一时间到现场进行维护处理，主要内容如下：</w:t>
      </w:r>
      <w:r/>
    </w:p>
    <w:tbl>
      <w:tblPr>
        <w:tblW w:w="960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756"/>
        <w:gridCol w:w="7848"/>
      </w:tblGrid>
      <w:tr>
        <w:trPr>
          <w:trHeight w:val="420"/>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服务内容</w:t>
            </w:r>
            <w:r/>
          </w:p>
        </w:tc>
        <w:tc>
          <w:tcPr>
            <w:tcBorders>
              <w:top w:val="single" w:color="000000" w:sz="4" w:space="0"/>
              <w:left w:val="none" w:color="000000" w:sz="4" w:space="0"/>
              <w:bottom w:val="single" w:color="000000" w:sz="4" w:space="0"/>
              <w:right w:val="single" w:color="000000" w:sz="4" w:space="0"/>
            </w:tcBorders>
            <w:tcW w:w="784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说明</w:t>
            </w:r>
            <w:r/>
          </w:p>
        </w:tc>
      </w:tr>
      <w:tr>
        <w:trPr>
          <w:trHeight w:val="2325"/>
        </w:trPr>
        <w:tc>
          <w:tcPr>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设备故障处理</w:t>
            </w:r>
            <w:r/>
          </w:p>
        </w:tc>
        <w:tc>
          <w:tcPr>
            <w:tcBorders>
              <w:top w:val="single" w:color="000000" w:sz="4" w:space="0"/>
              <w:left w:val="none" w:color="000000" w:sz="4" w:space="0"/>
              <w:bottom w:val="single" w:color="000000" w:sz="4" w:space="0"/>
              <w:right w:val="single" w:color="000000" w:sz="4" w:space="0"/>
            </w:tcBorders>
            <w:tcW w:w="7848"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一般包括：</w:t>
            </w:r>
            <w:r/>
          </w:p>
          <w:p>
            <w:pPr>
              <w:pStyle w:val="928"/>
              <w:spacing w:line="400" w:lineRule="atLeast"/>
              <w:rPr>
                <w:rFonts w:hint="eastAsia"/>
                <w:color w:val="000000"/>
                <w:sz w:val="21"/>
                <w:szCs w:val="21"/>
              </w:rPr>
            </w:pPr>
            <w:r>
              <w:rPr>
                <w:rFonts w:hint="eastAsia"/>
                <w:color w:val="000000"/>
                <w:sz w:val="21"/>
                <w:szCs w:val="21"/>
              </w:rPr>
              <w:t xml:space="preserve">1.刻录机故障：包括卡盘、刻录失败等</w:t>
            </w:r>
            <w:r/>
          </w:p>
          <w:p>
            <w:pPr>
              <w:pStyle w:val="928"/>
              <w:spacing w:line="400" w:lineRule="atLeast"/>
              <w:rPr>
                <w:rFonts w:hint="eastAsia"/>
                <w:color w:val="000000"/>
                <w:sz w:val="21"/>
                <w:szCs w:val="21"/>
              </w:rPr>
            </w:pPr>
            <w:r>
              <w:rPr>
                <w:rFonts w:hint="eastAsia"/>
                <w:color w:val="000000"/>
                <w:sz w:val="21"/>
                <w:szCs w:val="21"/>
              </w:rPr>
              <w:t xml:space="preserve">2.候问室显示大屏故障：包括黑屏、显示错误、现实异常等</w:t>
            </w:r>
            <w:r/>
          </w:p>
          <w:p>
            <w:pPr>
              <w:pStyle w:val="928"/>
              <w:spacing w:line="400" w:lineRule="atLeast"/>
              <w:rPr>
                <w:rFonts w:hint="eastAsia"/>
                <w:color w:val="000000"/>
                <w:sz w:val="21"/>
                <w:szCs w:val="21"/>
              </w:rPr>
            </w:pPr>
            <w:r>
              <w:rPr>
                <w:rFonts w:hint="eastAsia"/>
                <w:color w:val="000000"/>
                <w:sz w:val="21"/>
                <w:szCs w:val="21"/>
              </w:rPr>
              <w:t xml:space="preserve">3.磁盘阵列故障：包括音视频文件无法下载、音视频系统下载任务执行失败等</w:t>
            </w:r>
            <w:r/>
          </w:p>
          <w:p>
            <w:pPr>
              <w:pStyle w:val="928"/>
              <w:spacing w:line="400" w:lineRule="atLeast"/>
              <w:rPr>
                <w:rFonts w:hint="eastAsia"/>
                <w:color w:val="000000"/>
                <w:sz w:val="21"/>
                <w:szCs w:val="21"/>
              </w:rPr>
            </w:pPr>
            <w:r>
              <w:rPr>
                <w:rFonts w:hint="eastAsia"/>
                <w:color w:val="000000"/>
                <w:sz w:val="21"/>
                <w:szCs w:val="21"/>
              </w:rPr>
              <w:t xml:space="preserve">4.读卡器故障：包括身份证读取异常、手环读取异常、民警卡读取异常等</w:t>
            </w:r>
            <w:r/>
          </w:p>
          <w:p>
            <w:pPr>
              <w:pStyle w:val="928"/>
              <w:spacing w:line="400" w:lineRule="atLeast"/>
              <w:rPr>
                <w:rFonts w:hint="eastAsia"/>
                <w:color w:val="000000"/>
                <w:sz w:val="21"/>
                <w:szCs w:val="21"/>
              </w:rPr>
            </w:pPr>
            <w:r>
              <w:rPr>
                <w:rFonts w:hint="eastAsia"/>
                <w:color w:val="000000"/>
                <w:sz w:val="21"/>
                <w:szCs w:val="21"/>
              </w:rPr>
              <w:t xml:space="preserve">5.签字板故障：包括签字板黑屏、无法签字、签字无法保存等</w:t>
            </w:r>
            <w:r/>
          </w:p>
          <w:p>
            <w:pPr>
              <w:pStyle w:val="928"/>
              <w:spacing w:line="400" w:lineRule="atLeast"/>
              <w:rPr>
                <w:rFonts w:hint="eastAsia"/>
                <w:color w:val="000000"/>
                <w:sz w:val="21"/>
                <w:szCs w:val="21"/>
              </w:rPr>
            </w:pPr>
            <w:r>
              <w:rPr>
                <w:rFonts w:hint="eastAsia"/>
                <w:color w:val="000000"/>
                <w:sz w:val="21"/>
                <w:szCs w:val="21"/>
              </w:rPr>
              <w:t xml:space="preserve">6.定位故障：包括无实时定位、定位轨迹异常等</w:t>
            </w:r>
            <w:r/>
          </w:p>
          <w:p>
            <w:pPr>
              <w:pStyle w:val="928"/>
              <w:spacing w:line="400" w:lineRule="atLeast"/>
              <w:rPr>
                <w:rFonts w:hint="eastAsia"/>
                <w:color w:val="000000"/>
                <w:sz w:val="21"/>
                <w:szCs w:val="21"/>
              </w:rPr>
            </w:pPr>
            <w:r>
              <w:rPr>
                <w:rFonts w:hint="eastAsia"/>
                <w:color w:val="000000"/>
                <w:sz w:val="21"/>
                <w:szCs w:val="21"/>
              </w:rPr>
              <w:t xml:space="preserve">7、智能设备故障：包括快速入区一体机、随身物品柜、案卷柜、涉案财物柜等设备无法使用</w:t>
            </w:r>
            <w:r/>
          </w:p>
        </w:tc>
      </w:tr>
    </w:tbl>
    <w:p>
      <w:pPr>
        <w:pStyle w:val="928"/>
        <w:contextualSpacing/>
        <w:ind w:firstLine="422"/>
        <w:spacing w:line="360" w:lineRule="auto"/>
        <w:rPr>
          <w:rFonts w:hint="eastAsia" w:cs="宋体"/>
          <w:b/>
          <w:color w:val="000000"/>
          <w:sz w:val="21"/>
          <w:szCs w:val="21"/>
          <w:lang w:bidi="en-US"/>
        </w:rPr>
      </w:pPr>
      <w:r>
        <w:rPr>
          <w:rFonts w:hint="eastAsia" w:cs="宋体"/>
          <w:b/>
          <w:color w:val="000000"/>
          <w:sz w:val="21"/>
          <w:szCs w:val="21"/>
          <w:lang w:bidi="en-US"/>
        </w:rPr>
        <w:t xml:space="preserve">4、考核指标</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根据要求每三个月对维护人员进行考核定级，检查维护人员对用户的各种维护制度的</w:t>
      </w:r>
      <w:r>
        <w:rPr>
          <w:rFonts w:hint="eastAsia" w:cs="宋体"/>
          <w:bCs/>
          <w:color w:val="000000"/>
          <w:sz w:val="21"/>
          <w:szCs w:val="21"/>
          <w:lang w:bidi="en-US"/>
        </w:rPr>
        <w:t xml:space="preserve">掌握情况，对机房各种设备的认识和实际操作情况，对模拟故障的分析处理情况，对突发事件的应变情况，对维护过程中各种问题出现后的流程情况，从而提高维护人员的工作能力，保证维护的工作质量。</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（1）不定期的故障模拟抢修</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由项目组安排，不定期对运维队伍进行故障模拟抢修考核，检验运维队伍的反应时效和到达故障现场的时限是否符合要求，保证故障抢修的及时性。</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（2）培训管理</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对运维队伍的技术培训工作是维护质量保证的重要方法，制定以下3点措施：</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1）内部培训：乙方每三个月对运维队伍分批进行一次内部培训，培训内容主要是针对现系统基本原理、日常维护所要注意的事项和一些日常出现的故障的处理办法。</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2）外派培训：乙方每年从运维队伍中考核选拔出一部分人，参加厂家举行的培训，或到有关培训机构参加培训。</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3）技术交流：定期组织内部的维护人员和用户举行技术交流会，拿出近期出现的典型的故障案例进行探讨和分析，业务的发展趋势，以及应该注意的事项。</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（3）系统安全运行保障</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建立健全的安全保障制度、安全保密制度、用户信息安全管理制度；建立健全的负责人、直接负责人、维护人员三级信息安全责任制和信息发布的审批制度；</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信息管理系统建立双机热备份机制，一旦主系统</w:t>
      </w:r>
      <w:r>
        <w:rPr>
          <w:rFonts w:hint="eastAsia" w:cs="宋体"/>
          <w:bCs/>
          <w:color w:val="000000"/>
          <w:sz w:val="21"/>
          <w:szCs w:val="21"/>
          <w:lang w:bidi="en-US"/>
        </w:rPr>
        <w:t xml:space="preserve">遇到故障或受到攻击导致不能正常运行，保证备用系统能及时替换主系统提供服务；</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关闭操作系统中暂不使用的服务功能，及相关端口，并及时用补丁修复系统漏洞，定期查杀病毒；</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网络提供集中式权限管理，针对不同的应用系统、终端、操作人员，由系统管理员设置共享数据库信息的访问权限，并设置相应的密码及口令。不同的操作人员设定不同的用户名，且定期更换，严禁操作人员泄漏自己的口令。对操作人员的权限严格按照岗位职责设定，并由系统管理员定期检查操作人员权限；</w:t>
      </w:r>
      <w:r/>
    </w:p>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用户信息由工作人员专人负责管理，并执行严格保密制度，未经允许不得向他人泄露。</w:t>
      </w:r>
      <w:r/>
    </w:p>
    <w:p>
      <w:pPr>
        <w:pStyle w:val="930"/>
        <w:numPr>
          <w:ilvl w:val="1"/>
          <w:numId w:val="45"/>
        </w:numPr>
        <w:spacing w:before="0" w:after="0" w:line="360" w:lineRule="auto"/>
        <w:tabs>
          <w:tab w:val="left" w:pos="567" w:leader="none"/>
          <w:tab w:val="left" w:pos="576" w:leader="none"/>
        </w:tabs>
        <w:rPr>
          <w:rFonts w:hint="eastAsia" w:ascii="宋体" w:hAnsi="宋体" w:eastAsia="宋体"/>
          <w:color w:val="000000"/>
          <w:sz w:val="21"/>
          <w:szCs w:val="21"/>
        </w:rPr>
      </w:pPr>
      <w:r>
        <w:rPr>
          <w:rFonts w:hint="eastAsia" w:ascii="宋体" w:hAnsi="宋体" w:eastAsia="宋体"/>
          <w:color w:val="000000"/>
          <w:sz w:val="21"/>
          <w:szCs w:val="21"/>
        </w:rPr>
        <w:t xml:space="preserve">智慧危险品监管平台维护</w:t>
      </w:r>
      <w:r/>
    </w:p>
    <w:p>
      <w:pPr>
        <w:pStyle w:val="928"/>
        <w:ind w:firstLine="480"/>
        <w:spacing w:line="400" w:lineRule="atLeast"/>
        <w:rPr>
          <w:rFonts w:hint="eastAsia"/>
          <w:color w:val="000000"/>
          <w:sz w:val="21"/>
          <w:szCs w:val="21"/>
        </w:rPr>
      </w:pPr>
      <w:r>
        <w:rPr>
          <w:rFonts w:hint="eastAsia"/>
          <w:color w:val="000000"/>
          <w:sz w:val="21"/>
          <w:szCs w:val="21"/>
        </w:rPr>
        <w:t xml:space="preserve">智慧危险品监管平台项目于2021年8月招标，2021年12月项目竣工且验收合格。为保证平台正常运行，需对平台及前端设备进行日常维护。</w:t>
      </w:r>
      <w:r/>
    </w:p>
    <w:p>
      <w:pPr>
        <w:pStyle w:val="928"/>
        <w:ind w:firstLine="482"/>
        <w:spacing w:line="400" w:lineRule="atLeast"/>
        <w:rPr>
          <w:rFonts w:hint="eastAsia"/>
          <w:b/>
          <w:bCs/>
          <w:color w:val="000000"/>
          <w:sz w:val="21"/>
          <w:szCs w:val="21"/>
        </w:rPr>
      </w:pPr>
      <w:r>
        <w:rPr>
          <w:rFonts w:hint="eastAsia"/>
          <w:b/>
          <w:bCs/>
          <w:color w:val="000000"/>
          <w:sz w:val="21"/>
          <w:szCs w:val="21"/>
        </w:rPr>
        <w:t xml:space="preserve">维护设备清单：</w:t>
      </w:r>
      <w:r/>
    </w:p>
    <w:tbl>
      <w:tblPr>
        <w:tblW w:w="99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1519"/>
        <w:gridCol w:w="3964"/>
        <w:gridCol w:w="1008"/>
        <w:gridCol w:w="944"/>
        <w:gridCol w:w="1497"/>
      </w:tblGrid>
      <w:tr>
        <w:trPr>
          <w:trHeight w:val="570"/>
        </w:trPr>
        <w:tc>
          <w:tcPr>
            <w:tcW w:w="1009"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序号</w:t>
            </w:r>
            <w:r/>
          </w:p>
        </w:tc>
        <w:tc>
          <w:tcPr>
            <w:tcW w:w="1519"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产品名称</w:t>
            </w:r>
            <w:r/>
          </w:p>
        </w:tc>
        <w:tc>
          <w:tcPr>
            <w:tcW w:w="3964"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参数和配置</w:t>
            </w:r>
            <w:r/>
          </w:p>
        </w:tc>
        <w:tc>
          <w:tcPr>
            <w:tcW w:w="1008"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单位</w:t>
            </w:r>
            <w:r/>
          </w:p>
        </w:tc>
        <w:tc>
          <w:tcPr>
            <w:tcW w:w="944"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数量</w:t>
            </w:r>
            <w:r/>
          </w:p>
        </w:tc>
        <w:tc>
          <w:tcPr>
            <w:tcW w:w="1497"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备注</w:t>
            </w:r>
            <w:r/>
          </w:p>
        </w:tc>
      </w:tr>
      <w:tr>
        <w:trPr>
          <w:trHeight w:val="480"/>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人脸门禁设备</w:t>
            </w:r>
            <w:r/>
          </w:p>
        </w:tc>
        <w:tc>
          <w:tcPr>
            <w:tcW w:w="3964" w:type="dxa"/>
            <w:vAlign w:val="center"/>
            <w:textDirection w:val="lrTb"/>
            <w:noWrap w:val="false"/>
          </w:tcPr>
          <w:p>
            <w:pPr>
              <w:pStyle w:val="928"/>
              <w:jc w:val="left"/>
              <w:spacing w:line="400" w:lineRule="atLeast"/>
              <w:rPr>
                <w:rFonts w:hint="eastAsia"/>
                <w:color w:val="000000"/>
                <w:sz w:val="21"/>
                <w:szCs w:val="21"/>
              </w:rPr>
            </w:pPr>
            <w:r>
              <w:rPr>
                <w:rFonts w:hint="eastAsia" w:cs="Calibri"/>
                <w:color w:val="000000"/>
                <w:sz w:val="21"/>
                <w:szCs w:val="21"/>
              </w:rPr>
              <w:t xml:space="preserve">详见原招标参数4.1</w:t>
            </w:r>
            <w:r>
              <w:rPr>
                <w:rFonts w:hint="eastAsia"/>
                <w:color w:val="000000"/>
                <w:sz w:val="21"/>
                <w:szCs w:val="21"/>
              </w:rPr>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22</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剧毒品单位，其中5个未安装</w:t>
            </w:r>
            <w:r/>
          </w:p>
        </w:tc>
      </w:tr>
      <w:tr>
        <w:trPr>
          <w:trHeight w:val="285"/>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磁力锁</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拉力：600kg直线拉力</w:t>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22</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剧毒品单位</w:t>
            </w:r>
            <w:r/>
          </w:p>
        </w:tc>
      </w:tr>
      <w:tr>
        <w:trPr>
          <w:trHeight w:val="285"/>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磁力锁支架</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配套</w:t>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22</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剧毒品单位</w:t>
            </w:r>
            <w:r/>
          </w:p>
        </w:tc>
      </w:tr>
      <w:tr>
        <w:trPr>
          <w:trHeight w:val="285"/>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出门按钮</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86型</w:t>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22</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剧毒品单位</w:t>
            </w:r>
            <w:r/>
          </w:p>
        </w:tc>
      </w:tr>
      <w:tr>
        <w:trPr>
          <w:trHeight w:val="285"/>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磁力锁电源</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含12V，4.2A开关电源1个，空开</w:t>
            </w:r>
            <w:r>
              <w:rPr>
                <w:rFonts w:hint="eastAsia"/>
                <w:color w:val="000000"/>
                <w:sz w:val="21"/>
                <w:szCs w:val="21"/>
              </w:rPr>
              <w:t xml:space="preserve">1个。</w:t>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83</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r>
            <w:r/>
          </w:p>
        </w:tc>
      </w:tr>
      <w:tr>
        <w:trPr>
          <w:trHeight w:val="480"/>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摄像机</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s="Calibri"/>
                <w:color w:val="000000"/>
                <w:sz w:val="21"/>
                <w:szCs w:val="21"/>
              </w:rPr>
              <w:t xml:space="preserve">详见原招标参数4.2</w:t>
            </w:r>
            <w:r>
              <w:rPr>
                <w:rFonts w:hint="eastAsia"/>
                <w:color w:val="000000"/>
                <w:sz w:val="21"/>
                <w:szCs w:val="21"/>
              </w:rPr>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83</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r>
            <w:r/>
          </w:p>
        </w:tc>
      </w:tr>
      <w:tr>
        <w:trPr>
          <w:trHeight w:val="480"/>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半球摄像机</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s="Calibri"/>
                <w:color w:val="000000"/>
                <w:sz w:val="21"/>
                <w:szCs w:val="21"/>
              </w:rPr>
              <w:t xml:space="preserve">详见原招标参数4.3</w:t>
            </w:r>
            <w:r>
              <w:rPr>
                <w:rFonts w:hint="eastAsia"/>
                <w:color w:val="000000"/>
                <w:sz w:val="21"/>
                <w:szCs w:val="21"/>
              </w:rPr>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83</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r>
            <w:r/>
          </w:p>
        </w:tc>
      </w:tr>
      <w:tr>
        <w:trPr>
          <w:trHeight w:val="480"/>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硬盘录像机</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嵌入式处理器，4路H.265、H.264混合接入，40M接入，40M存储，80M转发，1U，1盘位，1个HDMI、1个VGA，同源输出，HDMI支持4K，VGA支持2K显示，4路1080P解码，4路1080P H.265、H.264混合解码</w:t>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83</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r>
            <w:r/>
          </w:p>
        </w:tc>
      </w:tr>
      <w:tr>
        <w:trPr>
          <w:trHeight w:val="285"/>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硬盘</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3TB</w:t>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块</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83</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r>
            <w:r/>
          </w:p>
        </w:tc>
      </w:tr>
      <w:tr>
        <w:trPr>
          <w:trHeight w:val="285"/>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交换机</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8个电口</w:t>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83</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r>
            <w:r/>
          </w:p>
        </w:tc>
      </w:tr>
      <w:tr>
        <w:trPr>
          <w:trHeight w:val="285"/>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机柜</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6U</w:t>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83</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r>
            <w:r/>
          </w:p>
        </w:tc>
      </w:tr>
      <w:tr>
        <w:trPr>
          <w:trHeight w:val="285"/>
        </w:trPr>
        <w:tc>
          <w:tcPr>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w:t>
            </w:r>
            <w:r/>
          </w:p>
        </w:tc>
        <w:tc>
          <w:tcPr>
            <w:tcW w:w="151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接入平台</w:t>
            </w:r>
            <w:r/>
          </w:p>
        </w:tc>
        <w:tc>
          <w:tcPr>
            <w:tcW w:w="3964"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苏州总平台接入服务费用</w:t>
            </w:r>
            <w:r/>
          </w:p>
        </w:tc>
        <w:tc>
          <w:tcPr>
            <w:tcW w:w="1008"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c>
          <w:tcPr>
            <w:tcW w:w="149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r>
            <w:r/>
          </w:p>
        </w:tc>
      </w:tr>
    </w:tbl>
    <w:p>
      <w:pPr>
        <w:pStyle w:val="928"/>
        <w:ind w:firstLine="482"/>
        <w:spacing w:line="400" w:lineRule="atLeast"/>
        <w:rPr>
          <w:rFonts w:hint="eastAsia" w:cs="黑体"/>
          <w:b/>
          <w:bCs/>
          <w:color w:val="000000"/>
          <w:sz w:val="21"/>
          <w:szCs w:val="21"/>
        </w:rPr>
      </w:pPr>
      <w:r>
        <w:rPr>
          <w:rFonts w:hint="eastAsia"/>
          <w:b/>
          <w:bCs/>
          <w:color w:val="000000"/>
          <w:sz w:val="21"/>
          <w:szCs w:val="21"/>
        </w:rPr>
        <w:t xml:space="preserve">设备安装位置说明：</w:t>
      </w:r>
      <w:r>
        <w:rPr>
          <w:rFonts w:hint="eastAsia" w:cs="黑体"/>
          <w:b/>
          <w:bCs/>
          <w:color w:val="000000"/>
          <w:sz w:val="21"/>
          <w:szCs w:val="21"/>
        </w:rPr>
      </w:r>
      <w:r/>
    </w:p>
    <w:tbl>
      <w:tblPr>
        <w:tblW w:w="109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8"/>
        <w:gridCol w:w="3725"/>
        <w:gridCol w:w="992"/>
        <w:gridCol w:w="1276"/>
        <w:gridCol w:w="850"/>
        <w:gridCol w:w="709"/>
        <w:gridCol w:w="709"/>
        <w:gridCol w:w="850"/>
        <w:gridCol w:w="660"/>
        <w:gridCol w:w="616"/>
      </w:tblGrid>
      <w:tr>
        <w:trPr>
          <w:trHeight w:val="480"/>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序号</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单位名称</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辖区</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Ehome账号</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录像机</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枪机</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球机</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交换机</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机柜</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门禁</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太仓市新塘电镀有限公司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苏州顺惠有色金属制品有限公司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岳王</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太仓德丰五金制品有限公司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沙溪</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昭衍（苏州）新药研究中心有限公司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沙溪</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信立泰（苏州）药业有限公司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沙溪</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苏州维可电镀有限公司</w:t>
            </w:r>
            <w:r>
              <w:rPr>
                <w:rFonts w:hint="eastAsia"/>
                <w:color w:val="000000"/>
                <w:sz w:val="21"/>
                <w:szCs w:val="21"/>
              </w:rPr>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浏家港</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7</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雅本化学（苏州）有限公司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浏家港</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太仓市华夏电镀有限公司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浏家港</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9</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太仓市茜泾化工厂</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浏家港</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10</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苏州弘森药业有限公司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浏家港</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11</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太仓佳成化工有限公司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城西</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12</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堀场科技（苏州）有限公司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城西</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13</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太仓市新锦表面处理有限公司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双凤</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rPr>
                <w:rFonts w:hint="eastAsia"/>
                <w:color w:val="000000"/>
                <w:sz w:val="21"/>
                <w:szCs w:val="21"/>
              </w:rPr>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14</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太仓市汇湖电镀有限公司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双凤</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15</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强龙电信设备苏州有限公司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双凤</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16</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太仓夏鑫电镀有限公司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陆渡</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17</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太仓桦棋电子部件有限公司</w:t>
            </w:r>
            <w:r/>
          </w:p>
        </w:tc>
        <w:tc>
          <w:tcPr>
            <w:shd w:val="clear" w:color="auto" w:fill="ffffff"/>
            <w:tcW w:w="99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城西</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18</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太仓帝亚尔雕刻制版有限公司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19</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敬得（苏州）科技有限公司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20</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苏州鸿仁窗饰有限公司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21</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苏州誉高紧固系统有限公司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高新区</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22</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太仓旺达铝制品有限公司</w:t>
            </w:r>
            <w:r/>
          </w:p>
        </w:tc>
        <w:tc>
          <w:tcPr>
            <w:shd w:val="clear" w:color="auto" w:fill="ffffff"/>
            <w:tcW w:w="99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陆渡</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23</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苏州泰利电器照明制造有限公司(太仓市立泰表面处理有限公司)</w:t>
            </w:r>
            <w:r/>
          </w:p>
        </w:tc>
        <w:tc>
          <w:tcPr>
            <w:shd w:val="clear" w:color="auto" w:fill="ffffff"/>
            <w:tcW w:w="99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浏河</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24</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信隆五金</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25</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苏州磐宇科技发展有限公司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26</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金丰铝制品（太仓)有限公司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27</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苏州培源电子科技有限公司</w:t>
            </w:r>
            <w:r/>
          </w:p>
        </w:tc>
        <w:tc>
          <w:tcPr>
            <w:shd w:val="clear" w:color="auto" w:fill="ffffff"/>
            <w:tcW w:w="99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浏家港</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28</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太仓市元通废油处理有限公司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29</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英克化工科技（太仓）有限公司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30</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苏州华一新能源科技有限公司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31</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中广核三角洲（江苏）塑化有限公司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32</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旭川化学（苏州）有限公司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33</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苏州诚和医药化学有限公司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34</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苏州晃石服装整理有限公司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35</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江苏德威新材料股份有限公司太仓分公司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36</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江苏东智禾新纤维科技有限公司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37</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太仓运通新材料科技有限公司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38</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苏州新惠电镀有限公司</w:t>
            </w:r>
            <w:r/>
          </w:p>
        </w:tc>
        <w:tc>
          <w:tcPr>
            <w:shd w:val="clear" w:color="auto" w:fill="ffffff"/>
            <w:tcW w:w="99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金浪</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39</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宣特金属制品(苏州)有限公司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40</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诚和环境科技（苏州）有限公司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41</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太仓市金鹿电镀有限公司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42</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苏州地和桩业有限公司</w:t>
            </w:r>
            <w:r/>
          </w:p>
        </w:tc>
        <w:tc>
          <w:tcPr>
            <w:shd w:val="clear" w:color="auto" w:fill="ffffff"/>
            <w:tcW w:w="99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　</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43</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世千金属科技（太仓）有限公司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44</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龙博士纺织印染（太仓）有限公司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45</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苏州仓庆金属制品有限公司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46</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苏州剑派实业有限公司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47</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苏州德翔金属表面材料有限公司</w:t>
            </w:r>
            <w:r/>
          </w:p>
        </w:tc>
        <w:tc>
          <w:tcPr>
            <w:shd w:val="clear" w:color="auto" w:fill="ffffff"/>
            <w:tcW w:w="99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金仓湖</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48</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太仓创造电子有限公司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49</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苏州统华药品有限公司（黄河制药厂）</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50</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凯格表面处理太仓有限公司</w:t>
            </w:r>
            <w:r/>
          </w:p>
        </w:tc>
        <w:tc>
          <w:tcPr>
            <w:shd w:val="clear" w:color="auto" w:fill="ffffff"/>
            <w:tcW w:w="99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板桥</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51</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和承特种橡胶（太仓）有限公司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w:t>
            </w:r>
            <w:r>
              <w:rPr>
                <w:rFonts w:hint="eastAsia"/>
                <w:color w:val="000000"/>
                <w:sz w:val="21"/>
                <w:szCs w:val="21"/>
              </w:rPr>
              <w:t xml:space="preserve">2</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狮威精密工具（太仓）有限公司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53</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太仓富华印染有限公司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54</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椿中岛机械（太仓）有限公司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55</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海瑞恩精密技术（太仓）有限公司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56</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老虎表面技术新材料（苏州）有限公司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57</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共建新材料（苏州）有限公司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妙管家苏州日用品有限公司</w:t>
            </w:r>
            <w:r/>
          </w:p>
        </w:tc>
        <w:tc>
          <w:tcPr>
            <w:shd w:val="clear" w:color="auto" w:fill="ffffff"/>
            <w:tcW w:w="99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岳王</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59</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太仓市海峰电镀有限公司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60</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太仓市光明印染有限公司</w:t>
            </w:r>
            <w:r/>
          </w:p>
        </w:tc>
        <w:tc>
          <w:tcPr>
            <w:shd w:val="clear" w:color="auto" w:fill="ffffff"/>
            <w:tcW w:w="99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沙溪</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61</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太仓逸枫化纤有限公司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62</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太仓市百弘纺织品有限公司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63</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太仓天宇电子有限公司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64</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太仓市三星印染有限公司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65</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太仓市佳煌针织印染有限公司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66</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太仓市曾湾化工有限公司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67</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苏州宏达制酶有限公司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68</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太仓市沙溪印染厂</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69</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太仓沪试试剂有限公司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70</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苏州欧米尼医药有限公司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71</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太仓市施美电镀有限公司</w:t>
            </w:r>
            <w:r/>
          </w:p>
        </w:tc>
        <w:tc>
          <w:tcPr>
            <w:shd w:val="clear" w:color="auto" w:fill="ffffff"/>
            <w:tcW w:w="99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璜泾</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2</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59"/>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72</w:t>
            </w:r>
            <w:r/>
          </w:p>
        </w:tc>
        <w:tc>
          <w:tcPr>
            <w:shd w:val="clear" w:color="auto" w:fill="ffffff"/>
            <w:tcW w:w="37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太仓市锦飞电镀有限公司</w:t>
            </w:r>
            <w:r/>
          </w:p>
        </w:tc>
        <w:tc>
          <w:tcPr>
            <w:tcW w:w="992"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OK</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240"/>
        </w:trPr>
        <w:tc>
          <w:tcPr>
            <w:shd w:val="clear" w:color="auto" w:fill="ffffff"/>
            <w:tcW w:w="578"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c>
          <w:tcPr>
            <w:shd w:val="clear" w:color="auto" w:fill="ffffff"/>
            <w:tcW w:w="37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总计</w:t>
            </w:r>
            <w:r/>
          </w:p>
        </w:tc>
        <w:tc>
          <w:tcPr>
            <w:shd w:val="clear" w:color="auto" w:fill="ffffff"/>
            <w:tcW w:w="992"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　</w:t>
            </w:r>
            <w:r/>
          </w:p>
        </w:tc>
        <w:tc>
          <w:tcPr>
            <w:shd w:val="clear" w:color="auto" w:fill="ffffff"/>
            <w:tcW w:w="127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83</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83</w:t>
            </w:r>
            <w:r/>
          </w:p>
        </w:tc>
        <w:tc>
          <w:tcPr>
            <w:shd w:val="clear" w:color="auto" w:fill="ffffff"/>
            <w:tcW w:w="709"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83</w:t>
            </w:r>
            <w:r/>
          </w:p>
        </w:tc>
        <w:tc>
          <w:tcPr>
            <w:shd w:val="clear" w:color="auto" w:fill="ffffff"/>
            <w:tcW w:w="85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83</w:t>
            </w:r>
            <w:r/>
          </w:p>
        </w:tc>
        <w:tc>
          <w:tcPr>
            <w:shd w:val="clear" w:color="auto" w:fill="ffffff"/>
            <w:tcW w:w="66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83</w:t>
            </w:r>
            <w:r/>
          </w:p>
        </w:tc>
        <w:tc>
          <w:tcPr>
            <w:shd w:val="clear" w:color="auto" w:fill="ffffff"/>
            <w:tcW w:w="616"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17</w:t>
            </w:r>
            <w:r/>
          </w:p>
        </w:tc>
      </w:tr>
    </w:tbl>
    <w:p>
      <w:pPr>
        <w:pStyle w:val="928"/>
        <w:ind w:firstLine="422"/>
        <w:spacing w:line="360" w:lineRule="auto"/>
        <w:rPr>
          <w:rFonts w:hint="eastAsia" w:cs="黑体"/>
          <w:b/>
          <w:bCs/>
          <w:color w:val="000000"/>
        </w:rPr>
      </w:pPr>
      <w:r>
        <w:rPr>
          <w:rFonts w:hint="eastAsia"/>
          <w:b/>
          <w:bCs/>
          <w:color w:val="000000"/>
          <w:sz w:val="21"/>
          <w:szCs w:val="21"/>
        </w:rPr>
        <w:t xml:space="preserve">维护内容及要求：</w:t>
      </w:r>
      <w:r>
        <w:rPr>
          <w:rFonts w:hint="eastAsia" w:cs="黑体"/>
          <w:b/>
          <w:bCs/>
          <w:color w:val="000000"/>
        </w:rPr>
      </w:r>
      <w:r/>
    </w:p>
    <w:p>
      <w:pPr>
        <w:pStyle w:val="928"/>
        <w:ind w:firstLine="422"/>
        <w:spacing w:line="360" w:lineRule="auto"/>
      </w:pPr>
      <w:r>
        <w:rPr>
          <w:rFonts w:hint="eastAsia"/>
          <w:b/>
          <w:bCs/>
          <w:color w:val="000000"/>
          <w:sz w:val="21"/>
          <w:szCs w:val="21"/>
        </w:rPr>
        <w:t xml:space="preserve">一、硬件维护</w:t>
      </w:r>
      <w:r>
        <w:rPr>
          <w:rFonts w:hint="eastAsia"/>
          <w:color w:val="000000"/>
          <w:sz w:val="21"/>
          <w:szCs w:val="21"/>
        </w:rPr>
      </w:r>
      <w:r/>
    </w:p>
    <w:p>
      <w:pPr>
        <w:pStyle w:val="928"/>
        <w:numPr>
          <w:ilvl w:val="0"/>
          <w:numId w:val="50"/>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定期检查与清洁：定期对监控设备的硬件部分进行检查，包括摄像头、录像机、服务器及连接线缆等，清理灰尘，防止因积尘导致的散热不良和信号衰减。</w:t>
      </w:r>
      <w:r/>
    </w:p>
    <w:p>
      <w:pPr>
        <w:pStyle w:val="928"/>
        <w:numPr>
          <w:ilvl w:val="0"/>
          <w:numId w:val="50"/>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设备性能检测：使用专业工具检测设备的运行状态，包括电源供应、硬盘健康、风扇转速等，及时发现并处理潜在故障。</w:t>
      </w:r>
      <w:r/>
    </w:p>
    <w:p>
      <w:pPr>
        <w:pStyle w:val="928"/>
        <w:numPr>
          <w:ilvl w:val="0"/>
          <w:numId w:val="50"/>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硬件更换与升级：根据设备老化情况或技术升级需求，适时进行硬件部件的更换或升级，确保系统性能满足当前及未来需求。</w:t>
      </w:r>
      <w:r/>
    </w:p>
    <w:p>
      <w:pPr>
        <w:pStyle w:val="928"/>
        <w:ind w:firstLine="422"/>
        <w:spacing w:line="360" w:lineRule="auto"/>
        <w:rPr>
          <w:rFonts w:hint="eastAsia"/>
          <w:b/>
          <w:bCs/>
          <w:color w:val="000000"/>
          <w:sz w:val="21"/>
          <w:szCs w:val="21"/>
        </w:rPr>
      </w:pPr>
      <w:r>
        <w:rPr>
          <w:rFonts w:hint="eastAsia"/>
          <w:b/>
          <w:bCs/>
          <w:color w:val="000000"/>
          <w:sz w:val="21"/>
          <w:szCs w:val="21"/>
        </w:rPr>
        <w:t xml:space="preserve">二、软件升级</w:t>
      </w:r>
      <w:r/>
    </w:p>
    <w:p>
      <w:pPr>
        <w:pStyle w:val="928"/>
        <w:numPr>
          <w:ilvl w:val="0"/>
          <w:numId w:val="51"/>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系统版本更新：关注并安装软件厂商发布的最新系统版本和补丁，修复已知漏洞，提升系统稳定性和安全性。</w:t>
      </w:r>
      <w:r/>
    </w:p>
    <w:p>
      <w:pPr>
        <w:pStyle w:val="928"/>
        <w:numPr>
          <w:ilvl w:val="0"/>
          <w:numId w:val="51"/>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功能优化与增强：利用软件更新中的新功能或优化项，增强监控系统的功能性和易用性，提高监控效率。</w:t>
      </w:r>
      <w:r/>
    </w:p>
    <w:p>
      <w:pPr>
        <w:pStyle w:val="928"/>
        <w:numPr>
          <w:ilvl w:val="0"/>
          <w:numId w:val="51"/>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兼容性测试：在进行软件升级前，进行充分的兼容性测试，确保新软件版本与现有硬件设备、网络环境及其他系统组件的兼容性。</w:t>
      </w:r>
      <w:r/>
    </w:p>
    <w:p>
      <w:pPr>
        <w:pStyle w:val="928"/>
        <w:ind w:firstLine="422"/>
        <w:spacing w:line="360" w:lineRule="auto"/>
        <w:rPr>
          <w:rFonts w:hint="eastAsia"/>
          <w:b/>
          <w:bCs/>
          <w:color w:val="000000"/>
          <w:sz w:val="21"/>
          <w:szCs w:val="21"/>
        </w:rPr>
      </w:pPr>
      <w:r>
        <w:rPr>
          <w:rFonts w:hint="eastAsia"/>
          <w:b/>
          <w:bCs/>
          <w:color w:val="000000"/>
          <w:sz w:val="21"/>
          <w:szCs w:val="21"/>
        </w:rPr>
        <w:t xml:space="preserve">三、网络维护</w:t>
      </w:r>
      <w:r/>
    </w:p>
    <w:p>
      <w:pPr>
        <w:pStyle w:val="928"/>
        <w:numPr>
          <w:ilvl w:val="0"/>
          <w:numId w:val="52"/>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网络稳定性检查：监测网络带宽占用、延迟、丢包率等关键指标，确保数据传输的稳定性和实时性。</w:t>
      </w:r>
      <w:r/>
    </w:p>
    <w:p>
      <w:pPr>
        <w:pStyle w:val="928"/>
        <w:numPr>
          <w:ilvl w:val="0"/>
          <w:numId w:val="52"/>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安全策略配置：配置适当的网络安全策略，如访问控制列表（ACL）、防火墙规则等，防止外部攻击和非法访问。</w:t>
      </w:r>
      <w:r/>
    </w:p>
    <w:p>
      <w:pPr>
        <w:pStyle w:val="928"/>
        <w:numPr>
          <w:ilvl w:val="0"/>
          <w:numId w:val="52"/>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网络优化：根据网络负载和流量变化，适时调整网络结构和配置，优化网络性能。</w:t>
      </w:r>
      <w:r/>
    </w:p>
    <w:p>
      <w:pPr>
        <w:pStyle w:val="928"/>
        <w:ind w:firstLine="422"/>
        <w:spacing w:line="360" w:lineRule="auto"/>
        <w:rPr>
          <w:rFonts w:hint="eastAsia"/>
          <w:b/>
          <w:bCs/>
          <w:color w:val="000000"/>
          <w:sz w:val="21"/>
          <w:szCs w:val="21"/>
        </w:rPr>
      </w:pPr>
      <w:r>
        <w:rPr>
          <w:rFonts w:hint="eastAsia"/>
          <w:b/>
          <w:bCs/>
          <w:color w:val="000000"/>
          <w:sz w:val="21"/>
          <w:szCs w:val="21"/>
        </w:rPr>
        <w:t xml:space="preserve">四、安全防范</w:t>
      </w:r>
      <w:r/>
    </w:p>
    <w:p>
      <w:pPr>
        <w:pStyle w:val="928"/>
        <w:numPr>
          <w:ilvl w:val="0"/>
          <w:numId w:val="53"/>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入侵检测与防御：部署入侵检测系统（IDS）和入侵</w:t>
      </w:r>
      <w:r>
        <w:rPr>
          <w:rFonts w:hint="eastAsia"/>
          <w:color w:val="000000"/>
          <w:sz w:val="21"/>
          <w:szCs w:val="21"/>
        </w:rPr>
        <w:t xml:space="preserve">防御系统（IPS），实时监控网络异常行为，及时发现并阻止潜在的安全威胁。</w:t>
      </w:r>
      <w:r/>
    </w:p>
    <w:p>
      <w:pPr>
        <w:pStyle w:val="928"/>
        <w:numPr>
          <w:ilvl w:val="0"/>
          <w:numId w:val="53"/>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数据加密：对敏感数据进行加密处理，保护数据传输和存储过程中的安全。</w:t>
      </w:r>
      <w:r/>
    </w:p>
    <w:p>
      <w:pPr>
        <w:pStyle w:val="928"/>
        <w:numPr>
          <w:ilvl w:val="0"/>
          <w:numId w:val="53"/>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物理安全：加强监控中心及关键设备的物理防护，如门禁系统、监控摄像头等，防止未经授权的访问和破坏。</w:t>
      </w:r>
      <w:r/>
    </w:p>
    <w:p>
      <w:pPr>
        <w:pStyle w:val="928"/>
        <w:ind w:firstLine="422"/>
        <w:spacing w:line="360" w:lineRule="auto"/>
        <w:rPr>
          <w:rFonts w:hint="eastAsia"/>
          <w:b/>
          <w:bCs/>
          <w:color w:val="000000"/>
          <w:sz w:val="21"/>
          <w:szCs w:val="21"/>
        </w:rPr>
      </w:pPr>
      <w:r>
        <w:rPr>
          <w:rFonts w:hint="eastAsia"/>
          <w:b/>
          <w:bCs/>
          <w:color w:val="000000"/>
          <w:sz w:val="21"/>
          <w:szCs w:val="21"/>
        </w:rPr>
        <w:t xml:space="preserve">五、数据备份</w:t>
      </w:r>
      <w:r/>
    </w:p>
    <w:p>
      <w:pPr>
        <w:pStyle w:val="928"/>
        <w:numPr>
          <w:ilvl w:val="0"/>
          <w:numId w:val="54"/>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定期备份：制定数据备份计划，定期对监控录像、系统配置等重要数据进行备份，确保数据的安全性和可恢复性。</w:t>
      </w:r>
      <w:r/>
    </w:p>
    <w:p>
      <w:pPr>
        <w:pStyle w:val="928"/>
        <w:numPr>
          <w:ilvl w:val="0"/>
          <w:numId w:val="54"/>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异地存储：考虑将备份数据存储在异地数据中心或云存储平台，以应对自然灾害等极端情况。</w:t>
      </w:r>
      <w:r/>
    </w:p>
    <w:p>
      <w:pPr>
        <w:pStyle w:val="928"/>
        <w:numPr>
          <w:ilvl w:val="0"/>
          <w:numId w:val="54"/>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备份验证：定期对备份数据进行恢复测试，确保备份数据的完整性和可用性。</w:t>
      </w:r>
      <w:r/>
    </w:p>
    <w:p>
      <w:pPr>
        <w:pStyle w:val="928"/>
        <w:ind w:firstLine="422"/>
        <w:spacing w:line="360" w:lineRule="auto"/>
        <w:rPr>
          <w:rFonts w:hint="eastAsia"/>
          <w:b/>
          <w:bCs/>
          <w:color w:val="000000"/>
          <w:sz w:val="21"/>
          <w:szCs w:val="21"/>
        </w:rPr>
      </w:pPr>
      <w:r>
        <w:rPr>
          <w:rFonts w:hint="eastAsia"/>
          <w:b/>
          <w:bCs/>
          <w:color w:val="000000"/>
          <w:sz w:val="21"/>
          <w:szCs w:val="21"/>
        </w:rPr>
        <w:t xml:space="preserve">六、巡检与故障响应</w:t>
      </w:r>
      <w:r/>
    </w:p>
    <w:p>
      <w:pPr>
        <w:pStyle w:val="928"/>
        <w:numPr>
          <w:ilvl w:val="0"/>
          <w:numId w:val="55"/>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日常巡检：建立日常巡检制度，定期对监控系统进行全面检查，记录并处理发现的问题。</w:t>
      </w:r>
      <w:r/>
    </w:p>
    <w:p>
      <w:pPr>
        <w:pStyle w:val="928"/>
        <w:numPr>
          <w:ilvl w:val="0"/>
          <w:numId w:val="55"/>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故障预警与响应：利用监控系统的故障预警功能，及时发现并快速响应系统故障，缩短故障恢复时间。</w:t>
      </w:r>
      <w:r/>
    </w:p>
    <w:p>
      <w:pPr>
        <w:pStyle w:val="928"/>
        <w:numPr>
          <w:ilvl w:val="0"/>
          <w:numId w:val="55"/>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故障分析与总结：对发生的故障进行详细分析，总结故障原因和解决方案，为未来的系统维护提供参考。</w:t>
      </w:r>
      <w:r/>
    </w:p>
    <w:p>
      <w:pPr>
        <w:pStyle w:val="928"/>
        <w:ind w:firstLine="422"/>
        <w:spacing w:line="360" w:lineRule="auto"/>
        <w:rPr>
          <w:rFonts w:hint="eastAsia"/>
          <w:b/>
          <w:bCs/>
          <w:color w:val="000000"/>
          <w:sz w:val="21"/>
          <w:szCs w:val="21"/>
        </w:rPr>
      </w:pPr>
      <w:r>
        <w:rPr>
          <w:rFonts w:hint="eastAsia"/>
          <w:b/>
          <w:bCs/>
          <w:color w:val="000000"/>
          <w:sz w:val="21"/>
          <w:szCs w:val="21"/>
        </w:rPr>
        <w:t xml:space="preserve">七、培训与支持</w:t>
      </w:r>
      <w:r/>
    </w:p>
    <w:p>
      <w:pPr>
        <w:pStyle w:val="928"/>
        <w:numPr>
          <w:ilvl w:val="0"/>
          <w:numId w:val="56"/>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用户培训：定期为监控系统的操作人员和维护人员提供培训，提高其对系统的理解和操作能力。</w:t>
      </w:r>
      <w:r/>
    </w:p>
    <w:p>
      <w:pPr>
        <w:pStyle w:val="928"/>
        <w:numPr>
          <w:ilvl w:val="0"/>
          <w:numId w:val="56"/>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技术支持：建立快速响应的技术支持机制，为用户在使用过程中遇到的问题提供及时的技术帮助。</w:t>
      </w:r>
      <w:r/>
    </w:p>
    <w:p>
      <w:pPr>
        <w:pStyle w:val="928"/>
        <w:numPr>
          <w:ilvl w:val="0"/>
          <w:numId w:val="56"/>
        </w:numPr>
        <w:ind w:left="0" w:firstLine="420"/>
        <w:spacing w:line="360" w:lineRule="auto"/>
        <w:tabs>
          <w:tab w:val="left" w:pos="440" w:leader="none"/>
        </w:tabs>
        <w:rPr>
          <w:rFonts w:hint="eastAsia"/>
          <w:color w:val="000000"/>
          <w:sz w:val="21"/>
          <w:szCs w:val="21"/>
        </w:rPr>
      </w:pPr>
      <w:r>
        <w:rPr>
          <w:rFonts w:hint="eastAsia"/>
          <w:color w:val="000000"/>
          <w:sz w:val="21"/>
          <w:szCs w:val="21"/>
        </w:rPr>
        <w:t xml:space="preserve">知识库建设：建立监控系统相关的知识库，</w:t>
      </w:r>
      <w:r>
        <w:rPr>
          <w:rFonts w:hint="eastAsia"/>
          <w:color w:val="000000"/>
          <w:sz w:val="21"/>
          <w:szCs w:val="21"/>
        </w:rPr>
        <w:t xml:space="preserve">收集并整理常见问题及解决方案，方便用户自助查询和学习。</w:t>
      </w:r>
      <w:r/>
    </w:p>
    <w:p>
      <w:pPr>
        <w:pStyle w:val="928"/>
        <w:ind w:firstLine="422"/>
        <w:spacing w:line="360" w:lineRule="auto"/>
        <w:rPr>
          <w:rFonts w:hint="eastAsia"/>
          <w:b/>
          <w:bCs/>
          <w:color w:val="000000"/>
          <w:sz w:val="21"/>
          <w:szCs w:val="21"/>
        </w:rPr>
      </w:pPr>
      <w:r>
        <w:rPr>
          <w:rFonts w:hint="eastAsia"/>
          <w:b/>
          <w:bCs/>
          <w:color w:val="000000"/>
          <w:sz w:val="21"/>
          <w:szCs w:val="21"/>
        </w:rPr>
        <w:t xml:space="preserve">八、平台接入维护服务</w:t>
      </w:r>
      <w:r/>
    </w:p>
    <w:p>
      <w:pPr>
        <w:pStyle w:val="928"/>
        <w:ind w:firstLine="420"/>
        <w:spacing w:line="360" w:lineRule="auto"/>
        <w:rPr>
          <w:rFonts w:hint="eastAsia"/>
          <w:color w:val="000000"/>
          <w:sz w:val="21"/>
          <w:szCs w:val="21"/>
        </w:rPr>
      </w:pPr>
      <w:r>
        <w:rPr>
          <w:rFonts w:hint="eastAsia"/>
          <w:color w:val="000000"/>
          <w:sz w:val="21"/>
          <w:szCs w:val="21"/>
        </w:rPr>
        <w:t xml:space="preserve">定期检查设备接入苏州智慧危险品监管平台状态，发现故障及时处理。含平台接入管理服务费。</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融合通信调度平台维护服务</w:t>
      </w:r>
      <w:r>
        <w:rPr>
          <w:rFonts w:ascii="宋体" w:hAnsi="宋体" w:eastAsia="宋体"/>
          <w:color w:val="000000"/>
          <w:sz w:val="21"/>
          <w:szCs w:val="21"/>
        </w:rPr>
      </w:r>
      <w:r/>
    </w:p>
    <w:p>
      <w:pPr>
        <w:pStyle w:val="928"/>
        <w:ind w:firstLine="422"/>
        <w:spacing w:line="360" w:lineRule="auto"/>
        <w:rPr>
          <w:rFonts w:hint="eastAsia"/>
          <w:b/>
          <w:bCs/>
          <w:color w:val="000000"/>
          <w:sz w:val="21"/>
          <w:szCs w:val="21"/>
        </w:rPr>
      </w:pPr>
      <w:r>
        <w:rPr>
          <w:rFonts w:hint="eastAsia"/>
          <w:b/>
          <w:bCs/>
          <w:color w:val="000000"/>
          <w:sz w:val="21"/>
          <w:szCs w:val="21"/>
        </w:rPr>
        <w:t xml:space="preserve">平台情况：</w:t>
      </w:r>
      <w:r/>
    </w:p>
    <w:p>
      <w:pPr>
        <w:pStyle w:val="928"/>
        <w:ind w:firstLine="420"/>
        <w:spacing w:line="360" w:lineRule="auto"/>
        <w:rPr>
          <w:rFonts w:hint="eastAsia"/>
          <w:color w:val="000000"/>
          <w:sz w:val="21"/>
          <w:szCs w:val="21"/>
        </w:rPr>
      </w:pPr>
      <w:r>
        <w:rPr>
          <w:rFonts w:hint="eastAsia"/>
          <w:color w:val="000000"/>
          <w:sz w:val="21"/>
          <w:szCs w:val="21"/>
        </w:rPr>
        <w:t xml:space="preserve">资源接入：固定监控、卡口、执法仪、单兵，车载</w:t>
      </w:r>
      <w:r/>
    </w:p>
    <w:p>
      <w:pPr>
        <w:pStyle w:val="928"/>
        <w:ind w:firstLine="420"/>
        <w:spacing w:line="360" w:lineRule="auto"/>
        <w:rPr>
          <w:rFonts w:hint="eastAsia"/>
          <w:color w:val="000000"/>
          <w:sz w:val="21"/>
          <w:szCs w:val="21"/>
        </w:rPr>
      </w:pPr>
      <w:r>
        <w:rPr>
          <w:rFonts w:hint="eastAsia"/>
          <w:color w:val="000000"/>
          <w:sz w:val="21"/>
          <w:szCs w:val="21"/>
        </w:rPr>
        <w:t xml:space="preserve">下级平台：海康视频网平台，科达视频网平台，苏州交警支队公安网平台，公安网车管所部分监控设备</w:t>
      </w:r>
      <w:r/>
    </w:p>
    <w:p>
      <w:pPr>
        <w:pStyle w:val="928"/>
        <w:ind w:firstLine="420"/>
        <w:spacing w:line="360" w:lineRule="auto"/>
        <w:rPr>
          <w:rFonts w:hint="eastAsia"/>
          <w:color w:val="000000"/>
          <w:sz w:val="21"/>
          <w:szCs w:val="21"/>
        </w:rPr>
      </w:pPr>
      <w:r>
        <w:rPr>
          <w:rFonts w:hint="eastAsia"/>
          <w:color w:val="000000"/>
          <w:sz w:val="21"/>
          <w:szCs w:val="21"/>
        </w:rPr>
        <w:t xml:space="preserve">共享融合基础能力的单位和厂商：数图，罗盘，华尊，安软，高分，海防所</w:t>
      </w:r>
      <w:r/>
    </w:p>
    <w:p>
      <w:pPr>
        <w:pStyle w:val="928"/>
        <w:ind w:firstLine="422"/>
        <w:spacing w:line="360" w:lineRule="auto"/>
        <w:rPr>
          <w:rFonts w:hint="eastAsia"/>
          <w:b/>
          <w:bCs/>
          <w:color w:val="000000"/>
          <w:sz w:val="21"/>
          <w:szCs w:val="21"/>
        </w:rPr>
      </w:pPr>
      <w:r>
        <w:rPr>
          <w:rFonts w:hint="eastAsia"/>
          <w:b/>
          <w:bCs/>
          <w:color w:val="000000"/>
          <w:sz w:val="21"/>
          <w:szCs w:val="21"/>
        </w:rPr>
        <w:t xml:space="preserve">运维服务流程：</w:t>
      </w:r>
      <w:r/>
    </w:p>
    <w:p>
      <w:pPr>
        <w:pStyle w:val="928"/>
        <w:ind w:firstLine="420"/>
        <w:spacing w:line="360" w:lineRule="auto"/>
        <w:rPr>
          <w:rFonts w:hint="eastAsia"/>
          <w:color w:val="000000"/>
          <w:sz w:val="21"/>
          <w:szCs w:val="21"/>
        </w:rPr>
      </w:pPr>
      <w:r>
        <w:rPr>
          <w:rFonts w:hint="eastAsia"/>
          <w:color w:val="000000"/>
          <w:sz w:val="21"/>
          <w:szCs w:val="21"/>
        </w:rPr>
        <w:t xml:space="preserve">定期巡检结合故障现场运行维护服务的基本操作流程如下图所示：</w:t>
      </w:r>
      <w:r/>
    </w:p>
    <w:p>
      <w:pPr>
        <w:pStyle w:val="928"/>
        <w:ind w:firstLine="480"/>
        <w:spacing w:line="400" w:lineRule="atLeast"/>
        <w:rPr>
          <w:rFonts w:hint="eastAsia"/>
          <w:color w:val="000000"/>
        </w:rPr>
      </w:pPr>
      <w:r>
        <w:rPr>
          <w:color w:val="000000"/>
        </w:rPr>
        <w:fldChar w:fldCharType="begin"/>
      </w:r>
      <w:r>
        <w:rPr>
          <w:rFonts w:hint="eastAsia"/>
          <w:color w:val="000000"/>
        </w:rPr>
        <w:instrText xml:space="preserve"> INCLUDEPICTURE "../../46587/AppData/Local/Temp/ksohtml23544/wps6.png" \* MERGEFORMAT </w:instrText>
      </w:r>
      <w:r>
        <w:rPr>
          <w:color w:val="000000"/>
        </w:rPr>
        <w:fldChar w:fldCharType="separate"/>
      </w:r>
      <w:r>
        <w:rPr>
          <w:color w:val="000000"/>
        </w:rPr>
        <mc:AlternateContent>
          <mc:Choice Requires="wpg">
            <w:drawing>
              <wp:inline xmlns:wp="http://schemas.openxmlformats.org/drawingml/2006/wordprocessingDrawing" distT="0" distB="0" distL="0" distR="0">
                <wp:extent cx="5258689" cy="540956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58689" cy="5409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1pt;height:425.9pt;mso-wrap-distance-left:0.0pt;mso-wrap-distance-top:0.0pt;mso-wrap-distance-right:0.0pt;mso-wrap-distance-bottom:0.0pt;" stroked="f">
                <v:path textboxrect="0,0,0,0"/>
                <v:imagedata r:id="rId13" o:title=""/>
              </v:shape>
            </w:pict>
          </mc:Fallback>
        </mc:AlternateContent>
      </w:r>
      <w:r>
        <w:rPr>
          <w:color w:val="000000"/>
        </w:rPr>
        <w:fldChar w:fldCharType="end"/>
      </w:r>
      <w:r>
        <w:rPr>
          <w:rFonts w:hint="eastAsia"/>
          <w:color w:val="000000"/>
        </w:rPr>
        <w:t xml:space="preserve"> </w:t>
      </w:r>
      <w:r/>
    </w:p>
    <w:p>
      <w:pPr>
        <w:pStyle w:val="928"/>
        <w:ind w:firstLine="422"/>
        <w:spacing w:line="360" w:lineRule="auto"/>
        <w:rPr>
          <w:rFonts w:hint="eastAsia"/>
          <w:b/>
          <w:bCs/>
          <w:color w:val="000000"/>
          <w:sz w:val="21"/>
          <w:szCs w:val="21"/>
        </w:rPr>
      </w:pPr>
      <w:r>
        <w:rPr>
          <w:rFonts w:hint="eastAsia"/>
          <w:b/>
          <w:bCs/>
          <w:color w:val="000000"/>
          <w:sz w:val="21"/>
          <w:szCs w:val="21"/>
        </w:rPr>
        <w:t xml:space="preserve">运维服务内容：</w:t>
      </w:r>
      <w:r/>
    </w:p>
    <w:p>
      <w:pPr>
        <w:pStyle w:val="928"/>
        <w:ind w:firstLine="420"/>
        <w:spacing w:line="360" w:lineRule="auto"/>
        <w:rPr>
          <w:rFonts w:hint="eastAsia"/>
          <w:color w:val="000000"/>
          <w:sz w:val="21"/>
          <w:szCs w:val="21"/>
        </w:rPr>
      </w:pPr>
      <w:r>
        <w:rPr>
          <w:rFonts w:hint="eastAsia"/>
          <w:color w:val="000000"/>
          <w:sz w:val="21"/>
          <w:szCs w:val="21"/>
        </w:rPr>
        <w:t xml:space="preserve">定期巡检运维服务</w:t>
      </w:r>
      <w:r/>
    </w:p>
    <w:p>
      <w:pPr>
        <w:pStyle w:val="928"/>
        <w:ind w:firstLine="420"/>
        <w:spacing w:line="360" w:lineRule="auto"/>
        <w:rPr>
          <w:rFonts w:hint="eastAsia"/>
          <w:color w:val="000000"/>
          <w:sz w:val="21"/>
          <w:szCs w:val="21"/>
        </w:rPr>
      </w:pPr>
      <w:r>
        <w:rPr>
          <w:rFonts w:hint="eastAsia"/>
          <w:color w:val="000000"/>
          <w:sz w:val="21"/>
          <w:szCs w:val="21"/>
        </w:rPr>
        <w:t xml:space="preserve">定期巡检人员可进行监控管理的内容包括：</w:t>
      </w:r>
      <w:r/>
    </w:p>
    <w:p>
      <w:pPr>
        <w:pStyle w:val="928"/>
        <w:ind w:firstLine="420"/>
        <w:spacing w:line="360" w:lineRule="auto"/>
        <w:rPr>
          <w:rFonts w:hint="eastAsia"/>
          <w:color w:val="000000"/>
          <w:sz w:val="21"/>
          <w:szCs w:val="21"/>
        </w:rPr>
      </w:pPr>
      <w:r>
        <w:rPr>
          <w:rFonts w:hint="eastAsia"/>
          <w:color w:val="000000"/>
          <w:sz w:val="21"/>
          <w:szCs w:val="21"/>
        </w:rPr>
        <w:t xml:space="preserve">CPU 性能管理；</w:t>
      </w:r>
      <w:r/>
    </w:p>
    <w:p>
      <w:pPr>
        <w:pStyle w:val="928"/>
        <w:ind w:firstLine="420"/>
        <w:spacing w:line="360" w:lineRule="auto"/>
        <w:rPr>
          <w:rFonts w:hint="eastAsia"/>
          <w:color w:val="000000"/>
          <w:sz w:val="21"/>
          <w:szCs w:val="21"/>
        </w:rPr>
      </w:pPr>
      <w:r>
        <w:rPr>
          <w:rFonts w:hint="eastAsia"/>
          <w:color w:val="000000"/>
          <w:sz w:val="21"/>
          <w:szCs w:val="21"/>
        </w:rPr>
        <w:t xml:space="preserve">内存使用情况管理；</w:t>
      </w:r>
      <w:r/>
    </w:p>
    <w:p>
      <w:pPr>
        <w:pStyle w:val="928"/>
        <w:ind w:firstLine="420"/>
        <w:spacing w:line="360" w:lineRule="auto"/>
        <w:rPr>
          <w:rFonts w:hint="eastAsia"/>
          <w:color w:val="000000"/>
          <w:sz w:val="21"/>
          <w:szCs w:val="21"/>
        </w:rPr>
      </w:pPr>
      <w:r>
        <w:rPr>
          <w:rFonts w:hint="eastAsia"/>
          <w:color w:val="000000"/>
          <w:sz w:val="21"/>
          <w:szCs w:val="21"/>
        </w:rPr>
        <w:t xml:space="preserve">硬盘利用情况管理；</w:t>
      </w:r>
      <w:r/>
    </w:p>
    <w:p>
      <w:pPr>
        <w:pStyle w:val="928"/>
        <w:ind w:firstLine="420"/>
        <w:spacing w:line="360" w:lineRule="auto"/>
        <w:rPr>
          <w:rFonts w:hint="eastAsia"/>
          <w:color w:val="000000"/>
          <w:sz w:val="21"/>
          <w:szCs w:val="21"/>
        </w:rPr>
      </w:pPr>
      <w:r>
        <w:rPr>
          <w:rFonts w:hint="eastAsia"/>
          <w:color w:val="000000"/>
          <w:sz w:val="21"/>
          <w:szCs w:val="21"/>
        </w:rPr>
        <w:t xml:space="preserve">系统进程管理；</w:t>
      </w:r>
      <w:r/>
    </w:p>
    <w:p>
      <w:pPr>
        <w:pStyle w:val="928"/>
        <w:ind w:firstLine="420"/>
        <w:spacing w:line="360" w:lineRule="auto"/>
        <w:rPr>
          <w:rFonts w:hint="eastAsia"/>
          <w:color w:val="000000"/>
          <w:sz w:val="21"/>
          <w:szCs w:val="21"/>
        </w:rPr>
      </w:pPr>
      <w:r>
        <w:rPr>
          <w:rFonts w:hint="eastAsia"/>
          <w:color w:val="000000"/>
          <w:sz w:val="21"/>
          <w:szCs w:val="21"/>
        </w:rPr>
        <w:t xml:space="preserve">主机性能管理；</w:t>
      </w:r>
      <w:r/>
    </w:p>
    <w:p>
      <w:pPr>
        <w:pStyle w:val="928"/>
        <w:ind w:firstLine="420"/>
        <w:spacing w:line="360" w:lineRule="auto"/>
        <w:rPr>
          <w:rFonts w:hint="eastAsia"/>
          <w:color w:val="000000"/>
          <w:sz w:val="21"/>
          <w:szCs w:val="21"/>
        </w:rPr>
      </w:pPr>
      <w:r>
        <w:rPr>
          <w:rFonts w:hint="eastAsia"/>
          <w:color w:val="000000"/>
          <w:sz w:val="21"/>
          <w:szCs w:val="21"/>
        </w:rPr>
        <w:t xml:space="preserve">实时监控主机电源、风扇的使用情况及主机机箱内部温度；</w:t>
      </w:r>
      <w:r/>
    </w:p>
    <w:p>
      <w:pPr>
        <w:pStyle w:val="928"/>
        <w:ind w:firstLine="420"/>
        <w:spacing w:line="360" w:lineRule="auto"/>
        <w:rPr>
          <w:rFonts w:hint="eastAsia"/>
          <w:color w:val="000000"/>
          <w:sz w:val="21"/>
          <w:szCs w:val="21"/>
        </w:rPr>
      </w:pPr>
      <w:r>
        <w:rPr>
          <w:rFonts w:hint="eastAsia"/>
          <w:color w:val="000000"/>
          <w:sz w:val="21"/>
          <w:szCs w:val="21"/>
        </w:rPr>
        <w:t xml:space="preserve">主机系统文件系统管理；</w:t>
      </w:r>
      <w:r/>
    </w:p>
    <w:p>
      <w:pPr>
        <w:pStyle w:val="928"/>
        <w:ind w:firstLine="420"/>
        <w:spacing w:line="360" w:lineRule="auto"/>
        <w:rPr>
          <w:rFonts w:hint="eastAsia"/>
          <w:color w:val="000000"/>
          <w:sz w:val="21"/>
          <w:szCs w:val="21"/>
        </w:rPr>
      </w:pPr>
      <w:r>
        <w:rPr>
          <w:rFonts w:hint="eastAsia"/>
          <w:color w:val="000000"/>
          <w:sz w:val="21"/>
          <w:szCs w:val="21"/>
        </w:rPr>
        <w:t xml:space="preserve">平台整体功能的运行情况；</w:t>
      </w:r>
      <w:r/>
    </w:p>
    <w:p>
      <w:pPr>
        <w:pStyle w:val="928"/>
        <w:ind w:firstLine="420"/>
        <w:spacing w:line="360" w:lineRule="auto"/>
        <w:rPr>
          <w:rFonts w:hint="eastAsia"/>
          <w:color w:val="000000"/>
          <w:sz w:val="21"/>
          <w:szCs w:val="21"/>
        </w:rPr>
      </w:pPr>
      <w:r>
        <w:rPr>
          <w:rFonts w:hint="eastAsia"/>
          <w:color w:val="000000"/>
          <w:sz w:val="21"/>
          <w:szCs w:val="21"/>
        </w:rPr>
        <w:t xml:space="preserve">下级资源资源平台的对接情况；</w:t>
      </w:r>
      <w:r/>
    </w:p>
    <w:p>
      <w:pPr>
        <w:pStyle w:val="928"/>
        <w:ind w:firstLine="420"/>
        <w:spacing w:line="360" w:lineRule="auto"/>
        <w:rPr>
          <w:rFonts w:hint="eastAsia"/>
          <w:color w:val="000000"/>
          <w:sz w:val="21"/>
          <w:szCs w:val="21"/>
        </w:rPr>
      </w:pPr>
      <w:r>
        <w:rPr>
          <w:rFonts w:hint="eastAsia"/>
          <w:color w:val="000000"/>
          <w:sz w:val="21"/>
          <w:szCs w:val="21"/>
        </w:rPr>
        <w:t xml:space="preserve">共享融合能力的系统的对接情况。</w:t>
      </w:r>
      <w:r/>
    </w:p>
    <w:tbl>
      <w:tblPr>
        <w:tblW w:w="84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985"/>
        <w:gridCol w:w="1417"/>
        <w:gridCol w:w="2552"/>
        <w:gridCol w:w="1702"/>
      </w:tblGrid>
      <w:tr>
        <w:trPr/>
        <w:tc>
          <w:tcPr>
            <w:gridSpan w:val="2"/>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检查内容</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检查结果</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状态</w:t>
            </w:r>
            <w:r>
              <w:rPr>
                <w:rFonts w:hint="eastAsia"/>
                <w:color w:val="000000"/>
                <w:sz w:val="21"/>
                <w:szCs w:val="21"/>
              </w:rPr>
              <w:t xml:space="preserve">是否正常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巡检方法描述</w:t>
            </w:r>
            <w:r/>
          </w:p>
        </w:tc>
      </w:tr>
      <w:tr>
        <w:trPr>
          <w:cantSplit/>
        </w:trPr>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硬件运行状态</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电源指示灯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面板指示灯</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内置磁带机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CPU 状态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内存状态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磁盘状态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网卡状态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系统检查</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系统日志</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Mail</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文件系统，包括磁盘卷剩余空间</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硬件检测</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交换分区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固件版本</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补丁包版本</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系统镜像</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存储磁盘</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存储驱动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进程状态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系统性能检查</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CPU利用率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内存利用率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Height w:val="621"/>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磁盘I/O性能</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数据库运行状态</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数据库安装目录</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spacing w:line="400" w:lineRule="atLeast"/>
              <w:rPr>
                <w:color w:val="000000"/>
                <w:sz w:val="21"/>
                <w:szCs w:val="21"/>
              </w:rPr>
            </w:pP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数据库进程状态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w:t>
            </w:r>
            <w:r>
              <w:rPr>
                <w:rFonts w:hint="eastAsia"/>
                <w:color w:val="000000"/>
                <w:sz w:val="21"/>
                <w:szCs w:val="21"/>
              </w:rPr>
              <w:t xml:space="preserve">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Pr>
        <w:tc>
          <w:tcPr>
            <w:tcBorders>
              <w:top w:val="none" w:color="000000" w:sz="4" w:space="0"/>
              <w:left w:val="single" w:color="000000" w:sz="4" w:space="0"/>
              <w:bottom w:val="single" w:color="000000" w:sz="4" w:space="0"/>
              <w:right w:val="single" w:color="000000" w:sz="4" w:space="0"/>
            </w:tcBorders>
            <w:tcW w:w="768" w:type="dxa"/>
            <w:vAlign w:val="center"/>
            <w:vMerge w:val="restart"/>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集群检查</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集群进程状态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cantSplit/>
          <w:trHeight w:val="464"/>
        </w:trPr>
        <w:tc>
          <w:tcPr>
            <w:tcBorders>
              <w:top w:val="non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pStyle w:val="928"/>
              <w:jc w:val="left"/>
              <w:widowControl/>
              <w:rPr>
                <w:rFonts w:cs="黑体"/>
                <w:color w:val="000000"/>
                <w:sz w:val="21"/>
                <w:szCs w:val="21"/>
              </w:rPr>
            </w:pPr>
            <w:r>
              <w:rPr>
                <w:rFonts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集群日志</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▅正常    □异常</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bl>
    <w:p>
      <w:pPr>
        <w:pStyle w:val="928"/>
        <w:ind w:firstLine="422"/>
        <w:spacing w:line="360" w:lineRule="auto"/>
        <w:rPr>
          <w:rFonts w:hint="eastAsia" w:cs="黑体"/>
          <w:color w:val="000000"/>
        </w:rPr>
      </w:pPr>
      <w:r>
        <w:rPr>
          <w:rFonts w:hint="eastAsia"/>
          <w:b/>
          <w:bCs/>
          <w:color w:val="000000"/>
          <w:sz w:val="21"/>
          <w:szCs w:val="21"/>
        </w:rPr>
        <w:t xml:space="preserve">数据库系统运维服务：</w:t>
      </w:r>
      <w:r>
        <w:rPr>
          <w:rFonts w:hint="eastAsia" w:cs="黑体"/>
          <w:color w:val="000000"/>
        </w:rPr>
      </w:r>
      <w:r/>
    </w:p>
    <w:p>
      <w:pPr>
        <w:pStyle w:val="928"/>
        <w:ind w:firstLine="420"/>
        <w:spacing w:line="360" w:lineRule="auto"/>
        <w:rPr>
          <w:rFonts w:hint="eastAsia"/>
          <w:color w:val="000000"/>
          <w:sz w:val="21"/>
          <w:szCs w:val="21"/>
        </w:rPr>
      </w:pPr>
      <w:r>
        <w:rPr>
          <w:rFonts w:hint="eastAsia"/>
          <w:color w:val="000000"/>
          <w:sz w:val="21"/>
          <w:szCs w:val="21"/>
        </w:rPr>
        <w:t xml:space="preserve">数据库运行维护服务是包括主动数据库性能管理，数据库的主动性能管理对系统运维非常重要。通过主动式性能管理可了解数据库的日常运行状态，识别数据库的性能问题发生在什么地方，有针对性地进行性能优化。同时，密切注意数据库系统的变化，主动地预防可能发生的问题。</w:t>
      </w:r>
      <w:r/>
    </w:p>
    <w:p>
      <w:pPr>
        <w:pStyle w:val="928"/>
        <w:ind w:firstLine="420"/>
        <w:spacing w:line="360" w:lineRule="auto"/>
        <w:rPr>
          <w:rFonts w:hint="eastAsia"/>
          <w:color w:val="000000"/>
          <w:sz w:val="21"/>
          <w:szCs w:val="21"/>
        </w:rPr>
      </w:pPr>
      <w:r>
        <w:rPr>
          <w:rFonts w:hint="eastAsia"/>
          <w:color w:val="000000"/>
          <w:sz w:val="21"/>
          <w:szCs w:val="21"/>
        </w:rPr>
        <w:t xml:space="preserve">数据库运行维护服务还包括快速发现、诊断和解决性能问题，在出现问题时，及时找出性能瓶颈，解决数据库性能问题，维护高效的应用系统。</w:t>
      </w:r>
      <w:r/>
    </w:p>
    <w:p>
      <w:pPr>
        <w:pStyle w:val="928"/>
        <w:ind w:firstLine="420"/>
        <w:spacing w:line="360" w:lineRule="auto"/>
        <w:rPr>
          <w:rFonts w:hint="eastAsia"/>
          <w:color w:val="000000"/>
          <w:sz w:val="21"/>
          <w:szCs w:val="21"/>
        </w:rPr>
      </w:pPr>
      <w:r>
        <w:rPr>
          <w:rFonts w:hint="eastAsia"/>
          <w:color w:val="000000"/>
          <w:sz w:val="21"/>
          <w:szCs w:val="21"/>
        </w:rPr>
        <w:t xml:space="preserve">数据库运行维护服务，主要工作是使用技术手段来达到管理的目标，以系统最终的运行维护为目标，提高用户的工作效率。</w:t>
      </w:r>
      <w:r/>
    </w:p>
    <w:p>
      <w:pPr>
        <w:pStyle w:val="928"/>
        <w:ind w:firstLine="420"/>
        <w:spacing w:line="360" w:lineRule="auto"/>
        <w:rPr>
          <w:rFonts w:hint="eastAsia"/>
          <w:color w:val="000000"/>
          <w:sz w:val="21"/>
          <w:szCs w:val="21"/>
        </w:rPr>
      </w:pPr>
      <w:r>
        <w:rPr>
          <w:rFonts w:hint="eastAsia"/>
          <w:color w:val="000000"/>
          <w:sz w:val="21"/>
          <w:szCs w:val="21"/>
        </w:rPr>
        <w:t xml:space="preserve">具体数据库运行维护监控的基本服务内容包括：</w:t>
      </w:r>
      <w:r/>
    </w:p>
    <w:tbl>
      <w:tblPr>
        <w:tblW w:w="83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1559"/>
        <w:gridCol w:w="5769"/>
      </w:tblGrid>
      <w:tr>
        <w:trPr>
          <w:trHeight w:val="435"/>
        </w:trPr>
        <w:tc>
          <w:tcPr>
            <w:shd w:val="clear" w:color="auto" w:fill="c0c0c0"/>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序号</w:t>
            </w:r>
            <w:r/>
          </w:p>
        </w:tc>
        <w:tc>
          <w:tcPr>
            <w:shd w:val="clear" w:color="auto" w:fill="c0c0c0"/>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服务模块</w:t>
            </w:r>
            <w:r/>
          </w:p>
        </w:tc>
        <w:tc>
          <w:tcPr>
            <w:shd w:val="clear" w:color="auto" w:fill="c0c0c0"/>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内容描述</w:t>
            </w:r>
            <w:r/>
          </w:p>
        </w:tc>
      </w:tr>
      <w:tr>
        <w:trPr>
          <w:trHeight w:val="285"/>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数据库</w:t>
            </w:r>
            <w:r/>
          </w:p>
          <w:p>
            <w:pPr>
              <w:pStyle w:val="928"/>
              <w:spacing w:line="400" w:lineRule="atLeast"/>
              <w:rPr>
                <w:rFonts w:hint="eastAsia"/>
                <w:color w:val="000000"/>
                <w:sz w:val="21"/>
                <w:szCs w:val="21"/>
              </w:rPr>
            </w:pPr>
            <w:r>
              <w:rPr>
                <w:rFonts w:hint="eastAsia"/>
                <w:color w:val="000000"/>
                <w:sz w:val="21"/>
                <w:szCs w:val="21"/>
              </w:rPr>
              <w:t xml:space="preserve">7*24电话支持服务</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每周7天，每天24小时支持中心电话，电子邮件答询，以满足业务发展的需要。</w:t>
            </w:r>
            <w:r/>
          </w:p>
          <w:p>
            <w:pPr>
              <w:pStyle w:val="928"/>
              <w:ind w:firstLine="480"/>
              <w:spacing w:line="400" w:lineRule="atLeast"/>
              <w:rPr>
                <w:rFonts w:hint="eastAsia"/>
                <w:color w:val="000000"/>
                <w:sz w:val="21"/>
                <w:szCs w:val="21"/>
              </w:rPr>
            </w:pPr>
            <w:r>
              <w:rPr>
                <w:rFonts w:hint="eastAsia"/>
                <w:color w:val="000000"/>
                <w:sz w:val="21"/>
                <w:szCs w:val="21"/>
              </w:rPr>
              <w:t xml:space="preserve">产品技术专家直接同客户对话，帮助解决客户提出的疑难问题。</w:t>
            </w:r>
            <w:r/>
          </w:p>
          <w:p>
            <w:pPr>
              <w:pStyle w:val="928"/>
              <w:ind w:firstLine="480"/>
              <w:spacing w:line="400" w:lineRule="atLeast"/>
              <w:rPr>
                <w:rFonts w:hint="eastAsia"/>
                <w:color w:val="000000"/>
                <w:sz w:val="21"/>
                <w:szCs w:val="21"/>
              </w:rPr>
            </w:pPr>
            <w:r>
              <w:rPr>
                <w:rFonts w:hint="eastAsia"/>
                <w:color w:val="000000"/>
                <w:sz w:val="21"/>
                <w:szCs w:val="21"/>
              </w:rPr>
              <w:t xml:space="preserve">根据问题的严重程度，将优先解决客户认为是关键而紧急的任务。</w:t>
            </w:r>
            <w:r/>
          </w:p>
          <w:p>
            <w:pPr>
              <w:pStyle w:val="928"/>
              <w:ind w:firstLine="480"/>
              <w:spacing w:line="400" w:lineRule="atLeast"/>
              <w:rPr>
                <w:rFonts w:hint="eastAsia"/>
                <w:color w:val="000000"/>
                <w:sz w:val="21"/>
                <w:szCs w:val="21"/>
              </w:rPr>
            </w:pPr>
            <w:r>
              <w:rPr>
                <w:rFonts w:hint="eastAsia"/>
                <w:color w:val="000000"/>
                <w:sz w:val="21"/>
                <w:szCs w:val="21"/>
              </w:rPr>
              <w:t xml:space="preserve">对客户提出的一般性问题进行技术咨询、指导。</w:t>
            </w:r>
            <w:r/>
          </w:p>
          <w:p>
            <w:pPr>
              <w:pStyle w:val="928"/>
              <w:ind w:firstLine="480"/>
              <w:spacing w:line="400" w:lineRule="atLeast"/>
              <w:rPr>
                <w:rFonts w:hint="eastAsia"/>
                <w:color w:val="000000"/>
                <w:sz w:val="21"/>
                <w:szCs w:val="21"/>
              </w:rPr>
            </w:pPr>
            <w:r>
              <w:rPr>
                <w:rFonts w:hint="eastAsia"/>
                <w:color w:val="000000"/>
                <w:sz w:val="21"/>
                <w:szCs w:val="21"/>
              </w:rPr>
              <w:t xml:space="preserve">定期的客户管理报告,避免问题再度发生。</w:t>
            </w:r>
            <w:r/>
          </w:p>
        </w:tc>
      </w:tr>
      <w:tr>
        <w:trPr>
          <w:trHeight w:val="285"/>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数据库产品</w:t>
            </w:r>
            <w:r/>
          </w:p>
          <w:p>
            <w:pPr>
              <w:pStyle w:val="928"/>
              <w:spacing w:line="400" w:lineRule="atLeast"/>
              <w:rPr>
                <w:rFonts w:hint="eastAsia"/>
                <w:color w:val="000000"/>
                <w:sz w:val="21"/>
                <w:szCs w:val="21"/>
              </w:rPr>
            </w:pPr>
            <w:r>
              <w:rPr>
                <w:rFonts w:hint="eastAsia"/>
                <w:color w:val="000000"/>
                <w:sz w:val="21"/>
                <w:szCs w:val="21"/>
              </w:rPr>
              <w:t xml:space="preserve">现场服务响应</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数据库宕机</w:t>
            </w:r>
            <w:r/>
          </w:p>
          <w:p>
            <w:pPr>
              <w:pStyle w:val="928"/>
              <w:ind w:firstLine="480"/>
              <w:spacing w:line="400" w:lineRule="atLeast"/>
              <w:rPr>
                <w:rFonts w:hint="eastAsia"/>
                <w:color w:val="000000"/>
                <w:sz w:val="21"/>
                <w:szCs w:val="21"/>
              </w:rPr>
            </w:pPr>
            <w:r>
              <w:rPr>
                <w:rFonts w:hint="eastAsia"/>
                <w:color w:val="000000"/>
                <w:sz w:val="21"/>
                <w:szCs w:val="21"/>
              </w:rPr>
              <w:t xml:space="preserve">数据坏块</w:t>
            </w:r>
            <w:r/>
          </w:p>
          <w:p>
            <w:pPr>
              <w:pStyle w:val="928"/>
              <w:ind w:firstLine="480"/>
              <w:spacing w:line="400" w:lineRule="atLeast"/>
              <w:rPr>
                <w:rFonts w:hint="eastAsia"/>
                <w:color w:val="000000"/>
                <w:sz w:val="21"/>
                <w:szCs w:val="21"/>
              </w:rPr>
            </w:pPr>
            <w:r>
              <w:rPr>
                <w:rFonts w:hint="eastAsia"/>
                <w:color w:val="000000"/>
                <w:sz w:val="21"/>
                <w:szCs w:val="21"/>
              </w:rPr>
              <w:t xml:space="preserve">影响业务不能进行的产品问题</w:t>
            </w:r>
            <w:r/>
          </w:p>
          <w:p>
            <w:pPr>
              <w:pStyle w:val="928"/>
              <w:ind w:firstLine="480"/>
              <w:spacing w:line="400" w:lineRule="atLeast"/>
              <w:rPr>
                <w:rFonts w:hint="eastAsia"/>
                <w:color w:val="000000"/>
                <w:sz w:val="21"/>
                <w:szCs w:val="21"/>
              </w:rPr>
            </w:pPr>
            <w:r>
              <w:rPr>
                <w:rFonts w:hint="eastAsia"/>
                <w:color w:val="000000"/>
                <w:sz w:val="21"/>
                <w:szCs w:val="21"/>
              </w:rPr>
              <w:t xml:space="preserve">软件产品的更新及维护。</w:t>
            </w:r>
            <w:r/>
          </w:p>
        </w:tc>
      </w:tr>
      <w:tr>
        <w:trPr>
          <w:trHeight w:val="285"/>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数据库产品</w:t>
            </w:r>
            <w:r/>
          </w:p>
          <w:p>
            <w:pPr>
              <w:pStyle w:val="928"/>
              <w:spacing w:line="400" w:lineRule="atLeast"/>
              <w:rPr>
                <w:rFonts w:hint="eastAsia"/>
                <w:color w:val="000000"/>
                <w:sz w:val="21"/>
                <w:szCs w:val="21"/>
              </w:rPr>
            </w:pPr>
            <w:r>
              <w:rPr>
                <w:rFonts w:hint="eastAsia"/>
                <w:color w:val="000000"/>
                <w:sz w:val="21"/>
                <w:szCs w:val="21"/>
              </w:rPr>
              <w:t xml:space="preserve">系统健康检查</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对系统的配置及运作框架提出建议，以帮助用户得到一个更坚强可靠的运作环境</w:t>
            </w:r>
            <w:r/>
          </w:p>
          <w:p>
            <w:pPr>
              <w:pStyle w:val="928"/>
              <w:ind w:firstLine="480"/>
              <w:spacing w:line="400" w:lineRule="atLeast"/>
              <w:rPr>
                <w:rFonts w:hint="eastAsia"/>
                <w:color w:val="000000"/>
                <w:sz w:val="21"/>
                <w:szCs w:val="21"/>
              </w:rPr>
            </w:pPr>
            <w:r>
              <w:rPr>
                <w:rFonts w:hint="eastAsia"/>
                <w:color w:val="000000"/>
                <w:sz w:val="21"/>
                <w:szCs w:val="21"/>
              </w:rPr>
              <w:t xml:space="preserve">降低系统潜在的风险，包括数据丢失、安全漏洞、系统崩溃、性能降低及资源紧张</w:t>
            </w:r>
            <w:r/>
          </w:p>
          <w:p>
            <w:pPr>
              <w:pStyle w:val="928"/>
              <w:ind w:firstLine="480"/>
              <w:spacing w:line="400" w:lineRule="atLeast"/>
              <w:rPr>
                <w:rFonts w:hint="eastAsia"/>
                <w:color w:val="000000"/>
                <w:sz w:val="21"/>
                <w:szCs w:val="21"/>
              </w:rPr>
            </w:pPr>
            <w:r>
              <w:rPr>
                <w:rFonts w:hint="eastAsia"/>
                <w:color w:val="000000"/>
                <w:sz w:val="21"/>
                <w:szCs w:val="21"/>
              </w:rPr>
              <w:t xml:space="preserve">检查并分析系统日志及跟踪文件，发现并排除数据库系统错误隐患</w:t>
            </w:r>
            <w:r/>
          </w:p>
          <w:p>
            <w:pPr>
              <w:pStyle w:val="928"/>
              <w:ind w:firstLine="480"/>
              <w:spacing w:line="400" w:lineRule="atLeast"/>
              <w:rPr>
                <w:rFonts w:hint="eastAsia"/>
                <w:color w:val="000000"/>
                <w:sz w:val="21"/>
                <w:szCs w:val="21"/>
              </w:rPr>
            </w:pPr>
            <w:r>
              <w:rPr>
                <w:rFonts w:hint="eastAsia"/>
                <w:color w:val="000000"/>
                <w:sz w:val="21"/>
                <w:szCs w:val="21"/>
              </w:rPr>
              <w:t xml:space="preserve">检查数据库系统是否需要应用最新的补丁集</w:t>
            </w:r>
            <w:r/>
          </w:p>
          <w:p>
            <w:pPr>
              <w:pStyle w:val="928"/>
              <w:ind w:firstLine="480"/>
              <w:spacing w:line="400" w:lineRule="atLeast"/>
              <w:rPr>
                <w:rFonts w:hint="eastAsia"/>
                <w:color w:val="000000"/>
                <w:sz w:val="21"/>
                <w:szCs w:val="21"/>
              </w:rPr>
            </w:pPr>
            <w:r>
              <w:rPr>
                <w:rFonts w:hint="eastAsia"/>
                <w:color w:val="000000"/>
                <w:sz w:val="21"/>
                <w:szCs w:val="21"/>
              </w:rPr>
              <w:t xml:space="preserve">检查数据库空间的使用情况</w:t>
            </w:r>
            <w:r/>
          </w:p>
          <w:p>
            <w:pPr>
              <w:pStyle w:val="928"/>
              <w:ind w:firstLine="480"/>
              <w:spacing w:line="400" w:lineRule="atLeast"/>
              <w:rPr>
                <w:rFonts w:hint="eastAsia"/>
                <w:color w:val="000000"/>
                <w:sz w:val="21"/>
                <w:szCs w:val="21"/>
              </w:rPr>
            </w:pPr>
            <w:r>
              <w:rPr>
                <w:rFonts w:hint="eastAsia"/>
                <w:color w:val="000000"/>
                <w:sz w:val="21"/>
                <w:szCs w:val="21"/>
              </w:rPr>
              <w:t xml:space="preserve">协助进行数据库空间的规划管理</w:t>
            </w:r>
            <w:r/>
          </w:p>
          <w:p>
            <w:pPr>
              <w:pStyle w:val="928"/>
              <w:ind w:firstLine="480"/>
              <w:spacing w:line="400" w:lineRule="atLeast"/>
              <w:rPr>
                <w:rFonts w:hint="eastAsia"/>
                <w:color w:val="000000"/>
                <w:sz w:val="21"/>
                <w:szCs w:val="21"/>
              </w:rPr>
            </w:pPr>
            <w:r>
              <w:rPr>
                <w:rFonts w:hint="eastAsia"/>
                <w:color w:val="000000"/>
                <w:sz w:val="21"/>
                <w:szCs w:val="21"/>
              </w:rPr>
              <w:t xml:space="preserve">检查数据库备份的完整性</w:t>
            </w:r>
            <w:r/>
          </w:p>
          <w:p>
            <w:pPr>
              <w:pStyle w:val="928"/>
              <w:ind w:firstLine="480"/>
              <w:spacing w:line="400" w:lineRule="atLeast"/>
              <w:rPr>
                <w:rFonts w:hint="eastAsia"/>
                <w:color w:val="000000"/>
                <w:sz w:val="21"/>
                <w:szCs w:val="21"/>
              </w:rPr>
            </w:pPr>
            <w:r>
              <w:rPr>
                <w:rFonts w:hint="eastAsia"/>
                <w:color w:val="000000"/>
                <w:sz w:val="21"/>
                <w:szCs w:val="21"/>
              </w:rPr>
              <w:t xml:space="preserve">监控数据库性能</w:t>
            </w:r>
            <w:r/>
          </w:p>
          <w:p>
            <w:pPr>
              <w:pStyle w:val="928"/>
              <w:ind w:firstLine="480"/>
              <w:spacing w:line="400" w:lineRule="atLeast"/>
              <w:rPr>
                <w:rFonts w:hint="eastAsia"/>
                <w:color w:val="000000"/>
                <w:sz w:val="21"/>
                <w:szCs w:val="21"/>
              </w:rPr>
            </w:pPr>
            <w:r>
              <w:rPr>
                <w:rFonts w:hint="eastAsia"/>
                <w:color w:val="000000"/>
                <w:sz w:val="21"/>
                <w:szCs w:val="21"/>
              </w:rPr>
              <w:t xml:space="preserve">确认系统的资源需求</w:t>
            </w:r>
            <w:r/>
          </w:p>
          <w:p>
            <w:pPr>
              <w:pStyle w:val="928"/>
              <w:ind w:firstLine="480"/>
              <w:spacing w:line="400" w:lineRule="atLeast"/>
              <w:rPr>
                <w:rFonts w:hint="eastAsia"/>
                <w:color w:val="000000"/>
                <w:sz w:val="21"/>
                <w:szCs w:val="21"/>
              </w:rPr>
            </w:pPr>
            <w:r>
              <w:rPr>
                <w:rFonts w:hint="eastAsia"/>
                <w:color w:val="000000"/>
                <w:sz w:val="21"/>
                <w:szCs w:val="21"/>
              </w:rPr>
              <w:t xml:space="preserve">明确用户系统的能力及不足</w:t>
            </w:r>
            <w:r/>
          </w:p>
          <w:p>
            <w:pPr>
              <w:pStyle w:val="928"/>
              <w:ind w:firstLine="480"/>
              <w:spacing w:line="400" w:lineRule="atLeast"/>
              <w:rPr>
                <w:rFonts w:hint="eastAsia"/>
                <w:color w:val="000000"/>
                <w:sz w:val="21"/>
                <w:szCs w:val="21"/>
              </w:rPr>
            </w:pPr>
            <w:r>
              <w:rPr>
                <w:rFonts w:hint="eastAsia"/>
                <w:color w:val="000000"/>
                <w:sz w:val="21"/>
                <w:szCs w:val="21"/>
              </w:rPr>
              <w:t xml:space="preserve">优化数据库Server的表现</w:t>
            </w:r>
            <w:r/>
          </w:p>
          <w:p>
            <w:pPr>
              <w:pStyle w:val="928"/>
              <w:ind w:firstLine="480"/>
              <w:spacing w:line="400" w:lineRule="atLeast"/>
              <w:rPr>
                <w:rFonts w:hint="eastAsia"/>
                <w:color w:val="000000"/>
                <w:sz w:val="21"/>
                <w:szCs w:val="21"/>
              </w:rPr>
            </w:pPr>
            <w:r>
              <w:rPr>
                <w:rFonts w:hint="eastAsia"/>
                <w:color w:val="000000"/>
                <w:sz w:val="21"/>
                <w:szCs w:val="21"/>
              </w:rPr>
              <w:t xml:space="preserve">通过改善系统环境的稳定性来降低潜在的系统宕机时间</w:t>
            </w:r>
            <w:r/>
          </w:p>
        </w:tc>
      </w:tr>
      <w:tr>
        <w:trPr>
          <w:trHeight w:val="285"/>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数据库产品</w:t>
            </w:r>
            <w:r/>
          </w:p>
          <w:p>
            <w:pPr>
              <w:pStyle w:val="928"/>
              <w:spacing w:line="400" w:lineRule="atLeast"/>
              <w:rPr>
                <w:rFonts w:hint="eastAsia"/>
                <w:color w:val="000000"/>
                <w:sz w:val="21"/>
                <w:szCs w:val="21"/>
              </w:rPr>
            </w:pPr>
            <w:r>
              <w:rPr>
                <w:rFonts w:hint="eastAsia"/>
                <w:color w:val="000000"/>
                <w:sz w:val="21"/>
                <w:szCs w:val="21"/>
              </w:rPr>
              <w:t xml:space="preserve">性能调优</w:t>
            </w:r>
            <w:r/>
          </w:p>
        </w:tc>
        <w:tc>
          <w:tcPr>
            <w:tcBorders>
              <w:top w:val="single" w:color="000000" w:sz="4" w:space="0"/>
              <w:left w:val="single" w:color="000000" w:sz="4" w:space="0"/>
              <w:bottom w:val="single" w:color="000000" w:sz="4" w:space="0"/>
              <w:right w:val="single" w:color="000000" w:sz="4" w:space="0"/>
            </w:tcBorders>
            <w:tcW w:w="5769"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分析用户的应用类型和用户行为</w:t>
            </w:r>
            <w:r/>
          </w:p>
          <w:p>
            <w:pPr>
              <w:pStyle w:val="928"/>
              <w:ind w:firstLine="480"/>
              <w:spacing w:line="400" w:lineRule="atLeast"/>
              <w:rPr>
                <w:rFonts w:hint="eastAsia"/>
                <w:color w:val="000000"/>
                <w:sz w:val="21"/>
                <w:szCs w:val="21"/>
              </w:rPr>
            </w:pPr>
            <w:r>
              <w:rPr>
                <w:rFonts w:hint="eastAsia"/>
                <w:color w:val="000000"/>
                <w:sz w:val="21"/>
                <w:szCs w:val="21"/>
              </w:rPr>
              <w:t xml:space="preserve">评价并修改数据库的参数设置</w:t>
            </w:r>
            <w:r/>
          </w:p>
          <w:p>
            <w:pPr>
              <w:pStyle w:val="928"/>
              <w:ind w:firstLine="480"/>
              <w:spacing w:line="400" w:lineRule="atLeast"/>
              <w:rPr>
                <w:rFonts w:hint="eastAsia"/>
                <w:color w:val="000000"/>
                <w:sz w:val="21"/>
                <w:szCs w:val="21"/>
              </w:rPr>
            </w:pPr>
            <w:r>
              <w:rPr>
                <w:rFonts w:hint="eastAsia"/>
                <w:color w:val="000000"/>
                <w:sz w:val="21"/>
                <w:szCs w:val="21"/>
              </w:rPr>
              <w:t xml:space="preserve">评价并调整数据库的数据分布</w:t>
            </w:r>
            <w:r/>
          </w:p>
          <w:p>
            <w:pPr>
              <w:pStyle w:val="928"/>
              <w:ind w:firstLine="480"/>
              <w:spacing w:line="400" w:lineRule="atLeast"/>
              <w:rPr>
                <w:rFonts w:hint="eastAsia"/>
                <w:color w:val="000000"/>
                <w:sz w:val="21"/>
                <w:szCs w:val="21"/>
              </w:rPr>
            </w:pPr>
            <w:r>
              <w:rPr>
                <w:rFonts w:hint="eastAsia"/>
                <w:color w:val="000000"/>
                <w:sz w:val="21"/>
                <w:szCs w:val="21"/>
              </w:rPr>
              <w:t xml:space="preserve">评价应用对硬件和系统的使用情况，并提出建议</w:t>
            </w:r>
            <w:r/>
          </w:p>
          <w:p>
            <w:pPr>
              <w:pStyle w:val="928"/>
              <w:ind w:firstLine="480"/>
              <w:spacing w:line="400" w:lineRule="atLeast"/>
              <w:rPr>
                <w:rFonts w:hint="eastAsia"/>
                <w:color w:val="000000"/>
                <w:sz w:val="21"/>
                <w:szCs w:val="21"/>
              </w:rPr>
            </w:pPr>
            <w:r>
              <w:rPr>
                <w:rFonts w:hint="eastAsia"/>
                <w:color w:val="000000"/>
                <w:sz w:val="21"/>
                <w:szCs w:val="21"/>
              </w:rPr>
              <w:t xml:space="preserve">利用先进的性能调整工具实施数据库的性能调整</w:t>
            </w:r>
            <w:r/>
          </w:p>
          <w:p>
            <w:pPr>
              <w:pStyle w:val="928"/>
              <w:ind w:firstLine="480"/>
              <w:spacing w:line="400" w:lineRule="atLeast"/>
              <w:rPr>
                <w:rFonts w:hint="eastAsia"/>
                <w:color w:val="000000"/>
                <w:sz w:val="21"/>
                <w:szCs w:val="21"/>
              </w:rPr>
            </w:pPr>
            <w:r>
              <w:rPr>
                <w:rFonts w:hint="eastAsia"/>
                <w:color w:val="000000"/>
                <w:sz w:val="21"/>
                <w:szCs w:val="21"/>
              </w:rPr>
              <w:t xml:space="preserve">培训用户有关性能调整的概念</w:t>
            </w:r>
            <w:r/>
          </w:p>
          <w:p>
            <w:pPr>
              <w:pStyle w:val="928"/>
              <w:ind w:firstLine="480"/>
              <w:spacing w:line="400" w:lineRule="atLeast"/>
              <w:rPr>
                <w:rFonts w:hint="eastAsia"/>
                <w:color w:val="000000"/>
                <w:sz w:val="21"/>
                <w:szCs w:val="21"/>
              </w:rPr>
            </w:pPr>
            <w:r>
              <w:rPr>
                <w:rFonts w:hint="eastAsia"/>
                <w:color w:val="000000"/>
                <w:sz w:val="21"/>
                <w:szCs w:val="21"/>
              </w:rPr>
              <w:t xml:space="preserve">提供用户完整的性能调整报告和解决方法</w:t>
            </w:r>
            <w:r/>
          </w:p>
        </w:tc>
      </w:tr>
    </w:tbl>
    <w:p>
      <w:pPr>
        <w:pStyle w:val="928"/>
        <w:ind w:firstLine="422"/>
        <w:spacing w:line="360" w:lineRule="auto"/>
        <w:rPr>
          <w:rFonts w:hint="eastAsia" w:cs="黑体"/>
          <w:color w:val="000000"/>
        </w:rPr>
      </w:pPr>
      <w:r>
        <w:rPr>
          <w:rFonts w:hint="eastAsia"/>
          <w:b/>
          <w:bCs/>
          <w:color w:val="000000"/>
          <w:sz w:val="21"/>
          <w:szCs w:val="21"/>
        </w:rPr>
        <w:t xml:space="preserve">应急服务响应措施：</w:t>
      </w:r>
      <w:r>
        <w:rPr>
          <w:rFonts w:hint="eastAsia" w:cs="黑体"/>
          <w:color w:val="000000"/>
        </w:rPr>
      </w:r>
      <w:r/>
    </w:p>
    <w:p>
      <w:pPr>
        <w:pStyle w:val="928"/>
        <w:ind w:firstLine="420"/>
        <w:spacing w:line="360" w:lineRule="auto"/>
        <w:rPr>
          <w:rFonts w:hint="eastAsia"/>
          <w:color w:val="000000"/>
          <w:sz w:val="21"/>
          <w:szCs w:val="21"/>
        </w:rPr>
      </w:pPr>
      <w:r>
        <w:rPr>
          <w:rFonts w:hint="eastAsia"/>
          <w:color w:val="000000"/>
          <w:sz w:val="21"/>
          <w:szCs w:val="21"/>
        </w:rPr>
        <w:t xml:space="preserve">在服务维护过程中，意外情况难以完全避免。尤其是在节假日或重大活动期间，如遇突发的紧急情况，运维团队需要对项目实施的突发风险进行详细分析，并且针对各</w:t>
      </w:r>
      <w:r>
        <w:rPr>
          <w:rFonts w:hint="eastAsia"/>
          <w:color w:val="000000"/>
          <w:sz w:val="21"/>
          <w:szCs w:val="21"/>
        </w:rPr>
        <w:t xml:space="preserve">类突发事件，设计相应的预防与解决措施，并提供完整的应急处理流程。</w:t>
      </w:r>
      <w:r/>
    </w:p>
    <w:p>
      <w:pPr>
        <w:pStyle w:val="928"/>
        <w:ind w:firstLine="420"/>
        <w:spacing w:line="360" w:lineRule="auto"/>
        <w:rPr>
          <w:rFonts w:hint="eastAsia"/>
          <w:color w:val="000000"/>
          <w:sz w:val="21"/>
          <w:szCs w:val="21"/>
        </w:rPr>
      </w:pPr>
      <w:r>
        <w:rPr>
          <w:rFonts w:hint="eastAsia"/>
          <w:color w:val="000000"/>
          <w:sz w:val="21"/>
          <w:szCs w:val="21"/>
        </w:rPr>
        <w:t xml:space="preserve">应急基本流程</w:t>
      </w:r>
      <w:r/>
    </w:p>
    <w:p>
      <w:pPr>
        <w:pStyle w:val="928"/>
        <w:ind w:firstLine="480"/>
        <w:spacing w:line="400" w:lineRule="atLeast"/>
        <w:rPr>
          <w:rFonts w:hint="eastAsia"/>
          <w:color w:val="000000"/>
        </w:rPr>
      </w:pPr>
      <w:r>
        <w:rPr>
          <w:color w:val="000000"/>
        </w:rPr>
        <w:fldChar w:fldCharType="begin"/>
      </w:r>
      <w:r>
        <w:rPr>
          <w:rFonts w:hint="eastAsia"/>
          <w:color w:val="000000"/>
        </w:rPr>
        <w:instrText xml:space="preserve"> INCLUDEPICTURE "../../46587/AppData/Local/Temp/ksohtml23544/wps7.png" \* MERGEFORMAT </w:instrText>
      </w:r>
      <w:r>
        <w:rPr>
          <w:color w:val="000000"/>
        </w:rPr>
        <w:fldChar w:fldCharType="separate"/>
      </w:r>
      <w:r>
        <w:rPr>
          <w:color w:val="000000"/>
        </w:rPr>
        <mc:AlternateContent>
          <mc:Choice Requires="wpg">
            <w:drawing>
              <wp:inline xmlns:wp="http://schemas.openxmlformats.org/drawingml/2006/wordprocessingDrawing" distT="0" distB="0" distL="0" distR="0">
                <wp:extent cx="2246630" cy="270521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246630" cy="27052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6.9pt;height:213.0pt;mso-wrap-distance-left:0.0pt;mso-wrap-distance-top:0.0pt;mso-wrap-distance-right:0.0pt;mso-wrap-distance-bottom:0.0pt;" stroked="f">
                <v:path textboxrect="0,0,0,0"/>
                <v:imagedata r:id="rId14" o:title=""/>
              </v:shape>
            </w:pict>
          </mc:Fallback>
        </mc:AlternateContent>
      </w:r>
      <w:r>
        <w:rPr>
          <w:color w:val="000000"/>
        </w:rPr>
        <w:fldChar w:fldCharType="end"/>
      </w:r>
      <w:r>
        <w:rPr>
          <w:rFonts w:hint="eastAsia"/>
          <w:color w:val="000000"/>
        </w:rPr>
      </w:r>
      <w:r/>
    </w:p>
    <w:p>
      <w:pPr>
        <w:pStyle w:val="928"/>
        <w:ind w:firstLine="422"/>
        <w:spacing w:line="360" w:lineRule="auto"/>
        <w:rPr>
          <w:rFonts w:hint="eastAsia"/>
          <w:b/>
          <w:bCs/>
          <w:color w:val="000000"/>
          <w:sz w:val="21"/>
          <w:szCs w:val="21"/>
        </w:rPr>
      </w:pPr>
      <w:r>
        <w:rPr>
          <w:rFonts w:hint="eastAsia"/>
          <w:b/>
          <w:bCs/>
          <w:color w:val="000000"/>
          <w:sz w:val="21"/>
          <w:szCs w:val="21"/>
        </w:rPr>
        <w:t xml:space="preserve">维护服务应急处理流程：</w:t>
      </w:r>
      <w:r/>
    </w:p>
    <w:p>
      <w:pPr>
        <w:pStyle w:val="928"/>
        <w:ind w:firstLine="420"/>
        <w:spacing w:line="360" w:lineRule="auto"/>
        <w:rPr>
          <w:rFonts w:hint="eastAsia"/>
          <w:color w:val="000000"/>
          <w:sz w:val="21"/>
          <w:szCs w:val="21"/>
        </w:rPr>
      </w:pPr>
      <w:r>
        <w:rPr>
          <w:rFonts w:hint="eastAsia"/>
          <w:color w:val="000000"/>
          <w:sz w:val="21"/>
          <w:szCs w:val="21"/>
        </w:rPr>
        <w:t xml:space="preserve">预防措施</w:t>
      </w:r>
      <w:r/>
    </w:p>
    <w:p>
      <w:pPr>
        <w:pStyle w:val="928"/>
        <w:ind w:firstLine="420"/>
        <w:spacing w:line="360" w:lineRule="auto"/>
        <w:rPr>
          <w:rFonts w:hint="eastAsia"/>
          <w:color w:val="000000"/>
          <w:sz w:val="21"/>
          <w:szCs w:val="21"/>
        </w:rPr>
      </w:pPr>
      <w:r>
        <w:rPr>
          <w:rFonts w:hint="eastAsia"/>
          <w:color w:val="000000"/>
          <w:sz w:val="21"/>
          <w:szCs w:val="21"/>
        </w:rPr>
        <w:t xml:space="preserve">针对上门服务过程中可能遇到的各种各样的风险，针对一些可能出现的情况，制定一系列预防处理措施，举例如下：</w:t>
      </w:r>
      <w:r/>
    </w:p>
    <w:tbl>
      <w:tblPr>
        <w:tblW w:w="86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2520"/>
        <w:gridCol w:w="2520"/>
        <w:gridCol w:w="2340"/>
      </w:tblGrid>
      <w:tr>
        <w:trPr>
          <w:trHeight w:val="477"/>
        </w:trPr>
        <w:tc>
          <w:tcPr>
            <w:shd w:val="clear" w:color="auto" w:fill="d0cece"/>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类型</w:t>
            </w:r>
            <w:r/>
          </w:p>
        </w:tc>
        <w:tc>
          <w:tcPr>
            <w:shd w:val="clear" w:color="auto" w:fill="d0cece"/>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事件</w:t>
            </w:r>
            <w:r/>
          </w:p>
        </w:tc>
        <w:tc>
          <w:tcPr>
            <w:shd w:val="clear" w:color="auto" w:fill="d0cece"/>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预防措施</w:t>
            </w:r>
            <w:r/>
          </w:p>
        </w:tc>
        <w:tc>
          <w:tcPr>
            <w:shd w:val="clear" w:color="auto" w:fill="d0cece"/>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处理</w:t>
            </w:r>
            <w:r/>
          </w:p>
        </w:tc>
      </w:tr>
      <w:tr>
        <w:trPr>
          <w:cantSplit/>
          <w:trHeight w:val="467"/>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应用软件</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无法启动软件可执行文件</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上门人员提前准备好各类需维护软件安装程序</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将应用软件数据文件备份后，重新安装</w:t>
            </w:r>
            <w:r/>
          </w:p>
        </w:tc>
      </w:tr>
      <w:tr>
        <w:trPr>
          <w:cantSplit/>
          <w:trHeight w:val="687"/>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928"/>
              <w:ind w:firstLine="420"/>
              <w:jc w:val="left"/>
              <w:spacing w:line="360" w:lineRule="auto"/>
              <w:widowControl/>
              <w:rPr>
                <w:rFonts w:cs="黑体"/>
                <w:color w:val="000000"/>
                <w:sz w:val="21"/>
                <w:szCs w:val="21"/>
              </w:rPr>
            </w:pPr>
            <w:r>
              <w:rPr>
                <w:rFonts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软件打开过程中或运行中异常错误关闭</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上门人员准备好安装程序，操作系统优化和修补软件，查杀病毒软件</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判断出错原因，备份数据，采取相关修复措施</w:t>
            </w:r>
            <w:r/>
          </w:p>
        </w:tc>
      </w:tr>
      <w:tr>
        <w:trPr>
          <w:cantSplit/>
          <w:trHeight w:val="110"/>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操作系统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使用者本机操作系统异常或系统资源占用严重</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准备好系统检查程序及修补程序，以及查杀病毒软件</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告知使用者错误原因可能类型，提出解决方案，经使用者认可后采取相应措施</w:t>
            </w:r>
            <w:r/>
          </w:p>
        </w:tc>
      </w:tr>
      <w:tr>
        <w:trPr>
          <w:cantSplit/>
          <w:trHeight w:val="11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928"/>
              <w:ind w:firstLine="420"/>
              <w:jc w:val="left"/>
              <w:spacing w:line="360" w:lineRule="auto"/>
              <w:widowControl/>
              <w:rPr>
                <w:rFonts w:cs="黑体"/>
                <w:color w:val="000000"/>
                <w:sz w:val="21"/>
                <w:szCs w:val="21"/>
              </w:rPr>
            </w:pPr>
            <w:r>
              <w:rPr>
                <w:rFonts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B/S结构系统，IE浏览器异常或无法下载控件</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准备流氓软件清理程序、修复浏览器软件、查杀病毒软件</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检查IE浏览器选项设置，分析原因进行修复</w:t>
            </w:r>
            <w:r/>
          </w:p>
        </w:tc>
      </w:tr>
      <w:tr>
        <w:trPr>
          <w:trHeight w:val="537"/>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网络或服务器</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B/S</w:t>
            </w:r>
            <w:r>
              <w:rPr>
                <w:rFonts w:hint="eastAsia"/>
                <w:color w:val="000000"/>
                <w:sz w:val="21"/>
                <w:szCs w:val="21"/>
              </w:rPr>
              <w:t xml:space="preserve">结构系统网络流量异常或服务器登录异常</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判断服务器是否异常，否则准备杀毒软件</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检查网络流量，流量异常小则报修网络服务商，流量异常大则查杀病毒</w:t>
            </w:r>
            <w:r/>
          </w:p>
        </w:tc>
      </w:tr>
    </w:tbl>
    <w:p>
      <w:pPr>
        <w:pStyle w:val="928"/>
        <w:ind w:firstLine="420"/>
        <w:spacing w:line="360" w:lineRule="auto"/>
        <w:rPr>
          <w:rFonts w:hint="eastAsia" w:cs="黑体"/>
          <w:color w:val="000000"/>
        </w:rPr>
      </w:pPr>
      <w:r>
        <w:rPr>
          <w:rFonts w:hint="eastAsia"/>
          <w:color w:val="000000"/>
          <w:sz w:val="21"/>
          <w:szCs w:val="21"/>
        </w:rPr>
        <w:t xml:space="preserve">突发事件应急策略</w:t>
      </w:r>
      <w:r>
        <w:rPr>
          <w:rFonts w:hint="eastAsia" w:cs="黑体"/>
          <w:color w:val="000000"/>
        </w:rPr>
      </w:r>
      <w:r/>
    </w:p>
    <w:p>
      <w:pPr>
        <w:pStyle w:val="928"/>
        <w:ind w:firstLine="420"/>
        <w:spacing w:line="360" w:lineRule="auto"/>
        <w:rPr>
          <w:rFonts w:hint="eastAsia"/>
          <w:color w:val="000000"/>
          <w:sz w:val="21"/>
          <w:szCs w:val="21"/>
        </w:rPr>
      </w:pPr>
      <w:r>
        <w:rPr>
          <w:rFonts w:hint="eastAsia"/>
          <w:color w:val="000000"/>
          <w:sz w:val="21"/>
          <w:szCs w:val="21"/>
        </w:rPr>
        <w:t xml:space="preserve">系统运维应急方案是对中断或严重影响业务的故障，如宕机、数据丢失、业务中断等，进行快速响应和处理，在最短时间内恢复业务系统，将损失降到最低。在系统维护过程中，突发事件的出现将是很难完全避免的，针对这种情况，设计完善的突发事件应急策略。</w:t>
      </w:r>
      <w:r/>
    </w:p>
    <w:p>
      <w:pPr>
        <w:pStyle w:val="928"/>
        <w:ind w:firstLine="420"/>
        <w:spacing w:line="360" w:lineRule="auto"/>
        <w:rPr>
          <w:rFonts w:hint="eastAsia"/>
          <w:color w:val="000000"/>
          <w:sz w:val="21"/>
          <w:szCs w:val="21"/>
        </w:rPr>
      </w:pPr>
      <w:r>
        <w:rPr>
          <w:rFonts w:hint="eastAsia"/>
          <w:color w:val="000000"/>
          <w:sz w:val="21"/>
          <w:szCs w:val="21"/>
        </w:rPr>
        <w:t xml:space="preserve">系统巡检人员要定期规范检查各硬件设备的运转情况和应用软件运行情况，同时做好日常的数据增量备份和定期全备份。</w:t>
      </w:r>
      <w:r/>
    </w:p>
    <w:p>
      <w:pPr>
        <w:pStyle w:val="928"/>
        <w:ind w:firstLine="420"/>
        <w:spacing w:line="360" w:lineRule="auto"/>
        <w:rPr>
          <w:rFonts w:hint="eastAsia"/>
          <w:color w:val="000000"/>
          <w:sz w:val="21"/>
          <w:szCs w:val="21"/>
        </w:rPr>
      </w:pPr>
      <w:r>
        <w:rPr>
          <w:rFonts w:hint="eastAsia"/>
          <w:color w:val="000000"/>
          <w:sz w:val="21"/>
          <w:szCs w:val="21"/>
        </w:rPr>
        <w:t xml:space="preserve">对发现的问题在报负责人的同时，要协调相关资源分析问题根源，确定解决方案和临时解决措施，避免造成更大的影响。问题得到稳定或彻底解决后，要形成问题汇报，避免以后类似重大紧急情况的发生。</w:t>
      </w:r>
      <w:r/>
    </w:p>
    <w:p>
      <w:pPr>
        <w:pStyle w:val="928"/>
        <w:ind w:firstLine="420"/>
        <w:spacing w:line="360" w:lineRule="auto"/>
        <w:rPr>
          <w:rFonts w:hint="eastAsia"/>
          <w:color w:val="000000"/>
          <w:sz w:val="21"/>
          <w:szCs w:val="21"/>
        </w:rPr>
      </w:pPr>
      <w:r>
        <w:rPr>
          <w:rFonts w:hint="eastAsia"/>
          <w:color w:val="000000"/>
          <w:sz w:val="21"/>
          <w:szCs w:val="21"/>
        </w:rPr>
        <w:t xml:space="preserve">当获悉出现突发事件时，技术支持人员可以立即从知识库中获取相应的应急策略，并综合用户方的具体情况，给出相关解决方案，然后在第一时间以电话、邮件支持或现场服务的方式帮助用户解决问题，尽最大努力减小突发事件对用户日常应用的影响。</w:t>
      </w:r>
      <w:r/>
    </w:p>
    <w:tbl>
      <w:tblPr>
        <w:tblW w:w="89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5"/>
        <w:gridCol w:w="3366"/>
        <w:gridCol w:w="4117"/>
      </w:tblGrid>
      <w:tr>
        <w:trPr/>
        <w:tc>
          <w:tcPr>
            <w:shd w:val="clear" w:color="auto" w:fill="d0cece"/>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紧急情况</w:t>
            </w:r>
            <w:r/>
          </w:p>
        </w:tc>
        <w:tc>
          <w:tcPr>
            <w:shd w:val="clear" w:color="auto" w:fill="d0cece"/>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预防措施</w:t>
            </w:r>
            <w:r/>
          </w:p>
        </w:tc>
        <w:tc>
          <w:tcPr>
            <w:shd w:val="clear" w:color="auto" w:fill="d0cece"/>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应急策略</w:t>
            </w:r>
            <w:r/>
          </w:p>
        </w:tc>
      </w:tr>
      <w:tr>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硬件损坏</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项目单位操作用电脑硬件损坏</w:t>
            </w:r>
            <w:r/>
          </w:p>
        </w:tc>
        <w:tc>
          <w:tcPr>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在磁盘数据未丢失情况下，保证数据安全性，建议项</w:t>
            </w:r>
            <w:r>
              <w:rPr>
                <w:rFonts w:hint="eastAsia"/>
                <w:color w:val="000000"/>
                <w:sz w:val="21"/>
                <w:szCs w:val="21"/>
              </w:rPr>
              <w:t xml:space="preserve">目单位替换相关硬件。</w:t>
            </w:r>
            <w:r/>
          </w:p>
        </w:tc>
      </w:tr>
      <w:tr>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操作失误</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加强培训力度，掌握培训效果，检验操作人员操作水准，提示注意事项。</w:t>
            </w:r>
            <w:r/>
          </w:p>
        </w:tc>
        <w:tc>
          <w:tcPr>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操作失误未造成即成结果或数据未丢失情况下，保障数据安全，反之，协调相关部门，进行补救。对操作人员强调注意事项</w:t>
            </w:r>
            <w:r/>
          </w:p>
        </w:tc>
      </w:tr>
      <w:tr>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配置丢失</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培训时强调使用前配置方法和步骤，并特别提示需在使用前按要求操作</w:t>
            </w:r>
            <w:r/>
          </w:p>
        </w:tc>
        <w:tc>
          <w:tcPr>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派出上门维护、培训人员重新配置，并耐心讲解。</w:t>
            </w:r>
            <w:r/>
          </w:p>
        </w:tc>
      </w:tr>
      <w:tr>
        <w:trPr/>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数据丢失</w:t>
            </w:r>
            <w:r/>
          </w:p>
        </w:tc>
        <w:tc>
          <w:tcPr>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培训时强调使用过程中注意定期备份重要数据，日常维护过程中，上门服务人员实时备份数据并告知用户</w:t>
            </w:r>
            <w:r/>
          </w:p>
        </w:tc>
        <w:tc>
          <w:tcPr>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协调有关部门，进行补救，无法补救，提交报告说明原因。</w:t>
            </w:r>
            <w:r/>
          </w:p>
        </w:tc>
      </w:tr>
    </w:tbl>
    <w:p>
      <w:pPr>
        <w:pStyle w:val="928"/>
        <w:ind w:firstLine="420"/>
        <w:spacing w:line="360" w:lineRule="auto"/>
        <w:rPr>
          <w:rFonts w:hint="eastAsia" w:cs="黑体"/>
          <w:color w:val="000000"/>
          <w:sz w:val="21"/>
          <w:szCs w:val="21"/>
        </w:rPr>
      </w:pPr>
      <w:r>
        <w:rPr>
          <w:rFonts w:hint="eastAsia"/>
          <w:color w:val="000000"/>
          <w:sz w:val="21"/>
          <w:szCs w:val="21"/>
        </w:rPr>
        <w:t xml:space="preserve">突发事件应急策略服务流程图如下：</w:t>
      </w:r>
      <w:r>
        <w:rPr>
          <w:rFonts w:hint="eastAsia" w:cs="黑体"/>
          <w:color w:val="000000"/>
          <w:sz w:val="21"/>
          <w:szCs w:val="21"/>
        </w:rPr>
      </w:r>
      <w:r/>
    </w:p>
    <w:p>
      <w:pPr>
        <w:pStyle w:val="928"/>
        <w:ind w:firstLine="480"/>
        <w:rPr>
          <w:rFonts w:hint="eastAsia" w:ascii="Times New Roman" w:hAnsi="Times New Roman"/>
          <w:color w:val="000000"/>
        </w:rPr>
      </w:pPr>
      <w:r>
        <w:rPr>
          <w:color w:val="000000"/>
        </w:rPr>
        <w:fldChar w:fldCharType="begin"/>
      </w:r>
      <w:r>
        <w:rPr>
          <w:rFonts w:hint="eastAsia"/>
          <w:color w:val="000000"/>
        </w:rPr>
        <w:instrText xml:space="preserve"> INCLUDEPICTURE "../../46587/AppData/Local/Temp/ksohtml23544/wps8.png" \* MERGEFORMAT </w:instrText>
      </w:r>
      <w:r>
        <w:rPr>
          <w:color w:val="000000"/>
        </w:rPr>
        <w:fldChar w:fldCharType="separate"/>
      </w:r>
      <w:r>
        <w:rPr>
          <w:color w:val="000000"/>
        </w:rPr>
        <mc:AlternateContent>
          <mc:Choice Requires="wpg">
            <w:drawing>
              <wp:inline xmlns:wp="http://schemas.openxmlformats.org/drawingml/2006/wordprocessingDrawing" distT="0" distB="0" distL="0" distR="0">
                <wp:extent cx="5621020" cy="63341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621020" cy="63341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2.6pt;height:498.8pt;mso-wrap-distance-left:0.0pt;mso-wrap-distance-top:0.0pt;mso-wrap-distance-right:0.0pt;mso-wrap-distance-bottom:0.0pt;" stroked="f">
                <v:path textboxrect="0,0,0,0"/>
                <v:imagedata r:id="rId15" o:title=""/>
              </v:shape>
            </w:pict>
          </mc:Fallback>
        </mc:AlternateContent>
      </w:r>
      <w:r>
        <w:rPr>
          <w:color w:val="000000"/>
        </w:rPr>
        <w:fldChar w:fldCharType="end"/>
      </w:r>
      <w:r>
        <w:rPr>
          <w:rFonts w:hint="eastAsia" w:ascii="Times New Roman" w:hAnsi="Times New Roman"/>
          <w:color w:val="000000"/>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扬帆数据中心运维服务及驻场服务人员2人</w:t>
      </w:r>
      <w:r>
        <w:rPr>
          <w:rFonts w:ascii="宋体" w:hAnsi="宋体" w:eastAsia="宋体"/>
          <w:color w:val="000000"/>
          <w:sz w:val="21"/>
          <w:szCs w:val="21"/>
        </w:rPr>
      </w:r>
      <w:r/>
    </w:p>
    <w:p>
      <w:pPr>
        <w:pStyle w:val="928"/>
        <w:ind w:firstLine="482"/>
        <w:spacing w:line="360" w:lineRule="auto"/>
        <w:rPr>
          <w:rFonts w:hint="eastAsia"/>
          <w:b/>
          <w:bCs/>
          <w:color w:val="000000"/>
          <w:sz w:val="21"/>
          <w:szCs w:val="21"/>
        </w:rPr>
      </w:pPr>
      <w:r>
        <w:rPr>
          <w:rFonts w:hint="eastAsia"/>
          <w:b/>
          <w:bCs/>
          <w:color w:val="000000"/>
          <w:sz w:val="21"/>
          <w:szCs w:val="21"/>
        </w:rPr>
        <w:t xml:space="preserve">运维明细表：</w:t>
      </w:r>
      <w:r/>
    </w:p>
    <w:p>
      <w:pPr>
        <w:pStyle w:val="928"/>
        <w:numPr>
          <w:ilvl w:val="0"/>
          <w:numId w:val="57"/>
        </w:numPr>
        <w:ind w:firstLine="422"/>
        <w:spacing w:line="360" w:lineRule="auto"/>
        <w:rPr>
          <w:rFonts w:hint="eastAsia"/>
          <w:b/>
          <w:bCs/>
          <w:color w:val="000000"/>
          <w:sz w:val="21"/>
          <w:szCs w:val="21"/>
        </w:rPr>
      </w:pPr>
      <w:r>
        <w:rPr>
          <w:rFonts w:hint="eastAsia"/>
          <w:b/>
          <w:bCs/>
          <w:color w:val="000000"/>
          <w:sz w:val="21"/>
          <w:szCs w:val="21"/>
        </w:rPr>
        <w:t xml:space="preserve">硬件设备</w:t>
      </w:r>
      <w:r/>
    </w:p>
    <w:tbl>
      <w:tblPr>
        <w:tblW w:w="9162"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1375"/>
        <w:gridCol w:w="2097"/>
        <w:gridCol w:w="4055"/>
        <w:gridCol w:w="1635"/>
      </w:tblGrid>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75" w:type="dxa"/>
            <w:vAlign w:val="center"/>
            <w:textDirection w:val="lrTb"/>
            <w:noWrap w:val="false"/>
          </w:tcPr>
          <w:p>
            <w:pPr>
              <w:pStyle w:val="928"/>
              <w:jc w:val="center"/>
              <w:spacing w:line="400" w:lineRule="atLeast"/>
              <w:rPr>
                <w:rFonts w:hint="eastAsia"/>
                <w:color w:val="000000"/>
                <w:sz w:val="21"/>
                <w:szCs w:val="21"/>
              </w:rPr>
            </w:pPr>
            <w:r>
              <w:rPr>
                <w:rFonts w:hint="eastAsia"/>
                <w:b/>
                <w:bCs/>
                <w:color w:val="000000"/>
                <w:sz w:val="21"/>
                <w:szCs w:val="21"/>
              </w:rPr>
              <w:t xml:space="preserve">项目</w:t>
            </w:r>
            <w:r>
              <w:rPr>
                <w:rFonts w:hint="eastAsia"/>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097"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详情</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55"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监测指标</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635"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监测频率</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7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服务器</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097"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型号、数量、配置</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5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CPU 使用率、内存使用率、磁盘空间使用率</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63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每天</w:t>
            </w:r>
            <w:r/>
          </w:p>
        </w:tc>
      </w:tr>
    </w:tbl>
    <w:p>
      <w:pPr>
        <w:pStyle w:val="928"/>
        <w:numPr>
          <w:ilvl w:val="0"/>
          <w:numId w:val="57"/>
        </w:numPr>
        <w:ind w:firstLine="422"/>
        <w:spacing w:line="360" w:lineRule="auto"/>
        <w:rPr>
          <w:rFonts w:hint="eastAsia" w:cs="黑体"/>
          <w:b/>
          <w:bCs/>
          <w:color w:val="000000"/>
        </w:rPr>
      </w:pPr>
      <w:r>
        <w:rPr>
          <w:rFonts w:hint="eastAsia"/>
          <w:b/>
          <w:bCs/>
          <w:color w:val="000000"/>
          <w:sz w:val="21"/>
          <w:szCs w:val="21"/>
        </w:rPr>
        <w:t xml:space="preserve">软件系统</w:t>
      </w:r>
      <w:r>
        <w:rPr>
          <w:rFonts w:hint="eastAsia" w:cs="黑体"/>
          <w:b/>
          <w:bCs/>
          <w:color w:val="000000"/>
        </w:rPr>
      </w:r>
      <w:r/>
    </w:p>
    <w:tbl>
      <w:tblPr>
        <w:tblW w:w="8963"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1351"/>
        <w:gridCol w:w="2124"/>
        <w:gridCol w:w="4068"/>
        <w:gridCol w:w="1420"/>
      </w:tblGrid>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51" w:type="dxa"/>
            <w:vAlign w:val="center"/>
            <w:textDirection w:val="lrTb"/>
            <w:noWrap w:val="false"/>
          </w:tcPr>
          <w:p>
            <w:pPr>
              <w:pStyle w:val="928"/>
              <w:jc w:val="center"/>
              <w:spacing w:line="400" w:lineRule="atLeast"/>
              <w:rPr>
                <w:rFonts w:hint="eastAsia"/>
                <w:color w:val="000000"/>
                <w:sz w:val="21"/>
                <w:szCs w:val="21"/>
              </w:rPr>
            </w:pPr>
            <w:r>
              <w:rPr>
                <w:rFonts w:hint="eastAsia"/>
                <w:b/>
                <w:bCs/>
                <w:color w:val="000000"/>
                <w:sz w:val="21"/>
                <w:szCs w:val="21"/>
              </w:rPr>
              <w:t xml:space="preserve">项目</w:t>
            </w:r>
            <w:r>
              <w:rPr>
                <w:rFonts w:hint="eastAsia"/>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124"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详情</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68"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监测指标</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420"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监测频率</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5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数据治理平台</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124"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系统功能，调度服务</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68"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各组件运行状态、任务调度情况、作业执行时间</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42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每天</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5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扬帆数据</w:t>
            </w:r>
            <w:r>
              <w:rPr>
                <w:rFonts w:hint="eastAsia"/>
                <w:color w:val="000000"/>
                <w:sz w:val="21"/>
                <w:szCs w:val="21"/>
              </w:rPr>
              <w:t xml:space="preserve">中心</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124"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系统功能，对应服务</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68"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系统各项功能服务稳定运行、数据更新正常</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42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每天</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5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数据建模平台</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124"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系统功能</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68"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模型运算、模型共享接口执行正常</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42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每天</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51"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数据资源目录</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124"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系统功能</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68"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接入数据清单和数据量、对外共享服务正常</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42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每天</w:t>
            </w:r>
            <w:r/>
          </w:p>
        </w:tc>
      </w:tr>
    </w:tbl>
    <w:p>
      <w:pPr>
        <w:pStyle w:val="928"/>
        <w:numPr>
          <w:ilvl w:val="0"/>
          <w:numId w:val="57"/>
        </w:numPr>
        <w:ind w:firstLine="422"/>
        <w:spacing w:line="360" w:lineRule="auto"/>
        <w:rPr>
          <w:rFonts w:hint="eastAsia"/>
          <w:b/>
          <w:bCs/>
          <w:color w:val="000000"/>
          <w:sz w:val="21"/>
          <w:szCs w:val="21"/>
        </w:rPr>
      </w:pPr>
      <w:r>
        <w:rPr>
          <w:rFonts w:hint="eastAsia"/>
          <w:b/>
          <w:bCs/>
          <w:color w:val="000000"/>
          <w:sz w:val="21"/>
          <w:szCs w:val="21"/>
        </w:rPr>
        <w:t xml:space="preserve">数据运维</w:t>
      </w:r>
      <w:r/>
    </w:p>
    <w:tbl>
      <w:tblPr>
        <w:tblW w:w="8878"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1339"/>
        <w:gridCol w:w="2148"/>
        <w:gridCol w:w="4056"/>
        <w:gridCol w:w="1335"/>
      </w:tblGrid>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39" w:type="dxa"/>
            <w:vAlign w:val="center"/>
            <w:textDirection w:val="lrTb"/>
            <w:noWrap w:val="false"/>
          </w:tcPr>
          <w:p>
            <w:pPr>
              <w:pStyle w:val="928"/>
              <w:spacing w:line="360" w:lineRule="auto"/>
              <w:rPr>
                <w:rFonts w:hint="eastAsia"/>
                <w:color w:val="000000"/>
                <w:sz w:val="21"/>
                <w:szCs w:val="21"/>
              </w:rPr>
            </w:pPr>
            <w:r>
              <w:rPr>
                <w:rFonts w:hint="eastAsia"/>
                <w:b/>
                <w:bCs/>
                <w:color w:val="000000"/>
                <w:sz w:val="21"/>
                <w:szCs w:val="21"/>
              </w:rPr>
              <w:t xml:space="preserve">项目</w:t>
            </w:r>
            <w:r>
              <w:rPr>
                <w:rFonts w:hint="eastAsia"/>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148" w:type="dxa"/>
            <w:vAlign w:val="center"/>
            <w:textDirection w:val="lrTb"/>
            <w:noWrap w:val="false"/>
          </w:tcPr>
          <w:p>
            <w:pPr>
              <w:pStyle w:val="928"/>
              <w:spacing w:line="360" w:lineRule="auto"/>
              <w:rPr>
                <w:rFonts w:hint="eastAsia"/>
                <w:b/>
                <w:bCs/>
                <w:color w:val="000000"/>
                <w:sz w:val="21"/>
                <w:szCs w:val="21"/>
              </w:rPr>
            </w:pPr>
            <w:r>
              <w:rPr>
                <w:rFonts w:hint="eastAsia"/>
                <w:b/>
                <w:bCs/>
                <w:color w:val="000000"/>
                <w:sz w:val="21"/>
                <w:szCs w:val="21"/>
              </w:rPr>
              <w:t xml:space="preserve">详情</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56" w:type="dxa"/>
            <w:vAlign w:val="center"/>
            <w:textDirection w:val="lrTb"/>
            <w:noWrap w:val="false"/>
          </w:tcPr>
          <w:p>
            <w:pPr>
              <w:pStyle w:val="928"/>
              <w:spacing w:line="360" w:lineRule="auto"/>
              <w:rPr>
                <w:rFonts w:hint="eastAsia"/>
                <w:b/>
                <w:bCs/>
                <w:color w:val="000000"/>
                <w:sz w:val="21"/>
                <w:szCs w:val="21"/>
              </w:rPr>
            </w:pPr>
            <w:r>
              <w:rPr>
                <w:rFonts w:hint="eastAsia"/>
                <w:b/>
                <w:bCs/>
                <w:color w:val="000000"/>
                <w:sz w:val="21"/>
                <w:szCs w:val="21"/>
              </w:rPr>
              <w:t xml:space="preserve">监测指标</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335" w:type="dxa"/>
            <w:vAlign w:val="center"/>
            <w:textDirection w:val="lrTb"/>
            <w:noWrap w:val="false"/>
          </w:tcPr>
          <w:p>
            <w:pPr>
              <w:pStyle w:val="928"/>
              <w:spacing w:line="360" w:lineRule="auto"/>
              <w:rPr>
                <w:rFonts w:hint="eastAsia"/>
                <w:b/>
                <w:bCs/>
                <w:color w:val="000000"/>
                <w:sz w:val="21"/>
                <w:szCs w:val="21"/>
              </w:rPr>
            </w:pPr>
            <w:r>
              <w:rPr>
                <w:rFonts w:hint="eastAsia"/>
                <w:b/>
                <w:bCs/>
                <w:color w:val="000000"/>
                <w:sz w:val="21"/>
                <w:szCs w:val="21"/>
              </w:rPr>
              <w:t xml:space="preserve">监测频率</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39"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数据采集</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148"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数据源、采集频率</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56"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采集数据量、数据质量</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335"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每天</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39"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数据存储</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148"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存储格式、位置</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56"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存储容量增长趋势、备份策略执行情况</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335"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每天</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216" w:type="dxa"/>
              <w:top w:w="144" w:type="dxa"/>
              <w:right w:w="216" w:type="dxa"/>
              <w:bottom w:w="144" w:type="dxa"/>
            </w:tcMar>
            <w:tcW w:w="1339"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数据共享</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2148"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任务类型、执行频率</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4056"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分析共享接口是否正常</w:t>
            </w:r>
            <w:r/>
          </w:p>
        </w:tc>
        <w:tc>
          <w:tcPr>
            <w:shd w:val="clear" w:color="auto" w:fill="ffffff"/>
            <w:tcBorders>
              <w:top w:val="single" w:color="000000" w:sz="4" w:space="0"/>
              <w:left w:val="none" w:color="000000" w:sz="4" w:space="0"/>
              <w:bottom w:val="single" w:color="000000" w:sz="4" w:space="0"/>
              <w:right w:val="single" w:color="000000" w:sz="4" w:space="0"/>
            </w:tcBorders>
            <w:tcMar>
              <w:left w:w="216" w:type="dxa"/>
              <w:top w:w="144" w:type="dxa"/>
              <w:right w:w="216" w:type="dxa"/>
              <w:bottom w:w="144" w:type="dxa"/>
            </w:tcMar>
            <w:tcW w:w="1335" w:type="dxa"/>
            <w:vAlign w:val="center"/>
            <w:textDirection w:val="lrTb"/>
            <w:noWrap w:val="false"/>
          </w:tcPr>
          <w:p>
            <w:pPr>
              <w:pStyle w:val="928"/>
              <w:spacing w:line="360" w:lineRule="auto"/>
              <w:rPr>
                <w:rFonts w:hint="eastAsia"/>
                <w:color w:val="000000"/>
                <w:sz w:val="21"/>
                <w:szCs w:val="21"/>
              </w:rPr>
            </w:pPr>
            <w:r>
              <w:rPr>
                <w:rFonts w:hint="eastAsia"/>
                <w:color w:val="000000"/>
                <w:sz w:val="21"/>
                <w:szCs w:val="21"/>
              </w:rPr>
              <w:t xml:space="preserve">每天</w:t>
            </w:r>
            <w:r/>
          </w:p>
        </w:tc>
      </w:tr>
    </w:tbl>
    <w:p>
      <w:pPr>
        <w:pStyle w:val="928"/>
        <w:ind w:firstLine="422"/>
        <w:spacing w:line="360" w:lineRule="auto"/>
        <w:rPr>
          <w:rFonts w:hint="eastAsia" w:cs="黑体"/>
          <w:b/>
          <w:bCs/>
          <w:color w:val="000000"/>
        </w:rPr>
      </w:pPr>
      <w:r>
        <w:rPr>
          <w:rFonts w:hint="eastAsia"/>
          <w:b/>
          <w:bCs/>
          <w:color w:val="000000"/>
          <w:sz w:val="21"/>
          <w:szCs w:val="21"/>
        </w:rPr>
        <w:t xml:space="preserve">驻场服务清单：</w:t>
      </w:r>
      <w:r>
        <w:rPr>
          <w:rFonts w:hint="eastAsia" w:cs="黑体"/>
          <w:b/>
          <w:bCs/>
          <w:color w:val="000000"/>
        </w:rPr>
      </w:r>
      <w:r/>
    </w:p>
    <w:p>
      <w:pPr>
        <w:pStyle w:val="928"/>
        <w:ind w:firstLine="420"/>
        <w:spacing w:line="360" w:lineRule="auto"/>
        <w:rPr>
          <w:rFonts w:hint="eastAsia"/>
          <w:b/>
          <w:bCs/>
          <w:color w:val="000000"/>
          <w:sz w:val="21"/>
          <w:szCs w:val="21"/>
        </w:rPr>
      </w:pPr>
      <w:r>
        <w:rPr>
          <w:rFonts w:hint="eastAsia"/>
          <w:color w:val="000000"/>
          <w:sz w:val="21"/>
          <w:szCs w:val="21"/>
        </w:rPr>
        <w:t xml:space="preserve">驻场服务2人，工作时间与公安局机关一致，午饭自理。对突发故障须做到7*24小时响应维护并修复。</w:t>
      </w:r>
      <w:r>
        <w:rPr>
          <w:rFonts w:hint="eastAsia"/>
          <w:b/>
          <w:bCs/>
          <w:color w:val="000000"/>
          <w:sz w:val="21"/>
          <w:szCs w:val="21"/>
        </w:rPr>
      </w:r>
      <w:r/>
    </w:p>
    <w:p>
      <w:pPr>
        <w:pStyle w:val="928"/>
        <w:numPr>
          <w:ilvl w:val="0"/>
          <w:numId w:val="58"/>
        </w:numPr>
        <w:ind w:firstLine="422"/>
        <w:spacing w:line="360" w:lineRule="auto"/>
        <w:rPr>
          <w:rFonts w:hint="eastAsia"/>
          <w:color w:val="000000"/>
          <w:sz w:val="21"/>
          <w:szCs w:val="21"/>
        </w:rPr>
      </w:pPr>
      <w:r>
        <w:rPr>
          <w:rFonts w:hint="eastAsia"/>
          <w:b/>
          <w:bCs/>
          <w:color w:val="000000"/>
          <w:sz w:val="21"/>
          <w:szCs w:val="21"/>
        </w:rPr>
        <w:t xml:space="preserve">日常运维服务</w:t>
      </w:r>
      <w:r>
        <w:rPr>
          <w:rFonts w:hint="eastAsia"/>
          <w:color w:val="000000"/>
          <w:sz w:val="21"/>
          <w:szCs w:val="21"/>
        </w:rPr>
      </w:r>
      <w:r/>
    </w:p>
    <w:p>
      <w:pPr>
        <w:pStyle w:val="928"/>
        <w:ind w:firstLine="420"/>
        <w:spacing w:line="360" w:lineRule="auto"/>
        <w:rPr>
          <w:rFonts w:hint="eastAsia"/>
          <w:color w:val="000000"/>
          <w:sz w:val="21"/>
          <w:szCs w:val="21"/>
        </w:rPr>
      </w:pPr>
      <w:r>
        <w:rPr>
          <w:rFonts w:hint="eastAsia"/>
          <w:color w:val="000000"/>
          <w:sz w:val="21"/>
          <w:szCs w:val="21"/>
        </w:rPr>
        <w:t xml:space="preserve">1.系统监控</w:t>
      </w:r>
      <w:r/>
    </w:p>
    <w:p>
      <w:pPr>
        <w:pStyle w:val="928"/>
        <w:ind w:firstLine="420"/>
        <w:spacing w:line="360" w:lineRule="auto"/>
        <w:rPr>
          <w:rFonts w:hint="eastAsia"/>
          <w:color w:val="000000"/>
          <w:sz w:val="21"/>
          <w:szCs w:val="21"/>
        </w:rPr>
      </w:pPr>
      <w:r>
        <w:rPr>
          <w:rFonts w:hint="eastAsia"/>
          <w:color w:val="000000"/>
          <w:sz w:val="21"/>
          <w:szCs w:val="21"/>
        </w:rPr>
        <w:t xml:space="preserve">对系统硬件设备（服务器、存储设备等）进行实时监控，包括设备的运行状态、性能指标（如 CPU 使用率、内存使用率、磁盘空间等）。</w:t>
      </w:r>
      <w:r/>
    </w:p>
    <w:p>
      <w:pPr>
        <w:pStyle w:val="928"/>
        <w:ind w:firstLine="420"/>
        <w:spacing w:line="360" w:lineRule="auto"/>
        <w:rPr>
          <w:rFonts w:hint="eastAsia"/>
          <w:color w:val="000000"/>
          <w:sz w:val="21"/>
          <w:szCs w:val="21"/>
        </w:rPr>
      </w:pPr>
      <w:r>
        <w:rPr>
          <w:rFonts w:hint="eastAsia"/>
          <w:color w:val="000000"/>
          <w:sz w:val="21"/>
          <w:szCs w:val="21"/>
        </w:rPr>
        <w:t xml:space="preserve">监控大数据组件运行状态，如 mppdp、ES、kafka 等。</w:t>
      </w:r>
      <w:r/>
    </w:p>
    <w:p>
      <w:pPr>
        <w:pStyle w:val="928"/>
        <w:ind w:firstLine="420"/>
        <w:spacing w:line="360" w:lineRule="auto"/>
        <w:rPr>
          <w:rFonts w:hint="eastAsia"/>
          <w:color w:val="000000"/>
          <w:sz w:val="21"/>
          <w:szCs w:val="21"/>
        </w:rPr>
      </w:pPr>
      <w:r>
        <w:rPr>
          <w:rFonts w:hint="eastAsia"/>
          <w:color w:val="000000"/>
          <w:sz w:val="21"/>
          <w:szCs w:val="21"/>
        </w:rPr>
        <w:t xml:space="preserve">2.系统维护</w:t>
      </w:r>
      <w:r/>
    </w:p>
    <w:p>
      <w:pPr>
        <w:pStyle w:val="928"/>
        <w:ind w:firstLine="420"/>
        <w:spacing w:line="360" w:lineRule="auto"/>
        <w:rPr>
          <w:rFonts w:hint="eastAsia"/>
          <w:color w:val="000000"/>
          <w:sz w:val="21"/>
          <w:szCs w:val="21"/>
        </w:rPr>
      </w:pPr>
      <w:r>
        <w:rPr>
          <w:rFonts w:hint="eastAsia"/>
          <w:color w:val="000000"/>
          <w:sz w:val="21"/>
          <w:szCs w:val="21"/>
        </w:rPr>
        <w:t xml:space="preserve">对系统软件进行升级、补丁安装等维护工作，确保系统的稳定性和安全性。</w:t>
      </w:r>
      <w:r/>
    </w:p>
    <w:p>
      <w:pPr>
        <w:pStyle w:val="928"/>
        <w:ind w:firstLine="420"/>
        <w:spacing w:line="360" w:lineRule="auto"/>
        <w:rPr>
          <w:rFonts w:hint="eastAsia"/>
          <w:color w:val="000000"/>
          <w:sz w:val="21"/>
          <w:szCs w:val="21"/>
        </w:rPr>
      </w:pPr>
      <w:r>
        <w:rPr>
          <w:rFonts w:hint="eastAsia"/>
          <w:color w:val="000000"/>
          <w:sz w:val="21"/>
          <w:szCs w:val="21"/>
        </w:rPr>
        <w:t xml:space="preserve">3.系统优化</w:t>
      </w:r>
      <w:r/>
    </w:p>
    <w:p>
      <w:pPr>
        <w:pStyle w:val="928"/>
        <w:ind w:firstLine="420"/>
        <w:spacing w:line="360" w:lineRule="auto"/>
        <w:rPr>
          <w:rFonts w:hint="eastAsia"/>
          <w:color w:val="000000"/>
          <w:sz w:val="21"/>
          <w:szCs w:val="21"/>
        </w:rPr>
      </w:pPr>
      <w:r>
        <w:rPr>
          <w:rFonts w:hint="eastAsia"/>
          <w:color w:val="000000"/>
          <w:sz w:val="21"/>
          <w:szCs w:val="21"/>
        </w:rPr>
        <w:t xml:space="preserve">从用户体验的角度出发，评估软件系统的用户界面是否简洁、易用、高效。对用户界面进行优化，包括改进布局、优化交互流程、提高界面的响应速度等，以提升用户的满意度</w:t>
      </w:r>
      <w:r>
        <w:rPr>
          <w:rFonts w:hint="eastAsia"/>
          <w:color w:val="000000"/>
          <w:sz w:val="21"/>
          <w:szCs w:val="21"/>
        </w:rPr>
        <w:t xml:space="preserve">和工作效率。</w:t>
      </w:r>
      <w:r/>
    </w:p>
    <w:p>
      <w:pPr>
        <w:pStyle w:val="928"/>
        <w:ind w:firstLine="420"/>
        <w:spacing w:line="360" w:lineRule="auto"/>
        <w:rPr>
          <w:rFonts w:hint="eastAsia"/>
          <w:color w:val="000000"/>
          <w:sz w:val="21"/>
          <w:szCs w:val="21"/>
        </w:rPr>
      </w:pPr>
      <w:r>
        <w:rPr>
          <w:rFonts w:hint="eastAsia"/>
          <w:color w:val="000000"/>
          <w:sz w:val="21"/>
          <w:szCs w:val="21"/>
        </w:rPr>
        <w:t xml:space="preserve">系统在运行过程中出现的问题，及时进行修复优化。</w:t>
      </w:r>
      <w:r/>
    </w:p>
    <w:p>
      <w:pPr>
        <w:pStyle w:val="928"/>
        <w:ind w:left="420"/>
        <w:spacing w:line="360" w:lineRule="auto"/>
        <w:rPr>
          <w:rFonts w:hint="eastAsia"/>
          <w:color w:val="000000"/>
          <w:sz w:val="21"/>
          <w:szCs w:val="21"/>
        </w:rPr>
      </w:pPr>
      <w:r>
        <w:rPr>
          <w:rFonts w:hint="eastAsia"/>
          <w:color w:val="000000"/>
          <w:sz w:val="21"/>
          <w:szCs w:val="21"/>
        </w:rPr>
        <w:t xml:space="preserve">4.数据治理</w:t>
      </w:r>
      <w:r/>
    </w:p>
    <w:p>
      <w:pPr>
        <w:pStyle w:val="928"/>
        <w:ind w:firstLine="420"/>
        <w:spacing w:line="360" w:lineRule="auto"/>
        <w:rPr>
          <w:rFonts w:hint="eastAsia"/>
          <w:color w:val="000000"/>
          <w:sz w:val="21"/>
          <w:szCs w:val="21"/>
        </w:rPr>
      </w:pPr>
      <w:r>
        <w:rPr>
          <w:rFonts w:hint="eastAsia"/>
          <w:color w:val="000000"/>
          <w:sz w:val="21"/>
          <w:szCs w:val="21"/>
        </w:rPr>
        <w:t xml:space="preserve">对接上级苏州总线及本地业务系统数据，合理建立数据更新频率和推送机制；以便及时获取最新的数据，为赋能其他警种及开发单位提供数据服务。</w:t>
      </w:r>
      <w:r/>
    </w:p>
    <w:p>
      <w:pPr>
        <w:pStyle w:val="928"/>
        <w:ind w:firstLine="420"/>
        <w:spacing w:line="360" w:lineRule="auto"/>
        <w:rPr>
          <w:rFonts w:hint="eastAsia"/>
          <w:color w:val="000000"/>
          <w:sz w:val="21"/>
          <w:szCs w:val="21"/>
        </w:rPr>
      </w:pPr>
      <w:r>
        <w:rPr>
          <w:rFonts w:hint="eastAsia"/>
          <w:color w:val="000000"/>
          <w:sz w:val="21"/>
          <w:szCs w:val="21"/>
        </w:rPr>
        <w:t xml:space="preserve">5.安全管理</w:t>
      </w:r>
      <w:r/>
    </w:p>
    <w:p>
      <w:pPr>
        <w:pStyle w:val="928"/>
        <w:ind w:firstLine="420"/>
        <w:spacing w:line="360" w:lineRule="auto"/>
        <w:rPr>
          <w:rFonts w:hint="eastAsia"/>
          <w:color w:val="000000"/>
          <w:sz w:val="21"/>
          <w:szCs w:val="21"/>
        </w:rPr>
      </w:pPr>
      <w:r>
        <w:rPr>
          <w:rFonts w:hint="eastAsia"/>
          <w:color w:val="000000"/>
          <w:sz w:val="21"/>
          <w:szCs w:val="21"/>
        </w:rPr>
        <w:t xml:space="preserve">协助客户制定大数据中心的安全策略，包括访问控制、数据加密、用户认证等。</w:t>
      </w:r>
      <w:r/>
    </w:p>
    <w:p>
      <w:pPr>
        <w:pStyle w:val="928"/>
        <w:ind w:firstLine="420"/>
        <w:spacing w:line="360" w:lineRule="auto"/>
        <w:rPr>
          <w:rFonts w:hint="eastAsia"/>
          <w:color w:val="000000"/>
          <w:sz w:val="21"/>
          <w:szCs w:val="21"/>
        </w:rPr>
      </w:pPr>
      <w:r>
        <w:rPr>
          <w:rFonts w:hint="eastAsia"/>
          <w:color w:val="000000"/>
          <w:sz w:val="21"/>
          <w:szCs w:val="21"/>
        </w:rPr>
        <w:t xml:space="preserve">对用户的访问权限进行管理，确保用户只能访问其被授权的资源。</w:t>
      </w:r>
      <w:r/>
    </w:p>
    <w:p>
      <w:pPr>
        <w:pStyle w:val="928"/>
        <w:ind w:firstLine="420"/>
        <w:spacing w:line="360" w:lineRule="auto"/>
        <w:rPr>
          <w:rFonts w:hint="eastAsia"/>
          <w:color w:val="000000"/>
          <w:sz w:val="21"/>
          <w:szCs w:val="21"/>
        </w:rPr>
      </w:pPr>
      <w:r>
        <w:rPr>
          <w:rFonts w:hint="eastAsia"/>
          <w:color w:val="000000"/>
          <w:sz w:val="21"/>
          <w:szCs w:val="21"/>
        </w:rPr>
        <w:t xml:space="preserve">定期进行安全审计，发现安全漏洞及时进行修复。</w:t>
      </w:r>
      <w:r/>
    </w:p>
    <w:p>
      <w:pPr>
        <w:pStyle w:val="928"/>
        <w:numPr>
          <w:ilvl w:val="0"/>
          <w:numId w:val="58"/>
        </w:numPr>
        <w:ind w:firstLine="422"/>
        <w:spacing w:line="360" w:lineRule="auto"/>
        <w:rPr>
          <w:rFonts w:hint="eastAsia"/>
          <w:b/>
          <w:bCs/>
          <w:color w:val="000000"/>
          <w:sz w:val="21"/>
          <w:szCs w:val="21"/>
        </w:rPr>
      </w:pPr>
      <w:r>
        <w:rPr>
          <w:rFonts w:hint="eastAsia"/>
          <w:b/>
          <w:bCs/>
          <w:color w:val="000000"/>
          <w:sz w:val="21"/>
          <w:szCs w:val="21"/>
        </w:rPr>
        <w:t xml:space="preserve">性能优化服务</w:t>
      </w:r>
      <w:r/>
    </w:p>
    <w:p>
      <w:pPr>
        <w:pStyle w:val="928"/>
        <w:ind w:firstLine="420"/>
        <w:spacing w:line="360" w:lineRule="auto"/>
        <w:rPr>
          <w:rFonts w:hint="eastAsia"/>
          <w:color w:val="000000"/>
          <w:sz w:val="21"/>
          <w:szCs w:val="21"/>
        </w:rPr>
      </w:pPr>
      <w:r>
        <w:rPr>
          <w:rFonts w:hint="eastAsia"/>
          <w:color w:val="000000"/>
          <w:sz w:val="21"/>
          <w:szCs w:val="21"/>
        </w:rPr>
        <w:t xml:space="preserve">1.性能监测</w:t>
      </w:r>
      <w:r/>
    </w:p>
    <w:p>
      <w:pPr>
        <w:pStyle w:val="928"/>
        <w:ind w:firstLine="420"/>
        <w:spacing w:line="360" w:lineRule="auto"/>
        <w:rPr>
          <w:rFonts w:hint="eastAsia"/>
          <w:color w:val="000000"/>
          <w:sz w:val="21"/>
          <w:szCs w:val="21"/>
        </w:rPr>
      </w:pPr>
      <w:r>
        <w:rPr>
          <w:rFonts w:hint="eastAsia"/>
          <w:color w:val="000000"/>
          <w:sz w:val="21"/>
          <w:szCs w:val="21"/>
        </w:rPr>
        <w:t xml:space="preserve">对系统性能进行实时监测，包括 CPU 使用率、内存使用率、磁盘 IO、等指标。</w:t>
      </w:r>
      <w:r/>
    </w:p>
    <w:p>
      <w:pPr>
        <w:pStyle w:val="928"/>
        <w:ind w:firstLine="420"/>
        <w:spacing w:line="360" w:lineRule="auto"/>
        <w:rPr>
          <w:rFonts w:hint="eastAsia"/>
          <w:color w:val="000000"/>
          <w:sz w:val="21"/>
          <w:szCs w:val="21"/>
        </w:rPr>
      </w:pPr>
      <w:r>
        <w:rPr>
          <w:rFonts w:hint="eastAsia"/>
          <w:color w:val="000000"/>
          <w:sz w:val="21"/>
          <w:szCs w:val="21"/>
        </w:rPr>
        <w:t xml:space="preserve">对平台的任务执行情况进行监测，包括任务进度、执行时间、资源使用情况等。</w:t>
      </w:r>
      <w:r/>
    </w:p>
    <w:p>
      <w:pPr>
        <w:pStyle w:val="928"/>
        <w:ind w:firstLine="420"/>
        <w:spacing w:line="360" w:lineRule="auto"/>
        <w:rPr>
          <w:rFonts w:hint="eastAsia"/>
          <w:color w:val="000000"/>
          <w:sz w:val="21"/>
          <w:szCs w:val="21"/>
        </w:rPr>
      </w:pPr>
      <w:r>
        <w:rPr>
          <w:rFonts w:hint="eastAsia"/>
          <w:color w:val="000000"/>
          <w:sz w:val="21"/>
          <w:szCs w:val="21"/>
        </w:rPr>
        <w:t xml:space="preserve">根据性能监测结果，对系统性能进行分析，找出性能瓶颈所在。</w:t>
      </w:r>
      <w:r/>
    </w:p>
    <w:p>
      <w:pPr>
        <w:pStyle w:val="928"/>
        <w:ind w:firstLine="420"/>
        <w:spacing w:line="360" w:lineRule="auto"/>
        <w:rPr>
          <w:rFonts w:hint="eastAsia"/>
          <w:color w:val="000000"/>
          <w:sz w:val="21"/>
          <w:szCs w:val="21"/>
        </w:rPr>
      </w:pPr>
      <w:r>
        <w:rPr>
          <w:rFonts w:hint="eastAsia"/>
          <w:color w:val="000000"/>
          <w:sz w:val="21"/>
          <w:szCs w:val="21"/>
        </w:rPr>
        <w:t xml:space="preserve">分析任务执行情况，找出任务执行时间过长、资源使用不合理等问题。</w:t>
      </w:r>
      <w:r/>
    </w:p>
    <w:p>
      <w:pPr>
        <w:pStyle w:val="928"/>
        <w:ind w:firstLine="420"/>
        <w:spacing w:line="360" w:lineRule="auto"/>
        <w:rPr>
          <w:rFonts w:hint="eastAsia"/>
          <w:color w:val="000000"/>
          <w:sz w:val="21"/>
          <w:szCs w:val="21"/>
        </w:rPr>
      </w:pPr>
      <w:r>
        <w:rPr>
          <w:rFonts w:hint="eastAsia"/>
          <w:color w:val="000000"/>
          <w:sz w:val="21"/>
          <w:szCs w:val="21"/>
        </w:rPr>
        <w:t xml:space="preserve">2.性能优化</w:t>
      </w:r>
      <w:r/>
    </w:p>
    <w:p>
      <w:pPr>
        <w:pStyle w:val="928"/>
        <w:ind w:firstLine="420"/>
        <w:spacing w:line="360" w:lineRule="auto"/>
        <w:rPr>
          <w:rFonts w:hint="eastAsia"/>
          <w:color w:val="000000"/>
          <w:sz w:val="21"/>
          <w:szCs w:val="21"/>
        </w:rPr>
      </w:pPr>
      <w:r>
        <w:rPr>
          <w:rFonts w:hint="eastAsia"/>
          <w:color w:val="000000"/>
          <w:sz w:val="21"/>
          <w:szCs w:val="21"/>
        </w:rPr>
        <w:t xml:space="preserve">根据性能分析结果，制定性能优化方案，包括硬件升级、软件优化、参数调整等。</w:t>
      </w:r>
      <w:r/>
    </w:p>
    <w:p>
      <w:pPr>
        <w:pStyle w:val="928"/>
        <w:ind w:firstLine="420"/>
        <w:spacing w:line="360" w:lineRule="auto"/>
        <w:rPr>
          <w:rFonts w:hint="eastAsia"/>
          <w:color w:val="000000"/>
          <w:sz w:val="21"/>
          <w:szCs w:val="21"/>
        </w:rPr>
      </w:pPr>
      <w:r>
        <w:rPr>
          <w:rFonts w:hint="eastAsia"/>
          <w:color w:val="000000"/>
          <w:sz w:val="21"/>
          <w:szCs w:val="21"/>
        </w:rPr>
        <w:t xml:space="preserve">对数据治理平台进行优化，如调整任务调度策略、优化数据存储方式等。</w:t>
      </w:r>
      <w:r/>
    </w:p>
    <w:p>
      <w:pPr>
        <w:pStyle w:val="928"/>
        <w:ind w:firstLine="420"/>
        <w:spacing w:line="360" w:lineRule="auto"/>
        <w:rPr>
          <w:rFonts w:hint="eastAsia"/>
          <w:color w:val="000000"/>
          <w:sz w:val="21"/>
          <w:szCs w:val="21"/>
        </w:rPr>
      </w:pPr>
      <w:r>
        <w:rPr>
          <w:rFonts w:hint="eastAsia"/>
          <w:color w:val="000000"/>
          <w:sz w:val="21"/>
          <w:szCs w:val="21"/>
        </w:rPr>
        <w:t xml:space="preserve">对数据库系统进行优化，如调整参数、优化查询语句、建立索引等。</w:t>
      </w:r>
      <w:r/>
    </w:p>
    <w:p>
      <w:pPr>
        <w:pStyle w:val="928"/>
        <w:ind w:firstLine="420"/>
        <w:spacing w:line="360" w:lineRule="auto"/>
        <w:rPr>
          <w:rFonts w:hint="eastAsia"/>
          <w:color w:val="000000"/>
          <w:sz w:val="21"/>
          <w:szCs w:val="21"/>
        </w:rPr>
      </w:pPr>
      <w:r>
        <w:rPr>
          <w:rFonts w:hint="eastAsia"/>
          <w:color w:val="000000"/>
          <w:sz w:val="21"/>
          <w:szCs w:val="21"/>
        </w:rPr>
        <w:t xml:space="preserve">对系统性能进行持续优化，确保系统始终保持良好的性能状态。</w:t>
      </w:r>
      <w:r/>
    </w:p>
    <w:p>
      <w:pPr>
        <w:pStyle w:val="928"/>
        <w:numPr>
          <w:ilvl w:val="0"/>
          <w:numId w:val="58"/>
        </w:numPr>
        <w:ind w:firstLine="422"/>
        <w:spacing w:line="360" w:lineRule="auto"/>
        <w:rPr>
          <w:rFonts w:hint="eastAsia"/>
          <w:b/>
          <w:bCs/>
          <w:color w:val="000000"/>
          <w:sz w:val="21"/>
          <w:szCs w:val="21"/>
        </w:rPr>
      </w:pPr>
      <w:r>
        <w:rPr>
          <w:rFonts w:hint="eastAsia"/>
          <w:b/>
          <w:bCs/>
          <w:color w:val="000000"/>
          <w:sz w:val="21"/>
          <w:szCs w:val="21"/>
        </w:rPr>
        <w:t xml:space="preserve">问题处理服务</w:t>
      </w:r>
      <w:r/>
    </w:p>
    <w:p>
      <w:pPr>
        <w:pStyle w:val="928"/>
        <w:ind w:firstLine="420"/>
        <w:spacing w:line="360" w:lineRule="auto"/>
        <w:rPr>
          <w:rFonts w:hint="eastAsia"/>
          <w:color w:val="000000"/>
          <w:sz w:val="21"/>
          <w:szCs w:val="21"/>
        </w:rPr>
      </w:pPr>
      <w:r>
        <w:rPr>
          <w:rFonts w:hint="eastAsia"/>
          <w:color w:val="000000"/>
          <w:sz w:val="21"/>
          <w:szCs w:val="21"/>
        </w:rPr>
        <w:t xml:space="preserve">1.故障诊断</w:t>
      </w:r>
      <w:r/>
    </w:p>
    <w:p>
      <w:pPr>
        <w:pStyle w:val="928"/>
        <w:ind w:firstLine="420"/>
        <w:spacing w:line="360" w:lineRule="auto"/>
        <w:rPr>
          <w:rFonts w:hint="eastAsia"/>
          <w:color w:val="000000"/>
          <w:sz w:val="21"/>
          <w:szCs w:val="21"/>
        </w:rPr>
      </w:pPr>
      <w:r>
        <w:rPr>
          <w:rFonts w:hint="eastAsia"/>
          <w:color w:val="000000"/>
          <w:sz w:val="21"/>
          <w:szCs w:val="21"/>
        </w:rPr>
        <w:t xml:space="preserve">实行7x24小时监控</w:t>
      </w:r>
      <w:r>
        <w:rPr>
          <w:rFonts w:hint="eastAsia"/>
          <w:color w:val="000000"/>
          <w:sz w:val="21"/>
          <w:szCs w:val="21"/>
        </w:rPr>
        <w:t xml:space="preserve">，利用自动化工具对系统状态、网络状态、服务状态进行实时监测。</w:t>
      </w:r>
      <w:r/>
    </w:p>
    <w:p>
      <w:pPr>
        <w:pStyle w:val="928"/>
        <w:ind w:firstLine="420"/>
        <w:spacing w:line="360" w:lineRule="auto"/>
        <w:rPr>
          <w:rFonts w:hint="eastAsia"/>
          <w:color w:val="000000"/>
          <w:sz w:val="21"/>
          <w:szCs w:val="21"/>
        </w:rPr>
      </w:pPr>
      <w:r>
        <w:rPr>
          <w:rFonts w:hint="eastAsia"/>
          <w:color w:val="000000"/>
          <w:sz w:val="21"/>
          <w:szCs w:val="21"/>
        </w:rPr>
        <w:t xml:space="preserve">每日/周/月定期巡检，包括硬件状态检查、软件日志审查、系统性能评估等。</w:t>
      </w:r>
      <w:r/>
    </w:p>
    <w:p>
      <w:pPr>
        <w:pStyle w:val="928"/>
        <w:ind w:firstLine="420"/>
        <w:spacing w:line="360" w:lineRule="auto"/>
        <w:rPr>
          <w:rFonts w:hint="eastAsia"/>
          <w:color w:val="000000"/>
          <w:sz w:val="21"/>
          <w:szCs w:val="21"/>
        </w:rPr>
      </w:pPr>
      <w:r>
        <w:rPr>
          <w:rFonts w:hint="eastAsia"/>
          <w:color w:val="000000"/>
          <w:sz w:val="21"/>
          <w:szCs w:val="21"/>
        </w:rPr>
        <w:t xml:space="preserve">定期进行系统补丁更新、确保系统稳定运行。当系统出现故障时，及时进行故障诊断，找出故障原因。</w:t>
      </w:r>
      <w:r/>
    </w:p>
    <w:p>
      <w:pPr>
        <w:pStyle w:val="928"/>
        <w:ind w:firstLine="420"/>
        <w:spacing w:line="360" w:lineRule="auto"/>
        <w:rPr>
          <w:rFonts w:hint="eastAsia"/>
          <w:color w:val="000000"/>
          <w:sz w:val="21"/>
          <w:szCs w:val="21"/>
        </w:rPr>
      </w:pPr>
      <w:r>
        <w:rPr>
          <w:rFonts w:hint="eastAsia"/>
          <w:color w:val="000000"/>
          <w:sz w:val="21"/>
          <w:szCs w:val="21"/>
        </w:rPr>
        <w:t xml:space="preserve">对硬件设备故障进行诊断，如服务器故障、存储设备故障、网络设备故障等。</w:t>
      </w:r>
      <w:r/>
    </w:p>
    <w:p>
      <w:pPr>
        <w:pStyle w:val="928"/>
        <w:ind w:firstLine="420"/>
        <w:spacing w:line="360" w:lineRule="auto"/>
        <w:rPr>
          <w:rFonts w:hint="eastAsia"/>
          <w:color w:val="000000"/>
          <w:sz w:val="21"/>
          <w:szCs w:val="21"/>
        </w:rPr>
      </w:pPr>
      <w:r>
        <w:rPr>
          <w:rFonts w:hint="eastAsia"/>
          <w:color w:val="000000"/>
          <w:sz w:val="21"/>
          <w:szCs w:val="21"/>
        </w:rPr>
        <w:t xml:space="preserve">对软件系统故障进行诊断，如操作系统故障、数据库系统故障等。</w:t>
      </w:r>
      <w:r/>
    </w:p>
    <w:p>
      <w:pPr>
        <w:pStyle w:val="928"/>
        <w:ind w:firstLine="420"/>
        <w:spacing w:line="360" w:lineRule="auto"/>
        <w:rPr>
          <w:rFonts w:hint="eastAsia"/>
          <w:color w:val="000000"/>
          <w:sz w:val="21"/>
          <w:szCs w:val="21"/>
        </w:rPr>
      </w:pPr>
      <w:r>
        <w:rPr>
          <w:rFonts w:hint="eastAsia"/>
          <w:color w:val="000000"/>
          <w:sz w:val="21"/>
          <w:szCs w:val="21"/>
        </w:rPr>
        <w:t xml:space="preserve">2.故障修复</w:t>
      </w:r>
      <w:r/>
    </w:p>
    <w:p>
      <w:pPr>
        <w:pStyle w:val="928"/>
        <w:ind w:firstLine="420"/>
        <w:spacing w:line="360" w:lineRule="auto"/>
        <w:rPr>
          <w:rFonts w:hint="eastAsia"/>
          <w:color w:val="000000"/>
          <w:sz w:val="21"/>
          <w:szCs w:val="21"/>
        </w:rPr>
      </w:pPr>
      <w:r>
        <w:rPr>
          <w:rFonts w:hint="eastAsia"/>
          <w:color w:val="000000"/>
          <w:sz w:val="21"/>
          <w:szCs w:val="21"/>
        </w:rPr>
        <w:t xml:space="preserve">根据故障诊断结果，及时进行故障修复，确保系统尽快恢复正常运行。</w:t>
      </w:r>
      <w:r/>
    </w:p>
    <w:p>
      <w:pPr>
        <w:pStyle w:val="928"/>
        <w:ind w:firstLine="420"/>
        <w:spacing w:line="360" w:lineRule="auto"/>
        <w:rPr>
          <w:rFonts w:hint="eastAsia"/>
          <w:color w:val="000000"/>
          <w:sz w:val="21"/>
          <w:szCs w:val="21"/>
        </w:rPr>
      </w:pPr>
      <w:r>
        <w:rPr>
          <w:rFonts w:hint="eastAsia"/>
          <w:color w:val="000000"/>
          <w:sz w:val="21"/>
          <w:szCs w:val="21"/>
        </w:rPr>
        <w:t xml:space="preserve">对软件系统故障进行修复，如重新启动服务、修复软件bug等。</w:t>
      </w:r>
      <w:r/>
    </w:p>
    <w:p>
      <w:pPr>
        <w:pStyle w:val="928"/>
        <w:ind w:firstLine="420"/>
        <w:spacing w:line="360" w:lineRule="auto"/>
        <w:rPr>
          <w:rFonts w:hint="eastAsia"/>
          <w:color w:val="000000"/>
          <w:sz w:val="21"/>
          <w:szCs w:val="21"/>
        </w:rPr>
      </w:pPr>
      <w:r>
        <w:rPr>
          <w:rFonts w:hint="eastAsia"/>
          <w:color w:val="000000"/>
          <w:sz w:val="21"/>
          <w:szCs w:val="21"/>
        </w:rPr>
        <w:t xml:space="preserve">对用户反馈问题进行修复，优化。</w:t>
      </w:r>
      <w:r/>
    </w:p>
    <w:p>
      <w:pPr>
        <w:pStyle w:val="928"/>
        <w:ind w:firstLine="420"/>
        <w:spacing w:line="360" w:lineRule="auto"/>
        <w:rPr>
          <w:rFonts w:hint="eastAsia"/>
          <w:color w:val="000000"/>
          <w:sz w:val="21"/>
          <w:szCs w:val="21"/>
        </w:rPr>
      </w:pPr>
      <w:r>
        <w:rPr>
          <w:rFonts w:hint="eastAsia"/>
          <w:color w:val="000000"/>
          <w:sz w:val="21"/>
          <w:szCs w:val="21"/>
        </w:rPr>
        <w:t xml:space="preserve">3.问题跟踪</w:t>
      </w:r>
      <w:r/>
    </w:p>
    <w:p>
      <w:pPr>
        <w:pStyle w:val="928"/>
        <w:ind w:firstLine="420"/>
        <w:spacing w:line="360" w:lineRule="auto"/>
        <w:rPr>
          <w:rFonts w:hint="eastAsia"/>
          <w:color w:val="000000"/>
          <w:sz w:val="21"/>
          <w:szCs w:val="21"/>
        </w:rPr>
      </w:pPr>
      <w:r>
        <w:rPr>
          <w:rFonts w:hint="eastAsia"/>
          <w:color w:val="000000"/>
          <w:sz w:val="21"/>
          <w:szCs w:val="21"/>
        </w:rPr>
        <w:t xml:space="preserve">对系统出现的问题进行跟踪，确保问题得到彻底解决。</w:t>
      </w:r>
      <w:r/>
    </w:p>
    <w:p>
      <w:pPr>
        <w:pStyle w:val="928"/>
        <w:ind w:firstLine="420"/>
        <w:spacing w:line="360" w:lineRule="auto"/>
        <w:rPr>
          <w:rFonts w:hint="eastAsia"/>
          <w:color w:val="000000"/>
          <w:sz w:val="21"/>
          <w:szCs w:val="21"/>
        </w:rPr>
      </w:pPr>
      <w:r>
        <w:rPr>
          <w:rFonts w:hint="eastAsia"/>
          <w:color w:val="000000"/>
          <w:sz w:val="21"/>
          <w:szCs w:val="21"/>
        </w:rPr>
        <w:t xml:space="preserve">记录问题的发生时间、现象、诊断结果、修复措施等信息。</w:t>
      </w:r>
      <w:r/>
    </w:p>
    <w:p>
      <w:pPr>
        <w:pStyle w:val="928"/>
        <w:ind w:firstLine="420"/>
        <w:spacing w:line="360" w:lineRule="auto"/>
        <w:rPr>
          <w:rFonts w:hint="eastAsia"/>
          <w:color w:val="000000"/>
          <w:sz w:val="21"/>
          <w:szCs w:val="21"/>
        </w:rPr>
      </w:pPr>
      <w:r>
        <w:rPr>
          <w:rFonts w:hint="eastAsia"/>
          <w:color w:val="000000"/>
          <w:sz w:val="21"/>
          <w:szCs w:val="21"/>
        </w:rPr>
        <w:t xml:space="preserve">对问题进行分类统计，分析问题的发生原因和趋势，为系统优化提供依据。</w:t>
      </w:r>
      <w:r/>
    </w:p>
    <w:p>
      <w:pPr>
        <w:pStyle w:val="928"/>
        <w:numPr>
          <w:ilvl w:val="0"/>
          <w:numId w:val="58"/>
        </w:numPr>
        <w:ind w:firstLine="422"/>
        <w:spacing w:line="360" w:lineRule="auto"/>
        <w:rPr>
          <w:rFonts w:hint="eastAsia"/>
          <w:b/>
          <w:bCs/>
          <w:color w:val="000000"/>
          <w:sz w:val="21"/>
          <w:szCs w:val="21"/>
        </w:rPr>
      </w:pPr>
      <w:r>
        <w:rPr>
          <w:rFonts w:hint="eastAsia"/>
          <w:b/>
          <w:bCs/>
          <w:color w:val="000000"/>
          <w:sz w:val="21"/>
          <w:szCs w:val="21"/>
        </w:rPr>
        <w:t xml:space="preserve">其他服务</w:t>
      </w:r>
      <w:r/>
    </w:p>
    <w:p>
      <w:pPr>
        <w:pStyle w:val="928"/>
        <w:ind w:firstLine="420"/>
        <w:spacing w:line="360" w:lineRule="auto"/>
        <w:rPr>
          <w:rFonts w:hint="eastAsia"/>
          <w:color w:val="000000"/>
          <w:sz w:val="21"/>
          <w:szCs w:val="21"/>
        </w:rPr>
      </w:pPr>
      <w:r>
        <w:rPr>
          <w:rFonts w:hint="eastAsia"/>
          <w:color w:val="000000"/>
          <w:sz w:val="21"/>
          <w:szCs w:val="21"/>
        </w:rPr>
        <w:t xml:space="preserve">1.参与客户的应急演练</w:t>
      </w:r>
      <w:r/>
    </w:p>
    <w:p>
      <w:pPr>
        <w:pStyle w:val="928"/>
        <w:ind w:firstLine="420"/>
        <w:spacing w:line="360" w:lineRule="auto"/>
        <w:rPr>
          <w:rFonts w:hint="eastAsia"/>
          <w:color w:val="000000"/>
          <w:sz w:val="21"/>
          <w:szCs w:val="21"/>
        </w:rPr>
      </w:pPr>
      <w:r>
        <w:rPr>
          <w:rFonts w:hint="eastAsia"/>
          <w:color w:val="000000"/>
          <w:sz w:val="21"/>
          <w:szCs w:val="21"/>
        </w:rPr>
        <w:t xml:space="preserve">参与客户的应急演练，制定应急预案，提高应对突发事件的能力。</w:t>
      </w:r>
      <w:r/>
    </w:p>
    <w:p>
      <w:pPr>
        <w:pStyle w:val="928"/>
        <w:ind w:firstLine="420"/>
        <w:spacing w:line="360" w:lineRule="auto"/>
        <w:rPr>
          <w:rFonts w:hint="eastAsia"/>
          <w:color w:val="000000"/>
          <w:sz w:val="21"/>
          <w:szCs w:val="21"/>
        </w:rPr>
      </w:pPr>
      <w:r>
        <w:rPr>
          <w:rFonts w:hint="eastAsia"/>
          <w:color w:val="000000"/>
          <w:sz w:val="21"/>
          <w:szCs w:val="21"/>
        </w:rPr>
        <w:t xml:space="preserve">在应急演练中，模拟系统故障、数据丢失等情况，检验应急预案的有效性。</w:t>
      </w:r>
      <w:r/>
    </w:p>
    <w:p>
      <w:pPr>
        <w:pStyle w:val="928"/>
        <w:ind w:firstLine="420"/>
        <w:spacing w:line="360" w:lineRule="auto"/>
        <w:rPr>
          <w:rFonts w:hint="eastAsia"/>
          <w:color w:val="000000"/>
          <w:sz w:val="21"/>
          <w:szCs w:val="21"/>
        </w:rPr>
      </w:pPr>
      <w:r>
        <w:rPr>
          <w:rFonts w:hint="eastAsia"/>
          <w:color w:val="000000"/>
          <w:sz w:val="21"/>
          <w:szCs w:val="21"/>
        </w:rPr>
        <w:t xml:space="preserve">对应急演练结果进行总结和分析，提出改进建议，完善应急预案。</w:t>
      </w:r>
      <w:r/>
    </w:p>
    <w:p>
      <w:pPr>
        <w:pStyle w:val="928"/>
        <w:ind w:firstLine="420"/>
        <w:spacing w:line="360" w:lineRule="auto"/>
        <w:rPr>
          <w:rFonts w:hint="eastAsia"/>
          <w:color w:val="000000"/>
          <w:sz w:val="21"/>
          <w:szCs w:val="21"/>
        </w:rPr>
      </w:pPr>
      <w:r>
        <w:rPr>
          <w:rFonts w:hint="eastAsia"/>
          <w:color w:val="000000"/>
          <w:sz w:val="21"/>
          <w:szCs w:val="21"/>
        </w:rPr>
        <w:t xml:space="preserve">2.定期汇报服务情况</w:t>
      </w:r>
      <w:r/>
    </w:p>
    <w:p>
      <w:pPr>
        <w:pStyle w:val="928"/>
        <w:ind w:firstLine="420"/>
        <w:spacing w:line="360" w:lineRule="auto"/>
        <w:rPr>
          <w:rFonts w:hint="eastAsia"/>
          <w:color w:val="000000"/>
          <w:sz w:val="21"/>
          <w:szCs w:val="21"/>
        </w:rPr>
      </w:pPr>
      <w:r>
        <w:rPr>
          <w:rFonts w:hint="eastAsia"/>
          <w:color w:val="000000"/>
          <w:sz w:val="21"/>
          <w:szCs w:val="21"/>
        </w:rPr>
        <w:t xml:space="preserve">定期向客户汇报系统运维服务情况，包括系统运行状态、问题处理情况、性能</w:t>
      </w:r>
      <w:r>
        <w:rPr>
          <w:rFonts w:hint="eastAsia"/>
          <w:color w:val="000000"/>
          <w:sz w:val="21"/>
          <w:szCs w:val="21"/>
        </w:rPr>
        <w:t xml:space="preserve">优化情况等。</w:t>
      </w:r>
      <w:r/>
    </w:p>
    <w:p>
      <w:pPr>
        <w:pStyle w:val="928"/>
        <w:ind w:firstLine="420"/>
        <w:spacing w:line="360" w:lineRule="auto"/>
        <w:rPr>
          <w:rFonts w:hint="eastAsia" w:ascii="Times New Roman" w:hAnsi="Times New Roman"/>
          <w:color w:val="000000"/>
        </w:rPr>
      </w:pPr>
      <w:r>
        <w:rPr>
          <w:rFonts w:hint="eastAsia"/>
          <w:color w:val="000000"/>
          <w:sz w:val="21"/>
          <w:szCs w:val="21"/>
        </w:rPr>
        <w:t xml:space="preserve">听取客户的意见和建议，不断改进服务质量，提高客户满意度。</w:t>
      </w:r>
      <w:r>
        <w:rPr>
          <w:rFonts w:hint="eastAsia" w:ascii="Times New Roman" w:hAnsi="Times New Roman"/>
          <w:color w:val="000000"/>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太仓市公安局110接处警系统运维</w:t>
      </w:r>
      <w:r>
        <w:rPr>
          <w:rFonts w:ascii="宋体" w:hAnsi="宋体" w:eastAsia="宋体"/>
          <w:color w:val="000000"/>
          <w:sz w:val="21"/>
          <w:szCs w:val="21"/>
        </w:rPr>
      </w:r>
      <w:r/>
    </w:p>
    <w:p>
      <w:pPr>
        <w:pStyle w:val="928"/>
        <w:ind w:firstLine="422"/>
        <w:spacing w:line="360" w:lineRule="auto"/>
        <w:rPr>
          <w:rFonts w:hint="eastAsia"/>
          <w:b/>
          <w:bCs/>
          <w:color w:val="000000"/>
          <w:sz w:val="21"/>
          <w:szCs w:val="21"/>
        </w:rPr>
      </w:pPr>
      <w:r>
        <w:rPr>
          <w:rFonts w:hint="eastAsia"/>
          <w:b/>
          <w:bCs/>
          <w:color w:val="000000"/>
          <w:sz w:val="21"/>
          <w:szCs w:val="21"/>
        </w:rPr>
        <w:t xml:space="preserve">一、系统维护：</w:t>
      </w:r>
      <w:r/>
    </w:p>
    <w:p>
      <w:pPr>
        <w:pStyle w:val="928"/>
        <w:ind w:firstLine="422"/>
        <w:spacing w:line="360" w:lineRule="auto"/>
        <w:rPr>
          <w:rFonts w:hint="eastAsia"/>
          <w:b/>
          <w:bCs/>
          <w:color w:val="000000"/>
          <w:sz w:val="21"/>
          <w:szCs w:val="21"/>
        </w:rPr>
      </w:pPr>
      <w:r>
        <w:rPr>
          <w:rFonts w:hint="eastAsia"/>
          <w:b/>
          <w:bCs/>
          <w:color w:val="000000"/>
          <w:sz w:val="21"/>
          <w:szCs w:val="21"/>
        </w:rPr>
        <w:t xml:space="preserve">1、常规性维护</w:t>
      </w:r>
      <w:r/>
    </w:p>
    <w:p>
      <w:pPr>
        <w:pStyle w:val="928"/>
        <w:ind w:firstLine="420"/>
        <w:spacing w:line="360" w:lineRule="auto"/>
        <w:rPr>
          <w:rFonts w:hint="eastAsia"/>
          <w:color w:val="000000"/>
          <w:sz w:val="21"/>
          <w:szCs w:val="21"/>
        </w:rPr>
      </w:pPr>
      <w:r>
        <w:rPr>
          <w:rFonts w:hint="eastAsia"/>
          <w:color w:val="000000"/>
          <w:sz w:val="21"/>
          <w:szCs w:val="21"/>
        </w:rPr>
        <w:t xml:space="preserve">（1）客户服务热线</w:t>
      </w:r>
      <w:r/>
    </w:p>
    <w:p>
      <w:pPr>
        <w:pStyle w:val="928"/>
        <w:ind w:firstLine="420"/>
        <w:spacing w:line="360" w:lineRule="auto"/>
        <w:rPr>
          <w:rFonts w:hint="eastAsia"/>
          <w:color w:val="000000"/>
          <w:sz w:val="21"/>
          <w:szCs w:val="21"/>
        </w:rPr>
      </w:pPr>
      <w:r>
        <w:rPr>
          <w:rFonts w:hint="eastAsia"/>
          <w:color w:val="000000"/>
          <w:sz w:val="21"/>
          <w:szCs w:val="21"/>
        </w:rPr>
        <w:t xml:space="preserve">维保公司需专设7*24小时的客服热线电话，通过电话得到工程师及时响应，并给予客户技术咨询和问题解答。</w:t>
      </w:r>
      <w:r/>
    </w:p>
    <w:p>
      <w:pPr>
        <w:pStyle w:val="928"/>
        <w:ind w:firstLine="420"/>
        <w:spacing w:line="360" w:lineRule="auto"/>
        <w:rPr>
          <w:rFonts w:hint="eastAsia"/>
          <w:color w:val="000000"/>
          <w:sz w:val="21"/>
          <w:szCs w:val="21"/>
        </w:rPr>
      </w:pPr>
      <w:r>
        <w:rPr>
          <w:rFonts w:hint="eastAsia"/>
          <w:color w:val="000000"/>
          <w:sz w:val="21"/>
          <w:szCs w:val="21"/>
        </w:rPr>
        <w:t xml:space="preserve">（2）系统保养维护</w:t>
      </w:r>
      <w:r/>
    </w:p>
    <w:p>
      <w:pPr>
        <w:pStyle w:val="928"/>
        <w:ind w:firstLine="420"/>
        <w:spacing w:line="360" w:lineRule="auto"/>
        <w:rPr>
          <w:rFonts w:hint="eastAsia"/>
          <w:color w:val="000000"/>
          <w:sz w:val="21"/>
          <w:szCs w:val="21"/>
        </w:rPr>
      </w:pPr>
      <w:r>
        <w:rPr>
          <w:rFonts w:hint="eastAsia"/>
          <w:color w:val="000000"/>
          <w:sz w:val="21"/>
          <w:szCs w:val="21"/>
        </w:rPr>
        <w:t xml:space="preserve">维护合同期限内针对系统提供4次巡检并提供巡检报告（每3个月一次）。拟派的维护工程师需熟悉太仓市公安局110接处警系统；</w:t>
      </w:r>
      <w:r/>
    </w:p>
    <w:p>
      <w:pPr>
        <w:pStyle w:val="928"/>
        <w:ind w:firstLine="422"/>
        <w:spacing w:line="360" w:lineRule="auto"/>
        <w:rPr>
          <w:rFonts w:hint="eastAsia"/>
          <w:b/>
          <w:bCs/>
          <w:color w:val="000000"/>
          <w:sz w:val="21"/>
          <w:szCs w:val="21"/>
        </w:rPr>
      </w:pPr>
      <w:r>
        <w:rPr>
          <w:rFonts w:hint="eastAsia"/>
          <w:b/>
          <w:bCs/>
          <w:color w:val="000000"/>
          <w:sz w:val="21"/>
          <w:szCs w:val="21"/>
        </w:rPr>
        <w:t xml:space="preserve">2、严重故障的抢修</w:t>
      </w:r>
      <w:r/>
    </w:p>
    <w:p>
      <w:pPr>
        <w:pStyle w:val="928"/>
        <w:ind w:firstLine="420"/>
        <w:spacing w:line="360" w:lineRule="auto"/>
        <w:rPr>
          <w:rFonts w:hint="eastAsia"/>
          <w:color w:val="000000"/>
          <w:sz w:val="21"/>
          <w:szCs w:val="21"/>
        </w:rPr>
      </w:pPr>
      <w:r>
        <w:rPr>
          <w:rFonts w:hint="eastAsia"/>
          <w:color w:val="000000"/>
          <w:sz w:val="21"/>
          <w:szCs w:val="21"/>
        </w:rPr>
        <w:t xml:space="preserve">在遇有太仓市公安局“110接处警系统”整体瘫痪、数据丢失等严重故障时，经甲方确定为需上门抢修的，维保公司要在24小时内派出维修工程师到现场进行抢修。</w:t>
      </w:r>
      <w:r/>
    </w:p>
    <w:p>
      <w:pPr>
        <w:pStyle w:val="928"/>
        <w:ind w:firstLine="422"/>
        <w:spacing w:line="360" w:lineRule="auto"/>
        <w:rPr>
          <w:rFonts w:hint="eastAsia"/>
          <w:b/>
          <w:bCs/>
          <w:color w:val="000000"/>
          <w:sz w:val="21"/>
          <w:szCs w:val="21"/>
        </w:rPr>
      </w:pPr>
      <w:r>
        <w:rPr>
          <w:rFonts w:hint="eastAsia"/>
          <w:b/>
          <w:bCs/>
          <w:color w:val="000000"/>
          <w:sz w:val="21"/>
          <w:szCs w:val="21"/>
        </w:rPr>
        <w:t xml:space="preserve">3、一般故障的检修</w:t>
      </w:r>
      <w:r/>
    </w:p>
    <w:p>
      <w:pPr>
        <w:pStyle w:val="928"/>
        <w:ind w:firstLine="420"/>
        <w:spacing w:line="360" w:lineRule="auto"/>
        <w:rPr>
          <w:rFonts w:hint="eastAsia"/>
          <w:color w:val="000000"/>
          <w:sz w:val="21"/>
          <w:szCs w:val="21"/>
        </w:rPr>
      </w:pPr>
      <w:r>
        <w:rPr>
          <w:rFonts w:hint="eastAsia"/>
          <w:color w:val="000000"/>
          <w:sz w:val="21"/>
          <w:szCs w:val="21"/>
        </w:rPr>
        <w:t xml:space="preserve">发生非影响业务的一般故障时，维保公司要提供上述固定巡检工程师及时响应，通过电话（远程）进行故障排除，保证系统在最短时间内得到修复。</w:t>
      </w:r>
      <w:r/>
    </w:p>
    <w:p>
      <w:pPr>
        <w:pStyle w:val="928"/>
        <w:ind w:firstLine="420"/>
        <w:spacing w:line="360" w:lineRule="auto"/>
        <w:rPr>
          <w:rFonts w:hint="eastAsia"/>
          <w:color w:val="000000"/>
          <w:sz w:val="21"/>
          <w:szCs w:val="21"/>
        </w:rPr>
      </w:pPr>
      <w:r>
        <w:rPr>
          <w:rFonts w:hint="eastAsia"/>
          <w:color w:val="000000"/>
          <w:sz w:val="21"/>
          <w:szCs w:val="21"/>
        </w:rPr>
        <w:t xml:space="preserve">对于电话（远程）指导不能排除的故障，维保公司要在48小时内派维修工程师到现场进行检修。</w:t>
      </w:r>
      <w:r/>
    </w:p>
    <w:p>
      <w:pPr>
        <w:pStyle w:val="928"/>
        <w:ind w:firstLine="422"/>
        <w:spacing w:line="360" w:lineRule="auto"/>
        <w:rPr>
          <w:rFonts w:hint="eastAsia"/>
          <w:b/>
          <w:bCs/>
          <w:color w:val="000000"/>
          <w:sz w:val="21"/>
          <w:szCs w:val="21"/>
        </w:rPr>
      </w:pPr>
      <w:r>
        <w:rPr>
          <w:rFonts w:hint="eastAsia"/>
          <w:b/>
          <w:bCs/>
          <w:color w:val="000000"/>
          <w:sz w:val="21"/>
          <w:szCs w:val="21"/>
        </w:rPr>
        <w:t xml:space="preserve">4、故障等级及响应时间对照表</w:t>
      </w:r>
      <w:r/>
    </w:p>
    <w:p>
      <w:pPr>
        <w:pStyle w:val="928"/>
        <w:numPr>
          <w:ilvl w:val="0"/>
          <w:numId w:val="59"/>
        </w:numPr>
        <w:ind w:left="0" w:firstLine="420"/>
        <w:spacing w:line="360" w:lineRule="auto"/>
        <w:rPr>
          <w:rFonts w:hint="eastAsia"/>
          <w:color w:val="000000"/>
          <w:sz w:val="21"/>
          <w:szCs w:val="21"/>
        </w:rPr>
      </w:pPr>
      <w:r>
        <w:rPr>
          <w:rFonts w:hint="eastAsia"/>
          <w:color w:val="000000"/>
          <w:sz w:val="21"/>
          <w:szCs w:val="21"/>
        </w:rPr>
        <w:t xml:space="preserve">故障等级划分对照表：</w:t>
      </w:r>
      <w:r/>
    </w:p>
    <w:tbl>
      <w:tblPr>
        <w:tblW w:w="864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92"/>
        <w:gridCol w:w="1216"/>
        <w:gridCol w:w="1216"/>
        <w:gridCol w:w="1216"/>
      </w:tblGrid>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故障发生部位</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高级</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中级</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低级</w:t>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数据库服务器故障</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程控交换机故障</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系统供电故障</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核心网络故障</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CTI服务器故障</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WEB服务器故障</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录音服务器故障</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GIS故障</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所有接警台故障</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单个接警台故障</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调度台故障</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查、送号台故障</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二级受理台故障</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查询统计台故障</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4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地图台故障</w:t>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16" w:type="dxa"/>
            <w:vAlign w:val="top"/>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w:t>
            </w:r>
            <w:r/>
          </w:p>
        </w:tc>
      </w:tr>
    </w:tbl>
    <w:p>
      <w:pPr>
        <w:pStyle w:val="928"/>
        <w:spacing w:line="400" w:lineRule="atLeast"/>
        <w:rPr>
          <w:rFonts w:hint="eastAsia" w:cs="黑体"/>
          <w:b/>
          <w:bCs/>
          <w:color w:val="000000"/>
        </w:rPr>
      </w:pPr>
      <w:r>
        <w:rPr>
          <w:rFonts w:hint="eastAsia" w:cs="黑体"/>
          <w:b/>
          <w:bCs/>
          <w:color w:val="000000"/>
        </w:rPr>
      </w:r>
      <w:r/>
    </w:p>
    <w:p>
      <w:pPr>
        <w:pStyle w:val="928"/>
        <w:numPr>
          <w:ilvl w:val="0"/>
          <w:numId w:val="59"/>
        </w:numPr>
        <w:ind w:left="0" w:firstLine="420"/>
        <w:spacing w:line="360" w:lineRule="auto"/>
        <w:rPr>
          <w:rFonts w:hint="eastAsia"/>
          <w:color w:val="000000"/>
          <w:sz w:val="21"/>
          <w:szCs w:val="21"/>
        </w:rPr>
      </w:pPr>
      <w:r>
        <w:rPr>
          <w:rFonts w:hint="eastAsia"/>
          <w:color w:val="000000"/>
          <w:sz w:val="21"/>
          <w:szCs w:val="21"/>
        </w:rPr>
        <w:t xml:space="preserve">运维服务目录</w:t>
      </w:r>
      <w:r/>
    </w:p>
    <w:tbl>
      <w:tblPr>
        <w:tblW w:w="86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930"/>
        <w:gridCol w:w="1072"/>
        <w:gridCol w:w="1073"/>
        <w:gridCol w:w="825"/>
        <w:gridCol w:w="1270"/>
        <w:gridCol w:w="1270"/>
        <w:gridCol w:w="1270"/>
      </w:tblGrid>
      <w:tr>
        <w:trPr>
          <w:cantSplit/>
          <w:trHeight w:val="375"/>
        </w:trPr>
        <w:tc>
          <w:tcPr>
            <w:gridSpan w:val="2"/>
            <w:shd w:val="clear" w:color="auto" w:fill="d9d9d9"/>
            <w:tcW w:w="1860" w:type="dxa"/>
            <w:vAlign w:val="center"/>
            <w:textDirection w:val="lrTb"/>
            <w:noWrap w:val="false"/>
          </w:tcPr>
          <w:p>
            <w:pPr>
              <w:pStyle w:val="928"/>
              <w:ind w:firstLine="482"/>
              <w:jc w:val="center"/>
              <w:widowControl/>
              <w:rPr>
                <w:rFonts w:hint="eastAsia"/>
                <w:b/>
                <w:bCs/>
                <w:color w:val="000000"/>
                <w:sz w:val="21"/>
                <w:szCs w:val="21"/>
              </w:rPr>
            </w:pPr>
            <w:r>
              <w:rPr>
                <w:rFonts w:hint="eastAsia"/>
                <w:b/>
                <w:bCs/>
                <w:color w:val="000000"/>
                <w:sz w:val="21"/>
                <w:szCs w:val="21"/>
              </w:rPr>
              <w:t xml:space="preserve">服务类别</w:t>
            </w:r>
            <w:r/>
          </w:p>
        </w:tc>
        <w:tc>
          <w:tcPr>
            <w:gridSpan w:val="2"/>
            <w:shd w:val="clear" w:color="auto" w:fill="d9d9d9"/>
            <w:tcW w:w="2145"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服务子类</w:t>
            </w:r>
            <w:r/>
          </w:p>
        </w:tc>
        <w:tc>
          <w:tcPr>
            <w:shd w:val="clear" w:color="auto" w:fill="d9d9d9"/>
            <w:tcW w:w="825" w:type="dxa"/>
            <w:vAlign w:val="center"/>
            <w:vMerge w:val="restart"/>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服务名称</w:t>
            </w:r>
            <w:r/>
          </w:p>
        </w:tc>
        <w:tc>
          <w:tcPr>
            <w:gridSpan w:val="3"/>
            <w:shd w:val="clear" w:color="auto" w:fill="d9d9d9"/>
            <w:tcW w:w="3810"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服务级别</w:t>
            </w:r>
            <w:r/>
          </w:p>
        </w:tc>
      </w:tr>
      <w:tr>
        <w:trPr>
          <w:cantSplit/>
          <w:trHeight w:val="375"/>
        </w:trPr>
        <w:tc>
          <w:tcPr>
            <w:shd w:val="clear" w:color="auto" w:fill="d9d9d9"/>
            <w:tcW w:w="930"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编号</w:t>
            </w:r>
            <w:r/>
          </w:p>
        </w:tc>
        <w:tc>
          <w:tcPr>
            <w:shd w:val="clear" w:color="auto" w:fill="d9d9d9"/>
            <w:tcW w:w="930"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名称</w:t>
            </w:r>
            <w:r/>
          </w:p>
        </w:tc>
        <w:tc>
          <w:tcPr>
            <w:shd w:val="clear" w:color="auto" w:fill="d9d9d9"/>
            <w:tcW w:w="1072"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编号</w:t>
            </w:r>
            <w:r/>
          </w:p>
        </w:tc>
        <w:tc>
          <w:tcPr>
            <w:shd w:val="clear" w:color="auto" w:fill="d9d9d9"/>
            <w:tcW w:w="1073"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名称</w:t>
            </w:r>
            <w:r/>
          </w:p>
        </w:tc>
        <w:tc>
          <w:tcPr>
            <w:tcW w:w="825" w:type="dxa"/>
            <w:vAlign w:val="center"/>
            <w:vMerge w:val="continue"/>
            <w:textDirection w:val="lrTb"/>
            <w:noWrap w:val="false"/>
          </w:tcPr>
          <w:p>
            <w:pPr>
              <w:pStyle w:val="928"/>
              <w:jc w:val="center"/>
              <w:widowControl/>
              <w:rPr>
                <w:b/>
                <w:bCs/>
                <w:color w:val="000000"/>
                <w:sz w:val="21"/>
                <w:szCs w:val="21"/>
              </w:rPr>
            </w:pPr>
            <w:r>
              <w:rPr>
                <w:b/>
                <w:bCs/>
                <w:color w:val="000000"/>
                <w:sz w:val="21"/>
                <w:szCs w:val="21"/>
              </w:rPr>
            </w:r>
            <w:r/>
          </w:p>
        </w:tc>
        <w:tc>
          <w:tcPr>
            <w:shd w:val="clear" w:color="auto" w:fill="d9d9d9"/>
            <w:tcW w:w="1270"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高</w:t>
            </w:r>
            <w:r/>
          </w:p>
        </w:tc>
        <w:tc>
          <w:tcPr>
            <w:shd w:val="clear" w:color="auto" w:fill="d9d9d9"/>
            <w:tcW w:w="1270"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中</w:t>
            </w:r>
            <w:r/>
          </w:p>
        </w:tc>
        <w:tc>
          <w:tcPr>
            <w:shd w:val="clear" w:color="auto" w:fill="d9d9d9"/>
            <w:tcW w:w="1270"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低</w:t>
            </w:r>
            <w:r/>
          </w:p>
        </w:tc>
      </w:tr>
      <w:tr>
        <w:trPr>
          <w:cantSplit/>
          <w:trHeight w:val="1350"/>
        </w:trPr>
        <w:tc>
          <w:tcPr>
            <w:tcW w:w="930"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40202</w:t>
            </w:r>
            <w:r/>
          </w:p>
        </w:tc>
        <w:tc>
          <w:tcPr>
            <w:tcW w:w="930"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主机运维服务</w:t>
            </w:r>
            <w:r/>
          </w:p>
        </w:tc>
        <w:tc>
          <w:tcPr>
            <w:tcW w:w="107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04020201</w:t>
            </w:r>
            <w:r/>
          </w:p>
        </w:tc>
        <w:tc>
          <w:tcPr>
            <w:tcW w:w="107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PC服务器</w:t>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故障处理</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48小时内到现场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712"/>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2145"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3"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日常维护</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695"/>
        </w:trPr>
        <w:tc>
          <w:tcPr>
            <w:tcW w:w="930"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040204</w:t>
            </w:r>
            <w:r/>
          </w:p>
        </w:tc>
        <w:tc>
          <w:tcPr>
            <w:tcW w:w="930"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桌面运维服务</w:t>
            </w:r>
            <w:r/>
          </w:p>
        </w:tc>
        <w:tc>
          <w:tcPr>
            <w:tcW w:w="107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04020401</w:t>
            </w:r>
            <w:r/>
          </w:p>
        </w:tc>
        <w:tc>
          <w:tcPr>
            <w:tcW w:w="107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PC终端</w:t>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故障处理</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810"/>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2145"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3"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日常维护</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1350"/>
        </w:trPr>
        <w:tc>
          <w:tcPr>
            <w:tcW w:w="930"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040299</w:t>
            </w:r>
            <w:r/>
          </w:p>
        </w:tc>
        <w:tc>
          <w:tcPr>
            <w:tcW w:w="930"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其他硬件运维服务</w:t>
            </w:r>
            <w:r/>
          </w:p>
        </w:tc>
        <w:tc>
          <w:tcPr>
            <w:tcW w:w="107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04029901</w:t>
            </w:r>
            <w:r/>
          </w:p>
        </w:tc>
        <w:tc>
          <w:tcPr>
            <w:tcW w:w="107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程控机交换机</w:t>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故障处理</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48小时内到现场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849"/>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2145"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3"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日常维护</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1350"/>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04029903</w:t>
            </w:r>
            <w:r/>
          </w:p>
        </w:tc>
        <w:tc>
          <w:tcPr>
            <w:tcW w:w="107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其他硬件</w:t>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故障处理</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48小时内到现场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596"/>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2145"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3"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日常维护</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top"/>
            <w:textDirection w:val="lrTb"/>
            <w:noWrap w:val="false"/>
          </w:tcPr>
          <w:p>
            <w:pPr>
              <w:pStyle w:val="928"/>
              <w:jc w:val="center"/>
              <w:widowControl/>
              <w:rPr>
                <w:rFonts w:hint="eastAsia"/>
                <w:color w:val="000000"/>
                <w:sz w:val="21"/>
                <w:szCs w:val="21"/>
              </w:rPr>
            </w:pPr>
            <w:r>
              <w:rPr>
                <w:rFonts w:hint="eastAsia"/>
                <w:color w:val="000000"/>
                <w:sz w:val="21"/>
                <w:szCs w:val="21"/>
              </w:rPr>
            </w:r>
            <w:r/>
          </w:p>
        </w:tc>
      </w:tr>
      <w:tr>
        <w:trPr>
          <w:cantSplit/>
          <w:trHeight w:val="1350"/>
        </w:trPr>
        <w:tc>
          <w:tcPr>
            <w:tcW w:w="930"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040301</w:t>
            </w:r>
            <w:r/>
          </w:p>
        </w:tc>
        <w:tc>
          <w:tcPr>
            <w:tcW w:w="930"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基础软件运维服务</w:t>
            </w:r>
            <w:r/>
          </w:p>
        </w:tc>
        <w:tc>
          <w:tcPr>
            <w:tcW w:w="107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04030101</w:t>
            </w:r>
            <w:r/>
          </w:p>
        </w:tc>
        <w:tc>
          <w:tcPr>
            <w:tcW w:w="107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操作系统</w:t>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故障处理</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48小时内到现场</w:t>
            </w:r>
            <w:r/>
          </w:p>
        </w:tc>
        <w:tc>
          <w:tcPr>
            <w:tcW w:w="1270" w:type="dxa"/>
            <w:vAlign w:val="top"/>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1080"/>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2145"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3"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日常维护</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5*8H服务</w:t>
              <w:br w:type="textWrapping" w:clear="all"/>
              <w:t xml:space="preserve">2小时内响应</w:t>
              <w:br w:type="textWrapping" w:clear="all"/>
              <w:t xml:space="preserve">3日内到现场</w:t>
            </w:r>
            <w:r/>
          </w:p>
        </w:tc>
      </w:tr>
      <w:tr>
        <w:trPr>
          <w:cantSplit/>
          <w:trHeight w:val="1350"/>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04030102</w:t>
            </w:r>
            <w:r/>
          </w:p>
        </w:tc>
        <w:tc>
          <w:tcPr>
            <w:tcW w:w="107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数据库系统</w:t>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故障处理</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48小时内到现场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834"/>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2145"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3"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日常维护</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1080"/>
        </w:trPr>
        <w:tc>
          <w:tcPr>
            <w:tcW w:w="930"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040303</w:t>
            </w:r>
            <w:r/>
          </w:p>
        </w:tc>
        <w:tc>
          <w:tcPr>
            <w:tcW w:w="930"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应用软件运维服务</w:t>
            </w:r>
            <w:r/>
          </w:p>
        </w:tc>
        <w:tc>
          <w:tcPr>
            <w:tcW w:w="107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04030301</w:t>
            </w:r>
            <w:r/>
          </w:p>
        </w:tc>
        <w:tc>
          <w:tcPr>
            <w:tcW w:w="107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底层通信系统</w:t>
              <w:br w:type="textWrapping" w:clear="all"/>
              <w:t xml:space="preserve">（DS11/21通信系统）</w:t>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故障处理</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48小时内到现场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752"/>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2145"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3"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日常维护</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1110"/>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04030302</w:t>
            </w:r>
            <w:r/>
          </w:p>
        </w:tc>
        <w:tc>
          <w:tcPr>
            <w:tcW w:w="107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核心应用系统</w:t>
              <w:br w:type="textWrapping" w:clear="all"/>
              <w:t xml:space="preserve">（公安接处警系统服务软件）</w:t>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故障处理</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w:t>
            </w:r>
            <w:r>
              <w:rPr>
                <w:rFonts w:hint="eastAsia"/>
                <w:color w:val="000000"/>
                <w:sz w:val="21"/>
                <w:szCs w:val="21"/>
              </w:rPr>
              <w:t xml:space="preserve">立即响应</w:t>
              <w:br w:type="textWrapping" w:clear="all"/>
              <w:t xml:space="preserve">非工作时间</w:t>
              <w:br w:type="textWrapping" w:clear="all"/>
              <w:t xml:space="preserve">48小时内到现场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882"/>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2145"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3"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日常维护</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1350"/>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2"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04030303</w:t>
            </w:r>
            <w:r/>
          </w:p>
        </w:tc>
        <w:tc>
          <w:tcPr>
            <w:tcW w:w="107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非核心应用系统</w:t>
              <w:br w:type="textWrapping" w:clear="all"/>
              <w:t xml:space="preserve">（其他辅助扩展功能软件）</w:t>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故障处理</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48小时内到现场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cantSplit/>
          <w:trHeight w:val="707"/>
        </w:trPr>
        <w:tc>
          <w:tcPr>
            <w:tcW w:w="186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930"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2145"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1073" w:type="dxa"/>
            <w:vAlign w:val="center"/>
            <w:vMerge w:val="continue"/>
            <w:textDirection w:val="lrTb"/>
            <w:noWrap w:val="false"/>
          </w:tcPr>
          <w:p>
            <w:pPr>
              <w:pStyle w:val="928"/>
              <w:jc w:val="center"/>
              <w:widowControl/>
              <w:rPr>
                <w:color w:val="000000"/>
                <w:sz w:val="21"/>
                <w:szCs w:val="21"/>
              </w:rPr>
            </w:pPr>
            <w:r>
              <w:rPr>
                <w:color w:val="000000"/>
                <w:sz w:val="21"/>
                <w:szCs w:val="21"/>
              </w:rPr>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日常维护</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N/A</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r>
        <w:trPr>
          <w:trHeight w:val="1260"/>
        </w:trPr>
        <w:tc>
          <w:tcPr>
            <w:tcW w:w="93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0499</w:t>
            </w:r>
            <w:r/>
          </w:p>
        </w:tc>
        <w:tc>
          <w:tcPr>
            <w:tcW w:w="93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其他运维服务</w:t>
            </w:r>
            <w:r/>
          </w:p>
        </w:tc>
        <w:tc>
          <w:tcPr>
            <w:tcW w:w="1072"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049901</w:t>
            </w:r>
            <w:r/>
          </w:p>
        </w:tc>
        <w:tc>
          <w:tcPr>
            <w:tcW w:w="107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应急保障服务</w:t>
            </w:r>
            <w:r/>
          </w:p>
        </w:tc>
        <w:tc>
          <w:tcPr>
            <w:tcW w:w="825"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应急保障服务</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br w:type="textWrapping" w:clear="all"/>
              <w:t xml:space="preserve">非工作时间</w:t>
              <w:br w:type="textWrapping" w:clear="all"/>
              <w:t xml:space="preserve">48小时内到现场</w:t>
            </w:r>
            <w:r/>
          </w:p>
        </w:tc>
        <w:tc>
          <w:tcPr>
            <w:tcW w:w="1270"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5*8H立即响应</w:t>
            </w:r>
            <w:r/>
          </w:p>
        </w:tc>
      </w:tr>
    </w:tbl>
    <w:p>
      <w:pPr>
        <w:pStyle w:val="928"/>
        <w:ind w:firstLine="482"/>
        <w:spacing w:line="400" w:lineRule="atLeast"/>
        <w:rPr>
          <w:rFonts w:hint="eastAsia" w:cs="黑体"/>
          <w:b/>
          <w:bCs/>
          <w:color w:val="000000"/>
          <w:sz w:val="21"/>
          <w:szCs w:val="21"/>
        </w:rPr>
      </w:pPr>
      <w:r>
        <w:rPr>
          <w:rFonts w:hint="eastAsia"/>
          <w:color w:val="000000"/>
          <w:sz w:val="21"/>
          <w:szCs w:val="21"/>
        </w:rPr>
        <w:t xml:space="preserve">定义：</w:t>
      </w:r>
      <w:r>
        <w:rPr>
          <w:rFonts w:hint="eastAsia" w:cs="黑体"/>
          <w:b/>
          <w:bCs/>
          <w:color w:val="000000"/>
          <w:sz w:val="21"/>
          <w:szCs w:val="21"/>
        </w:rPr>
      </w:r>
      <w:r/>
    </w:p>
    <w:p>
      <w:pPr>
        <w:pStyle w:val="928"/>
        <w:ind w:firstLine="480"/>
        <w:spacing w:line="400" w:lineRule="atLeast"/>
        <w:rPr>
          <w:rFonts w:hint="eastAsia"/>
          <w:color w:val="000000"/>
          <w:sz w:val="21"/>
          <w:szCs w:val="21"/>
        </w:rPr>
      </w:pPr>
      <w:r>
        <w:rPr>
          <w:rFonts w:hint="eastAsia"/>
          <w:color w:val="000000"/>
          <w:sz w:val="21"/>
          <w:szCs w:val="21"/>
        </w:rPr>
        <w:t xml:space="preserve">响应时间 – 自接到报修电话至提供电话或远程服务的开始时间为响应时间。</w:t>
      </w:r>
      <w:r/>
    </w:p>
    <w:p>
      <w:pPr>
        <w:pStyle w:val="928"/>
        <w:ind w:firstLine="480"/>
        <w:spacing w:line="400" w:lineRule="atLeast"/>
        <w:rPr>
          <w:rFonts w:hint="eastAsia"/>
          <w:color w:val="000000"/>
          <w:sz w:val="21"/>
          <w:szCs w:val="21"/>
        </w:rPr>
      </w:pPr>
      <w:r>
        <w:rPr>
          <w:rFonts w:hint="eastAsia"/>
          <w:color w:val="000000"/>
          <w:sz w:val="21"/>
          <w:szCs w:val="21"/>
        </w:rPr>
        <w:t xml:space="preserve">到场时间 – 提供的电话或远程服务无法修复故障的情况下，调派人员前往现场所需的时间。</w:t>
      </w:r>
      <w:r/>
    </w:p>
    <w:p>
      <w:pPr>
        <w:pStyle w:val="928"/>
        <w:ind w:firstLine="480"/>
        <w:spacing w:line="400" w:lineRule="atLeast"/>
        <w:rPr>
          <w:rFonts w:hint="eastAsia"/>
          <w:color w:val="000000"/>
          <w:sz w:val="21"/>
          <w:szCs w:val="21"/>
        </w:rPr>
      </w:pPr>
      <w:r>
        <w:rPr>
          <w:rFonts w:hint="eastAsia"/>
          <w:color w:val="000000"/>
          <w:sz w:val="21"/>
          <w:szCs w:val="21"/>
        </w:rPr>
        <w:t xml:space="preserve">恢复时间 – 到达现场后开始服务至系统恢复所花费的时间。</w:t>
      </w:r>
      <w:r/>
    </w:p>
    <w:p>
      <w:pPr>
        <w:pStyle w:val="928"/>
        <w:ind w:firstLine="482"/>
        <w:spacing w:line="400" w:lineRule="atLeast"/>
        <w:rPr>
          <w:rFonts w:hint="eastAsia"/>
          <w:b/>
          <w:bCs/>
          <w:color w:val="000000"/>
          <w:sz w:val="21"/>
          <w:szCs w:val="21"/>
        </w:rPr>
      </w:pPr>
      <w:r>
        <w:rPr>
          <w:rFonts w:hint="eastAsia"/>
          <w:b/>
          <w:bCs/>
          <w:color w:val="000000"/>
          <w:sz w:val="21"/>
          <w:szCs w:val="21"/>
        </w:rPr>
        <w:t xml:space="preserve">三、系统的设备的维修和维护</w:t>
      </w:r>
      <w:r/>
    </w:p>
    <w:p>
      <w:pPr>
        <w:pStyle w:val="928"/>
        <w:ind w:firstLine="482"/>
        <w:spacing w:line="400" w:lineRule="atLeast"/>
        <w:rPr>
          <w:rFonts w:hint="eastAsia"/>
          <w:color w:val="000000"/>
          <w:sz w:val="21"/>
          <w:szCs w:val="21"/>
        </w:rPr>
      </w:pPr>
      <w:r>
        <w:rPr>
          <w:rFonts w:hint="eastAsia"/>
          <w:color w:val="000000"/>
          <w:sz w:val="21"/>
          <w:szCs w:val="21"/>
        </w:rPr>
        <w:t xml:space="preserve">1、乙方自产的设备和电路板免费返修。如遇重大故障或严重故障时，乙方优先提供自产设备（电路板）用于系统抢修。</w:t>
      </w:r>
      <w:r/>
    </w:p>
    <w:p>
      <w:pPr>
        <w:pStyle w:val="928"/>
        <w:ind w:firstLine="480"/>
        <w:spacing w:line="400" w:lineRule="atLeast"/>
        <w:rPr>
          <w:rFonts w:hint="eastAsia"/>
          <w:color w:val="000000"/>
          <w:sz w:val="21"/>
          <w:szCs w:val="21"/>
        </w:rPr>
      </w:pPr>
      <w:r>
        <w:rPr>
          <w:rFonts w:hint="eastAsia"/>
          <w:color w:val="000000"/>
          <w:sz w:val="21"/>
          <w:szCs w:val="21"/>
        </w:rPr>
        <w:t xml:space="preserve">2、属于维护和维修设备详见维保设备清单（附件二）。</w:t>
      </w:r>
      <w:r/>
    </w:p>
    <w:p>
      <w:pPr>
        <w:pStyle w:val="928"/>
        <w:ind w:firstLine="480"/>
        <w:spacing w:line="400" w:lineRule="atLeast"/>
        <w:rPr>
          <w:rFonts w:hint="eastAsia"/>
          <w:color w:val="000000"/>
        </w:rPr>
      </w:pPr>
      <w:r>
        <w:rPr>
          <w:rFonts w:hint="eastAsia"/>
          <w:color w:val="000000"/>
          <w:sz w:val="21"/>
          <w:szCs w:val="21"/>
        </w:rPr>
        <w:t xml:space="preserve">3、如果设备遭受自然力（雷击、火灾、水灾等等）、电源异常或设备老化等因素引起</w:t>
      </w:r>
      <w:r>
        <w:rPr>
          <w:rFonts w:hint="eastAsia"/>
          <w:color w:val="000000"/>
          <w:sz w:val="21"/>
          <w:szCs w:val="21"/>
        </w:rPr>
        <w:t xml:space="preserve">设备报废的，设备购置费用由甲方负担。</w:t>
      </w:r>
      <w:r>
        <w:rPr>
          <w:rFonts w:hint="eastAsia"/>
          <w:color w:val="000000"/>
        </w:rPr>
      </w:r>
      <w:r/>
    </w:p>
    <w:p>
      <w:pPr>
        <w:pStyle w:val="928"/>
        <w:ind w:firstLine="482"/>
        <w:spacing w:line="400" w:lineRule="atLeast"/>
        <w:rPr>
          <w:rFonts w:hint="eastAsia"/>
          <w:b/>
          <w:bCs/>
          <w:color w:val="000000"/>
          <w:sz w:val="21"/>
          <w:szCs w:val="21"/>
        </w:rPr>
      </w:pPr>
      <w:r>
        <w:rPr>
          <w:rFonts w:hint="eastAsia"/>
          <w:b/>
          <w:bCs/>
          <w:color w:val="000000"/>
          <w:sz w:val="21"/>
          <w:szCs w:val="21"/>
        </w:rPr>
        <w:t xml:space="preserve">附件二：系统维护清单</w:t>
      </w:r>
      <w:r/>
    </w:p>
    <w:p>
      <w:pPr>
        <w:pStyle w:val="928"/>
        <w:ind w:firstLine="482"/>
        <w:spacing w:line="400" w:lineRule="atLeast"/>
        <w:rPr>
          <w:rFonts w:hint="eastAsia"/>
          <w:b/>
          <w:bCs/>
          <w:color w:val="000000"/>
          <w:sz w:val="21"/>
          <w:szCs w:val="21"/>
        </w:rPr>
      </w:pPr>
      <w:r>
        <w:rPr>
          <w:rFonts w:hint="eastAsia"/>
          <w:b/>
          <w:bCs/>
          <w:color w:val="000000"/>
          <w:sz w:val="21"/>
          <w:szCs w:val="21"/>
        </w:rPr>
        <w:t xml:space="preserve">太仓市公安局110接处警系统维保清单</w:t>
      </w:r>
      <w:r/>
    </w:p>
    <w:p>
      <w:pPr>
        <w:pStyle w:val="928"/>
        <w:ind w:firstLine="482"/>
        <w:spacing w:line="400" w:lineRule="atLeast"/>
        <w:rPr>
          <w:rFonts w:hint="eastAsia"/>
          <w:b/>
          <w:bCs/>
          <w:color w:val="000000"/>
          <w:sz w:val="21"/>
          <w:szCs w:val="21"/>
        </w:rPr>
      </w:pPr>
      <w:r>
        <w:rPr>
          <w:rFonts w:hint="eastAsia"/>
          <w:b/>
          <w:bCs/>
          <w:color w:val="000000"/>
          <w:sz w:val="21"/>
          <w:szCs w:val="21"/>
        </w:rPr>
        <w:t xml:space="preserve">（清单外的硬件不在维保范围内）</w:t>
      </w:r>
      <w:r/>
    </w:p>
    <w:tbl>
      <w:tblPr>
        <w:tblW w:w="894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625"/>
        <w:gridCol w:w="2949"/>
        <w:gridCol w:w="2453"/>
        <w:gridCol w:w="913"/>
      </w:tblGrid>
      <w:tr>
        <w:trPr>
          <w:trHeight w:val="24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ind w:firstLine="402"/>
              <w:jc w:val="center"/>
              <w:widowControl/>
              <w:rPr>
                <w:rFonts w:hint="eastAsia"/>
                <w:b/>
                <w:bCs/>
                <w:color w:val="000000"/>
                <w:sz w:val="21"/>
                <w:szCs w:val="21"/>
              </w:rPr>
            </w:pPr>
            <w:r>
              <w:rPr>
                <w:rFonts w:hint="eastAsia"/>
                <w:b/>
                <w:bCs/>
                <w:color w:val="000000"/>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规格参数</w:t>
            </w:r>
            <w:r/>
          </w:p>
        </w:tc>
        <w:tc>
          <w:tcPr>
            <w:tcBorders>
              <w:top w:val="single" w:color="000000" w:sz="4" w:space="0"/>
              <w:left w:val="none" w:color="000000" w:sz="4" w:space="0"/>
              <w:bottom w:val="single" w:color="000000" w:sz="4" w:space="0"/>
              <w:right w:val="single" w:color="000000" w:sz="4" w:space="0"/>
            </w:tcBorders>
            <w:tcW w:w="2453"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所属系统</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b/>
                <w:bCs/>
                <w:color w:val="000000"/>
                <w:sz w:val="21"/>
                <w:szCs w:val="21"/>
              </w:rPr>
            </w:pPr>
            <w:r>
              <w:rPr>
                <w:rFonts w:hint="eastAsia"/>
                <w:b/>
                <w:bCs/>
                <w:color w:val="000000"/>
                <w:sz w:val="21"/>
                <w:szCs w:val="21"/>
              </w:rPr>
              <w:t xml:space="preserve">数量</w:t>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三台合一接警终端软件包</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上下岗、换岗、休眠模块</w:t>
            </w:r>
            <w:r/>
          </w:p>
        </w:tc>
        <w:tc>
          <w:tcPr>
            <w:tcBorders>
              <w:top w:val="none" w:color="000000" w:sz="4" w:space="0"/>
              <w:left w:val="none" w:color="000000" w:sz="4" w:space="0"/>
              <w:bottom w:val="single" w:color="000000" w:sz="4" w:space="0"/>
              <w:right w:val="single" w:color="000000" w:sz="4" w:space="0"/>
            </w:tcBorders>
            <w:tcW w:w="2453"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DS三台合一接处警系统</w:t>
            </w:r>
            <w:r/>
          </w:p>
        </w:tc>
        <w:tc>
          <w:tcPr>
            <w:tcBorders>
              <w:top w:val="none" w:color="000000" w:sz="4" w:space="0"/>
              <w:left w:val="none" w:color="000000" w:sz="4" w:space="0"/>
              <w:bottom w:val="single" w:color="000000" w:sz="4" w:space="0"/>
              <w:right w:val="single" w:color="000000" w:sz="4" w:space="0"/>
            </w:tcBorders>
            <w:tcW w:w="91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报警接收模块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程式化接警模块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接警单填写模块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重点单位/用户呼入提示模块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接警终端之间信息交互与维护诊断模块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接警单灵活索引模块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信息反馈模块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录音归档模块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多方通话模块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回呼模块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重点关注提示模块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骚扰电话黑名单模块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重复报警智能识别与归并模块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历史接警单索引查询模块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警情信息发布模块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接警培训功能模块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生成二维码模块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接警台文字预案模块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班长接警终端软件包</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上下岗、换岗模块</w:t>
            </w:r>
            <w:r/>
          </w:p>
        </w:tc>
        <w:tc>
          <w:tcPr>
            <w:tcBorders>
              <w:top w:val="none" w:color="000000" w:sz="4" w:space="0"/>
              <w:left w:val="none" w:color="000000" w:sz="4" w:space="0"/>
              <w:bottom w:val="single" w:color="000000" w:sz="4" w:space="0"/>
              <w:right w:val="single" w:color="000000" w:sz="4" w:space="0"/>
            </w:tcBorders>
            <w:tcW w:w="2453"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DS三台合一接处警系统</w:t>
            </w:r>
            <w:r/>
          </w:p>
        </w:tc>
        <w:tc>
          <w:tcPr>
            <w:tcBorders>
              <w:top w:val="none" w:color="000000" w:sz="4" w:space="0"/>
              <w:left w:val="none" w:color="000000" w:sz="4" w:space="0"/>
              <w:bottom w:val="single" w:color="000000" w:sz="4" w:space="0"/>
              <w:right w:val="single" w:color="000000" w:sz="4" w:space="0"/>
            </w:tcBorders>
            <w:tcW w:w="91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回访模块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警情综合查询模块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接警台状态和接警过程监控模块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违规操作告警模块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信息发布模块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主动插入与被动插入电话模块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监听模块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主动和被动接管接警单模块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运行</w:t>
            </w:r>
            <w:r>
              <w:rPr>
                <w:rFonts w:hint="eastAsia"/>
                <w:color w:val="000000"/>
                <w:sz w:val="21"/>
                <w:szCs w:val="21"/>
              </w:rPr>
              <w:t xml:space="preserve">维护管理系统</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运行维护管理软件</w:t>
            </w:r>
            <w:r/>
          </w:p>
        </w:tc>
        <w:tc>
          <w:tcPr>
            <w:tcBorders>
              <w:top w:val="single" w:color="000000" w:sz="4" w:space="0"/>
              <w:left w:val="none" w:color="000000" w:sz="4" w:space="0"/>
              <w:bottom w:val="single" w:color="000000" w:sz="4" w:space="0"/>
              <w:right w:val="single" w:color="000000" w:sz="4" w:space="0"/>
            </w:tcBorders>
            <w:tcW w:w="2453"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DS三台合一接处警系统</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综合统计查询分析软件包</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常用与专用短语维护模块</w:t>
            </w:r>
            <w:r/>
          </w:p>
        </w:tc>
        <w:tc>
          <w:tcPr>
            <w:tcBorders>
              <w:top w:val="none" w:color="000000" w:sz="4" w:space="0"/>
              <w:left w:val="none" w:color="000000" w:sz="4" w:space="0"/>
              <w:bottom w:val="single" w:color="000000" w:sz="4" w:space="0"/>
              <w:right w:val="single" w:color="000000" w:sz="4" w:space="0"/>
            </w:tcBorders>
            <w:tcW w:w="2453"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DS三台合一接处警系统</w:t>
            </w:r>
            <w:r/>
          </w:p>
        </w:tc>
        <w:tc>
          <w:tcPr>
            <w:tcBorders>
              <w:top w:val="none" w:color="000000" w:sz="4" w:space="0"/>
              <w:left w:val="none" w:color="000000" w:sz="4" w:space="0"/>
              <w:bottom w:val="single" w:color="000000" w:sz="4" w:space="0"/>
              <w:right w:val="single" w:color="000000" w:sz="4" w:space="0"/>
            </w:tcBorders>
            <w:tcW w:w="91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案由维护模块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地址库及音头维护模块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辖区管理维护模块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接处警员维护管理模块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基层单位维护</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重点单位、用户维护</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电话库维护模块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接处警信息查询模块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回访情况查询模块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呼入记录查询模块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公安综合业务信息查询模块</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呼入记录、早释记录的统计分析</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DS21中间件软件平台升级</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CTI中间件</w:t>
            </w:r>
            <w:r/>
          </w:p>
        </w:tc>
        <w:tc>
          <w:tcPr>
            <w:tcBorders>
              <w:top w:val="none" w:color="000000" w:sz="4" w:space="0"/>
              <w:left w:val="none" w:color="000000" w:sz="4" w:space="0"/>
              <w:bottom w:val="single" w:color="000000" w:sz="4" w:space="0"/>
              <w:right w:val="single" w:color="000000" w:sz="4" w:space="0"/>
            </w:tcBorders>
            <w:tcW w:w="2453"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DS21通信平台升级</w:t>
            </w:r>
            <w:r/>
          </w:p>
        </w:tc>
        <w:tc>
          <w:tcPr>
            <w:tcBorders>
              <w:top w:val="none" w:color="000000" w:sz="4" w:space="0"/>
              <w:left w:val="none" w:color="000000" w:sz="4" w:space="0"/>
              <w:bottom w:val="single" w:color="000000" w:sz="4" w:space="0"/>
              <w:right w:val="single" w:color="000000" w:sz="4" w:space="0"/>
            </w:tcBorders>
            <w:tcW w:w="913" w:type="dxa"/>
            <w:vAlign w:val="center"/>
            <w:vMerge w:val="restart"/>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消息中间件</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业务组件</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913" w:type="dxa"/>
            <w:vAlign w:val="center"/>
            <w:vMerge w:val="continue"/>
            <w:textDirection w:val="lrTb"/>
            <w:noWrap w:val="false"/>
          </w:tcPr>
          <w:p>
            <w:pPr>
              <w:pStyle w:val="928"/>
              <w:jc w:val="left"/>
              <w:widowControl/>
              <w:rPr>
                <w:color w:val="000000"/>
                <w:sz w:val="21"/>
                <w:szCs w:val="21"/>
              </w:rPr>
            </w:pPr>
            <w:r>
              <w:rPr>
                <w:color w:val="000000"/>
                <w:sz w:val="21"/>
                <w:szCs w:val="21"/>
              </w:rPr>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数字录音软件包</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基础录音软件包</w:t>
            </w:r>
            <w:r/>
          </w:p>
        </w:tc>
        <w:tc>
          <w:tcPr>
            <w:tcBorders>
              <w:top w:val="none" w:color="000000" w:sz="4" w:space="0"/>
              <w:left w:val="none" w:color="000000" w:sz="4" w:space="0"/>
              <w:bottom w:val="single" w:color="000000" w:sz="4" w:space="0"/>
              <w:right w:val="single" w:color="000000" w:sz="4" w:space="0"/>
            </w:tcBorders>
            <w:tcW w:w="2453"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DS数字录音系统</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基础放音软件包</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多媒体放音软件包</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录音查询维护软件包</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none" w:color="000000" w:sz="4" w:space="0"/>
              <w:left w:val="single" w:color="000000" w:sz="4" w:space="0"/>
              <w:bottom w:val="single" w:color="000000" w:sz="4" w:space="0"/>
              <w:right w:val="single" w:color="000000" w:sz="4" w:space="0"/>
            </w:tcBorders>
            <w:tcW w:w="2625"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恶意锁定维护管理软件包</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110报警电话定位系统</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与省厅手机报警定位平台接口</w:t>
            </w:r>
            <w:r/>
          </w:p>
        </w:tc>
        <w:tc>
          <w:tcPr>
            <w:tcBorders>
              <w:top w:val="none" w:color="000000" w:sz="4" w:space="0"/>
              <w:left w:val="none" w:color="000000" w:sz="4" w:space="0"/>
              <w:bottom w:val="single" w:color="000000" w:sz="4" w:space="0"/>
              <w:right w:val="single" w:color="000000" w:sz="4" w:space="0"/>
            </w:tcBorders>
            <w:tcW w:w="2453" w:type="dxa"/>
            <w:vAlign w:val="center"/>
            <w:vMerge w:val="restart"/>
            <w:textDirection w:val="lrTb"/>
            <w:noWrap w:val="false"/>
          </w:tcPr>
          <w:p>
            <w:pPr>
              <w:pStyle w:val="928"/>
              <w:jc w:val="left"/>
              <w:widowControl/>
              <w:rPr>
                <w:rFonts w:hint="eastAsia"/>
                <w:color w:val="000000"/>
                <w:sz w:val="21"/>
                <w:szCs w:val="21"/>
              </w:rPr>
            </w:pPr>
            <w:r>
              <w:rPr>
                <w:rFonts w:hint="eastAsia"/>
                <w:color w:val="000000"/>
                <w:sz w:val="21"/>
                <w:szCs w:val="21"/>
              </w:rPr>
              <w:t xml:space="preserve">DS 三台合一系统外围接口</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固定电话报警定位系统</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与市局一打一查平台接口</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12110短信报警系统</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与省厅12110短信报警平台接口</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与PGIS系统对接接口</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与PGIS系统对接接口</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与警综</w:t>
            </w:r>
            <w:r>
              <w:rPr>
                <w:rFonts w:hint="eastAsia"/>
                <w:color w:val="000000"/>
                <w:sz w:val="21"/>
                <w:szCs w:val="21"/>
              </w:rPr>
              <w:t xml:space="preserve">平台对接接口</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实现与警综平台对接接口</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与LED显示系统对接接口</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实现与LED显示系统数据对接接口</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数据传输接口改造开发</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接处警系统与省厅警情大数据平台接口</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cantSplit/>
          <w:trHeight w:val="24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内保系统（散油宝）对接110系统</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内保系统（散油宝）与接处警系统的对接接口</w:t>
            </w:r>
            <w:r/>
          </w:p>
        </w:tc>
        <w:tc>
          <w:tcPr>
            <w:tcBorders>
              <w:top w:val="none" w:color="000000" w:sz="4" w:space="0"/>
              <w:left w:val="none" w:color="000000" w:sz="4" w:space="0"/>
              <w:bottom w:val="single" w:color="000000" w:sz="4" w:space="0"/>
              <w:right w:val="single" w:color="000000" w:sz="4" w:space="0"/>
            </w:tcBorders>
            <w:tcW w:w="2453" w:type="dxa"/>
            <w:vAlign w:val="center"/>
            <w:vMerge w:val="continue"/>
            <w:textDirection w:val="lrTb"/>
            <w:noWrap w:val="false"/>
          </w:tcPr>
          <w:p>
            <w:pPr>
              <w:pStyle w:val="928"/>
              <w:jc w:val="left"/>
              <w:widowControl/>
              <w:rPr>
                <w:color w:val="000000"/>
                <w:sz w:val="21"/>
                <w:szCs w:val="21"/>
              </w:rPr>
            </w:pP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r>
        <w:trPr>
          <w:trHeight w:val="480"/>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Oracle双机热备管理系统</w:t>
            </w:r>
            <w:r/>
          </w:p>
        </w:tc>
        <w:tc>
          <w:tcPr>
            <w:tcBorders>
              <w:top w:val="single" w:color="000000" w:sz="4" w:space="0"/>
              <w:left w:val="none" w:color="000000" w:sz="4" w:space="0"/>
              <w:bottom w:val="single" w:color="000000" w:sz="4" w:space="0"/>
              <w:right w:val="single" w:color="000000" w:sz="4" w:space="0"/>
            </w:tcBorders>
            <w:tcW w:w="2949"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Oracle数据库双机热备系统</w:t>
            </w:r>
            <w:r/>
          </w:p>
        </w:tc>
        <w:tc>
          <w:tcPr>
            <w:tcBorders>
              <w:top w:val="single" w:color="000000" w:sz="4" w:space="0"/>
              <w:left w:val="none" w:color="000000" w:sz="4" w:space="0"/>
              <w:bottom w:val="single" w:color="000000" w:sz="4" w:space="0"/>
              <w:right w:val="single" w:color="000000" w:sz="4" w:space="0"/>
            </w:tcBorders>
            <w:tcW w:w="2453" w:type="dxa"/>
            <w:vAlign w:val="center"/>
            <w:textDirection w:val="lrTb"/>
            <w:noWrap w:val="false"/>
          </w:tcPr>
          <w:p>
            <w:pPr>
              <w:pStyle w:val="928"/>
              <w:jc w:val="left"/>
              <w:widowControl/>
              <w:rPr>
                <w:rFonts w:hint="eastAsia"/>
                <w:color w:val="000000"/>
                <w:sz w:val="21"/>
                <w:szCs w:val="21"/>
              </w:rPr>
            </w:pPr>
            <w:r>
              <w:rPr>
                <w:rFonts w:hint="eastAsia"/>
                <w:color w:val="000000"/>
                <w:sz w:val="21"/>
                <w:szCs w:val="21"/>
              </w:rPr>
              <w:t xml:space="preserve">DSDBG双机管理软件</w:t>
            </w:r>
            <w:r/>
          </w:p>
        </w:tc>
        <w:tc>
          <w:tcPr>
            <w:tcBorders>
              <w:top w:val="single" w:color="000000" w:sz="4" w:space="0"/>
              <w:left w:val="none" w:color="000000" w:sz="4" w:space="0"/>
              <w:bottom w:val="single" w:color="000000" w:sz="4" w:space="0"/>
              <w:right w:val="single" w:color="000000" w:sz="4" w:space="0"/>
            </w:tcBorders>
            <w:tcW w:w="913" w:type="dxa"/>
            <w:vAlign w:val="center"/>
            <w:textDirection w:val="lrTb"/>
            <w:noWrap w:val="false"/>
          </w:tcPr>
          <w:p>
            <w:pPr>
              <w:pStyle w:val="928"/>
              <w:jc w:val="center"/>
              <w:widowControl/>
              <w:rPr>
                <w:rFonts w:hint="eastAsia"/>
                <w:color w:val="000000"/>
                <w:sz w:val="21"/>
                <w:szCs w:val="21"/>
              </w:rPr>
            </w:pPr>
            <w:r>
              <w:rPr>
                <w:rFonts w:hint="eastAsia"/>
                <w:color w:val="000000"/>
                <w:sz w:val="21"/>
                <w:szCs w:val="21"/>
              </w:rPr>
              <w:t xml:space="preserve">1</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智能指挥调度系统升级运维（数图一体化）</w:t>
      </w:r>
      <w:r>
        <w:rPr>
          <w:rFonts w:ascii="宋体" w:hAnsi="宋体" w:eastAsia="宋体"/>
          <w:color w:val="000000"/>
          <w:sz w:val="21"/>
          <w:szCs w:val="21"/>
        </w:rPr>
      </w:r>
      <w:r/>
    </w:p>
    <w:p>
      <w:pPr>
        <w:pStyle w:val="928"/>
        <w:numPr>
          <w:ilvl w:val="1"/>
          <w:numId w:val="60"/>
        </w:numPr>
        <w:ind w:firstLine="422"/>
        <w:spacing w:line="360" w:lineRule="auto"/>
        <w:rPr>
          <w:rFonts w:hint="eastAsia"/>
          <w:b/>
          <w:bCs/>
          <w:color w:val="000000"/>
          <w:sz w:val="21"/>
          <w:szCs w:val="21"/>
        </w:rPr>
      </w:pPr>
      <w:r>
        <w:rPr>
          <w:rFonts w:hint="eastAsia"/>
          <w:b/>
          <w:bCs/>
          <w:color w:val="000000"/>
          <w:sz w:val="21"/>
          <w:szCs w:val="21"/>
        </w:rPr>
        <w:t xml:space="preserve">软件运维内容</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系统监测工作内容</w:t>
      </w:r>
      <w:r/>
    </w:p>
    <w:p>
      <w:pPr>
        <w:pStyle w:val="928"/>
        <w:numPr>
          <w:ilvl w:val="0"/>
          <w:numId w:val="61"/>
        </w:numPr>
        <w:ind w:left="0" w:firstLine="420"/>
        <w:spacing w:line="360" w:lineRule="auto"/>
        <w:rPr>
          <w:rFonts w:hint="eastAsia"/>
          <w:color w:val="000000"/>
          <w:sz w:val="21"/>
          <w:szCs w:val="21"/>
        </w:rPr>
      </w:pPr>
      <w:r>
        <w:rPr>
          <w:rFonts w:hint="eastAsia"/>
          <w:color w:val="000000"/>
          <w:sz w:val="21"/>
          <w:szCs w:val="21"/>
        </w:rPr>
        <w:t xml:space="preserve">系统运行状态监测，系统是本项目的核心，需要实时监测和保障。</w:t>
      </w:r>
      <w:r/>
    </w:p>
    <w:p>
      <w:pPr>
        <w:pStyle w:val="928"/>
        <w:numPr>
          <w:ilvl w:val="0"/>
          <w:numId w:val="61"/>
        </w:numPr>
        <w:ind w:left="0" w:firstLine="420"/>
        <w:spacing w:line="360" w:lineRule="auto"/>
        <w:rPr>
          <w:rFonts w:hint="eastAsia"/>
          <w:color w:val="000000"/>
          <w:sz w:val="21"/>
          <w:szCs w:val="21"/>
        </w:rPr>
      </w:pPr>
      <w:r>
        <w:rPr>
          <w:rFonts w:hint="eastAsia"/>
          <w:color w:val="000000"/>
          <w:sz w:val="21"/>
          <w:szCs w:val="21"/>
        </w:rPr>
        <w:t xml:space="preserve">系统各项服务运行状态监测，包括地名地址定位服务、融合语义定位服务、纠错反馈服务等。</w:t>
      </w:r>
      <w:r/>
    </w:p>
    <w:p>
      <w:pPr>
        <w:pStyle w:val="928"/>
        <w:numPr>
          <w:ilvl w:val="0"/>
          <w:numId w:val="61"/>
        </w:numPr>
        <w:ind w:left="0" w:firstLine="420"/>
        <w:spacing w:line="360" w:lineRule="auto"/>
        <w:rPr>
          <w:rFonts w:hint="eastAsia"/>
          <w:color w:val="000000"/>
          <w:sz w:val="21"/>
          <w:szCs w:val="21"/>
        </w:rPr>
      </w:pPr>
      <w:r>
        <w:rPr>
          <w:rFonts w:hint="eastAsia"/>
          <w:color w:val="000000"/>
          <w:sz w:val="21"/>
          <w:szCs w:val="21"/>
        </w:rPr>
        <w:t xml:space="preserve">应用服务器、数据库服务器运行状态监测，包含CPU、内存、存储空间、数据库表空间等；</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系统可用性保障</w:t>
      </w:r>
      <w:r/>
    </w:p>
    <w:p>
      <w:pPr>
        <w:pStyle w:val="928"/>
        <w:ind w:firstLine="420"/>
        <w:spacing w:line="360" w:lineRule="auto"/>
        <w:rPr>
          <w:rFonts w:hint="eastAsia"/>
          <w:color w:val="000000"/>
          <w:sz w:val="21"/>
          <w:szCs w:val="21"/>
        </w:rPr>
      </w:pPr>
      <w:r>
        <w:rPr>
          <w:rFonts w:hint="eastAsia"/>
          <w:color w:val="000000"/>
          <w:sz w:val="21"/>
          <w:szCs w:val="21"/>
        </w:rPr>
        <w:t xml:space="preserve">为保障系统各项功能正常使用，需要不定期检查各服务器运行性能，定期提供检查报告，发现问题及时处理。巡检服务器包括应用服务器和数据库服务器。</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日常运维支撑服务</w:t>
      </w:r>
      <w:r/>
    </w:p>
    <w:p>
      <w:pPr>
        <w:pStyle w:val="928"/>
        <w:ind w:firstLine="420"/>
        <w:spacing w:line="360" w:lineRule="auto"/>
        <w:rPr>
          <w:rFonts w:hint="eastAsia"/>
          <w:color w:val="000000"/>
          <w:sz w:val="21"/>
          <w:szCs w:val="21"/>
        </w:rPr>
      </w:pPr>
      <w:r>
        <w:rPr>
          <w:rFonts w:hint="eastAsia"/>
          <w:color w:val="000000"/>
          <w:sz w:val="21"/>
          <w:szCs w:val="21"/>
        </w:rPr>
        <w:t xml:space="preserve">运维保障团队需要及时处理系统使用过程中遇到的问题。</w:t>
      </w:r>
      <w:r/>
    </w:p>
    <w:p>
      <w:pPr>
        <w:pStyle w:val="928"/>
        <w:numPr>
          <w:ilvl w:val="0"/>
          <w:numId w:val="62"/>
        </w:numPr>
        <w:ind w:left="0" w:firstLine="420"/>
        <w:spacing w:line="360" w:lineRule="auto"/>
        <w:rPr>
          <w:rFonts w:hint="eastAsia"/>
          <w:color w:val="000000"/>
          <w:sz w:val="21"/>
          <w:szCs w:val="21"/>
        </w:rPr>
      </w:pPr>
      <w:r>
        <w:rPr>
          <w:rFonts w:hint="eastAsia"/>
          <w:color w:val="000000"/>
          <w:sz w:val="21"/>
          <w:szCs w:val="21"/>
        </w:rPr>
        <w:t xml:space="preserve">微信运维服务群</w:t>
      </w:r>
      <w:r/>
    </w:p>
    <w:p>
      <w:pPr>
        <w:pStyle w:val="928"/>
        <w:ind w:firstLine="420"/>
        <w:spacing w:line="360" w:lineRule="auto"/>
        <w:rPr>
          <w:rFonts w:hint="eastAsia"/>
          <w:color w:val="000000"/>
          <w:sz w:val="21"/>
          <w:szCs w:val="21"/>
        </w:rPr>
      </w:pPr>
      <w:r>
        <w:rPr>
          <w:rFonts w:hint="eastAsia"/>
          <w:color w:val="000000"/>
          <w:sz w:val="21"/>
          <w:szCs w:val="21"/>
        </w:rPr>
        <w:t xml:space="preserve">建立微信支撑服务群，各部门或系统管理部门对接人在使用过程中遇到的问题可及时反馈在群里，服务保障人员看到后第一时间回复，并安排人员</w:t>
      </w:r>
      <w:r>
        <w:rPr>
          <w:rFonts w:hint="eastAsia"/>
          <w:color w:val="000000"/>
          <w:sz w:val="21"/>
          <w:szCs w:val="21"/>
        </w:rPr>
        <w:t xml:space="preserve">处理。</w:t>
      </w:r>
      <w:r/>
    </w:p>
    <w:p>
      <w:pPr>
        <w:pStyle w:val="928"/>
        <w:numPr>
          <w:ilvl w:val="0"/>
          <w:numId w:val="62"/>
        </w:numPr>
        <w:ind w:left="0" w:firstLine="420"/>
        <w:spacing w:line="360" w:lineRule="auto"/>
        <w:rPr>
          <w:rFonts w:hint="eastAsia"/>
          <w:color w:val="000000"/>
          <w:sz w:val="21"/>
          <w:szCs w:val="21"/>
        </w:rPr>
      </w:pPr>
      <w:r>
        <w:rPr>
          <w:rFonts w:hint="eastAsia"/>
          <w:color w:val="000000"/>
          <w:sz w:val="21"/>
          <w:szCs w:val="21"/>
        </w:rPr>
        <w:t xml:space="preserve">运维支撑电话</w:t>
      </w:r>
      <w:r/>
    </w:p>
    <w:p>
      <w:pPr>
        <w:pStyle w:val="928"/>
        <w:ind w:firstLine="420"/>
        <w:spacing w:line="360" w:lineRule="auto"/>
        <w:rPr>
          <w:rFonts w:hint="eastAsia"/>
          <w:color w:val="000000"/>
          <w:sz w:val="21"/>
          <w:szCs w:val="21"/>
        </w:rPr>
      </w:pPr>
      <w:r>
        <w:rPr>
          <w:rFonts w:hint="eastAsia"/>
          <w:color w:val="000000"/>
          <w:sz w:val="21"/>
          <w:szCs w:val="21"/>
        </w:rPr>
        <w:t xml:space="preserve">运维支撑单位向各使用单位提供维护电话，如系统在使用过程中出现问题，可及时联系电话反馈问题，运维团队收到问题后需第一时间处理。</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特殊时段保障</w:t>
      </w:r>
      <w:r/>
    </w:p>
    <w:p>
      <w:pPr>
        <w:pStyle w:val="928"/>
        <w:ind w:firstLine="420"/>
        <w:spacing w:line="360" w:lineRule="auto"/>
        <w:rPr>
          <w:rFonts w:hint="eastAsia"/>
          <w:color w:val="000000"/>
          <w:sz w:val="21"/>
          <w:szCs w:val="21"/>
        </w:rPr>
      </w:pPr>
      <w:r>
        <w:rPr>
          <w:rFonts w:hint="eastAsia"/>
          <w:color w:val="000000"/>
          <w:sz w:val="21"/>
          <w:szCs w:val="21"/>
        </w:rPr>
        <w:t xml:space="preserve">特殊保障期间，要实时确保各项运维方式畅通，包括热线电话，电子邮件（7×24），传真等方式；在系统运行中，如果出现故障，运维团队需要在服务响应时限要求内给出解决方案，对于那些无法通过电话指导等方式解决的问题和系统故障，运维人员在向负责人汇报后，负责人根据问题和故障的种类及情况，安排相应的专业技术工程师到现场排除故障、解决问题。</w:t>
      </w:r>
      <w:r/>
    </w:p>
    <w:p>
      <w:pPr>
        <w:pStyle w:val="928"/>
        <w:ind w:firstLine="420"/>
        <w:spacing w:line="360" w:lineRule="auto"/>
        <w:rPr>
          <w:rFonts w:hint="eastAsia"/>
          <w:color w:val="000000"/>
          <w:sz w:val="21"/>
          <w:szCs w:val="21"/>
        </w:rPr>
      </w:pPr>
      <w:r>
        <w:rPr>
          <w:rFonts w:hint="eastAsia"/>
          <w:color w:val="000000"/>
          <w:sz w:val="21"/>
          <w:szCs w:val="21"/>
        </w:rPr>
        <w:t xml:space="preserve">运行维护期内，运维人员发现问题进行记录，及时汇报运维负责人和相关领导，共同确定是否是系统缺陷，一旦确定是缺陷，根据其严重程度运维团队及时作出响应处置机制。必要时给出相应备选方案确保系统能够正常工作，并且详细记录故障原因及排除方法，维修完毕移交给业主方。</w:t>
      </w:r>
      <w:r/>
    </w:p>
    <w:p>
      <w:pPr>
        <w:pStyle w:val="928"/>
        <w:ind w:firstLine="420"/>
        <w:spacing w:line="360" w:lineRule="auto"/>
        <w:rPr>
          <w:rFonts w:hint="eastAsia"/>
          <w:color w:val="000000"/>
          <w:sz w:val="21"/>
          <w:szCs w:val="21"/>
        </w:rPr>
      </w:pPr>
      <w:r>
        <w:rPr>
          <w:rFonts w:hint="eastAsia"/>
          <w:color w:val="000000"/>
          <w:sz w:val="21"/>
          <w:szCs w:val="21"/>
        </w:rPr>
        <w:t xml:space="preserve">重大活动期间提供1名以上技术人员专项保障，并制定系统保障方案和故障应急处置预案，保障活动的不间断正常进行。重要活动以市局通知为准。</w:t>
      </w:r>
      <w:r/>
    </w:p>
    <w:p>
      <w:pPr>
        <w:pStyle w:val="928"/>
        <w:ind w:firstLine="420"/>
        <w:spacing w:line="360" w:lineRule="auto"/>
        <w:rPr>
          <w:rFonts w:hint="eastAsia"/>
          <w:color w:val="000000"/>
          <w:sz w:val="21"/>
          <w:szCs w:val="21"/>
        </w:rPr>
      </w:pPr>
      <w:r>
        <w:rPr>
          <w:rFonts w:hint="eastAsia"/>
          <w:color w:val="000000"/>
          <w:sz w:val="21"/>
          <w:szCs w:val="21"/>
        </w:rPr>
        <w:t xml:space="preserve">重大活动开展前，需完成项目组成员的职责分配。</w:t>
      </w:r>
      <w:r/>
    </w:p>
    <w:p>
      <w:pPr>
        <w:pStyle w:val="928"/>
        <w:ind w:firstLine="420"/>
        <w:spacing w:line="360" w:lineRule="auto"/>
        <w:rPr>
          <w:rFonts w:hint="eastAsia"/>
          <w:color w:val="000000"/>
          <w:sz w:val="21"/>
          <w:szCs w:val="21"/>
        </w:rPr>
      </w:pPr>
      <w:r>
        <w:rPr>
          <w:rFonts w:hint="eastAsia"/>
          <w:color w:val="000000"/>
          <w:sz w:val="21"/>
          <w:szCs w:val="21"/>
        </w:rPr>
        <w:t xml:space="preserve">重大活动期间，项目组成员需保证多种通讯方式24小时畅通。</w:t>
      </w:r>
      <w:r/>
    </w:p>
    <w:p>
      <w:pPr>
        <w:pStyle w:val="928"/>
        <w:ind w:firstLine="420"/>
        <w:spacing w:line="360" w:lineRule="auto"/>
        <w:rPr>
          <w:rFonts w:hint="eastAsia"/>
          <w:color w:val="000000"/>
          <w:sz w:val="21"/>
          <w:szCs w:val="21"/>
        </w:rPr>
      </w:pPr>
      <w:r>
        <w:rPr>
          <w:rFonts w:hint="eastAsia"/>
          <w:color w:val="000000"/>
          <w:sz w:val="21"/>
          <w:szCs w:val="21"/>
        </w:rPr>
        <w:t xml:space="preserve">重大活动期间，对系统进行实时监测，保证系统正</w:t>
      </w:r>
      <w:r>
        <w:rPr>
          <w:rFonts w:hint="eastAsia"/>
          <w:color w:val="000000"/>
          <w:sz w:val="21"/>
          <w:szCs w:val="21"/>
        </w:rPr>
        <w:t xml:space="preserve">常使用。</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应急服务响应措施</w:t>
      </w:r>
      <w:r/>
    </w:p>
    <w:p>
      <w:pPr>
        <w:pStyle w:val="928"/>
        <w:ind w:firstLine="420"/>
        <w:spacing w:line="360" w:lineRule="auto"/>
        <w:rPr>
          <w:rFonts w:hint="eastAsia"/>
          <w:color w:val="000000"/>
          <w:sz w:val="21"/>
          <w:szCs w:val="21"/>
        </w:rPr>
      </w:pPr>
      <w:r>
        <w:rPr>
          <w:rFonts w:hint="eastAsia"/>
          <w:color w:val="000000"/>
          <w:sz w:val="21"/>
          <w:szCs w:val="21"/>
        </w:rPr>
        <w:t xml:space="preserve">在服务维护过程中，意外情况难以完全避免。尤其是在节假日或重大活动期间，如遇突发的紧急情况，运维团队需要对项目实施的突发风险进行详细分析，并且针对各类突发事件，设计相应的预防与解决措施，并提供完整的应急处理流程。</w:t>
      </w:r>
      <w:r/>
    </w:p>
    <w:p>
      <w:pPr>
        <w:pStyle w:val="928"/>
        <w:ind w:firstLine="420"/>
        <w:spacing w:line="360" w:lineRule="auto"/>
        <w:rPr>
          <w:rFonts w:hint="eastAsia"/>
          <w:color w:val="000000"/>
          <w:sz w:val="21"/>
          <w:szCs w:val="21"/>
        </w:rPr>
      </w:pPr>
      <w:r>
        <w:rPr>
          <w:rFonts w:hint="eastAsia"/>
          <w:color w:val="000000"/>
          <w:sz w:val="21"/>
          <w:szCs w:val="21"/>
        </w:rPr>
        <w:t xml:space="preserve">运维人员在解决故障时，需要最大限度保护好数据，做好故障恢复的文档，力争恢复到故障点前的业务状态。</w:t>
      </w:r>
      <w:r/>
    </w:p>
    <w:p>
      <w:pPr>
        <w:pStyle w:val="928"/>
        <w:numPr>
          <w:ilvl w:val="1"/>
          <w:numId w:val="60"/>
        </w:numPr>
        <w:ind w:firstLine="422"/>
        <w:spacing w:line="360" w:lineRule="auto"/>
        <w:rPr>
          <w:rFonts w:hint="eastAsia"/>
          <w:b/>
          <w:bCs/>
          <w:color w:val="000000"/>
          <w:sz w:val="21"/>
          <w:szCs w:val="21"/>
        </w:rPr>
      </w:pPr>
      <w:r>
        <w:rPr>
          <w:rFonts w:hint="eastAsia"/>
          <w:b/>
          <w:bCs/>
          <w:color w:val="000000"/>
          <w:sz w:val="21"/>
          <w:szCs w:val="21"/>
        </w:rPr>
        <w:t xml:space="preserve">硬件运维内容</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运维设备列表</w:t>
      </w:r>
      <w:r/>
    </w:p>
    <w:p>
      <w:pPr>
        <w:pStyle w:val="928"/>
        <w:ind w:firstLine="420"/>
        <w:spacing w:line="360" w:lineRule="auto"/>
        <w:rPr>
          <w:rFonts w:hint="eastAsia"/>
          <w:color w:val="000000"/>
          <w:sz w:val="21"/>
          <w:szCs w:val="21"/>
        </w:rPr>
      </w:pPr>
      <w:r>
        <w:rPr>
          <w:rFonts w:hint="eastAsia"/>
          <w:color w:val="000000"/>
          <w:sz w:val="21"/>
          <w:szCs w:val="21"/>
        </w:rPr>
        <w:t xml:space="preserve">对以下采购的软硬件及服务进行维护</w:t>
      </w:r>
      <w:r/>
    </w:p>
    <w:tbl>
      <w:tblPr>
        <w:tblW w:w="744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46"/>
        <w:gridCol w:w="2195"/>
        <w:gridCol w:w="2391"/>
        <w:gridCol w:w="846"/>
        <w:gridCol w:w="1162"/>
      </w:tblGrid>
      <w:tr>
        <w:trPr>
          <w:trHeight w:val="285"/>
        </w:trPr>
        <w:tc>
          <w:tcPr>
            <w:tcBorders>
              <w:top w:val="single" w:color="000000" w:sz="8" w:space="0"/>
              <w:left w:val="single" w:color="000000" w:sz="8"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W w:w="2195"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标的物名称</w:t>
            </w:r>
            <w:r/>
          </w:p>
        </w:tc>
        <w:tc>
          <w:tcPr>
            <w:tcBorders>
              <w:top w:val="single" w:color="000000" w:sz="8" w:space="0"/>
              <w:left w:val="none" w:color="000000" w:sz="4" w:space="0"/>
              <w:bottom w:val="single" w:color="000000" w:sz="8" w:space="0"/>
              <w:right w:val="single" w:color="000000" w:sz="8" w:space="0"/>
            </w:tcBorders>
            <w:tcW w:w="2391"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品牌、规格</w:t>
            </w:r>
            <w:r/>
          </w:p>
        </w:tc>
        <w:tc>
          <w:tcPr>
            <w:tcBorders>
              <w:top w:val="single" w:color="000000" w:sz="8" w:space="0"/>
              <w:left w:val="none" w:color="000000" w:sz="4"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单位</w:t>
            </w:r>
            <w:r/>
          </w:p>
        </w:tc>
        <w:tc>
          <w:tcPr>
            <w:tcBorders>
              <w:top w:val="single" w:color="000000" w:sz="8" w:space="0"/>
              <w:left w:val="none" w:color="000000" w:sz="4" w:space="0"/>
              <w:bottom w:val="single" w:color="000000" w:sz="8" w:space="0"/>
              <w:right w:val="single" w:color="000000" w:sz="8" w:space="0"/>
            </w:tcBorders>
            <w:tcW w:w="116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数量</w:t>
            </w:r>
            <w:r/>
          </w:p>
        </w:tc>
      </w:tr>
      <w:tr>
        <w:trPr>
          <w:trHeight w:val="49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2195"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双路高清解码板</w:t>
            </w:r>
            <w:r/>
          </w:p>
        </w:tc>
        <w:tc>
          <w:tcPr>
            <w:tcBorders>
              <w:top w:val="none" w:color="000000" w:sz="4" w:space="0"/>
              <w:left w:val="none" w:color="000000" w:sz="4" w:space="0"/>
              <w:bottom w:val="single" w:color="000000" w:sz="8" w:space="0"/>
              <w:right w:val="single" w:color="000000" w:sz="8" w:space="0"/>
            </w:tcBorders>
            <w:tcW w:w="2391"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科达KDM201-D02E</w:t>
            </w:r>
            <w:r/>
          </w:p>
        </w:tc>
        <w:tc>
          <w:tcPr>
            <w:tcBorders>
              <w:top w:val="none" w:color="000000" w:sz="4" w:space="0"/>
              <w:left w:val="none" w:color="000000" w:sz="4"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块</w:t>
            </w:r>
            <w:r/>
          </w:p>
        </w:tc>
        <w:tc>
          <w:tcPr>
            <w:tcBorders>
              <w:top w:val="none" w:color="000000" w:sz="4" w:space="0"/>
              <w:left w:val="none" w:color="000000" w:sz="4" w:space="0"/>
              <w:bottom w:val="single" w:color="000000" w:sz="8" w:space="0"/>
              <w:right w:val="single" w:color="000000" w:sz="8" w:space="0"/>
            </w:tcBorders>
            <w:tcW w:w="116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8</w:t>
            </w:r>
            <w:r/>
          </w:p>
        </w:tc>
      </w:tr>
      <w:tr>
        <w:trPr>
          <w:trHeight w:val="599"/>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2195"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集中式综合业务平台</w:t>
            </w:r>
            <w:r/>
          </w:p>
        </w:tc>
        <w:tc>
          <w:tcPr>
            <w:tcBorders>
              <w:top w:val="none" w:color="000000" w:sz="4" w:space="0"/>
              <w:left w:val="none" w:color="000000" w:sz="4" w:space="0"/>
              <w:bottom w:val="single" w:color="000000" w:sz="8" w:space="0"/>
              <w:right w:val="single" w:color="000000" w:sz="8" w:space="0"/>
            </w:tcBorders>
            <w:tcW w:w="2391"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科达KDM2O1-SH-F</w:t>
            </w:r>
            <w:r/>
          </w:p>
        </w:tc>
        <w:tc>
          <w:tcPr>
            <w:tcBorders>
              <w:top w:val="none" w:color="000000" w:sz="4" w:space="0"/>
              <w:left w:val="none" w:color="000000" w:sz="4"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台</w:t>
            </w:r>
            <w:r/>
          </w:p>
        </w:tc>
        <w:tc>
          <w:tcPr>
            <w:tcBorders>
              <w:top w:val="none" w:color="000000" w:sz="4" w:space="0"/>
              <w:left w:val="none" w:color="000000" w:sz="4" w:space="0"/>
              <w:bottom w:val="single" w:color="000000" w:sz="8" w:space="0"/>
              <w:right w:val="single" w:color="000000" w:sz="8" w:space="0"/>
            </w:tcBorders>
            <w:tcW w:w="116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1</w:t>
            </w:r>
            <w:r/>
          </w:p>
        </w:tc>
      </w:tr>
      <w:tr>
        <w:trPr>
          <w:trHeight w:val="523"/>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W w:w="2195"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单路高清编码器</w:t>
            </w:r>
            <w:r/>
          </w:p>
        </w:tc>
        <w:tc>
          <w:tcPr>
            <w:tcBorders>
              <w:top w:val="none" w:color="000000" w:sz="4" w:space="0"/>
              <w:left w:val="none" w:color="000000" w:sz="4" w:space="0"/>
              <w:bottom w:val="single" w:color="000000" w:sz="8" w:space="0"/>
              <w:right w:val="single" w:color="000000" w:sz="8" w:space="0"/>
            </w:tcBorders>
            <w:tcW w:w="2391"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科达KDV2410-CO1HS</w:t>
            </w:r>
            <w:r/>
          </w:p>
        </w:tc>
        <w:tc>
          <w:tcPr>
            <w:tcBorders>
              <w:top w:val="none" w:color="000000" w:sz="4" w:space="0"/>
              <w:left w:val="none" w:color="000000" w:sz="4"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台</w:t>
            </w:r>
            <w:r/>
          </w:p>
        </w:tc>
        <w:tc>
          <w:tcPr>
            <w:tcBorders>
              <w:top w:val="none" w:color="000000" w:sz="4" w:space="0"/>
              <w:left w:val="none" w:color="000000" w:sz="4" w:space="0"/>
              <w:bottom w:val="single" w:color="000000" w:sz="8" w:space="0"/>
              <w:right w:val="single" w:color="000000" w:sz="8" w:space="0"/>
            </w:tcBorders>
            <w:tcW w:w="116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2</w:t>
            </w:r>
            <w:r/>
          </w:p>
        </w:tc>
      </w:tr>
      <w:tr>
        <w:trPr>
          <w:trHeight w:val="73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W w:w="2195"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数字中继语音网关</w:t>
            </w:r>
            <w:r/>
          </w:p>
        </w:tc>
        <w:tc>
          <w:tcPr>
            <w:tcBorders>
              <w:top w:val="none" w:color="000000" w:sz="4" w:space="0"/>
              <w:left w:val="none" w:color="000000" w:sz="4" w:space="0"/>
              <w:bottom w:val="single" w:color="000000" w:sz="8" w:space="0"/>
              <w:right w:val="single" w:color="000000" w:sz="8" w:space="0"/>
            </w:tcBorders>
            <w:tcW w:w="2391"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讯时MX100G-S-IEL/TI</w:t>
            </w:r>
            <w:r/>
          </w:p>
        </w:tc>
        <w:tc>
          <w:tcPr>
            <w:tcBorders>
              <w:top w:val="none" w:color="000000" w:sz="4" w:space="0"/>
              <w:left w:val="none" w:color="000000" w:sz="4"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台</w:t>
            </w:r>
            <w:r/>
          </w:p>
        </w:tc>
        <w:tc>
          <w:tcPr>
            <w:tcBorders>
              <w:top w:val="none" w:color="000000" w:sz="4" w:space="0"/>
              <w:left w:val="none" w:color="000000" w:sz="4" w:space="0"/>
              <w:bottom w:val="single" w:color="000000" w:sz="8" w:space="0"/>
              <w:right w:val="single" w:color="000000" w:sz="8" w:space="0"/>
            </w:tcBorders>
            <w:tcW w:w="116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1</w:t>
            </w:r>
            <w:r/>
          </w:p>
        </w:tc>
      </w:tr>
      <w:tr>
        <w:trPr>
          <w:trHeight w:val="495"/>
        </w:trPr>
        <w:tc>
          <w:tcPr>
            <w:tcBorders>
              <w:top w:val="none" w:color="000000" w:sz="4" w:space="0"/>
              <w:left w:val="single" w:color="000000" w:sz="8"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W w:w="2195"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AMBE 声码器</w:t>
            </w:r>
            <w:r/>
          </w:p>
        </w:tc>
        <w:tc>
          <w:tcPr>
            <w:tcBorders>
              <w:top w:val="none" w:color="000000" w:sz="4" w:space="0"/>
              <w:left w:val="none" w:color="000000" w:sz="4" w:space="0"/>
              <w:bottom w:val="single" w:color="000000" w:sz="8" w:space="0"/>
              <w:right w:val="single" w:color="000000" w:sz="8" w:space="0"/>
            </w:tcBorders>
            <w:tcW w:w="2391"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卓越USB3012</w:t>
            </w:r>
            <w:r/>
          </w:p>
        </w:tc>
        <w:tc>
          <w:tcPr>
            <w:tcBorders>
              <w:top w:val="none" w:color="000000" w:sz="4" w:space="0"/>
              <w:left w:val="none" w:color="000000" w:sz="4" w:space="0"/>
              <w:bottom w:val="single" w:color="000000" w:sz="8" w:space="0"/>
              <w:right w:val="single" w:color="000000" w:sz="8" w:space="0"/>
            </w:tcBorders>
            <w:tcW w:w="846"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台</w:t>
            </w:r>
            <w:r/>
          </w:p>
        </w:tc>
        <w:tc>
          <w:tcPr>
            <w:tcBorders>
              <w:top w:val="none" w:color="000000" w:sz="4" w:space="0"/>
              <w:left w:val="none" w:color="000000" w:sz="4" w:space="0"/>
              <w:bottom w:val="single" w:color="000000" w:sz="8" w:space="0"/>
              <w:right w:val="single" w:color="000000" w:sz="8" w:space="0"/>
            </w:tcBorders>
            <w:tcW w:w="1162" w:type="dxa"/>
            <w:vAlign w:val="center"/>
            <w:textDirection w:val="lrTb"/>
            <w:noWrap w:val="false"/>
          </w:tcPr>
          <w:p>
            <w:pPr>
              <w:pStyle w:val="928"/>
              <w:jc w:val="center"/>
              <w:spacing w:line="360" w:lineRule="auto"/>
              <w:rPr>
                <w:rFonts w:hint="eastAsia"/>
                <w:color w:val="000000"/>
                <w:sz w:val="21"/>
                <w:szCs w:val="21"/>
              </w:rPr>
            </w:pPr>
            <w:r>
              <w:rPr>
                <w:rFonts w:hint="eastAsia"/>
                <w:color w:val="000000"/>
                <w:sz w:val="21"/>
                <w:szCs w:val="21"/>
              </w:rPr>
              <w:t xml:space="preserve">1</w:t>
            </w:r>
            <w:r/>
          </w:p>
        </w:tc>
      </w:tr>
    </w:tbl>
    <w:p>
      <w:pPr>
        <w:pStyle w:val="928"/>
        <w:spacing w:line="360" w:lineRule="auto"/>
        <w:rPr>
          <w:rFonts w:hint="eastAsia" w:cs="黑体"/>
          <w:color w:val="000000"/>
          <w:sz w:val="21"/>
          <w:szCs w:val="21"/>
        </w:rPr>
      </w:pPr>
      <w:r>
        <w:rPr>
          <w:rFonts w:hint="eastAsia" w:cs="黑体"/>
          <w:color w:val="000000"/>
          <w:sz w:val="21"/>
          <w:szCs w:val="21"/>
        </w:rPr>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定期维护</w:t>
      </w:r>
      <w:r/>
    </w:p>
    <w:p>
      <w:pPr>
        <w:pStyle w:val="928"/>
        <w:ind w:firstLine="420"/>
        <w:spacing w:line="360" w:lineRule="auto"/>
        <w:rPr>
          <w:rFonts w:hint="eastAsia"/>
          <w:color w:val="000000"/>
          <w:sz w:val="21"/>
          <w:szCs w:val="21"/>
        </w:rPr>
      </w:pPr>
      <w:r>
        <w:rPr>
          <w:rFonts w:hint="eastAsia"/>
          <w:color w:val="000000"/>
          <w:sz w:val="21"/>
          <w:szCs w:val="21"/>
        </w:rPr>
        <w:t xml:space="preserve">根据双方协商结果定期巡检，其中对维保范围内超过质保期但又故障的设备，组织维修，维修费用于双方协商确定。</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系统中线路损坏的修复</w:t>
      </w:r>
      <w:r/>
    </w:p>
    <w:p>
      <w:pPr>
        <w:pStyle w:val="928"/>
        <w:ind w:firstLine="420"/>
        <w:spacing w:line="360" w:lineRule="auto"/>
        <w:rPr>
          <w:rFonts w:hint="eastAsia"/>
          <w:color w:val="000000"/>
          <w:sz w:val="21"/>
          <w:szCs w:val="21"/>
        </w:rPr>
      </w:pPr>
      <w:r>
        <w:rPr>
          <w:rFonts w:hint="eastAsia"/>
          <w:color w:val="000000"/>
          <w:sz w:val="21"/>
          <w:szCs w:val="21"/>
        </w:rPr>
        <w:t xml:space="preserve">包括电源线、控制线、网线等的损坏，以及通讯井的保养和损坏修复，对于因市政工程、拆迁等因素造成线路损坏的，由客户方负责协调，中标方配合进行修复</w:t>
      </w:r>
      <w:r>
        <w:rPr>
          <w:rFonts w:hint="eastAsia"/>
          <w:color w:val="000000"/>
          <w:sz w:val="21"/>
          <w:szCs w:val="21"/>
        </w:rPr>
        <w:t xml:space="preserve">；对于传输光纤问题，中标方根据光纤标号和联系电话联系运行商，运行商负责修复。如运行商修复有问题的由客户方负责协调。</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系统主要设备元器件的损坏维护</w:t>
      </w:r>
      <w:r/>
    </w:p>
    <w:p>
      <w:pPr>
        <w:pStyle w:val="928"/>
        <w:ind w:firstLine="420"/>
        <w:spacing w:line="360" w:lineRule="auto"/>
        <w:rPr>
          <w:rFonts w:hint="eastAsia"/>
          <w:color w:val="000000"/>
          <w:sz w:val="21"/>
          <w:szCs w:val="21"/>
        </w:rPr>
      </w:pPr>
      <w:r>
        <w:rPr>
          <w:rFonts w:hint="eastAsia"/>
          <w:color w:val="000000"/>
          <w:sz w:val="21"/>
          <w:szCs w:val="21"/>
        </w:rPr>
        <w:t xml:space="preserve">1）对矩阵及键盘、编解码设备、服务器、防火墙、网闸等所有设备提供检测和故障检修，一旦出现设备（除人为故意损坏和不可抗拒因素外）损坏情况可以修复的由中标方及时修复，无法修复的，由中标方根据实际情况提供新设备并负责安装调试工作，使系统恢复正常运行。维修费和购置费双方协商确定。</w:t>
      </w:r>
      <w:r/>
    </w:p>
    <w:p>
      <w:pPr>
        <w:pStyle w:val="928"/>
        <w:numPr>
          <w:ilvl w:val="1"/>
          <w:numId w:val="60"/>
        </w:numPr>
        <w:ind w:firstLine="422"/>
        <w:spacing w:line="360" w:lineRule="auto"/>
        <w:rPr>
          <w:rFonts w:hint="eastAsia"/>
          <w:b/>
          <w:bCs/>
          <w:color w:val="000000"/>
          <w:sz w:val="21"/>
          <w:szCs w:val="21"/>
        </w:rPr>
      </w:pPr>
      <w:r>
        <w:rPr>
          <w:rFonts w:hint="eastAsia"/>
          <w:b/>
          <w:bCs/>
          <w:color w:val="000000"/>
          <w:sz w:val="21"/>
          <w:szCs w:val="21"/>
        </w:rPr>
        <w:t xml:space="preserve">软件系统升级</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数据接口更换</w:t>
      </w:r>
      <w:r/>
    </w:p>
    <w:p>
      <w:pPr>
        <w:pStyle w:val="928"/>
        <w:ind w:firstLine="420"/>
        <w:spacing w:line="360" w:lineRule="auto"/>
        <w:rPr>
          <w:rFonts w:hint="eastAsia"/>
          <w:color w:val="000000"/>
          <w:sz w:val="21"/>
          <w:szCs w:val="21"/>
        </w:rPr>
      </w:pPr>
      <w:r>
        <w:rPr>
          <w:rFonts w:hint="eastAsia"/>
          <w:color w:val="000000"/>
          <w:sz w:val="21"/>
          <w:szCs w:val="21"/>
        </w:rPr>
        <w:t xml:space="preserve">基于太仓目前数据状况，为进一步提升指挥中心各类数据的实时性，重新更换数据来源，将原来的苏州市局对接变更为与现有的“扬帆”数据中心对接，同时基于定位数据的变更，改变定位方式。</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人员信息关联</w:t>
      </w:r>
      <w:r/>
    </w:p>
    <w:p>
      <w:pPr>
        <w:pStyle w:val="928"/>
        <w:ind w:firstLine="420"/>
        <w:spacing w:line="360" w:lineRule="auto"/>
        <w:rPr>
          <w:rFonts w:hint="eastAsia"/>
          <w:color w:val="000000"/>
          <w:sz w:val="21"/>
          <w:szCs w:val="21"/>
        </w:rPr>
      </w:pPr>
      <w:r>
        <w:rPr>
          <w:rFonts w:hint="eastAsia"/>
          <w:color w:val="000000"/>
          <w:sz w:val="21"/>
          <w:szCs w:val="21"/>
        </w:rPr>
        <w:t xml:space="preserve">通过对接“扬帆”，获取报警人的相关信息，包括姓名、身份证号、电话、住址等基本信息，以及是否重点人员、前科、是否涉警等关注类信息。详情信息在电脑端和移动端进行展示。</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历史警情关联</w:t>
      </w:r>
      <w:r/>
    </w:p>
    <w:p>
      <w:pPr>
        <w:pStyle w:val="928"/>
        <w:ind w:firstLine="420"/>
        <w:spacing w:line="360" w:lineRule="auto"/>
        <w:rPr>
          <w:rFonts w:hint="eastAsia"/>
          <w:color w:val="000000"/>
          <w:sz w:val="21"/>
          <w:szCs w:val="21"/>
        </w:rPr>
      </w:pPr>
      <w:r>
        <w:rPr>
          <w:rFonts w:hint="eastAsia"/>
          <w:color w:val="000000"/>
          <w:sz w:val="21"/>
          <w:szCs w:val="21"/>
        </w:rPr>
        <w:t xml:space="preserve">基于报警人的电话号码，对当前警情的报警人进行历史报警信息的关联，汇聚报警人的所有历史报警信息及处警信息，支持对历史报警信息查看。</w:t>
      </w:r>
      <w:r/>
    </w:p>
    <w:p>
      <w:pPr>
        <w:pStyle w:val="928"/>
        <w:numPr>
          <w:ilvl w:val="2"/>
          <w:numId w:val="60"/>
        </w:numPr>
        <w:ind w:firstLine="422"/>
        <w:spacing w:line="360" w:lineRule="auto"/>
        <w:rPr>
          <w:rFonts w:hint="eastAsia"/>
          <w:b/>
          <w:bCs/>
          <w:color w:val="000000"/>
          <w:sz w:val="21"/>
          <w:szCs w:val="21"/>
        </w:rPr>
      </w:pPr>
      <w:r>
        <w:rPr>
          <w:rFonts w:hint="eastAsia"/>
          <w:b/>
          <w:bCs/>
          <w:color w:val="000000"/>
          <w:sz w:val="21"/>
          <w:szCs w:val="21"/>
        </w:rPr>
        <w:t xml:space="preserve">警情自动签收</w:t>
      </w:r>
      <w:r/>
    </w:p>
    <w:p>
      <w:pPr>
        <w:pStyle w:val="928"/>
        <w:ind w:firstLine="420"/>
        <w:spacing w:line="360" w:lineRule="auto"/>
        <w:rPr>
          <w:rFonts w:hint="eastAsia"/>
          <w:color w:val="000000"/>
          <w:sz w:val="21"/>
          <w:szCs w:val="21"/>
        </w:rPr>
      </w:pPr>
      <w:r>
        <w:rPr>
          <w:rFonts w:hint="eastAsia"/>
          <w:color w:val="000000"/>
          <w:sz w:val="21"/>
          <w:szCs w:val="21"/>
        </w:rPr>
        <w:t xml:space="preserve">对接苏州市局“令箭”平台，对考核的下发关注警情进行自动签收。</w:t>
      </w:r>
      <w:r/>
    </w:p>
    <w:p>
      <w:pPr>
        <w:pStyle w:val="930"/>
        <w:numPr>
          <w:ilvl w:val="1"/>
          <w:numId w:val="45"/>
        </w:numPr>
        <w:spacing w:before="0" w:after="0" w:line="360" w:lineRule="auto"/>
        <w:tabs>
          <w:tab w:val="left" w:pos="567" w:leader="none"/>
          <w:tab w:val="left" w:pos="576" w:leader="none"/>
        </w:tabs>
        <w:rPr>
          <w:rFonts w:hint="eastAsia" w:ascii="宋体" w:hAnsi="宋体" w:eastAsia="宋体"/>
          <w:color w:val="000000"/>
          <w:sz w:val="21"/>
          <w:szCs w:val="21"/>
        </w:rPr>
      </w:pPr>
      <w:r>
        <w:rPr>
          <w:rFonts w:hint="eastAsia" w:ascii="宋体" w:hAnsi="宋体" w:eastAsia="宋体"/>
          <w:color w:val="000000"/>
          <w:sz w:val="21"/>
          <w:szCs w:val="21"/>
        </w:rPr>
        <w:t xml:space="preserve">执纪</w:t>
      </w:r>
      <w:r>
        <w:rPr>
          <w:rFonts w:hint="eastAsia" w:ascii="宋体" w:hAnsi="宋体" w:eastAsia="宋体"/>
          <w:color w:val="000000"/>
          <w:sz w:val="21"/>
          <w:szCs w:val="21"/>
        </w:rPr>
        <w:t xml:space="preserve">执法智慧督察运维服务（一共三期）</w:t>
      </w:r>
      <w:r/>
    </w:p>
    <w:p>
      <w:pPr>
        <w:pStyle w:val="928"/>
        <w:ind w:firstLine="420"/>
        <w:jc w:val="left"/>
        <w:spacing w:line="360" w:lineRule="auto"/>
        <w:widowControl/>
        <w:rPr>
          <w:rFonts w:hint="eastAsia"/>
          <w:color w:val="000000"/>
          <w:sz w:val="21"/>
          <w:szCs w:val="21"/>
        </w:rPr>
      </w:pPr>
      <w:r>
        <w:rPr>
          <w:rFonts w:hint="eastAsia"/>
          <w:color w:val="000000"/>
          <w:sz w:val="21"/>
          <w:szCs w:val="21"/>
        </w:rPr>
        <w:t xml:space="preserve">服务内容清单：</w:t>
      </w:r>
      <w:r/>
    </w:p>
    <w:tbl>
      <w:tblPr>
        <w:tblW w:w="861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636"/>
        <w:gridCol w:w="5840"/>
        <w:gridCol w:w="1134"/>
      </w:tblGrid>
      <w:tr>
        <w:trPr>
          <w:trHeight w:val="170"/>
        </w:trPr>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928"/>
              <w:jc w:val="center"/>
              <w:spacing w:line="360" w:lineRule="auto"/>
              <w:widowControl/>
              <w:rPr>
                <w:rFonts w:hint="eastAsia"/>
                <w:b/>
                <w:bCs/>
                <w:color w:val="000000"/>
                <w:sz w:val="21"/>
                <w:szCs w:val="21"/>
              </w:rPr>
            </w:pPr>
            <w:r>
              <w:rPr>
                <w:rFonts w:hint="eastAsia"/>
                <w:b/>
                <w:bCs/>
                <w:color w:val="000000"/>
                <w:sz w:val="21"/>
                <w:szCs w:val="21"/>
              </w:rPr>
              <w:t xml:space="preserve">服务名称</w:t>
            </w:r>
            <w:r/>
          </w:p>
        </w:tc>
        <w:tc>
          <w:tcPr>
            <w:tcBorders>
              <w:top w:val="single" w:color="000000" w:sz="4" w:space="0"/>
              <w:left w:val="none" w:color="000000" w:sz="4" w:space="0"/>
              <w:bottom w:val="single" w:color="000000" w:sz="4" w:space="0"/>
              <w:right w:val="single" w:color="000000" w:sz="4" w:space="0"/>
            </w:tcBorders>
            <w:tcW w:w="5840" w:type="dxa"/>
            <w:vAlign w:val="center"/>
            <w:textDirection w:val="lrTb"/>
            <w:noWrap w:val="false"/>
          </w:tcPr>
          <w:p>
            <w:pPr>
              <w:pStyle w:val="928"/>
              <w:jc w:val="center"/>
              <w:spacing w:line="360" w:lineRule="auto"/>
              <w:widowControl/>
              <w:rPr>
                <w:rFonts w:hint="eastAsia"/>
                <w:b/>
                <w:bCs/>
                <w:color w:val="000000"/>
                <w:sz w:val="21"/>
                <w:szCs w:val="21"/>
              </w:rPr>
            </w:pPr>
            <w:r>
              <w:rPr>
                <w:rFonts w:hint="eastAsia"/>
                <w:b/>
                <w:bCs/>
                <w:color w:val="000000"/>
                <w:sz w:val="21"/>
                <w:szCs w:val="21"/>
              </w:rPr>
              <w:t xml:space="preserve">服务简介</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widowControl/>
              <w:rPr>
                <w:rFonts w:hint="eastAsia"/>
                <w:b/>
                <w:bCs/>
                <w:color w:val="000000"/>
                <w:sz w:val="21"/>
                <w:szCs w:val="21"/>
              </w:rPr>
            </w:pPr>
            <w:r>
              <w:rPr>
                <w:rFonts w:hint="eastAsia"/>
                <w:b/>
                <w:bCs/>
                <w:color w:val="000000"/>
                <w:sz w:val="21"/>
                <w:szCs w:val="21"/>
              </w:rPr>
              <w:t xml:space="preserve">交付方式</w:t>
            </w:r>
            <w:r/>
          </w:p>
        </w:tc>
      </w:tr>
      <w:tr>
        <w:trPr>
          <w:trHeight w:val="170"/>
        </w:trPr>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业务系统日常运维</w:t>
            </w:r>
            <w:r/>
          </w:p>
        </w:tc>
        <w:tc>
          <w:tcPr>
            <w:tcBorders>
              <w:top w:val="single" w:color="000000" w:sz="4" w:space="0"/>
              <w:left w:val="none" w:color="000000" w:sz="4" w:space="0"/>
              <w:bottom w:val="single" w:color="000000" w:sz="4" w:space="0"/>
              <w:right w:val="single" w:color="000000" w:sz="4" w:space="0"/>
            </w:tcBorders>
            <w:tcW w:w="5840"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日常运维 对于甲方在日常使用过程中出现的问题，乙方提供多种渠道的服务：</w:t>
              <w:br w:type="textWrapping" w:clear="all"/>
              <w:t xml:space="preserve">1、通过甲方的QQ或微信群提供系统的技术支撑服务。</w:t>
              <w:br w:type="textWrapping" w:clear="all"/>
              <w:t xml:space="preserve">2、提供维护专员的服务电话，按服务时间提供咨询服务。</w:t>
              <w:br w:type="textWrapping" w:clear="all"/>
              <w:t xml:space="preserve">3、提供对系统故障的修复服务。</w:t>
              <w:br w:type="textWrapping" w:clear="all"/>
              <w:t xml:space="preserve">4、根据运维处理情况提供年度运维报告。</w:t>
              <w:br w:type="textWrapping" w:clear="all"/>
              <w:t xml:space="preserve">5. 按约定周期定期对软件运行状态进行检查和分析，完成巡检报告。</w:t>
              <w:br w:type="textWrapping" w:clear="all"/>
              <w:t xml:space="preserve">（巡检：1年4次）</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远程</w:t>
            </w:r>
            <w:r/>
          </w:p>
        </w:tc>
      </w:tr>
      <w:tr>
        <w:trPr>
          <w:trHeight w:val="170"/>
        </w:trPr>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业务系统功能调整</w:t>
            </w:r>
            <w:r/>
          </w:p>
        </w:tc>
        <w:tc>
          <w:tcPr>
            <w:tcBorders>
              <w:top w:val="single" w:color="000000" w:sz="4" w:space="0"/>
              <w:left w:val="none" w:color="000000" w:sz="4" w:space="0"/>
              <w:bottom w:val="single" w:color="000000" w:sz="4" w:space="0"/>
              <w:right w:val="single" w:color="000000" w:sz="4" w:space="0"/>
            </w:tcBorders>
            <w:tcW w:w="5840"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向甲方提供累计不超过20工日的需求调整服务，用于系统功能改进</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远程</w:t>
            </w:r>
            <w:r/>
          </w:p>
        </w:tc>
      </w:tr>
      <w:tr>
        <w:trPr>
          <w:trHeight w:val="170"/>
        </w:trPr>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技术保障</w:t>
            </w:r>
            <w:r/>
          </w:p>
        </w:tc>
        <w:tc>
          <w:tcPr>
            <w:tcBorders>
              <w:top w:val="single" w:color="000000" w:sz="4" w:space="0"/>
              <w:left w:val="none" w:color="000000" w:sz="4" w:space="0"/>
              <w:bottom w:val="single" w:color="000000" w:sz="4" w:space="0"/>
              <w:right w:val="single" w:color="000000" w:sz="4" w:space="0"/>
            </w:tcBorders>
            <w:tcW w:w="5840"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针对各类角色用户制定专门的培训课程，甲方负责培训活动的组织，乙方负责系统的操作培训，并提供培训视频和系统操作手册（电子版）。</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现场</w:t>
            </w:r>
            <w:r/>
          </w:p>
        </w:tc>
      </w:tr>
      <w:tr>
        <w:trPr>
          <w:trHeight w:val="170"/>
        </w:trPr>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上门保障服务</w:t>
            </w:r>
            <w:r/>
          </w:p>
        </w:tc>
        <w:tc>
          <w:tcPr>
            <w:tcBorders>
              <w:top w:val="single" w:color="000000" w:sz="4" w:space="0"/>
              <w:left w:val="none" w:color="000000" w:sz="4" w:space="0"/>
              <w:bottom w:val="single" w:color="000000" w:sz="4" w:space="0"/>
              <w:right w:val="single" w:color="000000" w:sz="4" w:space="0"/>
            </w:tcBorders>
            <w:tcW w:w="5840" w:type="dxa"/>
            <w:vAlign w:val="center"/>
            <w:textDirection w:val="lrTb"/>
            <w:noWrap w:val="false"/>
          </w:tcPr>
          <w:p>
            <w:pPr>
              <w:pStyle w:val="928"/>
              <w:jc w:val="left"/>
              <w:spacing w:line="360" w:lineRule="auto"/>
              <w:widowControl/>
              <w:rPr>
                <w:rFonts w:hint="eastAsia"/>
                <w:color w:val="000000"/>
                <w:sz w:val="21"/>
                <w:szCs w:val="21"/>
              </w:rPr>
            </w:pPr>
            <w:r>
              <w:rPr>
                <w:rFonts w:hint="eastAsia"/>
                <w:color w:val="000000"/>
                <w:sz w:val="21"/>
                <w:szCs w:val="21"/>
              </w:rPr>
              <w:t xml:space="preserve">按甲方要求前往指定地点进行上门保障服务20工日</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widowControl/>
              <w:rPr>
                <w:rFonts w:hint="eastAsia"/>
                <w:color w:val="000000"/>
                <w:sz w:val="21"/>
                <w:szCs w:val="21"/>
              </w:rPr>
            </w:pPr>
            <w:r>
              <w:rPr>
                <w:rFonts w:hint="eastAsia"/>
                <w:color w:val="000000"/>
                <w:sz w:val="21"/>
                <w:szCs w:val="21"/>
              </w:rPr>
              <w:t xml:space="preserve">现场</w:t>
            </w:r>
            <w:r/>
          </w:p>
        </w:tc>
      </w:tr>
    </w:tbl>
    <w:p>
      <w:pPr>
        <w:pStyle w:val="928"/>
        <w:ind w:firstLine="720"/>
        <w:jc w:val="left"/>
        <w:spacing w:line="360" w:lineRule="auto"/>
        <w:widowControl/>
        <w:rPr>
          <w:rFonts w:hint="eastAsia"/>
          <w:color w:val="000000"/>
          <w:sz w:val="21"/>
          <w:szCs w:val="21"/>
        </w:rPr>
      </w:pPr>
      <w:r>
        <w:rPr>
          <w:rFonts w:hint="eastAsia"/>
          <w:color w:val="000000"/>
          <w:sz w:val="21"/>
          <w:szCs w:val="21"/>
        </w:rPr>
        <w:t xml:space="preserve">对于上述服务内容的补充说明：</w:t>
      </w:r>
      <w:r/>
    </w:p>
    <w:p>
      <w:pPr>
        <w:pStyle w:val="928"/>
        <w:numPr>
          <w:ilvl w:val="0"/>
          <w:numId w:val="63"/>
        </w:numPr>
        <w:ind w:left="1260" w:hanging="540"/>
        <w:jc w:val="left"/>
        <w:spacing w:line="360" w:lineRule="auto"/>
        <w:widowControl/>
        <w:tabs>
          <w:tab w:val="left" w:pos="420" w:leader="none"/>
        </w:tabs>
        <w:rPr>
          <w:rFonts w:hint="eastAsia"/>
          <w:color w:val="000000"/>
          <w:sz w:val="21"/>
          <w:szCs w:val="21"/>
        </w:rPr>
      </w:pPr>
      <w:r>
        <w:rPr>
          <w:rFonts w:hint="eastAsia"/>
          <w:color w:val="000000"/>
          <w:sz w:val="21"/>
          <w:szCs w:val="21"/>
        </w:rPr>
        <w:t xml:space="preserve">超出上述服务内容的，由甲乙双方另行协商服务方式及费用。</w:t>
      </w:r>
      <w:r/>
    </w:p>
    <w:p>
      <w:pPr>
        <w:pStyle w:val="928"/>
        <w:numPr>
          <w:ilvl w:val="0"/>
          <w:numId w:val="63"/>
        </w:numPr>
        <w:ind w:left="1260" w:hanging="540"/>
        <w:jc w:val="left"/>
        <w:spacing w:line="360" w:lineRule="auto"/>
        <w:widowControl/>
        <w:tabs>
          <w:tab w:val="left" w:pos="420" w:leader="none"/>
        </w:tabs>
        <w:rPr>
          <w:rFonts w:hint="eastAsia"/>
          <w:color w:val="000000"/>
          <w:sz w:val="21"/>
          <w:szCs w:val="21"/>
        </w:rPr>
      </w:pPr>
      <w:r>
        <w:rPr>
          <w:rFonts w:hint="eastAsia"/>
          <w:color w:val="000000"/>
          <w:sz w:val="21"/>
          <w:szCs w:val="21"/>
        </w:rPr>
        <w:t xml:space="preserve">乙方指导甲方系统管理员对系统相关故障的诊断，制定维护计划，提供相关故障的处理方案，协调并解决系统运行过程中的各类问题。</w:t>
      </w:r>
      <w:r/>
    </w:p>
    <w:p>
      <w:pPr>
        <w:pStyle w:val="928"/>
        <w:numPr>
          <w:ilvl w:val="0"/>
          <w:numId w:val="63"/>
        </w:numPr>
        <w:ind w:left="1260" w:hanging="540"/>
        <w:jc w:val="left"/>
        <w:spacing w:line="360" w:lineRule="auto"/>
        <w:widowControl/>
        <w:tabs>
          <w:tab w:val="left" w:pos="420" w:leader="none"/>
        </w:tabs>
        <w:rPr>
          <w:rFonts w:hint="eastAsia"/>
          <w:color w:val="000000"/>
          <w:sz w:val="21"/>
          <w:szCs w:val="21"/>
        </w:rPr>
      </w:pPr>
      <w:r>
        <w:rPr>
          <w:rFonts w:hint="eastAsia"/>
          <w:color w:val="000000"/>
          <w:sz w:val="21"/>
          <w:szCs w:val="21"/>
        </w:rPr>
        <w:t xml:space="preserve">因第三方提供的设备或软件系统引起的故障，乙方有责任及时报告甲方，在第三方</w:t>
      </w:r>
      <w:r>
        <w:rPr>
          <w:rFonts w:hint="eastAsia"/>
          <w:color w:val="000000"/>
          <w:sz w:val="21"/>
          <w:szCs w:val="21"/>
        </w:rPr>
        <w:t xml:space="preserve">修复故障时乙方提供必要的配合，但第三方提供的设备或软件系统故障的排查和修复，不在乙方的服务范围内。</w:t>
      </w:r>
      <w:r/>
    </w:p>
    <w:p>
      <w:pPr>
        <w:pStyle w:val="928"/>
        <w:numPr>
          <w:ilvl w:val="0"/>
          <w:numId w:val="63"/>
        </w:numPr>
        <w:ind w:left="1260" w:hanging="540"/>
        <w:jc w:val="left"/>
        <w:spacing w:line="360" w:lineRule="auto"/>
        <w:widowControl/>
        <w:tabs>
          <w:tab w:val="left" w:pos="420" w:leader="none"/>
        </w:tabs>
        <w:rPr>
          <w:rFonts w:hint="eastAsia"/>
          <w:color w:val="000000"/>
          <w:sz w:val="21"/>
          <w:szCs w:val="21"/>
        </w:rPr>
      </w:pPr>
      <w:r>
        <w:rPr>
          <w:rFonts w:hint="eastAsia"/>
          <w:color w:val="000000"/>
          <w:sz w:val="21"/>
          <w:szCs w:val="21"/>
        </w:rPr>
        <w:t xml:space="preserve">乙方对数据进行定期备份，交由甲方保管，在系统故障时候进行数据恢复工作，因乙方原因导致数据丢失的，扣除相应维护费用。</w:t>
      </w:r>
      <w:r/>
    </w:p>
    <w:p>
      <w:pPr>
        <w:pStyle w:val="928"/>
        <w:numPr>
          <w:ilvl w:val="0"/>
          <w:numId w:val="63"/>
        </w:numPr>
        <w:ind w:left="1260" w:hanging="540"/>
        <w:jc w:val="left"/>
        <w:spacing w:line="360" w:lineRule="auto"/>
        <w:widowControl/>
        <w:tabs>
          <w:tab w:val="left" w:pos="420" w:leader="none"/>
        </w:tabs>
        <w:rPr>
          <w:rFonts w:hint="eastAsia"/>
          <w:color w:val="000000"/>
          <w:sz w:val="21"/>
          <w:szCs w:val="21"/>
        </w:rPr>
      </w:pPr>
      <w:r>
        <w:rPr>
          <w:rFonts w:hint="eastAsia"/>
          <w:color w:val="000000"/>
          <w:sz w:val="21"/>
          <w:szCs w:val="21"/>
        </w:rPr>
        <w:t xml:space="preserve">乙方的服务方式主要为：电话服务、QQ或微信的线上服务及远程登录服务；在通过上述服务无法解决问题时，可提供现场服务；在甲方遇到紧急情况时，乙方技术人员须24小时内到达现场。</w:t>
      </w:r>
      <w:r/>
    </w:p>
    <w:p>
      <w:pPr>
        <w:pStyle w:val="928"/>
        <w:numPr>
          <w:ilvl w:val="0"/>
          <w:numId w:val="63"/>
        </w:numPr>
        <w:ind w:left="1260" w:hanging="540"/>
        <w:jc w:val="left"/>
        <w:spacing w:line="360" w:lineRule="auto"/>
        <w:widowControl/>
        <w:tabs>
          <w:tab w:val="left" w:pos="420" w:leader="none"/>
        </w:tabs>
        <w:rPr>
          <w:rFonts w:hint="eastAsia"/>
          <w:color w:val="000000"/>
          <w:sz w:val="21"/>
          <w:szCs w:val="21"/>
        </w:rPr>
      </w:pPr>
      <w:r>
        <w:rPr>
          <w:rFonts w:hint="eastAsia"/>
          <w:color w:val="000000"/>
          <w:sz w:val="21"/>
          <w:szCs w:val="21"/>
        </w:rPr>
        <w:t xml:space="preserve">乙方及时提供软件的补丁升级，补丁升级包括对甲方已有的软件性能的提升、缺陷的修正，补丁升级的工作量不计入业务系统功能调整的工作量中。</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反恐处突机动队基地及慧巡防系统运维</w:t>
      </w:r>
      <w:r>
        <w:rPr>
          <w:rFonts w:ascii="宋体" w:hAnsi="宋体" w:eastAsia="宋体"/>
          <w:color w:val="000000"/>
          <w:sz w:val="21"/>
          <w:szCs w:val="21"/>
        </w:rPr>
      </w:r>
      <w:r/>
    </w:p>
    <w:p>
      <w:pPr>
        <w:pStyle w:val="928"/>
        <w:numPr>
          <w:ilvl w:val="1"/>
          <w:numId w:val="64"/>
        </w:numPr>
        <w:ind w:firstLine="422"/>
        <w:spacing w:line="360" w:lineRule="auto"/>
        <w:rPr>
          <w:rFonts w:hint="eastAsia"/>
          <w:b/>
          <w:bCs/>
          <w:color w:val="000000"/>
          <w:sz w:val="21"/>
          <w:szCs w:val="21"/>
        </w:rPr>
      </w:pPr>
      <w:r>
        <w:rPr>
          <w:rFonts w:hint="eastAsia"/>
          <w:b/>
          <w:bCs/>
          <w:color w:val="000000"/>
          <w:sz w:val="21"/>
          <w:szCs w:val="21"/>
        </w:rPr>
        <w:t xml:space="preserve">软件运维内容</w:t>
      </w:r>
      <w:r/>
    </w:p>
    <w:p>
      <w:pPr>
        <w:pStyle w:val="928"/>
        <w:numPr>
          <w:ilvl w:val="2"/>
          <w:numId w:val="64"/>
        </w:numPr>
        <w:ind w:firstLine="422"/>
        <w:spacing w:line="360" w:lineRule="auto"/>
        <w:rPr>
          <w:rFonts w:hint="eastAsia"/>
          <w:b/>
          <w:bCs/>
          <w:color w:val="000000"/>
          <w:sz w:val="21"/>
          <w:szCs w:val="21"/>
        </w:rPr>
      </w:pPr>
      <w:r>
        <w:rPr>
          <w:rFonts w:hint="eastAsia"/>
          <w:b/>
          <w:bCs/>
          <w:color w:val="000000"/>
          <w:sz w:val="21"/>
          <w:szCs w:val="21"/>
        </w:rPr>
        <w:t xml:space="preserve">系统监测工作内容</w:t>
      </w:r>
      <w:r/>
    </w:p>
    <w:p>
      <w:pPr>
        <w:pStyle w:val="928"/>
        <w:numPr>
          <w:ilvl w:val="0"/>
          <w:numId w:val="65"/>
        </w:numPr>
        <w:ind w:left="0" w:firstLine="420"/>
        <w:spacing w:line="360" w:lineRule="auto"/>
        <w:rPr>
          <w:rFonts w:hint="eastAsia"/>
          <w:color w:val="000000"/>
          <w:sz w:val="21"/>
          <w:szCs w:val="21"/>
        </w:rPr>
      </w:pPr>
      <w:r>
        <w:rPr>
          <w:rFonts w:hint="eastAsia"/>
          <w:color w:val="000000"/>
          <w:sz w:val="21"/>
          <w:szCs w:val="21"/>
        </w:rPr>
        <w:t xml:space="preserve">系统运行状态监测，系统是本项目的核心，需要实时监测和保障。</w:t>
      </w:r>
      <w:r/>
    </w:p>
    <w:p>
      <w:pPr>
        <w:pStyle w:val="928"/>
        <w:numPr>
          <w:ilvl w:val="0"/>
          <w:numId w:val="65"/>
        </w:numPr>
        <w:ind w:left="0" w:firstLine="420"/>
        <w:spacing w:line="360" w:lineRule="auto"/>
        <w:rPr>
          <w:rFonts w:hint="eastAsia"/>
          <w:color w:val="000000"/>
          <w:sz w:val="21"/>
          <w:szCs w:val="21"/>
        </w:rPr>
      </w:pPr>
      <w:r>
        <w:rPr>
          <w:rFonts w:hint="eastAsia"/>
          <w:color w:val="000000"/>
          <w:sz w:val="21"/>
          <w:szCs w:val="21"/>
        </w:rPr>
        <w:t xml:space="preserve">系统各项服务运行状态监测，包括地名地址定位服务、融合语义定位服务、纠错反馈服务等。</w:t>
      </w:r>
      <w:r/>
    </w:p>
    <w:p>
      <w:pPr>
        <w:pStyle w:val="928"/>
        <w:numPr>
          <w:ilvl w:val="0"/>
          <w:numId w:val="65"/>
        </w:numPr>
        <w:ind w:left="0" w:firstLine="420"/>
        <w:spacing w:line="360" w:lineRule="auto"/>
        <w:rPr>
          <w:rFonts w:hint="eastAsia"/>
          <w:color w:val="000000"/>
          <w:sz w:val="21"/>
          <w:szCs w:val="21"/>
        </w:rPr>
      </w:pPr>
      <w:r>
        <w:rPr>
          <w:rFonts w:hint="eastAsia"/>
          <w:color w:val="000000"/>
          <w:sz w:val="21"/>
          <w:szCs w:val="21"/>
        </w:rPr>
        <w:t xml:space="preserve">应用服务器、数据库服务器运行状态监测，包含CPU、内存、存储空间、数据库表空间等；</w:t>
      </w:r>
      <w:r/>
    </w:p>
    <w:p>
      <w:pPr>
        <w:pStyle w:val="928"/>
        <w:numPr>
          <w:ilvl w:val="2"/>
          <w:numId w:val="64"/>
        </w:numPr>
        <w:ind w:firstLine="422"/>
        <w:spacing w:line="360" w:lineRule="auto"/>
        <w:rPr>
          <w:rFonts w:hint="eastAsia"/>
          <w:b/>
          <w:bCs/>
          <w:color w:val="000000"/>
          <w:sz w:val="21"/>
          <w:szCs w:val="21"/>
        </w:rPr>
      </w:pPr>
      <w:r>
        <w:rPr>
          <w:rFonts w:hint="eastAsia"/>
          <w:b/>
          <w:bCs/>
          <w:color w:val="000000"/>
          <w:sz w:val="21"/>
          <w:szCs w:val="21"/>
        </w:rPr>
        <w:t xml:space="preserve">系统可用性保障</w:t>
      </w:r>
      <w:r/>
    </w:p>
    <w:p>
      <w:pPr>
        <w:pStyle w:val="928"/>
        <w:ind w:firstLine="480"/>
        <w:spacing w:line="360" w:lineRule="auto"/>
        <w:rPr>
          <w:rFonts w:hint="eastAsia"/>
          <w:color w:val="000000"/>
          <w:sz w:val="21"/>
          <w:szCs w:val="21"/>
        </w:rPr>
      </w:pPr>
      <w:r>
        <w:rPr>
          <w:rFonts w:hint="eastAsia"/>
          <w:color w:val="000000"/>
          <w:sz w:val="21"/>
          <w:szCs w:val="21"/>
        </w:rPr>
        <w:t xml:space="preserve">为保障系统各项功能正常使用，需要不定期检查各服务器运行性能，定期提供检查报告，发现问题及时处理。</w:t>
      </w:r>
      <w:r/>
    </w:p>
    <w:p>
      <w:pPr>
        <w:pStyle w:val="928"/>
        <w:numPr>
          <w:ilvl w:val="0"/>
          <w:numId w:val="66"/>
        </w:numPr>
        <w:ind w:left="0" w:firstLine="420"/>
        <w:spacing w:line="360" w:lineRule="auto"/>
        <w:rPr>
          <w:rFonts w:hint="eastAsia"/>
          <w:color w:val="000000"/>
          <w:sz w:val="21"/>
          <w:szCs w:val="21"/>
        </w:rPr>
      </w:pPr>
      <w:r>
        <w:rPr>
          <w:rFonts w:hint="eastAsia"/>
          <w:color w:val="000000"/>
          <w:sz w:val="21"/>
          <w:szCs w:val="21"/>
        </w:rPr>
        <w:t xml:space="preserve">应用服务器定期巡检</w:t>
      </w:r>
      <w:r/>
    </w:p>
    <w:p>
      <w:pPr>
        <w:pStyle w:val="928"/>
        <w:ind w:firstLine="480"/>
        <w:spacing w:line="360" w:lineRule="auto"/>
        <w:rPr>
          <w:rFonts w:hint="eastAsia"/>
          <w:color w:val="000000"/>
          <w:sz w:val="21"/>
          <w:szCs w:val="21"/>
        </w:rPr>
      </w:pPr>
      <w:r>
        <w:rPr>
          <w:rFonts w:hint="eastAsia"/>
          <w:color w:val="000000"/>
          <w:sz w:val="21"/>
          <w:szCs w:val="21"/>
        </w:rPr>
        <w:t xml:space="preserve">按照时间维度对应用服务器各项性能进行巡检。</w:t>
      </w:r>
      <w:r/>
    </w:p>
    <w:p>
      <w:pPr>
        <w:pStyle w:val="928"/>
        <w:numPr>
          <w:ilvl w:val="0"/>
          <w:numId w:val="66"/>
        </w:numPr>
        <w:ind w:left="0" w:firstLine="420"/>
        <w:spacing w:line="360" w:lineRule="auto"/>
        <w:rPr>
          <w:rFonts w:hint="eastAsia"/>
          <w:color w:val="000000"/>
          <w:sz w:val="21"/>
          <w:szCs w:val="21"/>
        </w:rPr>
      </w:pPr>
      <w:r>
        <w:rPr>
          <w:rFonts w:hint="eastAsia"/>
          <w:color w:val="000000"/>
          <w:sz w:val="21"/>
          <w:szCs w:val="21"/>
        </w:rPr>
        <w:t xml:space="preserve">数据库服务器定期巡检</w:t>
      </w:r>
      <w:r/>
    </w:p>
    <w:p>
      <w:pPr>
        <w:pStyle w:val="928"/>
        <w:ind w:firstLine="480"/>
        <w:spacing w:line="360" w:lineRule="auto"/>
        <w:rPr>
          <w:rFonts w:hint="eastAsia"/>
          <w:color w:val="000000"/>
          <w:sz w:val="21"/>
          <w:szCs w:val="21"/>
        </w:rPr>
      </w:pPr>
      <w:r>
        <w:rPr>
          <w:rFonts w:hint="eastAsia"/>
          <w:color w:val="000000"/>
          <w:sz w:val="21"/>
          <w:szCs w:val="21"/>
        </w:rPr>
        <w:t xml:space="preserve">按照时间</w:t>
      </w:r>
      <w:r>
        <w:rPr>
          <w:rFonts w:hint="eastAsia"/>
          <w:color w:val="000000"/>
          <w:sz w:val="21"/>
          <w:szCs w:val="21"/>
        </w:rPr>
        <w:t xml:space="preserve">维度对数据库服务器各项性能进行巡检。</w:t>
      </w:r>
      <w:r/>
    </w:p>
    <w:p>
      <w:pPr>
        <w:pStyle w:val="928"/>
        <w:numPr>
          <w:ilvl w:val="2"/>
          <w:numId w:val="64"/>
        </w:numPr>
        <w:ind w:firstLine="422"/>
        <w:spacing w:line="360" w:lineRule="auto"/>
        <w:rPr>
          <w:rFonts w:hint="eastAsia"/>
          <w:b/>
          <w:bCs/>
          <w:color w:val="000000"/>
          <w:sz w:val="21"/>
          <w:szCs w:val="21"/>
        </w:rPr>
      </w:pPr>
      <w:r>
        <w:rPr>
          <w:rFonts w:hint="eastAsia"/>
          <w:b/>
          <w:bCs/>
          <w:color w:val="000000"/>
          <w:sz w:val="21"/>
          <w:szCs w:val="21"/>
        </w:rPr>
        <w:t xml:space="preserve">日常运维支撑服务</w:t>
      </w:r>
      <w:r/>
    </w:p>
    <w:p>
      <w:pPr>
        <w:pStyle w:val="928"/>
        <w:ind w:firstLine="480"/>
        <w:spacing w:line="360" w:lineRule="auto"/>
        <w:rPr>
          <w:rFonts w:hint="eastAsia"/>
          <w:color w:val="000000"/>
          <w:sz w:val="21"/>
          <w:szCs w:val="21"/>
        </w:rPr>
      </w:pPr>
      <w:r>
        <w:rPr>
          <w:rFonts w:hint="eastAsia"/>
          <w:color w:val="000000"/>
          <w:sz w:val="21"/>
          <w:szCs w:val="21"/>
        </w:rPr>
        <w:t xml:space="preserve">运维保障团队需要及时处理系统使用过程中遇到的问题。</w:t>
      </w:r>
      <w:r/>
    </w:p>
    <w:p>
      <w:pPr>
        <w:pStyle w:val="928"/>
        <w:numPr>
          <w:ilvl w:val="0"/>
          <w:numId w:val="67"/>
        </w:numPr>
        <w:ind w:left="0" w:firstLine="420"/>
        <w:spacing w:line="360" w:lineRule="auto"/>
        <w:rPr>
          <w:rFonts w:hint="eastAsia"/>
          <w:color w:val="000000"/>
          <w:sz w:val="21"/>
          <w:szCs w:val="21"/>
        </w:rPr>
      </w:pPr>
      <w:r>
        <w:rPr>
          <w:rFonts w:hint="eastAsia"/>
          <w:color w:val="000000"/>
          <w:sz w:val="21"/>
          <w:szCs w:val="21"/>
        </w:rPr>
        <w:t xml:space="preserve">微信运维服务群</w:t>
      </w:r>
      <w:r/>
    </w:p>
    <w:p>
      <w:pPr>
        <w:pStyle w:val="928"/>
        <w:ind w:firstLine="480"/>
        <w:spacing w:line="360" w:lineRule="auto"/>
        <w:rPr>
          <w:rFonts w:hint="eastAsia"/>
          <w:color w:val="000000"/>
          <w:sz w:val="21"/>
          <w:szCs w:val="21"/>
        </w:rPr>
      </w:pPr>
      <w:r>
        <w:rPr>
          <w:rFonts w:hint="eastAsia"/>
          <w:color w:val="000000"/>
          <w:sz w:val="21"/>
          <w:szCs w:val="21"/>
        </w:rPr>
        <w:t xml:space="preserve">建立微信支撑服务群，各部门或系统管理部门对接人在使用过程中遇到的问题可及时反馈在群里，服务保障人员看到后第一时间回复，并安排人员处理。</w:t>
      </w:r>
      <w:r/>
    </w:p>
    <w:p>
      <w:pPr>
        <w:pStyle w:val="928"/>
        <w:numPr>
          <w:ilvl w:val="0"/>
          <w:numId w:val="67"/>
        </w:numPr>
        <w:ind w:left="0" w:firstLine="420"/>
        <w:spacing w:line="360" w:lineRule="auto"/>
        <w:rPr>
          <w:rFonts w:hint="eastAsia"/>
          <w:color w:val="000000"/>
          <w:sz w:val="21"/>
          <w:szCs w:val="21"/>
        </w:rPr>
      </w:pPr>
      <w:r>
        <w:rPr>
          <w:rFonts w:hint="eastAsia"/>
          <w:color w:val="000000"/>
          <w:sz w:val="21"/>
          <w:szCs w:val="21"/>
        </w:rPr>
        <w:t xml:space="preserve">运维支撑电话</w:t>
      </w:r>
      <w:r/>
    </w:p>
    <w:p>
      <w:pPr>
        <w:pStyle w:val="928"/>
        <w:ind w:firstLine="480"/>
        <w:spacing w:line="360" w:lineRule="auto"/>
        <w:rPr>
          <w:rFonts w:hint="eastAsia"/>
          <w:color w:val="000000"/>
          <w:sz w:val="21"/>
          <w:szCs w:val="21"/>
        </w:rPr>
      </w:pPr>
      <w:r>
        <w:rPr>
          <w:rFonts w:hint="eastAsia"/>
          <w:color w:val="000000"/>
          <w:sz w:val="21"/>
          <w:szCs w:val="21"/>
        </w:rPr>
        <w:t xml:space="preserve">运维支撑单位向各使用单位提供维护电话，如系统在使用过程中出现问题，可及时联系电话反馈问题，运维团队收到问题后需第一时间处理。</w:t>
      </w:r>
      <w:r/>
    </w:p>
    <w:p>
      <w:pPr>
        <w:pStyle w:val="928"/>
        <w:numPr>
          <w:ilvl w:val="2"/>
          <w:numId w:val="64"/>
        </w:numPr>
        <w:ind w:firstLine="422"/>
        <w:spacing w:line="360" w:lineRule="auto"/>
        <w:rPr>
          <w:rFonts w:hint="eastAsia"/>
          <w:b/>
          <w:bCs/>
          <w:color w:val="000000"/>
          <w:sz w:val="21"/>
          <w:szCs w:val="21"/>
        </w:rPr>
      </w:pPr>
      <w:r>
        <w:rPr>
          <w:rFonts w:hint="eastAsia"/>
          <w:b/>
          <w:bCs/>
          <w:color w:val="000000"/>
          <w:sz w:val="21"/>
          <w:szCs w:val="21"/>
        </w:rPr>
        <w:t xml:space="preserve">特殊时段保障</w:t>
      </w:r>
      <w:r/>
    </w:p>
    <w:p>
      <w:pPr>
        <w:pStyle w:val="928"/>
        <w:ind w:firstLine="480"/>
        <w:spacing w:line="360" w:lineRule="auto"/>
        <w:rPr>
          <w:rFonts w:hint="eastAsia"/>
          <w:color w:val="000000"/>
          <w:sz w:val="21"/>
          <w:szCs w:val="21"/>
        </w:rPr>
      </w:pPr>
      <w:r>
        <w:rPr>
          <w:rFonts w:hint="eastAsia"/>
          <w:color w:val="000000"/>
          <w:sz w:val="21"/>
          <w:szCs w:val="21"/>
        </w:rPr>
        <w:t xml:space="preserve">特殊保障期间，要实时确保各项运维方式畅通，包括热线电话，电子邮件（7×24），传真等方式；在系统运行中，如果出现故障，运维团队需要在服务响应时限要求内给出解决方案，对于那些无法通过电话指导等方式解决的问题和系统故障，运维人员在向负责人汇报后，负责人根据问题和故障的种类及情况，安排相应的专业技术工程师到现场排除故障、解决问题。</w:t>
      </w:r>
      <w:r/>
    </w:p>
    <w:p>
      <w:pPr>
        <w:pStyle w:val="928"/>
        <w:ind w:firstLine="480"/>
        <w:spacing w:line="360" w:lineRule="auto"/>
        <w:rPr>
          <w:rFonts w:hint="eastAsia"/>
          <w:color w:val="000000"/>
          <w:sz w:val="21"/>
          <w:szCs w:val="21"/>
        </w:rPr>
      </w:pPr>
      <w:r>
        <w:rPr>
          <w:rFonts w:hint="eastAsia"/>
          <w:color w:val="000000"/>
          <w:sz w:val="21"/>
          <w:szCs w:val="21"/>
        </w:rPr>
        <w:t xml:space="preserve">运行维护期内，运维人员发现问题进行记录，及时汇报运维负责人和相关领导，共同确定是否是系统缺陷，一旦确定是缺陷，根据其严重程度运维团队及时作出响应处置机制。必要时给出相应备选方案确保系统能够正常工作，并且详细记录故障原因及排除方法，维修完毕移交给业主方。</w:t>
      </w:r>
      <w:r/>
    </w:p>
    <w:p>
      <w:pPr>
        <w:pStyle w:val="928"/>
        <w:ind w:firstLine="480"/>
        <w:spacing w:line="360" w:lineRule="auto"/>
        <w:rPr>
          <w:rFonts w:hint="eastAsia"/>
          <w:color w:val="000000"/>
          <w:sz w:val="21"/>
          <w:szCs w:val="21"/>
        </w:rPr>
      </w:pPr>
      <w:r>
        <w:rPr>
          <w:rFonts w:hint="eastAsia"/>
          <w:color w:val="000000"/>
          <w:sz w:val="21"/>
          <w:szCs w:val="21"/>
        </w:rPr>
        <w:t xml:space="preserve">重大活动期间提供1名以上技术</w:t>
      </w:r>
      <w:r>
        <w:rPr>
          <w:rFonts w:hint="eastAsia"/>
          <w:color w:val="000000"/>
          <w:sz w:val="21"/>
          <w:szCs w:val="21"/>
        </w:rPr>
        <w:t xml:space="preserve">人员专项保障，并制定系统保障方案和故障应急处置预案，保障活动的不间断正常进行。重要活动以市局通知为准。</w:t>
      </w:r>
      <w:r/>
    </w:p>
    <w:p>
      <w:pPr>
        <w:pStyle w:val="928"/>
        <w:ind w:firstLine="480"/>
        <w:spacing w:line="360" w:lineRule="auto"/>
        <w:rPr>
          <w:rFonts w:hint="eastAsia"/>
          <w:color w:val="000000"/>
          <w:sz w:val="21"/>
          <w:szCs w:val="21"/>
        </w:rPr>
      </w:pPr>
      <w:r>
        <w:rPr>
          <w:rFonts w:hint="eastAsia"/>
          <w:color w:val="000000"/>
          <w:sz w:val="21"/>
          <w:szCs w:val="21"/>
        </w:rPr>
        <w:t xml:space="preserve">重大活动开展前，需完成项目组成员的职责分配。</w:t>
      </w:r>
      <w:r/>
    </w:p>
    <w:p>
      <w:pPr>
        <w:pStyle w:val="928"/>
        <w:ind w:firstLine="480"/>
        <w:spacing w:line="360" w:lineRule="auto"/>
        <w:rPr>
          <w:rFonts w:hint="eastAsia"/>
          <w:color w:val="000000"/>
          <w:sz w:val="21"/>
          <w:szCs w:val="21"/>
        </w:rPr>
      </w:pPr>
      <w:r>
        <w:rPr>
          <w:rFonts w:hint="eastAsia"/>
          <w:color w:val="000000"/>
          <w:sz w:val="21"/>
          <w:szCs w:val="21"/>
        </w:rPr>
        <w:t xml:space="preserve">重大活动期间，项目组成员需保证多种通讯方式24小时畅通。</w:t>
      </w:r>
      <w:r/>
    </w:p>
    <w:p>
      <w:pPr>
        <w:pStyle w:val="928"/>
        <w:ind w:firstLine="480"/>
        <w:spacing w:line="360" w:lineRule="auto"/>
        <w:rPr>
          <w:rFonts w:hint="eastAsia"/>
          <w:color w:val="000000"/>
          <w:sz w:val="21"/>
          <w:szCs w:val="21"/>
        </w:rPr>
      </w:pPr>
      <w:r>
        <w:rPr>
          <w:rFonts w:hint="eastAsia"/>
          <w:color w:val="000000"/>
          <w:sz w:val="21"/>
          <w:szCs w:val="21"/>
        </w:rPr>
        <w:t xml:space="preserve">重大活动期间，对系统进行实时监测，保证系统正常使用。</w:t>
      </w:r>
      <w:r/>
    </w:p>
    <w:p>
      <w:pPr>
        <w:pStyle w:val="928"/>
        <w:numPr>
          <w:ilvl w:val="2"/>
          <w:numId w:val="64"/>
        </w:numPr>
        <w:ind w:firstLine="422"/>
        <w:spacing w:line="360" w:lineRule="auto"/>
        <w:rPr>
          <w:rFonts w:hint="eastAsia"/>
          <w:b/>
          <w:bCs/>
          <w:color w:val="000000"/>
          <w:sz w:val="21"/>
          <w:szCs w:val="21"/>
        </w:rPr>
      </w:pPr>
      <w:r>
        <w:rPr>
          <w:rFonts w:hint="eastAsia"/>
          <w:b/>
          <w:bCs/>
          <w:color w:val="000000"/>
          <w:sz w:val="21"/>
          <w:szCs w:val="21"/>
        </w:rPr>
        <w:t xml:space="preserve">应急服务响应措施</w:t>
      </w:r>
      <w:r/>
    </w:p>
    <w:p>
      <w:pPr>
        <w:pStyle w:val="928"/>
        <w:ind w:firstLine="480"/>
        <w:spacing w:line="360" w:lineRule="auto"/>
        <w:rPr>
          <w:rFonts w:hint="eastAsia"/>
          <w:color w:val="000000"/>
          <w:sz w:val="21"/>
          <w:szCs w:val="21"/>
        </w:rPr>
      </w:pPr>
      <w:r>
        <w:rPr>
          <w:rFonts w:hint="eastAsia"/>
          <w:color w:val="000000"/>
          <w:sz w:val="21"/>
          <w:szCs w:val="21"/>
        </w:rPr>
        <w:t xml:space="preserve">在服务维护过程中，意外情况难以完全避免。尤其是在节假日或重大活动期间，如遇突发的紧急情况，运维团队需要对项目实施的突发风险进行详细分析，并且针对各类突发事件，设计相应的预防与解决措施，并提供完整的应急处理流程。</w:t>
      </w:r>
      <w:r/>
    </w:p>
    <w:p>
      <w:pPr>
        <w:pStyle w:val="928"/>
        <w:ind w:firstLine="480"/>
        <w:spacing w:line="360" w:lineRule="auto"/>
        <w:rPr>
          <w:rFonts w:hint="eastAsia"/>
          <w:color w:val="000000"/>
        </w:rPr>
      </w:pPr>
      <w:r>
        <w:rPr>
          <w:rFonts w:hint="eastAsia"/>
          <w:color w:val="000000"/>
          <w:sz w:val="21"/>
          <w:szCs w:val="21"/>
        </w:rPr>
        <w:t xml:space="preserve">运维人员在解决故障时，需要最大限度保护好数据，做好故障恢复的文档，力争恢复到故障点前的业务状态。</w:t>
      </w:r>
      <w:r>
        <w:rPr>
          <w:rFonts w:hint="eastAsia"/>
          <w:color w:val="000000"/>
        </w:rPr>
      </w:r>
      <w:r/>
    </w:p>
    <w:p>
      <w:pPr>
        <w:pStyle w:val="928"/>
        <w:numPr>
          <w:ilvl w:val="1"/>
          <w:numId w:val="64"/>
        </w:numPr>
        <w:ind w:firstLine="422"/>
        <w:spacing w:line="360" w:lineRule="auto"/>
        <w:rPr>
          <w:rFonts w:hint="eastAsia"/>
          <w:b/>
          <w:bCs/>
          <w:color w:val="000000"/>
          <w:sz w:val="21"/>
          <w:szCs w:val="21"/>
        </w:rPr>
      </w:pPr>
      <w:r>
        <w:rPr>
          <w:rFonts w:hint="eastAsia"/>
          <w:b/>
          <w:bCs/>
          <w:color w:val="000000"/>
          <w:sz w:val="21"/>
          <w:szCs w:val="21"/>
        </w:rPr>
        <w:t xml:space="preserve">硬件运维内容</w:t>
      </w:r>
      <w:r/>
    </w:p>
    <w:p>
      <w:pPr>
        <w:pStyle w:val="928"/>
        <w:numPr>
          <w:ilvl w:val="2"/>
          <w:numId w:val="64"/>
        </w:numPr>
        <w:ind w:firstLine="422"/>
        <w:spacing w:line="360" w:lineRule="auto"/>
        <w:rPr>
          <w:rFonts w:hint="eastAsia"/>
          <w:b/>
          <w:bCs/>
          <w:color w:val="000000"/>
          <w:sz w:val="21"/>
          <w:szCs w:val="21"/>
        </w:rPr>
      </w:pPr>
      <w:r>
        <w:rPr>
          <w:rFonts w:hint="eastAsia"/>
          <w:b/>
          <w:bCs/>
          <w:color w:val="000000"/>
          <w:sz w:val="21"/>
          <w:szCs w:val="21"/>
        </w:rPr>
        <w:t xml:space="preserve">运维设备列表</w:t>
      </w:r>
      <w:r/>
    </w:p>
    <w:p>
      <w:pPr>
        <w:pStyle w:val="928"/>
        <w:ind w:firstLine="480"/>
        <w:spacing w:line="360" w:lineRule="auto"/>
        <w:rPr>
          <w:rFonts w:hint="eastAsia"/>
          <w:color w:val="000000"/>
          <w:sz w:val="21"/>
          <w:szCs w:val="21"/>
        </w:rPr>
      </w:pPr>
      <w:r>
        <w:rPr>
          <w:rFonts w:hint="eastAsia"/>
          <w:color w:val="000000"/>
          <w:sz w:val="21"/>
          <w:szCs w:val="21"/>
        </w:rPr>
        <w:t xml:space="preserve">对以下采购的软硬件及服务进行维护</w:t>
      </w:r>
      <w:r/>
    </w:p>
    <w:tbl>
      <w:tblPr>
        <w:tblW w:w="830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99"/>
        <w:gridCol w:w="1695"/>
        <w:gridCol w:w="2976"/>
        <w:gridCol w:w="822"/>
        <w:gridCol w:w="809"/>
        <w:gridCol w:w="1000"/>
      </w:tblGrid>
      <w:tr>
        <w:trPr>
          <w:trHeight w:val="604"/>
        </w:trPr>
        <w:tc>
          <w:tcPr>
            <w:shd w:val="clear" w:color="auto" w:fill="ffffff"/>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序号</w:t>
            </w:r>
            <w:r/>
          </w:p>
        </w:tc>
        <w:tc>
          <w:tcPr>
            <w:shd w:val="clear" w:color="auto" w:fill="ffffff"/>
            <w:tcBorders>
              <w:top w:val="single" w:color="000000" w:sz="4" w:space="0"/>
              <w:left w:val="none" w:color="000000" w:sz="4" w:space="0"/>
              <w:bottom w:val="single" w:color="000000" w:sz="4" w:space="0"/>
              <w:right w:val="single" w:color="000000" w:sz="4" w:space="0"/>
            </w:tcBorders>
            <w:tcW w:w="1695"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产品名称</w:t>
            </w:r>
            <w:r/>
          </w:p>
        </w:tc>
        <w:tc>
          <w:tcPr>
            <w:shd w:val="clear" w:color="auto"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928"/>
              <w:spacing w:line="400" w:lineRule="atLeast"/>
              <w:rPr>
                <w:rFonts w:hint="eastAsia"/>
                <w:b/>
                <w:bCs/>
                <w:color w:val="000000"/>
                <w:sz w:val="21"/>
                <w:szCs w:val="21"/>
              </w:rPr>
            </w:pPr>
            <w:r>
              <w:rPr>
                <w:rFonts w:hint="eastAsia"/>
                <w:b/>
                <w:bCs/>
                <w:color w:val="000000"/>
                <w:sz w:val="21"/>
                <w:szCs w:val="21"/>
              </w:rPr>
              <w:t xml:space="preserve">产品参数</w:t>
            </w:r>
            <w:r/>
          </w:p>
        </w:tc>
        <w:tc>
          <w:tcPr>
            <w:shd w:val="clear" w:color="auto" w:fill="ffffff"/>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单位</w:t>
            </w:r>
            <w:r/>
          </w:p>
        </w:tc>
        <w:tc>
          <w:tcPr>
            <w:shd w:val="clear" w:color="auto" w:fill="ffffff"/>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28"/>
              <w:spacing w:line="400" w:lineRule="atLeast"/>
              <w:rPr>
                <w:rFonts w:hint="eastAsia"/>
                <w:b/>
                <w:bCs/>
                <w:color w:val="000000"/>
                <w:sz w:val="21"/>
                <w:szCs w:val="21"/>
              </w:rPr>
            </w:pPr>
            <w:r>
              <w:rPr>
                <w:rFonts w:hint="eastAsia"/>
                <w:b/>
                <w:bCs/>
                <w:color w:val="000000"/>
                <w:sz w:val="21"/>
                <w:szCs w:val="21"/>
              </w:rPr>
              <w:t xml:space="preserve">备注</w:t>
            </w:r>
            <w:r/>
          </w:p>
        </w:tc>
      </w:tr>
      <w:tr>
        <w:trPr>
          <w:trHeight w:val="855"/>
        </w:trPr>
        <w:tc>
          <w:tcPr>
            <w:shd w:val="clear" w:color="auto" w:fill="ffffff"/>
            <w:tcBorders>
              <w:top w:val="none" w:color="000000" w:sz="4" w:space="0"/>
              <w:left w:val="single" w:color="000000" w:sz="4" w:space="0"/>
              <w:bottom w:val="single" w:color="000000" w:sz="4" w:space="0"/>
              <w:right w:val="single" w:color="000000" w:sz="4" w:space="0"/>
            </w:tcBorders>
            <w:tcW w:w="99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c>
          <w:tcPr>
            <w:shd w:val="clear" w:color="auto" w:fill="ffffff"/>
            <w:tcBorders>
              <w:top w:val="none" w:color="000000" w:sz="4" w:space="0"/>
              <w:left w:val="none" w:color="000000" w:sz="4" w:space="0"/>
              <w:bottom w:val="single" w:color="000000" w:sz="4" w:space="0"/>
              <w:right w:val="single" w:color="000000" w:sz="4" w:space="0"/>
            </w:tcBorders>
            <w:tcW w:w="169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RFID设备</w:t>
            </w:r>
            <w:r/>
          </w:p>
        </w:tc>
        <w:tc>
          <w:tcPr>
            <w:shd w:val="clear" w:color="auto"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尺寸：258mm×258mm×86mm；</w:t>
            </w:r>
            <w:r/>
          </w:p>
          <w:p>
            <w:pPr>
              <w:pStyle w:val="928"/>
              <w:spacing w:line="400" w:lineRule="atLeast"/>
              <w:rPr>
                <w:rFonts w:hint="eastAsia"/>
                <w:color w:val="000000"/>
                <w:sz w:val="21"/>
                <w:szCs w:val="21"/>
              </w:rPr>
            </w:pPr>
            <w:r>
              <w:rPr>
                <w:rFonts w:hint="eastAsia"/>
                <w:color w:val="000000"/>
                <w:sz w:val="21"/>
                <w:szCs w:val="21"/>
              </w:rPr>
              <w:t xml:space="preserve">防水等级：IP67；</w:t>
            </w:r>
            <w:r/>
          </w:p>
          <w:p>
            <w:pPr>
              <w:pStyle w:val="928"/>
              <w:spacing w:line="400" w:lineRule="atLeast"/>
              <w:rPr>
                <w:rFonts w:hint="eastAsia"/>
                <w:color w:val="000000"/>
                <w:sz w:val="21"/>
                <w:szCs w:val="21"/>
              </w:rPr>
            </w:pPr>
            <w:r>
              <w:rPr>
                <w:rFonts w:hint="eastAsia"/>
                <w:color w:val="000000"/>
                <w:sz w:val="21"/>
                <w:szCs w:val="21"/>
              </w:rPr>
              <w:t xml:space="preserve">操作系统：Android 4.4；</w:t>
            </w:r>
            <w:r/>
          </w:p>
          <w:p>
            <w:pPr>
              <w:pStyle w:val="928"/>
              <w:spacing w:line="400" w:lineRule="atLeast"/>
              <w:rPr>
                <w:rFonts w:hint="eastAsia"/>
                <w:color w:val="000000"/>
                <w:sz w:val="21"/>
                <w:szCs w:val="21"/>
              </w:rPr>
            </w:pPr>
            <w:r>
              <w:rPr>
                <w:rFonts w:hint="eastAsia"/>
                <w:color w:val="000000"/>
                <w:sz w:val="21"/>
                <w:szCs w:val="21"/>
              </w:rPr>
              <w:t xml:space="preserve">空口协议：EPC C1G2、ISO18000-6B/C、GB/T29768-2013（可选配）；</w:t>
            </w:r>
            <w:r/>
          </w:p>
          <w:p>
            <w:pPr>
              <w:pStyle w:val="928"/>
              <w:spacing w:line="400" w:lineRule="atLeast"/>
              <w:rPr>
                <w:rFonts w:hint="eastAsia"/>
                <w:color w:val="000000"/>
                <w:sz w:val="21"/>
                <w:szCs w:val="21"/>
              </w:rPr>
            </w:pPr>
            <w:r>
              <w:rPr>
                <w:rFonts w:hint="eastAsia"/>
                <w:color w:val="000000"/>
                <w:sz w:val="21"/>
                <w:szCs w:val="21"/>
              </w:rPr>
              <w:t xml:space="preserve">通讯接口：以太网，RS-232，RS-485，韦根；</w:t>
            </w:r>
            <w:r/>
          </w:p>
          <w:p>
            <w:pPr>
              <w:pStyle w:val="928"/>
              <w:spacing w:line="400" w:lineRule="atLeast"/>
              <w:rPr>
                <w:rFonts w:hint="eastAsia"/>
                <w:color w:val="000000"/>
                <w:sz w:val="21"/>
                <w:szCs w:val="21"/>
              </w:rPr>
            </w:pPr>
            <w:r>
              <w:rPr>
                <w:rFonts w:hint="eastAsia"/>
                <w:color w:val="000000"/>
                <w:sz w:val="21"/>
                <w:szCs w:val="21"/>
              </w:rPr>
              <w:t xml:space="preserve">I/O 接口：2路光耦输入、3路继电器输出(驱动能力：直</w:t>
            </w:r>
            <w:r>
              <w:rPr>
                <w:rFonts w:hint="eastAsia"/>
                <w:color w:val="000000"/>
                <w:sz w:val="21"/>
                <w:szCs w:val="21"/>
              </w:rPr>
              <w:t xml:space="preserve">流30V/ 2A，交流125V/0.75A)；</w:t>
            </w:r>
            <w:r/>
          </w:p>
          <w:p>
            <w:pPr>
              <w:pStyle w:val="928"/>
              <w:spacing w:line="400" w:lineRule="atLeast"/>
              <w:rPr>
                <w:rFonts w:hint="eastAsia"/>
                <w:color w:val="000000"/>
                <w:sz w:val="21"/>
                <w:szCs w:val="21"/>
              </w:rPr>
            </w:pPr>
            <w:r>
              <w:rPr>
                <w:rFonts w:hint="eastAsia"/>
                <w:color w:val="000000"/>
                <w:sz w:val="21"/>
                <w:szCs w:val="21"/>
              </w:rPr>
              <w:t xml:space="preserve">工作频率：ETSI 865～868MHz, GB 840～845MHz,920～925MHz, FCC 902～928MHz；</w:t>
            </w:r>
            <w:r/>
          </w:p>
          <w:p>
            <w:pPr>
              <w:pStyle w:val="928"/>
              <w:spacing w:line="400" w:lineRule="atLeast"/>
              <w:rPr>
                <w:rFonts w:hint="eastAsia"/>
                <w:color w:val="000000"/>
                <w:sz w:val="21"/>
                <w:szCs w:val="21"/>
              </w:rPr>
            </w:pPr>
            <w:r>
              <w:rPr>
                <w:rFonts w:hint="eastAsia"/>
                <w:color w:val="000000"/>
                <w:sz w:val="21"/>
                <w:szCs w:val="21"/>
              </w:rPr>
              <w:t xml:space="preserve">RF输出功率（端口）：33dBm（MAX）；</w:t>
            </w:r>
            <w:r/>
          </w:p>
          <w:p>
            <w:pPr>
              <w:pStyle w:val="928"/>
              <w:spacing w:line="400" w:lineRule="atLeast"/>
              <w:rPr>
                <w:rFonts w:hint="eastAsia"/>
                <w:color w:val="000000"/>
                <w:sz w:val="21"/>
                <w:szCs w:val="21"/>
              </w:rPr>
            </w:pPr>
            <w:r>
              <w:rPr>
                <w:rFonts w:hint="eastAsia"/>
                <w:color w:val="000000"/>
                <w:sz w:val="21"/>
                <w:szCs w:val="21"/>
              </w:rPr>
              <w:t xml:space="preserve">标签识别速度：&gt;500次/秒；</w:t>
            </w:r>
            <w:r/>
          </w:p>
          <w:p>
            <w:pPr>
              <w:pStyle w:val="928"/>
              <w:spacing w:line="400" w:lineRule="atLeast"/>
              <w:rPr>
                <w:rFonts w:hint="eastAsia"/>
                <w:color w:val="000000"/>
                <w:sz w:val="21"/>
                <w:szCs w:val="21"/>
              </w:rPr>
            </w:pPr>
            <w:r>
              <w:rPr>
                <w:rFonts w:hint="eastAsia"/>
                <w:color w:val="000000"/>
                <w:sz w:val="21"/>
                <w:szCs w:val="21"/>
              </w:rPr>
              <w:t xml:space="preserve">网络接口通信速率：10M/100M自适应；</w:t>
            </w:r>
            <w:r/>
          </w:p>
          <w:p>
            <w:pPr>
              <w:pStyle w:val="928"/>
              <w:spacing w:line="400" w:lineRule="atLeast"/>
              <w:rPr>
                <w:rFonts w:hint="eastAsia"/>
                <w:color w:val="000000"/>
                <w:sz w:val="21"/>
                <w:szCs w:val="21"/>
              </w:rPr>
            </w:pPr>
            <w:r>
              <w:rPr>
                <w:rFonts w:hint="eastAsia"/>
                <w:color w:val="000000"/>
                <w:sz w:val="21"/>
                <w:szCs w:val="21"/>
              </w:rPr>
              <w:t xml:space="preserve">其他：支持密集型读写、支持天线驻波检测功能、支持固件在线升级、支持标签 数据过滤、支持RSSI：可感知信号的强度。</w:t>
            </w:r>
            <w:r/>
          </w:p>
        </w:tc>
        <w:tc>
          <w:tcPr>
            <w:shd w:val="clear" w:color="auto" w:fill="ffffff"/>
            <w:tcBorders>
              <w:top w:val="none" w:color="000000" w:sz="4" w:space="0"/>
              <w:left w:val="none" w:color="000000" w:sz="4" w:space="0"/>
              <w:bottom w:val="single" w:color="000000" w:sz="4" w:space="0"/>
              <w:right w:val="single" w:color="000000" w:sz="4" w:space="0"/>
            </w:tcBorders>
            <w:tcW w:w="82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shd w:val="clear" w:color="auto" w:fill="ffffff"/>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含200个RFID标签卡</w:t>
            </w:r>
            <w:r/>
          </w:p>
        </w:tc>
      </w:tr>
      <w:tr>
        <w:trPr>
          <w:trHeight w:val="855"/>
        </w:trPr>
        <w:tc>
          <w:tcPr>
            <w:shd w:val="clear" w:color="auto" w:fill="ffffff"/>
            <w:tcBorders>
              <w:top w:val="none" w:color="000000" w:sz="4" w:space="0"/>
              <w:left w:val="single" w:color="000000" w:sz="4" w:space="0"/>
              <w:bottom w:val="single" w:color="000000" w:sz="4" w:space="0"/>
              <w:right w:val="single" w:color="000000" w:sz="4" w:space="0"/>
            </w:tcBorders>
            <w:tcW w:w="99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169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一键救援组件</w:t>
            </w:r>
            <w:r/>
          </w:p>
        </w:tc>
        <w:tc>
          <w:tcPr>
            <w:shd w:val="clear" w:color="auto"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续航能力：&gt;=2天；</w:t>
            </w:r>
            <w:r/>
          </w:p>
          <w:p>
            <w:pPr>
              <w:pStyle w:val="928"/>
              <w:spacing w:line="400" w:lineRule="atLeast"/>
              <w:rPr>
                <w:rFonts w:hint="eastAsia"/>
                <w:color w:val="000000"/>
                <w:sz w:val="21"/>
                <w:szCs w:val="21"/>
              </w:rPr>
            </w:pPr>
            <w:r>
              <w:rPr>
                <w:rFonts w:hint="eastAsia"/>
                <w:color w:val="000000"/>
                <w:sz w:val="21"/>
                <w:szCs w:val="21"/>
              </w:rPr>
              <w:t xml:space="preserve">定位/通信；</w:t>
            </w:r>
            <w:r/>
          </w:p>
          <w:p>
            <w:pPr>
              <w:pStyle w:val="928"/>
              <w:spacing w:line="400" w:lineRule="atLeast"/>
              <w:rPr>
                <w:rFonts w:hint="eastAsia"/>
                <w:color w:val="000000"/>
                <w:sz w:val="21"/>
                <w:szCs w:val="21"/>
              </w:rPr>
            </w:pPr>
            <w:r>
              <w:rPr>
                <w:rFonts w:hint="eastAsia"/>
                <w:color w:val="000000"/>
                <w:sz w:val="21"/>
                <w:szCs w:val="21"/>
              </w:rPr>
              <w:t xml:space="preserve">其他：支持一键救援。</w:t>
            </w:r>
            <w:r/>
          </w:p>
        </w:tc>
        <w:tc>
          <w:tcPr>
            <w:shd w:val="clear" w:color="auto" w:fill="ffffff"/>
            <w:tcBorders>
              <w:top w:val="none" w:color="000000" w:sz="4" w:space="0"/>
              <w:left w:val="none" w:color="000000" w:sz="4" w:space="0"/>
              <w:bottom w:val="single" w:color="000000" w:sz="4" w:space="0"/>
              <w:right w:val="single" w:color="000000" w:sz="4" w:space="0"/>
            </w:tcBorders>
            <w:tcW w:w="82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shd w:val="clear" w:color="auto" w:fill="ffffff"/>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35</w:t>
            </w:r>
            <w:r/>
          </w:p>
        </w:tc>
        <w:tc>
          <w:tcPr>
            <w:shd w:val="clear" w:color="auto" w:fill="ffffff"/>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　</w:t>
            </w:r>
            <w:r/>
          </w:p>
        </w:tc>
      </w:tr>
      <w:tr>
        <w:trPr>
          <w:trHeight w:val="855"/>
        </w:trPr>
        <w:tc>
          <w:tcPr>
            <w:shd w:val="clear" w:color="auto" w:fill="ffffff"/>
            <w:tcBorders>
              <w:top w:val="none" w:color="000000" w:sz="4" w:space="0"/>
              <w:left w:val="single" w:color="000000" w:sz="4" w:space="0"/>
              <w:bottom w:val="single" w:color="000000" w:sz="4" w:space="0"/>
              <w:right w:val="single" w:color="000000" w:sz="4" w:space="0"/>
            </w:tcBorders>
            <w:tcW w:w="99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c>
          <w:tcPr>
            <w:shd w:val="clear" w:color="auto" w:fill="ffffff"/>
            <w:tcBorders>
              <w:top w:val="none" w:color="000000" w:sz="4" w:space="0"/>
              <w:left w:val="none" w:color="000000" w:sz="4" w:space="0"/>
              <w:bottom w:val="single" w:color="000000" w:sz="4" w:space="0"/>
              <w:right w:val="single" w:color="000000" w:sz="4" w:space="0"/>
            </w:tcBorders>
            <w:tcW w:w="169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应急拉动集成控制盒</w:t>
            </w:r>
            <w:r/>
          </w:p>
        </w:tc>
        <w:tc>
          <w:tcPr>
            <w:shd w:val="clear" w:color="auto"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供外箱尺寸：L450mm*W370mm*H120mm ；</w:t>
            </w:r>
            <w:r/>
          </w:p>
          <w:p>
            <w:pPr>
              <w:pStyle w:val="928"/>
              <w:spacing w:line="400" w:lineRule="atLeast"/>
              <w:rPr>
                <w:rFonts w:hint="eastAsia"/>
                <w:color w:val="000000"/>
                <w:sz w:val="21"/>
                <w:szCs w:val="21"/>
              </w:rPr>
            </w:pPr>
            <w:r>
              <w:rPr>
                <w:rFonts w:hint="eastAsia"/>
                <w:color w:val="000000"/>
                <w:sz w:val="21"/>
                <w:szCs w:val="21"/>
              </w:rPr>
              <w:t xml:space="preserve">供电电压：AC85-265V ；</w:t>
            </w:r>
            <w:r/>
          </w:p>
          <w:p>
            <w:pPr>
              <w:pStyle w:val="928"/>
              <w:spacing w:line="400" w:lineRule="atLeast"/>
              <w:rPr>
                <w:rFonts w:hint="eastAsia"/>
                <w:color w:val="000000"/>
                <w:sz w:val="21"/>
                <w:szCs w:val="21"/>
              </w:rPr>
            </w:pPr>
            <w:r>
              <w:rPr>
                <w:rFonts w:hint="eastAsia"/>
                <w:color w:val="000000"/>
                <w:sz w:val="21"/>
                <w:szCs w:val="21"/>
              </w:rPr>
              <w:t xml:space="preserve">静态电流：0.2MA ；</w:t>
            </w:r>
            <w:r/>
          </w:p>
          <w:p>
            <w:pPr>
              <w:pStyle w:val="928"/>
              <w:spacing w:line="400" w:lineRule="atLeast"/>
              <w:rPr>
                <w:rFonts w:hint="eastAsia"/>
                <w:color w:val="000000"/>
                <w:sz w:val="21"/>
                <w:szCs w:val="21"/>
              </w:rPr>
            </w:pPr>
            <w:r>
              <w:rPr>
                <w:rFonts w:hint="eastAsia"/>
                <w:color w:val="000000"/>
                <w:sz w:val="21"/>
                <w:szCs w:val="21"/>
              </w:rPr>
              <w:t xml:space="preserve">强电接口：标配24路强电输出；</w:t>
            </w:r>
            <w:r/>
          </w:p>
          <w:p>
            <w:pPr>
              <w:pStyle w:val="928"/>
              <w:spacing w:line="400" w:lineRule="atLeast"/>
              <w:rPr>
                <w:rFonts w:hint="eastAsia"/>
                <w:color w:val="000000"/>
                <w:sz w:val="21"/>
                <w:szCs w:val="21"/>
              </w:rPr>
            </w:pPr>
            <w:r>
              <w:rPr>
                <w:rFonts w:hint="eastAsia"/>
                <w:color w:val="000000"/>
                <w:sz w:val="21"/>
                <w:szCs w:val="21"/>
              </w:rPr>
              <w:t xml:space="preserve">弱电接口：36路输入输出 ；</w:t>
            </w:r>
            <w:r/>
          </w:p>
          <w:p>
            <w:pPr>
              <w:pStyle w:val="928"/>
              <w:spacing w:line="400" w:lineRule="atLeast"/>
              <w:rPr>
                <w:rFonts w:hint="eastAsia"/>
                <w:color w:val="000000"/>
                <w:sz w:val="21"/>
                <w:szCs w:val="21"/>
              </w:rPr>
            </w:pPr>
            <w:r>
              <w:rPr>
                <w:rFonts w:hint="eastAsia"/>
                <w:color w:val="000000"/>
                <w:sz w:val="21"/>
                <w:szCs w:val="21"/>
              </w:rPr>
              <w:t xml:space="preserve">网络接口：1路有线/无线 ；</w:t>
            </w:r>
            <w:r/>
          </w:p>
          <w:p>
            <w:pPr>
              <w:pStyle w:val="928"/>
              <w:spacing w:line="400" w:lineRule="atLeast"/>
              <w:rPr>
                <w:rFonts w:hint="eastAsia"/>
                <w:color w:val="000000"/>
                <w:sz w:val="21"/>
                <w:szCs w:val="21"/>
              </w:rPr>
            </w:pPr>
            <w:r>
              <w:rPr>
                <w:rFonts w:hint="eastAsia"/>
                <w:color w:val="000000"/>
                <w:sz w:val="21"/>
                <w:szCs w:val="21"/>
              </w:rPr>
              <w:t xml:space="preserve">门显接口：门显状态灯接口 ；</w:t>
            </w:r>
            <w:r/>
          </w:p>
          <w:p>
            <w:pPr>
              <w:pStyle w:val="928"/>
              <w:spacing w:line="400" w:lineRule="atLeast"/>
              <w:rPr>
                <w:rFonts w:hint="eastAsia"/>
                <w:color w:val="000000"/>
                <w:sz w:val="21"/>
                <w:szCs w:val="21"/>
              </w:rPr>
            </w:pPr>
            <w:r>
              <w:rPr>
                <w:rFonts w:hint="eastAsia"/>
                <w:color w:val="000000"/>
                <w:sz w:val="21"/>
                <w:szCs w:val="21"/>
              </w:rPr>
              <w:t xml:space="preserve">总线接口：2组RS485 ；</w:t>
            </w:r>
            <w:r/>
          </w:p>
          <w:p>
            <w:pPr>
              <w:pStyle w:val="928"/>
              <w:spacing w:line="400" w:lineRule="atLeast"/>
              <w:rPr>
                <w:rFonts w:hint="eastAsia"/>
                <w:color w:val="000000"/>
                <w:sz w:val="21"/>
                <w:szCs w:val="21"/>
              </w:rPr>
            </w:pPr>
            <w:r>
              <w:rPr>
                <w:rFonts w:hint="eastAsia"/>
                <w:color w:val="000000"/>
                <w:sz w:val="21"/>
                <w:szCs w:val="21"/>
              </w:rPr>
              <w:t xml:space="preserve">红外接口：三通道，集成全球常规空调，电视码库 ；</w:t>
            </w:r>
            <w:r/>
          </w:p>
          <w:p>
            <w:pPr>
              <w:pStyle w:val="928"/>
              <w:spacing w:line="400" w:lineRule="atLeast"/>
              <w:rPr>
                <w:rFonts w:hint="eastAsia"/>
                <w:color w:val="000000"/>
                <w:sz w:val="21"/>
                <w:szCs w:val="21"/>
              </w:rPr>
            </w:pPr>
            <w:r>
              <w:rPr>
                <w:rFonts w:hint="eastAsia"/>
                <w:color w:val="000000"/>
                <w:sz w:val="21"/>
                <w:szCs w:val="21"/>
              </w:rPr>
              <w:t xml:space="preserve">无线收发：集成RF无线收发模块，可匹配全球常规的RF设备； </w:t>
            </w:r>
            <w:r/>
          </w:p>
          <w:p>
            <w:pPr>
              <w:pStyle w:val="928"/>
              <w:spacing w:line="400" w:lineRule="atLeast"/>
              <w:rPr>
                <w:rFonts w:hint="eastAsia"/>
                <w:color w:val="000000"/>
                <w:sz w:val="21"/>
                <w:szCs w:val="21"/>
              </w:rPr>
            </w:pPr>
            <w:r>
              <w:rPr>
                <w:rFonts w:hint="eastAsia"/>
                <w:color w:val="000000"/>
                <w:sz w:val="21"/>
                <w:szCs w:val="21"/>
              </w:rPr>
              <w:t xml:space="preserve">模块连接方式：一分三排线，或者总线可扩展模块 ；</w:t>
            </w:r>
            <w:r/>
          </w:p>
          <w:p>
            <w:pPr>
              <w:pStyle w:val="928"/>
              <w:spacing w:line="400" w:lineRule="atLeast"/>
              <w:rPr>
                <w:rFonts w:hint="eastAsia"/>
                <w:color w:val="000000"/>
                <w:sz w:val="21"/>
                <w:szCs w:val="21"/>
              </w:rPr>
            </w:pPr>
            <w:r>
              <w:rPr>
                <w:rFonts w:hint="eastAsia"/>
                <w:color w:val="000000"/>
                <w:sz w:val="21"/>
                <w:szCs w:val="21"/>
              </w:rPr>
              <w:t xml:space="preserve">操作系统：Android </w:t>
            </w:r>
            <w:r>
              <w:rPr>
                <w:rFonts w:hint="eastAsia"/>
                <w:color w:val="000000"/>
                <w:sz w:val="21"/>
                <w:szCs w:val="21"/>
              </w:rPr>
              <w:t xml:space="preserve">或 ios </w:t>
            </w:r>
            <w:r/>
          </w:p>
          <w:p>
            <w:pPr>
              <w:pStyle w:val="928"/>
              <w:spacing w:line="400" w:lineRule="atLeast"/>
              <w:rPr>
                <w:rFonts w:hint="eastAsia"/>
                <w:color w:val="000000"/>
                <w:sz w:val="21"/>
                <w:szCs w:val="21"/>
              </w:rPr>
            </w:pPr>
            <w:r>
              <w:rPr>
                <w:rFonts w:hint="eastAsia"/>
                <w:color w:val="000000"/>
                <w:sz w:val="21"/>
                <w:szCs w:val="21"/>
              </w:rPr>
              <w:t xml:space="preserve">系统配置：嵌入式32位处理器，外置储存器 ；</w:t>
            </w:r>
            <w:r/>
          </w:p>
          <w:p>
            <w:pPr>
              <w:pStyle w:val="928"/>
              <w:spacing w:line="400" w:lineRule="atLeast"/>
              <w:rPr>
                <w:rFonts w:hint="eastAsia"/>
                <w:color w:val="000000"/>
                <w:sz w:val="21"/>
                <w:szCs w:val="21"/>
              </w:rPr>
            </w:pPr>
            <w:r>
              <w:rPr>
                <w:rFonts w:hint="eastAsia"/>
                <w:color w:val="000000"/>
                <w:sz w:val="21"/>
                <w:szCs w:val="21"/>
              </w:rPr>
              <w:t xml:space="preserve">工作环境温度：-20℃至 +45℃ ；</w:t>
            </w:r>
            <w:r/>
          </w:p>
          <w:p>
            <w:pPr>
              <w:pStyle w:val="928"/>
              <w:spacing w:line="400" w:lineRule="atLeast"/>
              <w:rPr>
                <w:rFonts w:hint="eastAsia"/>
                <w:color w:val="000000"/>
                <w:sz w:val="21"/>
                <w:szCs w:val="21"/>
              </w:rPr>
            </w:pPr>
            <w:r>
              <w:rPr>
                <w:rFonts w:hint="eastAsia"/>
                <w:color w:val="000000"/>
                <w:sz w:val="21"/>
                <w:szCs w:val="21"/>
              </w:rPr>
              <w:t xml:space="preserve">防护等级：IP20。</w:t>
            </w:r>
            <w:r/>
          </w:p>
        </w:tc>
        <w:tc>
          <w:tcPr>
            <w:shd w:val="clear" w:color="auto" w:fill="ffffff"/>
            <w:tcBorders>
              <w:top w:val="none" w:color="000000" w:sz="4" w:space="0"/>
              <w:left w:val="none" w:color="000000" w:sz="4" w:space="0"/>
              <w:bottom w:val="single" w:color="000000" w:sz="4" w:space="0"/>
              <w:right w:val="single" w:color="000000" w:sz="4" w:space="0"/>
            </w:tcBorders>
            <w:tcW w:w="82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shd w:val="clear" w:color="auto" w:fill="ffffff"/>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c>
          <w:tcPr>
            <w:shd w:val="clear" w:color="auto" w:fill="ffffff"/>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　</w:t>
            </w:r>
            <w:r/>
          </w:p>
        </w:tc>
      </w:tr>
      <w:tr>
        <w:trPr>
          <w:trHeight w:val="855"/>
        </w:trPr>
        <w:tc>
          <w:tcPr>
            <w:shd w:val="clear" w:color="auto" w:fill="ffffff"/>
            <w:tcBorders>
              <w:top w:val="none" w:color="000000" w:sz="4" w:space="0"/>
              <w:left w:val="single" w:color="000000" w:sz="4" w:space="0"/>
              <w:bottom w:val="single" w:color="000000" w:sz="4" w:space="0"/>
              <w:right w:val="single" w:color="000000" w:sz="4" w:space="0"/>
            </w:tcBorders>
            <w:tcW w:w="99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c>
          <w:tcPr>
            <w:shd w:val="clear" w:color="auto" w:fill="ffffff"/>
            <w:tcBorders>
              <w:top w:val="none" w:color="000000" w:sz="4" w:space="0"/>
              <w:left w:val="none" w:color="000000" w:sz="4" w:space="0"/>
              <w:bottom w:val="single" w:color="000000" w:sz="4" w:space="0"/>
              <w:right w:val="single" w:color="000000" w:sz="4" w:space="0"/>
            </w:tcBorders>
            <w:tcW w:w="169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集成控制器</w:t>
            </w:r>
            <w:r/>
          </w:p>
        </w:tc>
        <w:tc>
          <w:tcPr>
            <w:shd w:val="clear" w:color="auto"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显存：集成显卡；</w:t>
            </w:r>
            <w:r/>
          </w:p>
          <w:p>
            <w:pPr>
              <w:pStyle w:val="928"/>
              <w:spacing w:line="400" w:lineRule="atLeast"/>
              <w:rPr>
                <w:rFonts w:hint="eastAsia"/>
                <w:color w:val="000000"/>
                <w:sz w:val="21"/>
                <w:szCs w:val="21"/>
              </w:rPr>
            </w:pPr>
            <w:r>
              <w:rPr>
                <w:rFonts w:hint="eastAsia"/>
                <w:color w:val="000000"/>
                <w:sz w:val="21"/>
                <w:szCs w:val="21"/>
              </w:rPr>
              <w:t xml:space="preserve">类型：塔式服务器；</w:t>
            </w:r>
            <w:r/>
          </w:p>
          <w:p>
            <w:pPr>
              <w:pStyle w:val="928"/>
              <w:spacing w:line="400" w:lineRule="atLeast"/>
              <w:rPr>
                <w:rFonts w:hint="eastAsia"/>
                <w:color w:val="000000"/>
                <w:sz w:val="21"/>
                <w:szCs w:val="21"/>
              </w:rPr>
            </w:pPr>
            <w:r>
              <w:rPr>
                <w:rFonts w:hint="eastAsia"/>
                <w:color w:val="000000"/>
                <w:sz w:val="21"/>
                <w:szCs w:val="21"/>
              </w:rPr>
              <w:t xml:space="preserve">系统：Windows；</w:t>
            </w:r>
            <w:r/>
          </w:p>
          <w:p>
            <w:pPr>
              <w:pStyle w:val="928"/>
              <w:spacing w:line="400" w:lineRule="atLeast"/>
              <w:rPr>
                <w:rFonts w:hint="eastAsia"/>
                <w:color w:val="000000"/>
                <w:sz w:val="21"/>
                <w:szCs w:val="21"/>
              </w:rPr>
            </w:pPr>
            <w:r>
              <w:rPr>
                <w:rFonts w:hint="eastAsia"/>
                <w:color w:val="000000"/>
                <w:sz w:val="21"/>
                <w:szCs w:val="21"/>
              </w:rPr>
              <w:t xml:space="preserve">处理器：Intel i5；</w:t>
            </w:r>
            <w:r/>
          </w:p>
          <w:p>
            <w:pPr>
              <w:pStyle w:val="928"/>
              <w:spacing w:line="400" w:lineRule="atLeast"/>
              <w:rPr>
                <w:rFonts w:hint="eastAsia"/>
                <w:color w:val="000000"/>
                <w:sz w:val="21"/>
                <w:szCs w:val="21"/>
              </w:rPr>
            </w:pPr>
            <w:r>
              <w:rPr>
                <w:rFonts w:hint="eastAsia"/>
                <w:color w:val="000000"/>
                <w:sz w:val="21"/>
                <w:szCs w:val="21"/>
              </w:rPr>
              <w:t xml:space="preserve">硬盘容量：500GB；</w:t>
            </w:r>
            <w:r/>
          </w:p>
          <w:p>
            <w:pPr>
              <w:pStyle w:val="928"/>
              <w:spacing w:line="400" w:lineRule="atLeast"/>
              <w:rPr>
                <w:rFonts w:hint="eastAsia"/>
                <w:color w:val="000000"/>
                <w:sz w:val="21"/>
                <w:szCs w:val="21"/>
              </w:rPr>
            </w:pPr>
            <w:r>
              <w:rPr>
                <w:rFonts w:hint="eastAsia"/>
                <w:color w:val="000000"/>
                <w:sz w:val="21"/>
                <w:szCs w:val="21"/>
              </w:rPr>
              <w:t xml:space="preserve">Raid卡缓存：512M缓存；</w:t>
            </w:r>
            <w:r/>
          </w:p>
          <w:p>
            <w:pPr>
              <w:pStyle w:val="928"/>
              <w:spacing w:line="400" w:lineRule="atLeast"/>
              <w:rPr>
                <w:rFonts w:hint="eastAsia"/>
                <w:color w:val="000000"/>
                <w:sz w:val="21"/>
                <w:szCs w:val="21"/>
              </w:rPr>
            </w:pPr>
            <w:r>
              <w:rPr>
                <w:rFonts w:hint="eastAsia"/>
                <w:color w:val="000000"/>
                <w:sz w:val="21"/>
                <w:szCs w:val="21"/>
              </w:rPr>
              <w:t xml:space="preserve">内存容量：8GB；</w:t>
            </w:r>
            <w:r/>
          </w:p>
          <w:p>
            <w:pPr>
              <w:pStyle w:val="928"/>
              <w:spacing w:line="400" w:lineRule="atLeast"/>
              <w:rPr>
                <w:rFonts w:hint="eastAsia"/>
                <w:color w:val="000000"/>
                <w:sz w:val="21"/>
                <w:szCs w:val="21"/>
              </w:rPr>
            </w:pPr>
            <w:r>
              <w:rPr>
                <w:rFonts w:hint="eastAsia"/>
                <w:color w:val="000000"/>
                <w:sz w:val="21"/>
                <w:szCs w:val="21"/>
              </w:rPr>
              <w:t xml:space="preserve">硬盘转速：7200rpm。</w:t>
            </w:r>
            <w:r/>
          </w:p>
        </w:tc>
        <w:tc>
          <w:tcPr>
            <w:shd w:val="clear" w:color="auto" w:fill="ffffff"/>
            <w:tcBorders>
              <w:top w:val="none" w:color="000000" w:sz="4" w:space="0"/>
              <w:left w:val="none" w:color="000000" w:sz="4" w:space="0"/>
              <w:bottom w:val="single" w:color="000000" w:sz="4" w:space="0"/>
              <w:right w:val="single" w:color="000000" w:sz="4" w:space="0"/>
            </w:tcBorders>
            <w:tcW w:w="82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shd w:val="clear" w:color="auto" w:fill="ffffff"/>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c>
          <w:tcPr>
            <w:shd w:val="clear" w:color="auto" w:fill="ffffff"/>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r>
        <w:trPr>
          <w:trHeight w:val="855"/>
        </w:trPr>
        <w:tc>
          <w:tcPr>
            <w:shd w:val="clear" w:color="auto" w:fill="ffffff"/>
            <w:tcBorders>
              <w:top w:val="none" w:color="000000" w:sz="4" w:space="0"/>
              <w:left w:val="single" w:color="000000" w:sz="4" w:space="0"/>
              <w:bottom w:val="single" w:color="000000" w:sz="4" w:space="0"/>
              <w:right w:val="single" w:color="000000" w:sz="4" w:space="0"/>
            </w:tcBorders>
            <w:tcW w:w="99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c>
          <w:tcPr>
            <w:shd w:val="clear" w:color="auto" w:fill="ffffff"/>
            <w:tcBorders>
              <w:top w:val="none" w:color="000000" w:sz="4" w:space="0"/>
              <w:left w:val="none" w:color="000000" w:sz="4" w:space="0"/>
              <w:bottom w:val="single" w:color="000000" w:sz="4" w:space="0"/>
              <w:right w:val="single" w:color="000000" w:sz="4" w:space="0"/>
            </w:tcBorders>
            <w:tcW w:w="169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音响</w:t>
            </w:r>
            <w:r/>
          </w:p>
        </w:tc>
        <w:tc>
          <w:tcPr>
            <w:shd w:val="clear" w:color="auto"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额定功率：150W+150W；</w:t>
            </w:r>
            <w:r/>
          </w:p>
          <w:p>
            <w:pPr>
              <w:pStyle w:val="928"/>
              <w:spacing w:line="400" w:lineRule="atLeast"/>
              <w:rPr>
                <w:rFonts w:hint="eastAsia"/>
                <w:color w:val="000000"/>
                <w:sz w:val="21"/>
                <w:szCs w:val="21"/>
              </w:rPr>
            </w:pPr>
            <w:r>
              <w:rPr>
                <w:rFonts w:hint="eastAsia"/>
                <w:color w:val="000000"/>
                <w:sz w:val="21"/>
                <w:szCs w:val="21"/>
              </w:rPr>
              <w:t xml:space="preserve">阻抗：4-8Ω；</w:t>
            </w:r>
            <w:r/>
          </w:p>
          <w:p>
            <w:pPr>
              <w:pStyle w:val="928"/>
              <w:spacing w:line="400" w:lineRule="atLeast"/>
              <w:rPr>
                <w:rFonts w:hint="eastAsia"/>
                <w:color w:val="000000"/>
                <w:sz w:val="21"/>
                <w:szCs w:val="21"/>
              </w:rPr>
            </w:pPr>
            <w:r>
              <w:rPr>
                <w:rFonts w:hint="eastAsia"/>
                <w:color w:val="000000"/>
                <w:sz w:val="21"/>
                <w:szCs w:val="21"/>
              </w:rPr>
              <w:t xml:space="preserve">峰值功率：300W+300W；</w:t>
            </w:r>
            <w:r/>
          </w:p>
          <w:p>
            <w:pPr>
              <w:pStyle w:val="928"/>
              <w:spacing w:line="400" w:lineRule="atLeast"/>
              <w:rPr>
                <w:rFonts w:hint="eastAsia"/>
                <w:color w:val="000000"/>
                <w:sz w:val="21"/>
                <w:szCs w:val="21"/>
              </w:rPr>
            </w:pPr>
            <w:r>
              <w:rPr>
                <w:rFonts w:hint="eastAsia"/>
                <w:color w:val="000000"/>
                <w:sz w:val="21"/>
                <w:szCs w:val="21"/>
              </w:rPr>
              <w:t xml:space="preserve">音响阻抗：8Ω；</w:t>
            </w:r>
            <w:r/>
          </w:p>
          <w:p>
            <w:pPr>
              <w:pStyle w:val="928"/>
              <w:spacing w:line="400" w:lineRule="atLeast"/>
              <w:rPr>
                <w:rFonts w:hint="eastAsia"/>
                <w:color w:val="000000"/>
                <w:sz w:val="21"/>
                <w:szCs w:val="21"/>
              </w:rPr>
            </w:pPr>
            <w:r>
              <w:rPr>
                <w:rFonts w:hint="eastAsia"/>
                <w:color w:val="000000"/>
                <w:sz w:val="21"/>
                <w:szCs w:val="21"/>
              </w:rPr>
              <w:t xml:space="preserve">信噪比：≥80dB；   </w:t>
            </w:r>
            <w:r/>
          </w:p>
          <w:p>
            <w:pPr>
              <w:pStyle w:val="928"/>
              <w:spacing w:line="400" w:lineRule="atLeast"/>
              <w:rPr>
                <w:rFonts w:hint="eastAsia"/>
                <w:color w:val="000000"/>
                <w:sz w:val="21"/>
                <w:szCs w:val="21"/>
              </w:rPr>
            </w:pPr>
            <w:r>
              <w:rPr>
                <w:rFonts w:hint="eastAsia"/>
                <w:color w:val="000000"/>
                <w:sz w:val="21"/>
                <w:szCs w:val="21"/>
              </w:rPr>
              <w:t xml:space="preserve">响应频率：20Hz-20KHz；       </w:t>
            </w:r>
            <w:r/>
          </w:p>
          <w:p>
            <w:pPr>
              <w:pStyle w:val="928"/>
              <w:spacing w:line="400" w:lineRule="atLeast"/>
              <w:rPr>
                <w:rFonts w:hint="eastAsia"/>
                <w:color w:val="000000"/>
                <w:sz w:val="21"/>
                <w:szCs w:val="21"/>
              </w:rPr>
            </w:pPr>
            <w:r>
              <w:rPr>
                <w:rFonts w:hint="eastAsia"/>
                <w:color w:val="000000"/>
                <w:sz w:val="21"/>
                <w:szCs w:val="21"/>
              </w:rPr>
              <w:t xml:space="preserve">频谱失真：≤0.5%</w:t>
            </w:r>
            <w:r/>
          </w:p>
          <w:p>
            <w:pPr>
              <w:pStyle w:val="928"/>
              <w:spacing w:line="400" w:lineRule="atLeast"/>
              <w:rPr>
                <w:rFonts w:hint="eastAsia"/>
                <w:color w:val="000000"/>
                <w:sz w:val="21"/>
                <w:szCs w:val="21"/>
              </w:rPr>
            </w:pPr>
            <w:r>
              <w:rPr>
                <w:rFonts w:hint="eastAsia"/>
                <w:color w:val="000000"/>
                <w:sz w:val="21"/>
                <w:szCs w:val="21"/>
              </w:rPr>
              <w:t xml:space="preserve">标准电源：AC210V~50Hz；</w:t>
            </w:r>
            <w:r/>
          </w:p>
          <w:p>
            <w:pPr>
              <w:pStyle w:val="928"/>
              <w:spacing w:line="400" w:lineRule="atLeast"/>
              <w:rPr>
                <w:rFonts w:hint="eastAsia"/>
                <w:color w:val="000000"/>
                <w:sz w:val="21"/>
                <w:szCs w:val="21"/>
              </w:rPr>
            </w:pPr>
            <w:r>
              <w:rPr>
                <w:rFonts w:hint="eastAsia"/>
                <w:color w:val="000000"/>
                <w:sz w:val="21"/>
                <w:szCs w:val="21"/>
              </w:rPr>
              <w:t xml:space="preserve">产品尺寸：430mm×355mm×140mm；</w:t>
            </w:r>
            <w:r/>
          </w:p>
          <w:p>
            <w:pPr>
              <w:pStyle w:val="928"/>
              <w:spacing w:line="400" w:lineRule="atLeast"/>
              <w:rPr>
                <w:rFonts w:hint="eastAsia"/>
                <w:color w:val="000000"/>
                <w:sz w:val="21"/>
                <w:szCs w:val="21"/>
              </w:rPr>
            </w:pPr>
            <w:r>
              <w:rPr>
                <w:rFonts w:hint="eastAsia"/>
                <w:color w:val="000000"/>
                <w:sz w:val="21"/>
                <w:szCs w:val="21"/>
              </w:rPr>
              <w:t xml:space="preserve">其他：含4个吸顶音响</w:t>
            </w:r>
            <w:r/>
          </w:p>
        </w:tc>
        <w:tc>
          <w:tcPr>
            <w:shd w:val="clear" w:color="auto" w:fill="ffffff"/>
            <w:tcBorders>
              <w:top w:val="none" w:color="000000" w:sz="4" w:space="0"/>
              <w:left w:val="none" w:color="000000" w:sz="4" w:space="0"/>
              <w:bottom w:val="single" w:color="000000" w:sz="4" w:space="0"/>
              <w:right w:val="single" w:color="000000" w:sz="4" w:space="0"/>
            </w:tcBorders>
            <w:tcW w:w="82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shd w:val="clear" w:color="auto" w:fill="ffffff"/>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c>
          <w:tcPr>
            <w:shd w:val="clear" w:color="auto" w:fill="ffffff"/>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　</w:t>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99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c>
          <w:tcPr>
            <w:shd w:val="clear" w:color="auto" w:fill="ffffff"/>
            <w:tcBorders>
              <w:top w:val="none" w:color="000000" w:sz="4" w:space="0"/>
              <w:left w:val="none" w:color="000000" w:sz="4" w:space="0"/>
              <w:bottom w:val="single" w:color="000000" w:sz="4" w:space="0"/>
              <w:right w:val="single" w:color="000000" w:sz="4" w:space="0"/>
            </w:tcBorders>
            <w:tcW w:w="169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音频主机</w:t>
            </w:r>
            <w:r/>
          </w:p>
        </w:tc>
        <w:tc>
          <w:tcPr>
            <w:shd w:val="clear" w:color="auto" w:fill="ffffff"/>
            <w:tcBorders>
              <w:top w:val="none" w:color="000000" w:sz="4" w:space="0"/>
              <w:left w:val="none" w:color="000000" w:sz="4" w:space="0"/>
              <w:bottom w:val="single" w:color="000000" w:sz="4" w:space="0"/>
              <w:right w:val="single" w:color="000000" w:sz="4" w:space="0"/>
            </w:tcBorders>
            <w:tcW w:w="297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输入方式：USB（U盘）、USB Audio、TF卡、蓝牙、DLNA、SAMBA（NAS）；</w:t>
            </w:r>
            <w:r/>
          </w:p>
          <w:p>
            <w:pPr>
              <w:pStyle w:val="928"/>
              <w:spacing w:line="400" w:lineRule="atLeast"/>
              <w:rPr>
                <w:rFonts w:hint="eastAsia"/>
                <w:color w:val="000000"/>
                <w:sz w:val="21"/>
                <w:szCs w:val="21"/>
              </w:rPr>
            </w:pPr>
            <w:r>
              <w:rPr>
                <w:rFonts w:hint="eastAsia"/>
                <w:color w:val="000000"/>
                <w:sz w:val="21"/>
                <w:szCs w:val="21"/>
              </w:rPr>
              <w:t xml:space="preserve">输出方式：光纤、同轴、AES、蓝牙、USB；</w:t>
            </w:r>
            <w:r/>
          </w:p>
          <w:p>
            <w:pPr>
              <w:pStyle w:val="928"/>
              <w:spacing w:line="400" w:lineRule="atLeast"/>
              <w:rPr>
                <w:rFonts w:hint="eastAsia"/>
                <w:color w:val="000000"/>
                <w:sz w:val="21"/>
                <w:szCs w:val="21"/>
              </w:rPr>
            </w:pPr>
            <w:r>
              <w:rPr>
                <w:rFonts w:hint="eastAsia"/>
                <w:color w:val="000000"/>
                <w:sz w:val="21"/>
                <w:szCs w:val="21"/>
              </w:rPr>
              <w:t xml:space="preserve">系统兼容性：windows7/8/10、Mac OS X、Linux；</w:t>
            </w:r>
            <w:r/>
          </w:p>
          <w:p>
            <w:pPr>
              <w:pStyle w:val="928"/>
              <w:spacing w:line="400" w:lineRule="atLeast"/>
              <w:rPr>
                <w:rFonts w:hint="eastAsia"/>
                <w:color w:val="000000"/>
                <w:sz w:val="21"/>
                <w:szCs w:val="21"/>
              </w:rPr>
            </w:pPr>
            <w:r>
              <w:rPr>
                <w:rFonts w:hint="eastAsia"/>
                <w:color w:val="000000"/>
                <w:sz w:val="21"/>
                <w:szCs w:val="21"/>
              </w:rPr>
              <w:t xml:space="preserve">文件系统：支持FAT/FAT32/NTFS；</w:t>
            </w:r>
            <w:r/>
          </w:p>
          <w:p>
            <w:pPr>
              <w:pStyle w:val="928"/>
              <w:spacing w:line="400" w:lineRule="atLeast"/>
              <w:rPr>
                <w:rFonts w:hint="eastAsia"/>
                <w:color w:val="000000"/>
                <w:sz w:val="21"/>
                <w:szCs w:val="21"/>
              </w:rPr>
            </w:pPr>
            <w:r>
              <w:rPr>
                <w:rFonts w:hint="eastAsia"/>
                <w:color w:val="000000"/>
                <w:sz w:val="21"/>
                <w:szCs w:val="21"/>
              </w:rPr>
              <w:t xml:space="preserve">其他：支持门铃、紧急报警、音频等输入。</w:t>
            </w:r>
            <w:r/>
          </w:p>
        </w:tc>
        <w:tc>
          <w:tcPr>
            <w:shd w:val="clear" w:color="auto" w:fill="ffffff"/>
            <w:tcBorders>
              <w:top w:val="none" w:color="000000" w:sz="4" w:space="0"/>
              <w:left w:val="none" w:color="000000" w:sz="4" w:space="0"/>
              <w:bottom w:val="single" w:color="000000" w:sz="4" w:space="0"/>
              <w:right w:val="single" w:color="000000" w:sz="4" w:space="0"/>
            </w:tcBorders>
            <w:tcW w:w="82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shd w:val="clear" w:color="auto" w:fill="ffffff"/>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1000"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t xml:space="preserve">　</w:t>
            </w:r>
            <w:r/>
          </w:p>
        </w:tc>
      </w:tr>
      <w:tr>
        <w:trPr>
          <w:trHeight w:val="503"/>
        </w:trPr>
        <w:tc>
          <w:tcPr>
            <w:shd w:val="clear" w:color="auto" w:fill="ffffff"/>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w:t>
            </w:r>
            <w:r/>
          </w:p>
        </w:tc>
        <w:tc>
          <w:tcPr>
            <w:shd w:val="clear" w:color="auto" w:fill="ffffff"/>
            <w:tcBorders>
              <w:top w:val="single" w:color="000000" w:sz="4" w:space="0"/>
              <w:left w:val="none" w:color="000000" w:sz="4" w:space="0"/>
              <w:bottom w:val="single" w:color="000000" w:sz="4" w:space="0"/>
              <w:right w:val="single" w:color="000000" w:sz="4" w:space="0"/>
            </w:tcBorders>
            <w:tcW w:w="169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4G执法</w:t>
            </w:r>
            <w:r>
              <w:rPr>
                <w:rFonts w:hint="eastAsia"/>
                <w:color w:val="000000"/>
                <w:sz w:val="21"/>
                <w:szCs w:val="21"/>
              </w:rPr>
              <w:t xml:space="preserve">记录</w:t>
            </w:r>
            <w:r/>
          </w:p>
        </w:tc>
        <w:tc>
          <w:tcPr>
            <w:shd w:val="clear" w:color="auto" w:fill="ffffff"/>
            <w:tcBorders>
              <w:top w:val="single" w:color="000000" w:sz="4" w:space="0"/>
              <w:left w:val="none" w:color="000000" w:sz="4" w:space="0"/>
              <w:bottom w:val="single" w:color="000000" w:sz="4" w:space="0"/>
              <w:right w:val="single" w:color="000000" w:sz="4" w:space="0"/>
            </w:tcBorders>
            <w:tcW w:w="297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前后双摄像头：前置摄像头适用于双向视频通话；</w:t>
            </w:r>
            <w:r/>
          </w:p>
          <w:p>
            <w:pPr>
              <w:pStyle w:val="928"/>
              <w:spacing w:line="400" w:lineRule="atLeast"/>
              <w:rPr>
                <w:rFonts w:hint="eastAsia"/>
                <w:color w:val="000000"/>
                <w:sz w:val="21"/>
                <w:szCs w:val="21"/>
              </w:rPr>
            </w:pPr>
            <w:r>
              <w:rPr>
                <w:rFonts w:hint="eastAsia"/>
                <w:color w:val="000000"/>
                <w:sz w:val="21"/>
                <w:szCs w:val="21"/>
              </w:rPr>
              <w:t xml:space="preserve">快速充电功能：在23℃+-2℃环境温度下，标配电源适配器，月2小时可完成充电；</w:t>
            </w:r>
            <w:r/>
          </w:p>
          <w:p>
            <w:pPr>
              <w:pStyle w:val="928"/>
              <w:spacing w:line="400" w:lineRule="atLeast"/>
              <w:rPr>
                <w:rFonts w:hint="eastAsia"/>
                <w:color w:val="000000"/>
                <w:sz w:val="21"/>
                <w:szCs w:val="21"/>
              </w:rPr>
            </w:pPr>
            <w:r>
              <w:rPr>
                <w:rFonts w:hint="eastAsia"/>
                <w:color w:val="000000"/>
                <w:sz w:val="21"/>
                <w:szCs w:val="21"/>
              </w:rPr>
              <w:t xml:space="preserve">显示屏：2.0英寸电容触摸屏;重量：约170g；</w:t>
            </w:r>
            <w:r/>
          </w:p>
          <w:p>
            <w:pPr>
              <w:pStyle w:val="928"/>
              <w:spacing w:line="400" w:lineRule="atLeast"/>
              <w:rPr>
                <w:rFonts w:hint="eastAsia"/>
                <w:color w:val="000000"/>
                <w:sz w:val="21"/>
                <w:szCs w:val="21"/>
              </w:rPr>
            </w:pPr>
            <w:r>
              <w:rPr>
                <w:rFonts w:hint="eastAsia"/>
                <w:color w:val="000000"/>
                <w:sz w:val="21"/>
                <w:szCs w:val="21"/>
              </w:rPr>
              <w:t xml:space="preserve">外形尺寸：约85*60*30（mm）摄影格式：1920*1080/1280*720,MP4;</w:t>
            </w:r>
            <w:r/>
          </w:p>
          <w:p>
            <w:pPr>
              <w:pStyle w:val="928"/>
              <w:spacing w:line="400" w:lineRule="atLeast"/>
              <w:rPr>
                <w:rFonts w:hint="eastAsia"/>
                <w:color w:val="000000"/>
                <w:sz w:val="21"/>
                <w:szCs w:val="21"/>
              </w:rPr>
            </w:pPr>
            <w:r>
              <w:rPr>
                <w:rFonts w:hint="eastAsia"/>
                <w:color w:val="000000"/>
                <w:sz w:val="21"/>
                <w:szCs w:val="21"/>
              </w:rPr>
              <w:t xml:space="preserve">网络类型：4G全网通芯片，支持远程指控；</w:t>
            </w:r>
            <w:r/>
          </w:p>
          <w:p>
            <w:pPr>
              <w:pStyle w:val="928"/>
              <w:spacing w:line="400" w:lineRule="atLeast"/>
              <w:rPr>
                <w:rFonts w:hint="eastAsia"/>
                <w:color w:val="000000"/>
                <w:sz w:val="21"/>
                <w:szCs w:val="21"/>
              </w:rPr>
            </w:pPr>
            <w:r>
              <w:rPr>
                <w:rFonts w:hint="eastAsia"/>
                <w:color w:val="000000"/>
                <w:sz w:val="21"/>
                <w:szCs w:val="21"/>
              </w:rPr>
              <w:t xml:space="preserve">卫星定位：内置定位模块，可通过移动网络实时定位；</w:t>
            </w:r>
            <w:r/>
          </w:p>
          <w:p>
            <w:pPr>
              <w:pStyle w:val="928"/>
              <w:spacing w:line="400" w:lineRule="atLeast"/>
              <w:rPr>
                <w:rFonts w:hint="eastAsia"/>
                <w:color w:val="000000"/>
                <w:sz w:val="21"/>
                <w:szCs w:val="21"/>
              </w:rPr>
            </w:pPr>
            <w:r>
              <w:rPr>
                <w:rFonts w:hint="eastAsia"/>
                <w:color w:val="000000"/>
                <w:sz w:val="21"/>
                <w:szCs w:val="21"/>
              </w:rPr>
              <w:t xml:space="preserve">接口类型：MINI USB接口；</w:t>
            </w:r>
            <w:r/>
          </w:p>
          <w:p>
            <w:pPr>
              <w:pStyle w:val="928"/>
              <w:spacing w:line="400" w:lineRule="atLeast"/>
              <w:rPr>
                <w:rFonts w:hint="eastAsia"/>
                <w:color w:val="000000"/>
                <w:sz w:val="21"/>
                <w:szCs w:val="21"/>
              </w:rPr>
            </w:pPr>
            <w:r>
              <w:rPr>
                <w:rFonts w:hint="eastAsia"/>
                <w:color w:val="000000"/>
                <w:sz w:val="21"/>
                <w:szCs w:val="21"/>
              </w:rPr>
              <w:t xml:space="preserve">存储介质：内置TF卡，标配32G，可扩展；</w:t>
            </w:r>
            <w:r/>
          </w:p>
          <w:p>
            <w:pPr>
              <w:pStyle w:val="928"/>
              <w:spacing w:line="400" w:lineRule="atLeast"/>
              <w:rPr>
                <w:rFonts w:hint="eastAsia"/>
                <w:color w:val="000000"/>
                <w:sz w:val="21"/>
                <w:szCs w:val="21"/>
              </w:rPr>
            </w:pPr>
            <w:r>
              <w:rPr>
                <w:rFonts w:hint="eastAsia"/>
                <w:color w:val="000000"/>
                <w:sz w:val="21"/>
                <w:szCs w:val="21"/>
              </w:rPr>
              <w:t xml:space="preserve">续航时间：连续摄录4H以上；</w:t>
            </w:r>
            <w:r/>
          </w:p>
          <w:p>
            <w:pPr>
              <w:pStyle w:val="928"/>
              <w:spacing w:line="400" w:lineRule="atLeast"/>
              <w:rPr>
                <w:rFonts w:hint="eastAsia"/>
                <w:color w:val="000000"/>
                <w:sz w:val="21"/>
                <w:szCs w:val="21"/>
              </w:rPr>
            </w:pPr>
            <w:r>
              <w:rPr>
                <w:rFonts w:hint="eastAsia"/>
                <w:color w:val="000000"/>
                <w:sz w:val="21"/>
                <w:szCs w:val="21"/>
              </w:rPr>
              <w:t xml:space="preserve">几何失真：符合GA/T947.2-2015要求；</w:t>
            </w:r>
            <w:r/>
          </w:p>
          <w:p>
            <w:pPr>
              <w:pStyle w:val="928"/>
              <w:spacing w:line="400" w:lineRule="atLeast"/>
              <w:rPr>
                <w:rFonts w:hint="eastAsia"/>
                <w:color w:val="000000"/>
                <w:sz w:val="21"/>
                <w:szCs w:val="21"/>
              </w:rPr>
            </w:pPr>
            <w:r>
              <w:rPr>
                <w:rFonts w:hint="eastAsia"/>
                <w:color w:val="000000"/>
                <w:sz w:val="21"/>
                <w:szCs w:val="21"/>
              </w:rPr>
              <w:t xml:space="preserve">红外夜视：符合GA/T947.2-2015要求；</w:t>
            </w:r>
            <w:r/>
          </w:p>
          <w:p>
            <w:pPr>
              <w:pStyle w:val="928"/>
              <w:spacing w:line="400" w:lineRule="atLeast"/>
              <w:rPr>
                <w:rFonts w:hint="eastAsia"/>
                <w:color w:val="000000"/>
                <w:sz w:val="21"/>
                <w:szCs w:val="21"/>
              </w:rPr>
            </w:pPr>
            <w:r>
              <w:rPr>
                <w:rFonts w:hint="eastAsia"/>
                <w:color w:val="000000"/>
                <w:sz w:val="21"/>
                <w:szCs w:val="21"/>
              </w:rPr>
              <w:t xml:space="preserve">WIFI:支持802.11b/g/n/ac;</w:t>
            </w:r>
            <w:r/>
          </w:p>
          <w:p>
            <w:pPr>
              <w:pStyle w:val="928"/>
              <w:spacing w:line="400" w:lineRule="atLeast"/>
              <w:rPr>
                <w:rFonts w:hint="eastAsia"/>
                <w:color w:val="000000"/>
                <w:sz w:val="21"/>
                <w:szCs w:val="21"/>
              </w:rPr>
            </w:pPr>
            <w:r>
              <w:rPr>
                <w:rFonts w:hint="eastAsia"/>
                <w:color w:val="000000"/>
                <w:sz w:val="21"/>
                <w:szCs w:val="21"/>
              </w:rPr>
              <w:t xml:space="preserve">其他：支持一键救援组件。</w:t>
            </w:r>
            <w:r/>
          </w:p>
        </w:tc>
        <w:tc>
          <w:tcPr>
            <w:shd w:val="clear" w:color="auto" w:fill="ffffff"/>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shd w:val="clear" w:color="auto" w:fill="ffffff"/>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928"/>
              <w:ind w:firstLine="480"/>
              <w:spacing w:line="400" w:lineRule="atLeast"/>
              <w:rPr>
                <w:rFonts w:hint="eastAsia"/>
                <w:color w:val="000000"/>
                <w:sz w:val="21"/>
                <w:szCs w:val="21"/>
              </w:rPr>
            </w:pPr>
            <w:r>
              <w:rPr>
                <w:rFonts w:hint="eastAsia"/>
                <w:color w:val="000000"/>
                <w:sz w:val="21"/>
                <w:szCs w:val="21"/>
              </w:rPr>
            </w:r>
            <w:r/>
          </w:p>
        </w:tc>
      </w:tr>
    </w:tbl>
    <w:p>
      <w:pPr>
        <w:pStyle w:val="928"/>
        <w:ind w:firstLine="480"/>
        <w:spacing w:line="400" w:lineRule="atLeast"/>
        <w:rPr>
          <w:rFonts w:hint="eastAsia" w:cs="黑体"/>
          <w:color w:val="000000"/>
        </w:rPr>
      </w:pPr>
      <w:r>
        <w:rPr>
          <w:rFonts w:hint="eastAsia" w:cs="黑体"/>
          <w:color w:val="000000"/>
        </w:rPr>
      </w:r>
      <w:r/>
    </w:p>
    <w:p>
      <w:pPr>
        <w:pStyle w:val="928"/>
        <w:numPr>
          <w:ilvl w:val="2"/>
          <w:numId w:val="64"/>
        </w:numPr>
        <w:ind w:firstLine="422"/>
        <w:spacing w:line="400" w:lineRule="atLeast"/>
        <w:rPr>
          <w:rFonts w:hint="eastAsia"/>
          <w:b/>
          <w:bCs/>
          <w:color w:val="000000"/>
          <w:sz w:val="21"/>
          <w:szCs w:val="21"/>
        </w:rPr>
      </w:pPr>
      <w:r>
        <w:rPr>
          <w:rFonts w:hint="eastAsia"/>
          <w:b/>
          <w:bCs/>
          <w:color w:val="000000"/>
          <w:sz w:val="21"/>
          <w:szCs w:val="21"/>
        </w:rPr>
        <w:t xml:space="preserve">定期维护</w:t>
      </w:r>
      <w:r/>
    </w:p>
    <w:p>
      <w:pPr>
        <w:pStyle w:val="928"/>
        <w:ind w:firstLine="480"/>
        <w:spacing w:line="400" w:lineRule="atLeast"/>
        <w:rPr>
          <w:rFonts w:hint="eastAsia"/>
          <w:color w:val="000000"/>
          <w:sz w:val="21"/>
          <w:szCs w:val="21"/>
        </w:rPr>
      </w:pPr>
      <w:r>
        <w:rPr>
          <w:rFonts w:hint="eastAsia"/>
          <w:color w:val="000000"/>
          <w:sz w:val="21"/>
          <w:szCs w:val="21"/>
        </w:rPr>
        <w:t xml:space="preserve">定期巡检，其中对维保范围内超过质保期并已损坏的设备，中标方负责现场维修，无法当场修复的可协商后更换全新设备，全新更换设备免费保修期不少于12个月且性能型号不低于原设备。所需费用由双方协商解决。</w:t>
      </w:r>
      <w:r/>
    </w:p>
    <w:p>
      <w:pPr>
        <w:pStyle w:val="928"/>
        <w:numPr>
          <w:ilvl w:val="2"/>
          <w:numId w:val="64"/>
        </w:numPr>
        <w:ind w:firstLine="422"/>
        <w:spacing w:line="400" w:lineRule="atLeast"/>
        <w:rPr>
          <w:rFonts w:hint="eastAsia"/>
          <w:b/>
          <w:bCs/>
          <w:color w:val="000000"/>
          <w:sz w:val="21"/>
          <w:szCs w:val="21"/>
        </w:rPr>
      </w:pPr>
      <w:r>
        <w:rPr>
          <w:rFonts w:hint="eastAsia"/>
          <w:b/>
          <w:bCs/>
          <w:color w:val="000000"/>
          <w:sz w:val="21"/>
          <w:szCs w:val="21"/>
        </w:rPr>
        <w:t xml:space="preserve">应急事件等维护内容</w:t>
      </w:r>
      <w:r/>
    </w:p>
    <w:p>
      <w:pPr>
        <w:pStyle w:val="928"/>
        <w:ind w:firstLine="480"/>
        <w:spacing w:line="400" w:lineRule="atLeast"/>
        <w:rPr>
          <w:rFonts w:hint="eastAsia"/>
          <w:color w:val="000000"/>
          <w:sz w:val="21"/>
          <w:szCs w:val="21"/>
        </w:rPr>
      </w:pPr>
      <w:r>
        <w:rPr>
          <w:rFonts w:hint="eastAsia"/>
          <w:color w:val="000000"/>
          <w:sz w:val="21"/>
          <w:szCs w:val="21"/>
        </w:rPr>
        <w:t xml:space="preserve">因应急安保、市政施工、道路重新规划、供电系统改造、路面修补（损坏）等原因引起的设备采购及维护修复工作。其他因公安实际工作变化原因需要迁移、</w:t>
      </w:r>
      <w:r>
        <w:rPr>
          <w:rFonts w:hint="eastAsia"/>
          <w:color w:val="000000"/>
          <w:sz w:val="21"/>
          <w:szCs w:val="21"/>
        </w:rPr>
        <w:t xml:space="preserve">改造的相关维护工作，由乙方承担维护，涉及额外费用双方协商解决。</w:t>
      </w:r>
      <w:r/>
    </w:p>
    <w:p>
      <w:pPr>
        <w:pStyle w:val="928"/>
        <w:numPr>
          <w:ilvl w:val="2"/>
          <w:numId w:val="64"/>
        </w:numPr>
        <w:ind w:firstLine="422"/>
        <w:spacing w:line="400" w:lineRule="atLeast"/>
        <w:rPr>
          <w:rFonts w:hint="eastAsia"/>
          <w:b/>
          <w:bCs/>
          <w:color w:val="000000"/>
          <w:sz w:val="21"/>
          <w:szCs w:val="21"/>
        </w:rPr>
      </w:pPr>
      <w:r>
        <w:rPr>
          <w:rFonts w:hint="eastAsia"/>
          <w:b/>
          <w:bCs/>
          <w:color w:val="000000"/>
          <w:sz w:val="21"/>
          <w:szCs w:val="21"/>
        </w:rPr>
        <w:t xml:space="preserve">前后端设备的现场清洁保养和维护</w:t>
      </w:r>
      <w:r/>
    </w:p>
    <w:tbl>
      <w:tblPr>
        <w:tblW w:w="8957" w:type="dxa"/>
        <w:tblInd w:w="108" w:type="dxa"/>
        <w:tblLayout w:type="fixed"/>
        <w:tblCellMar>
          <w:left w:w="108" w:type="dxa"/>
          <w:top w:w="0" w:type="dxa"/>
          <w:right w:w="108" w:type="dxa"/>
          <w:bottom w:w="0" w:type="dxa"/>
        </w:tblCellMar>
        <w:tblLook w:val="04A0" w:firstRow="1" w:lastRow="0" w:firstColumn="1" w:lastColumn="0" w:noHBand="0" w:noVBand="1"/>
      </w:tblPr>
      <w:tblGrid>
        <w:gridCol w:w="2357"/>
        <w:gridCol w:w="4656"/>
        <w:gridCol w:w="1944"/>
      </w:tblGrid>
      <w:tr>
        <w:trPr>
          <w:trHeight w:val="382"/>
        </w:trPr>
        <w:tc>
          <w:tcPr>
            <w:tcBorders>
              <w:top w:val="single" w:color="000000" w:sz="8" w:space="0"/>
              <w:left w:val="single" w:color="000000" w:sz="8" w:space="0"/>
              <w:bottom w:val="single" w:color="000000" w:sz="8" w:space="0"/>
              <w:right w:val="single" w:color="000000" w:sz="8" w:space="0"/>
            </w:tcBorders>
            <w:tcW w:w="2357" w:type="dxa"/>
            <w:vAlign w:val="bottom"/>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设备名称</w:t>
            </w:r>
            <w:r/>
          </w:p>
        </w:tc>
        <w:tc>
          <w:tcPr>
            <w:tcBorders>
              <w:top w:val="single" w:color="000000" w:sz="8" w:space="0"/>
              <w:left w:val="none" w:color="000000" w:sz="4" w:space="0"/>
              <w:bottom w:val="single" w:color="000000" w:sz="8" w:space="0"/>
              <w:right w:val="single" w:color="000000" w:sz="8" w:space="0"/>
            </w:tcBorders>
            <w:tcW w:w="4656" w:type="dxa"/>
            <w:vAlign w:val="bottom"/>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清洁内容</w:t>
            </w:r>
            <w:r/>
          </w:p>
        </w:tc>
        <w:tc>
          <w:tcPr>
            <w:tcBorders>
              <w:top w:val="single" w:color="000000" w:sz="8" w:space="0"/>
              <w:left w:val="none" w:color="000000" w:sz="4" w:space="0"/>
              <w:bottom w:val="single" w:color="000000" w:sz="8" w:space="0"/>
              <w:right w:val="single" w:color="000000" w:sz="8" w:space="0"/>
            </w:tcBorders>
            <w:tcW w:w="1944" w:type="dxa"/>
            <w:vAlign w:val="bottom"/>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清洁周期</w:t>
            </w:r>
            <w:r/>
          </w:p>
        </w:tc>
      </w:tr>
      <w:tr>
        <w:trPr>
          <w:trHeight w:val="668"/>
        </w:trPr>
        <w:tc>
          <w:tcPr>
            <w:tcBorders>
              <w:top w:val="single" w:color="000000" w:sz="8" w:space="0"/>
              <w:left w:val="single" w:color="000000" w:sz="8" w:space="0"/>
              <w:bottom w:val="single" w:color="000000" w:sz="8" w:space="0"/>
              <w:right w:val="single" w:color="000000" w:sz="8" w:space="0"/>
            </w:tcBorders>
            <w:tcW w:w="235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前端设备</w:t>
            </w:r>
            <w:r/>
          </w:p>
        </w:tc>
        <w:tc>
          <w:tcPr>
            <w:tcBorders>
              <w:top w:val="single" w:color="000000" w:sz="8" w:space="0"/>
              <w:left w:val="none" w:color="000000" w:sz="4" w:space="0"/>
              <w:bottom w:val="single" w:color="000000" w:sz="8" w:space="0"/>
              <w:right w:val="single" w:color="000000" w:sz="8" w:space="0"/>
            </w:tcBorders>
            <w:tcW w:w="465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前端控制箱内的清洁除尘及故障检查；</w:t>
              <w:br w:type="textWrapping" w:clear="all"/>
              <w:t xml:space="preserve">光端机的保养、清洁及故障检查；</w:t>
              <w:br w:type="textWrapping" w:clear="all"/>
              <w:t xml:space="preserve">检测器的保养，清洁及故障检查。</w:t>
            </w:r>
            <w:r/>
          </w:p>
        </w:tc>
        <w:tc>
          <w:tcPr>
            <w:tcBorders>
              <w:top w:val="single" w:color="000000" w:sz="8" w:space="0"/>
              <w:left w:val="none" w:color="000000" w:sz="4" w:space="0"/>
              <w:bottom w:val="single" w:color="000000" w:sz="8" w:space="0"/>
              <w:right w:val="single" w:color="000000" w:sz="8" w:space="0"/>
            </w:tcBorders>
            <w:tcW w:w="1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1次/季度</w:t>
            </w:r>
            <w:r/>
          </w:p>
        </w:tc>
      </w:tr>
      <w:tr>
        <w:trPr>
          <w:trHeight w:val="668"/>
        </w:trPr>
        <w:tc>
          <w:tcPr>
            <w:tcBorders>
              <w:top w:val="single" w:color="000000" w:sz="8" w:space="0"/>
              <w:left w:val="single" w:color="000000" w:sz="8" w:space="0"/>
              <w:bottom w:val="single" w:color="000000" w:sz="8" w:space="0"/>
              <w:right w:val="single" w:color="000000" w:sz="8" w:space="0"/>
            </w:tcBorders>
            <w:tcW w:w="2357"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中心设备</w:t>
            </w:r>
            <w:r/>
          </w:p>
        </w:tc>
        <w:tc>
          <w:tcPr>
            <w:tcBorders>
              <w:top w:val="single" w:color="000000" w:sz="8" w:space="0"/>
              <w:left w:val="none" w:color="000000" w:sz="4" w:space="0"/>
              <w:bottom w:val="single" w:color="000000" w:sz="8" w:space="0"/>
              <w:right w:val="single" w:color="000000" w:sz="8" w:space="0"/>
            </w:tcBorders>
            <w:tcW w:w="465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机架除尘、工控机、服务器、显示设备屏幕的保养、清洁及故障检查；</w:t>
              <w:br w:type="textWrapping" w:clear="all"/>
              <w:t xml:space="preserve">控制柜的保养、清洁及故障检查；</w:t>
            </w:r>
            <w:r/>
          </w:p>
        </w:tc>
        <w:tc>
          <w:tcPr>
            <w:tcBorders>
              <w:top w:val="single" w:color="000000" w:sz="8" w:space="0"/>
              <w:left w:val="none" w:color="000000" w:sz="4" w:space="0"/>
              <w:bottom w:val="single" w:color="000000" w:sz="8" w:space="0"/>
              <w:right w:val="single" w:color="000000" w:sz="8" w:space="0"/>
            </w:tcBorders>
            <w:tcW w:w="1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1次/季度</w:t>
            </w:r>
            <w:r/>
          </w:p>
        </w:tc>
      </w:tr>
    </w:tbl>
    <w:p>
      <w:pPr>
        <w:pStyle w:val="928"/>
        <w:numPr>
          <w:ilvl w:val="2"/>
          <w:numId w:val="64"/>
        </w:numPr>
        <w:ind w:firstLine="422"/>
        <w:spacing w:line="360" w:lineRule="auto"/>
        <w:rPr>
          <w:rFonts w:hint="eastAsia" w:cs="黑体"/>
          <w:b/>
          <w:bCs/>
          <w:color w:val="000000"/>
          <w:sz w:val="21"/>
          <w:szCs w:val="21"/>
        </w:rPr>
      </w:pPr>
      <w:r>
        <w:rPr>
          <w:rFonts w:hint="eastAsia"/>
          <w:b/>
          <w:bCs/>
          <w:color w:val="000000"/>
          <w:sz w:val="21"/>
          <w:szCs w:val="21"/>
        </w:rPr>
        <w:t xml:space="preserve">系统中线路损坏的修复</w:t>
      </w:r>
      <w:r>
        <w:rPr>
          <w:rFonts w:hint="eastAsia" w:cs="黑体"/>
          <w:b/>
          <w:bCs/>
          <w:color w:val="000000"/>
          <w:sz w:val="21"/>
          <w:szCs w:val="21"/>
        </w:rPr>
      </w:r>
      <w:r/>
    </w:p>
    <w:p>
      <w:pPr>
        <w:pStyle w:val="928"/>
        <w:ind w:firstLine="420"/>
        <w:spacing w:line="360" w:lineRule="auto"/>
        <w:rPr>
          <w:rFonts w:hint="eastAsia"/>
          <w:color w:val="000000"/>
          <w:sz w:val="21"/>
          <w:szCs w:val="21"/>
        </w:rPr>
      </w:pPr>
      <w:r>
        <w:rPr>
          <w:rFonts w:hint="eastAsia"/>
          <w:color w:val="000000"/>
          <w:sz w:val="21"/>
          <w:szCs w:val="21"/>
        </w:rPr>
        <w:t xml:space="preserve">包括电源线、视频线、控制线、网线等的损坏，以及通讯井的保养和损坏修复，对于因市政工程、拆迁等因素造成线路损坏的，由客户方负责协调，中标方配合进行修复；对于传输光纤问题，中标方根据光纤标号和联系电话联系运行商，运行商负责修复。如运行商修复有问题的由客户方负责协调。</w:t>
      </w:r>
      <w:r/>
    </w:p>
    <w:p>
      <w:pPr>
        <w:pStyle w:val="928"/>
        <w:numPr>
          <w:ilvl w:val="2"/>
          <w:numId w:val="64"/>
        </w:numPr>
        <w:ind w:firstLine="422"/>
        <w:spacing w:line="360" w:lineRule="auto"/>
        <w:rPr>
          <w:rFonts w:hint="eastAsia"/>
          <w:b/>
          <w:bCs/>
          <w:color w:val="000000"/>
          <w:sz w:val="21"/>
          <w:szCs w:val="21"/>
        </w:rPr>
      </w:pPr>
      <w:r>
        <w:rPr>
          <w:rFonts w:hint="eastAsia"/>
          <w:b/>
          <w:bCs/>
          <w:color w:val="000000"/>
          <w:sz w:val="21"/>
          <w:szCs w:val="21"/>
        </w:rPr>
        <w:t xml:space="preserve">其他说明</w:t>
      </w:r>
      <w:r/>
    </w:p>
    <w:p>
      <w:pPr>
        <w:pStyle w:val="928"/>
        <w:ind w:firstLine="480"/>
        <w:spacing w:line="360" w:lineRule="auto"/>
        <w:rPr>
          <w:rFonts w:hint="eastAsia"/>
          <w:color w:val="000000"/>
          <w:sz w:val="21"/>
          <w:szCs w:val="21"/>
        </w:rPr>
      </w:pPr>
      <w:r>
        <w:rPr>
          <w:rFonts w:hint="eastAsia"/>
          <w:color w:val="000000"/>
          <w:sz w:val="21"/>
          <w:szCs w:val="21"/>
        </w:rPr>
        <w:t xml:space="preserve">1）因应急安保、市政施工、道路重新规划、路面修补（损坏）等原因引起的设备采购及维护修复工作。费用由双方协商确定。</w:t>
      </w:r>
      <w:r/>
    </w:p>
    <w:p>
      <w:pPr>
        <w:pStyle w:val="928"/>
        <w:ind w:firstLine="480"/>
        <w:spacing w:line="360" w:lineRule="auto"/>
        <w:rPr>
          <w:rFonts w:hint="eastAsia"/>
          <w:color w:val="000000"/>
          <w:sz w:val="21"/>
          <w:szCs w:val="21"/>
        </w:rPr>
      </w:pPr>
      <w:r>
        <w:rPr>
          <w:rFonts w:hint="eastAsia"/>
          <w:color w:val="000000"/>
          <w:sz w:val="21"/>
          <w:szCs w:val="21"/>
        </w:rPr>
        <w:t xml:space="preserve">2）因公安实际工作变化原因需要迁移、改造相关维护工作，费用双方协商解决。</w:t>
      </w:r>
      <w:r/>
    </w:p>
    <w:p>
      <w:pPr>
        <w:pStyle w:val="930"/>
        <w:numPr>
          <w:ilvl w:val="1"/>
          <w:numId w:val="45"/>
        </w:numPr>
        <w:spacing w:before="0" w:after="0" w:line="360" w:lineRule="auto"/>
        <w:tabs>
          <w:tab w:val="left" w:pos="567" w:leader="none"/>
          <w:tab w:val="left" w:pos="576" w:leader="none"/>
        </w:tabs>
        <w:rPr>
          <w:rFonts w:hint="eastAsia" w:ascii="宋体" w:hAnsi="宋体" w:eastAsia="宋体"/>
          <w:color w:val="000000"/>
          <w:sz w:val="21"/>
          <w:szCs w:val="21"/>
        </w:rPr>
      </w:pPr>
      <w:r>
        <w:rPr>
          <w:rFonts w:hint="eastAsia" w:ascii="宋体" w:hAnsi="宋体" w:eastAsia="宋体"/>
          <w:color w:val="000000"/>
          <w:sz w:val="21"/>
          <w:szCs w:val="21"/>
        </w:rPr>
        <w:t xml:space="preserve">环太智能感知防控系统</w:t>
      </w:r>
      <w:r/>
    </w:p>
    <w:p>
      <w:pPr>
        <w:pStyle w:val="928"/>
        <w:numPr>
          <w:ilvl w:val="1"/>
          <w:numId w:val="68"/>
        </w:numPr>
        <w:ind w:firstLine="422"/>
        <w:spacing w:line="360" w:lineRule="auto"/>
        <w:rPr>
          <w:rFonts w:hint="eastAsia"/>
          <w:b/>
          <w:bCs/>
          <w:color w:val="000000"/>
          <w:sz w:val="21"/>
          <w:szCs w:val="21"/>
        </w:rPr>
      </w:pPr>
      <w:r>
        <w:rPr>
          <w:rFonts w:hint="eastAsia"/>
          <w:b/>
          <w:bCs/>
          <w:color w:val="000000"/>
          <w:sz w:val="21"/>
          <w:szCs w:val="21"/>
        </w:rPr>
        <w:t xml:space="preserve">软件运维内容</w:t>
      </w:r>
      <w:r/>
    </w:p>
    <w:p>
      <w:pPr>
        <w:pStyle w:val="928"/>
        <w:numPr>
          <w:ilvl w:val="2"/>
          <w:numId w:val="68"/>
        </w:numPr>
        <w:ind w:firstLine="422"/>
        <w:spacing w:line="360" w:lineRule="auto"/>
        <w:rPr>
          <w:rFonts w:hint="eastAsia"/>
          <w:b/>
          <w:bCs/>
          <w:color w:val="000000"/>
          <w:sz w:val="21"/>
          <w:szCs w:val="21"/>
        </w:rPr>
      </w:pPr>
      <w:r>
        <w:rPr>
          <w:rFonts w:hint="eastAsia"/>
          <w:b/>
          <w:bCs/>
          <w:color w:val="000000"/>
          <w:sz w:val="21"/>
          <w:szCs w:val="21"/>
        </w:rPr>
        <w:t xml:space="preserve">系统监测工作内容</w:t>
      </w:r>
      <w:r/>
    </w:p>
    <w:p>
      <w:pPr>
        <w:pStyle w:val="928"/>
        <w:numPr>
          <w:ilvl w:val="0"/>
          <w:numId w:val="69"/>
        </w:numPr>
        <w:ind w:left="0" w:firstLine="420"/>
        <w:spacing w:line="360" w:lineRule="auto"/>
        <w:rPr>
          <w:rFonts w:hint="eastAsia"/>
          <w:color w:val="000000"/>
          <w:sz w:val="21"/>
          <w:szCs w:val="21"/>
        </w:rPr>
      </w:pPr>
      <w:r>
        <w:rPr>
          <w:rFonts w:hint="eastAsia"/>
          <w:color w:val="000000"/>
          <w:sz w:val="21"/>
          <w:szCs w:val="21"/>
        </w:rPr>
        <w:t xml:space="preserve">系统运行状态监测，系统是本项目的核心，需要实时监测和保障。</w:t>
      </w:r>
      <w:r/>
    </w:p>
    <w:p>
      <w:pPr>
        <w:pStyle w:val="928"/>
        <w:numPr>
          <w:ilvl w:val="0"/>
          <w:numId w:val="69"/>
        </w:numPr>
        <w:ind w:left="0" w:firstLine="420"/>
        <w:spacing w:line="360" w:lineRule="auto"/>
        <w:rPr>
          <w:rFonts w:hint="eastAsia"/>
          <w:color w:val="000000"/>
          <w:sz w:val="21"/>
          <w:szCs w:val="21"/>
        </w:rPr>
      </w:pPr>
      <w:r>
        <w:rPr>
          <w:rFonts w:hint="eastAsia"/>
          <w:color w:val="000000"/>
          <w:sz w:val="21"/>
          <w:szCs w:val="21"/>
        </w:rPr>
        <w:t xml:space="preserve">系统各项服务运行状态监测，包括地名地址定位服务、融合语</w:t>
      </w:r>
      <w:r>
        <w:rPr>
          <w:rFonts w:hint="eastAsia"/>
          <w:color w:val="000000"/>
          <w:sz w:val="21"/>
          <w:szCs w:val="21"/>
        </w:rPr>
        <w:t xml:space="preserve">义定位服务、纠错反馈服务等。</w:t>
      </w:r>
      <w:r/>
    </w:p>
    <w:p>
      <w:pPr>
        <w:pStyle w:val="928"/>
        <w:numPr>
          <w:ilvl w:val="0"/>
          <w:numId w:val="69"/>
        </w:numPr>
        <w:ind w:left="0" w:firstLine="420"/>
        <w:spacing w:line="360" w:lineRule="auto"/>
        <w:rPr>
          <w:rFonts w:hint="eastAsia"/>
          <w:color w:val="000000"/>
          <w:sz w:val="21"/>
          <w:szCs w:val="21"/>
        </w:rPr>
      </w:pPr>
      <w:r>
        <w:rPr>
          <w:rFonts w:hint="eastAsia"/>
          <w:color w:val="000000"/>
          <w:sz w:val="21"/>
          <w:szCs w:val="21"/>
        </w:rPr>
        <w:t xml:space="preserve">应用服务器、数据库服务器运行状态监测，包含CPU、内存、存储空间、数据库表空间等；</w:t>
      </w:r>
      <w:r/>
    </w:p>
    <w:p>
      <w:pPr>
        <w:pStyle w:val="928"/>
        <w:numPr>
          <w:ilvl w:val="2"/>
          <w:numId w:val="68"/>
        </w:numPr>
        <w:ind w:firstLine="422"/>
        <w:spacing w:line="360" w:lineRule="auto"/>
        <w:rPr>
          <w:rFonts w:hint="eastAsia"/>
          <w:b/>
          <w:bCs/>
          <w:color w:val="000000"/>
          <w:sz w:val="21"/>
          <w:szCs w:val="21"/>
        </w:rPr>
      </w:pPr>
      <w:r>
        <w:rPr>
          <w:rFonts w:hint="eastAsia"/>
          <w:b/>
          <w:bCs/>
          <w:color w:val="000000"/>
          <w:sz w:val="21"/>
          <w:szCs w:val="21"/>
        </w:rPr>
        <w:t xml:space="preserve">系统可用性保障</w:t>
      </w:r>
      <w:r/>
    </w:p>
    <w:p>
      <w:pPr>
        <w:pStyle w:val="928"/>
        <w:ind w:firstLine="420"/>
        <w:spacing w:line="360" w:lineRule="auto"/>
        <w:rPr>
          <w:rFonts w:hint="eastAsia"/>
          <w:color w:val="000000"/>
          <w:sz w:val="21"/>
          <w:szCs w:val="21"/>
        </w:rPr>
      </w:pPr>
      <w:r>
        <w:rPr>
          <w:rFonts w:hint="eastAsia"/>
          <w:color w:val="000000"/>
          <w:sz w:val="21"/>
          <w:szCs w:val="21"/>
        </w:rPr>
        <w:t xml:space="preserve">为保障系统各项功能正常使用，需要不定期检查各服务器运行性能，定期提供检查报告，发现问题及时处理。</w:t>
      </w:r>
      <w:r/>
    </w:p>
    <w:p>
      <w:pPr>
        <w:pStyle w:val="928"/>
        <w:numPr>
          <w:ilvl w:val="0"/>
          <w:numId w:val="70"/>
        </w:numPr>
        <w:ind w:left="0" w:firstLine="420"/>
        <w:spacing w:line="360" w:lineRule="auto"/>
        <w:rPr>
          <w:rFonts w:hint="eastAsia"/>
          <w:color w:val="000000"/>
          <w:sz w:val="21"/>
          <w:szCs w:val="21"/>
        </w:rPr>
      </w:pPr>
      <w:r>
        <w:rPr>
          <w:rFonts w:hint="eastAsia"/>
          <w:color w:val="000000"/>
          <w:sz w:val="21"/>
          <w:szCs w:val="21"/>
        </w:rPr>
        <w:t xml:space="preserve">应用服务器定期巡检</w:t>
      </w:r>
      <w:r/>
    </w:p>
    <w:p>
      <w:pPr>
        <w:pStyle w:val="928"/>
        <w:ind w:firstLine="420"/>
        <w:spacing w:line="360" w:lineRule="auto"/>
        <w:rPr>
          <w:rFonts w:hint="eastAsia"/>
          <w:color w:val="000000"/>
          <w:sz w:val="21"/>
          <w:szCs w:val="21"/>
        </w:rPr>
      </w:pPr>
      <w:r>
        <w:rPr>
          <w:rFonts w:hint="eastAsia"/>
          <w:color w:val="000000"/>
          <w:sz w:val="21"/>
          <w:szCs w:val="21"/>
        </w:rPr>
        <w:t xml:space="preserve">按照时间维度对应用服务器各项性能进行巡检。</w:t>
      </w:r>
      <w:r/>
    </w:p>
    <w:p>
      <w:pPr>
        <w:pStyle w:val="928"/>
        <w:numPr>
          <w:ilvl w:val="0"/>
          <w:numId w:val="70"/>
        </w:numPr>
        <w:ind w:left="0" w:firstLine="420"/>
        <w:spacing w:line="360" w:lineRule="auto"/>
        <w:rPr>
          <w:rFonts w:hint="eastAsia"/>
          <w:color w:val="000000"/>
          <w:sz w:val="21"/>
          <w:szCs w:val="21"/>
        </w:rPr>
      </w:pPr>
      <w:r>
        <w:rPr>
          <w:rFonts w:hint="eastAsia"/>
          <w:color w:val="000000"/>
          <w:sz w:val="21"/>
          <w:szCs w:val="21"/>
        </w:rPr>
        <w:t xml:space="preserve">数据库服务器定期巡检</w:t>
      </w:r>
      <w:r/>
    </w:p>
    <w:p>
      <w:pPr>
        <w:pStyle w:val="928"/>
        <w:ind w:firstLine="420"/>
        <w:spacing w:line="360" w:lineRule="auto"/>
        <w:rPr>
          <w:rFonts w:hint="eastAsia"/>
          <w:color w:val="000000"/>
          <w:sz w:val="21"/>
          <w:szCs w:val="21"/>
        </w:rPr>
      </w:pPr>
      <w:r>
        <w:rPr>
          <w:rFonts w:hint="eastAsia"/>
          <w:color w:val="000000"/>
          <w:sz w:val="21"/>
          <w:szCs w:val="21"/>
        </w:rPr>
        <w:t xml:space="preserve">按照时间维度对数据库服务器各项性能进行巡检。</w:t>
      </w:r>
      <w:r/>
    </w:p>
    <w:p>
      <w:pPr>
        <w:pStyle w:val="928"/>
        <w:numPr>
          <w:ilvl w:val="2"/>
          <w:numId w:val="68"/>
        </w:numPr>
        <w:ind w:firstLine="422"/>
        <w:spacing w:line="360" w:lineRule="auto"/>
        <w:rPr>
          <w:rFonts w:hint="eastAsia"/>
          <w:b/>
          <w:bCs/>
          <w:color w:val="000000"/>
          <w:sz w:val="21"/>
          <w:szCs w:val="21"/>
        </w:rPr>
      </w:pPr>
      <w:r>
        <w:rPr>
          <w:rFonts w:hint="eastAsia"/>
          <w:b/>
          <w:bCs/>
          <w:color w:val="000000"/>
          <w:sz w:val="21"/>
          <w:szCs w:val="21"/>
        </w:rPr>
        <w:t xml:space="preserve">日常运维支撑服务</w:t>
      </w:r>
      <w:r/>
    </w:p>
    <w:p>
      <w:pPr>
        <w:pStyle w:val="928"/>
        <w:ind w:firstLine="480"/>
        <w:spacing w:line="360" w:lineRule="auto"/>
        <w:rPr>
          <w:rFonts w:hint="eastAsia"/>
          <w:color w:val="000000"/>
          <w:sz w:val="21"/>
          <w:szCs w:val="21"/>
        </w:rPr>
      </w:pPr>
      <w:r>
        <w:rPr>
          <w:rFonts w:hint="eastAsia"/>
          <w:color w:val="000000"/>
          <w:sz w:val="21"/>
          <w:szCs w:val="21"/>
        </w:rPr>
        <w:t xml:space="preserve">运维保障团队需要及时处理系统使用过程中遇到的问题。</w:t>
      </w:r>
      <w:r/>
    </w:p>
    <w:p>
      <w:pPr>
        <w:pStyle w:val="928"/>
        <w:numPr>
          <w:ilvl w:val="0"/>
          <w:numId w:val="71"/>
        </w:numPr>
        <w:ind w:left="0" w:firstLine="420"/>
        <w:spacing w:line="360" w:lineRule="auto"/>
        <w:rPr>
          <w:rFonts w:hint="eastAsia"/>
          <w:color w:val="000000"/>
          <w:sz w:val="21"/>
          <w:szCs w:val="21"/>
        </w:rPr>
      </w:pPr>
      <w:r>
        <w:rPr>
          <w:rFonts w:hint="eastAsia"/>
          <w:color w:val="000000"/>
          <w:sz w:val="21"/>
          <w:szCs w:val="21"/>
        </w:rPr>
        <w:t xml:space="preserve">微信运维服务群</w:t>
      </w:r>
      <w:r/>
    </w:p>
    <w:p>
      <w:pPr>
        <w:pStyle w:val="928"/>
        <w:ind w:firstLine="420"/>
        <w:spacing w:line="360" w:lineRule="auto"/>
        <w:rPr>
          <w:rFonts w:hint="eastAsia"/>
          <w:color w:val="000000"/>
          <w:sz w:val="21"/>
          <w:szCs w:val="21"/>
        </w:rPr>
      </w:pPr>
      <w:r>
        <w:rPr>
          <w:rFonts w:hint="eastAsia"/>
          <w:color w:val="000000"/>
          <w:sz w:val="21"/>
          <w:szCs w:val="21"/>
        </w:rPr>
        <w:t xml:space="preserve">建立微信支撑服务群，各部门或系统管理部门对接人在使用过程中遇到的问题可及时反馈在群里，服务保障人员看到后第一时间回复，并安排人员处理。</w:t>
      </w:r>
      <w:r/>
    </w:p>
    <w:p>
      <w:pPr>
        <w:pStyle w:val="928"/>
        <w:numPr>
          <w:ilvl w:val="0"/>
          <w:numId w:val="71"/>
        </w:numPr>
        <w:ind w:left="0" w:firstLine="420"/>
        <w:spacing w:line="360" w:lineRule="auto"/>
        <w:rPr>
          <w:rFonts w:hint="eastAsia"/>
          <w:color w:val="000000"/>
          <w:sz w:val="21"/>
          <w:szCs w:val="21"/>
        </w:rPr>
      </w:pPr>
      <w:r>
        <w:rPr>
          <w:rFonts w:hint="eastAsia"/>
          <w:color w:val="000000"/>
          <w:sz w:val="21"/>
          <w:szCs w:val="21"/>
        </w:rPr>
        <w:t xml:space="preserve">运维支撑电话</w:t>
      </w:r>
      <w:r/>
    </w:p>
    <w:p>
      <w:pPr>
        <w:pStyle w:val="928"/>
        <w:ind w:firstLine="420"/>
        <w:spacing w:line="360" w:lineRule="auto"/>
        <w:rPr>
          <w:rFonts w:hint="eastAsia"/>
          <w:color w:val="000000"/>
          <w:sz w:val="21"/>
          <w:szCs w:val="21"/>
        </w:rPr>
      </w:pPr>
      <w:r>
        <w:rPr>
          <w:rFonts w:hint="eastAsia"/>
          <w:color w:val="000000"/>
          <w:sz w:val="21"/>
          <w:szCs w:val="21"/>
        </w:rPr>
        <w:t xml:space="preserve">运维支撑单位向各使用单位提供维护电话，如系统在使用过程中出现问题，可及时联系电话反馈问题，运维团队收到问题后需第一时间处理。</w:t>
      </w:r>
      <w:r/>
    </w:p>
    <w:p>
      <w:pPr>
        <w:pStyle w:val="928"/>
        <w:numPr>
          <w:ilvl w:val="2"/>
          <w:numId w:val="68"/>
        </w:numPr>
        <w:ind w:firstLine="422"/>
        <w:spacing w:line="360" w:lineRule="auto"/>
        <w:rPr>
          <w:rFonts w:hint="eastAsia"/>
          <w:b/>
          <w:bCs/>
          <w:color w:val="000000"/>
          <w:sz w:val="21"/>
          <w:szCs w:val="21"/>
        </w:rPr>
      </w:pPr>
      <w:r>
        <w:rPr>
          <w:rFonts w:hint="eastAsia"/>
          <w:b/>
          <w:bCs/>
          <w:color w:val="000000"/>
          <w:sz w:val="21"/>
          <w:szCs w:val="21"/>
        </w:rPr>
        <w:t xml:space="preserve">特殊时段保障</w:t>
      </w:r>
      <w:r/>
    </w:p>
    <w:p>
      <w:pPr>
        <w:pStyle w:val="928"/>
        <w:ind w:firstLine="480"/>
        <w:spacing w:line="360" w:lineRule="auto"/>
        <w:rPr>
          <w:rFonts w:hint="eastAsia"/>
          <w:color w:val="000000"/>
          <w:sz w:val="21"/>
          <w:szCs w:val="21"/>
        </w:rPr>
      </w:pPr>
      <w:r>
        <w:rPr>
          <w:rFonts w:hint="eastAsia"/>
          <w:color w:val="000000"/>
          <w:sz w:val="21"/>
          <w:szCs w:val="21"/>
        </w:rPr>
        <w:t xml:space="preserve">特殊保障期间，要实时确保各项运维方式畅通，包括热线电话，电子邮件（7×24），传真等方式；在系统运行中，如果出现故障，运维团队需要在服务响应时限要求内给出解决方案，对于那些无法通过电话指导等方式解决的问题和系统故障，运维人员在向负责人汇报后，负责人根据问题和故障的种类及情况，安排相应的专</w:t>
      </w:r>
      <w:r>
        <w:rPr>
          <w:rFonts w:hint="eastAsia"/>
          <w:color w:val="000000"/>
          <w:sz w:val="21"/>
          <w:szCs w:val="21"/>
        </w:rPr>
        <w:t xml:space="preserve">业技术工程师到现场排除故障、解决问题。</w:t>
      </w:r>
      <w:r/>
    </w:p>
    <w:p>
      <w:pPr>
        <w:pStyle w:val="928"/>
        <w:ind w:firstLine="480"/>
        <w:spacing w:line="360" w:lineRule="auto"/>
        <w:rPr>
          <w:rFonts w:hint="eastAsia"/>
          <w:color w:val="000000"/>
          <w:sz w:val="21"/>
          <w:szCs w:val="21"/>
        </w:rPr>
      </w:pPr>
      <w:r>
        <w:rPr>
          <w:rFonts w:hint="eastAsia"/>
          <w:color w:val="000000"/>
          <w:sz w:val="21"/>
          <w:szCs w:val="21"/>
        </w:rPr>
        <w:t xml:space="preserve">运行维护期内，运维人员发现问题进行记录，及时汇报运维负责人和相关领导，共同确定是否是系统缺陷，一旦确定是缺陷，根据其严重程度运维团队及时作出响应处置机制。必要时给出相应备选方案确保系统能够正常工作，并且详细记录故障原因及排除方法，维修完毕移交给业主方。</w:t>
      </w:r>
      <w:r/>
    </w:p>
    <w:p>
      <w:pPr>
        <w:pStyle w:val="928"/>
        <w:ind w:firstLine="480"/>
        <w:spacing w:line="360" w:lineRule="auto"/>
        <w:rPr>
          <w:rFonts w:hint="eastAsia"/>
          <w:color w:val="000000"/>
          <w:sz w:val="21"/>
          <w:szCs w:val="21"/>
        </w:rPr>
      </w:pPr>
      <w:r>
        <w:rPr>
          <w:rFonts w:hint="eastAsia"/>
          <w:color w:val="000000"/>
          <w:sz w:val="21"/>
          <w:szCs w:val="21"/>
        </w:rPr>
        <w:t xml:space="preserve">重大活动期间提供1名以上技术人员专项保障，并制定系统保障方案和故障应急处置预案，保障活动的不间断正常进行。重要活动以市局通知为准。</w:t>
      </w:r>
      <w:r/>
    </w:p>
    <w:p>
      <w:pPr>
        <w:pStyle w:val="928"/>
        <w:ind w:firstLine="480"/>
        <w:spacing w:line="360" w:lineRule="auto"/>
        <w:rPr>
          <w:rFonts w:hint="eastAsia"/>
          <w:color w:val="000000"/>
          <w:sz w:val="21"/>
          <w:szCs w:val="21"/>
        </w:rPr>
      </w:pPr>
      <w:r>
        <w:rPr>
          <w:rFonts w:hint="eastAsia"/>
          <w:color w:val="000000"/>
          <w:sz w:val="21"/>
          <w:szCs w:val="21"/>
        </w:rPr>
        <w:t xml:space="preserve">重大活动开展前，需完成项目组成员的职责分配。</w:t>
      </w:r>
      <w:r/>
    </w:p>
    <w:p>
      <w:pPr>
        <w:pStyle w:val="928"/>
        <w:ind w:firstLine="480"/>
        <w:spacing w:line="360" w:lineRule="auto"/>
        <w:rPr>
          <w:rFonts w:hint="eastAsia"/>
          <w:color w:val="000000"/>
          <w:sz w:val="21"/>
          <w:szCs w:val="21"/>
        </w:rPr>
      </w:pPr>
      <w:r>
        <w:rPr>
          <w:rFonts w:hint="eastAsia"/>
          <w:color w:val="000000"/>
          <w:sz w:val="21"/>
          <w:szCs w:val="21"/>
        </w:rPr>
        <w:t xml:space="preserve">重大活动期间，项目组成员需保证多种通讯方式24小时畅通。</w:t>
      </w:r>
      <w:r/>
    </w:p>
    <w:p>
      <w:pPr>
        <w:pStyle w:val="928"/>
        <w:ind w:firstLine="480"/>
        <w:spacing w:line="360" w:lineRule="auto"/>
        <w:rPr>
          <w:rFonts w:hint="eastAsia"/>
          <w:color w:val="000000"/>
          <w:sz w:val="21"/>
          <w:szCs w:val="21"/>
        </w:rPr>
      </w:pPr>
      <w:r>
        <w:rPr>
          <w:rFonts w:hint="eastAsia"/>
          <w:color w:val="000000"/>
          <w:sz w:val="21"/>
          <w:szCs w:val="21"/>
        </w:rPr>
        <w:t xml:space="preserve">重大活动期间，对系统进行实时监测，保证系统正常使用。</w:t>
      </w:r>
      <w:r/>
    </w:p>
    <w:p>
      <w:pPr>
        <w:pStyle w:val="928"/>
        <w:numPr>
          <w:ilvl w:val="2"/>
          <w:numId w:val="68"/>
        </w:numPr>
        <w:ind w:firstLine="422"/>
        <w:spacing w:line="360" w:lineRule="auto"/>
        <w:rPr>
          <w:rFonts w:hint="eastAsia"/>
          <w:b/>
          <w:bCs/>
          <w:color w:val="000000"/>
          <w:sz w:val="21"/>
          <w:szCs w:val="21"/>
        </w:rPr>
      </w:pPr>
      <w:r>
        <w:rPr>
          <w:rFonts w:hint="eastAsia"/>
          <w:b/>
          <w:bCs/>
          <w:color w:val="000000"/>
          <w:sz w:val="21"/>
          <w:szCs w:val="21"/>
        </w:rPr>
        <w:t xml:space="preserve">应急服务响应措施</w:t>
      </w:r>
      <w:r/>
    </w:p>
    <w:p>
      <w:pPr>
        <w:pStyle w:val="928"/>
        <w:ind w:firstLine="480"/>
        <w:spacing w:line="360" w:lineRule="auto"/>
        <w:rPr>
          <w:rFonts w:hint="eastAsia"/>
          <w:color w:val="000000"/>
          <w:sz w:val="21"/>
          <w:szCs w:val="21"/>
        </w:rPr>
      </w:pPr>
      <w:r>
        <w:rPr>
          <w:rFonts w:hint="eastAsia"/>
          <w:color w:val="000000"/>
          <w:sz w:val="21"/>
          <w:szCs w:val="21"/>
        </w:rPr>
        <w:t xml:space="preserve">在服务维护过程中，意外情况难以完全避免。尤其是在节假日或重大活动期间，如遇突发的紧急情况，运维团队需要对项目实施的突发风险进行详细分析，并且针对各类突发事件，设计相应的预防与解决措施，并提供完整的应急处理流程。</w:t>
      </w:r>
      <w:r/>
    </w:p>
    <w:p>
      <w:pPr>
        <w:pStyle w:val="928"/>
        <w:ind w:firstLine="480"/>
        <w:spacing w:line="360" w:lineRule="auto"/>
        <w:rPr>
          <w:rFonts w:hint="eastAsia"/>
          <w:color w:val="000000"/>
          <w:sz w:val="21"/>
          <w:szCs w:val="21"/>
        </w:rPr>
      </w:pPr>
      <w:r>
        <w:rPr>
          <w:rFonts w:hint="eastAsia"/>
          <w:color w:val="000000"/>
          <w:sz w:val="21"/>
          <w:szCs w:val="21"/>
        </w:rPr>
        <w:t xml:space="preserve">运维人员在解决故障时，需要最大限度保护好数据，做好故障恢复的文档，力争恢复到故障点前的业务状态。</w:t>
      </w:r>
      <w:r/>
    </w:p>
    <w:p>
      <w:pPr>
        <w:pStyle w:val="928"/>
        <w:numPr>
          <w:ilvl w:val="1"/>
          <w:numId w:val="68"/>
        </w:numPr>
        <w:ind w:firstLine="422"/>
        <w:spacing w:line="360" w:lineRule="auto"/>
        <w:rPr>
          <w:rFonts w:hint="eastAsia"/>
          <w:b/>
          <w:bCs/>
          <w:color w:val="000000"/>
          <w:sz w:val="21"/>
          <w:szCs w:val="21"/>
        </w:rPr>
      </w:pPr>
      <w:r>
        <w:rPr>
          <w:rFonts w:hint="eastAsia"/>
          <w:b/>
          <w:bCs/>
          <w:color w:val="000000"/>
          <w:sz w:val="21"/>
          <w:szCs w:val="21"/>
        </w:rPr>
        <w:t xml:space="preserve">硬件运维内容</w:t>
      </w:r>
      <w:r/>
    </w:p>
    <w:p>
      <w:pPr>
        <w:pStyle w:val="928"/>
        <w:numPr>
          <w:ilvl w:val="2"/>
          <w:numId w:val="68"/>
        </w:numPr>
        <w:ind w:firstLine="422"/>
        <w:spacing w:line="360" w:lineRule="auto"/>
        <w:rPr>
          <w:rFonts w:hint="eastAsia"/>
          <w:b/>
          <w:bCs/>
          <w:color w:val="000000"/>
          <w:sz w:val="21"/>
          <w:szCs w:val="21"/>
        </w:rPr>
      </w:pPr>
      <w:r>
        <w:rPr>
          <w:rFonts w:hint="eastAsia"/>
          <w:b/>
          <w:bCs/>
          <w:color w:val="000000"/>
          <w:sz w:val="21"/>
          <w:szCs w:val="21"/>
        </w:rPr>
        <w:t xml:space="preserve">运维设备列表</w:t>
      </w:r>
      <w:r/>
    </w:p>
    <w:p>
      <w:pPr>
        <w:pStyle w:val="928"/>
        <w:ind w:firstLine="420"/>
        <w:spacing w:line="360" w:lineRule="auto"/>
        <w:rPr>
          <w:rFonts w:hint="eastAsia"/>
          <w:color w:val="000000"/>
          <w:sz w:val="21"/>
          <w:szCs w:val="21"/>
        </w:rPr>
      </w:pPr>
      <w:r>
        <w:rPr>
          <w:rFonts w:hint="eastAsia"/>
          <w:color w:val="000000"/>
          <w:sz w:val="21"/>
          <w:szCs w:val="21"/>
        </w:rPr>
        <w:t xml:space="preserve">对以下采购的软硬件及服务进行维护</w:t>
      </w:r>
      <w:r/>
    </w:p>
    <w:tbl>
      <w:tblPr>
        <w:tblW w:w="87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835"/>
        <w:gridCol w:w="3260"/>
        <w:gridCol w:w="992"/>
        <w:gridCol w:w="992"/>
      </w:tblGrid>
      <w:tr>
        <w:trPr>
          <w:trHeight w:val="28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序号</w:t>
            </w:r>
            <w:r/>
          </w:p>
        </w:tc>
        <w:tc>
          <w:tcPr>
            <w:tcW w:w="2835"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标的物名称</w:t>
            </w:r>
            <w:r/>
          </w:p>
        </w:tc>
        <w:tc>
          <w:tcPr>
            <w:tcW w:w="326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品牌、规格</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单位</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数量</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无</w:t>
            </w:r>
            <w:r>
              <w:rPr>
                <w:rFonts w:hint="eastAsia"/>
                <w:color w:val="000000"/>
                <w:sz w:val="21"/>
                <w:szCs w:val="21"/>
              </w:rPr>
              <w:t xml:space="preserve">极灯（人像卡口）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LTTS AFBG-2</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r>
      <w:tr>
        <w:trPr>
          <w:trHeight w:val="599"/>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人脸抓拍机（人像卡口）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海康威视 DS-2CD7U44HTWD-XZ</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r>
      <w:tr>
        <w:trPr>
          <w:trHeight w:val="523"/>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3</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人脸抓拍立杆（人像卡口）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根</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4</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立杆基础（人像卡口）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5</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交换机（人像卡口）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闻俭 WJ-FD08-G</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6</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辅材（人像卡口）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7</w:t>
            </w:r>
            <w:r/>
          </w:p>
        </w:tc>
        <w:tc>
          <w:tcPr>
            <w:tcW w:w="283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抓拍相机（超级卡口）</w:t>
            </w:r>
            <w:r/>
          </w:p>
        </w:tc>
        <w:tc>
          <w:tcPr>
            <w:tcW w:w="326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海康威视 IDS-TCV-HEFK/50</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17</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存储卡（超级卡口）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闪迪 64G-U3</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17</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9</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闪光灯（超级卡口）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海康威视 CXBG-2-MC-SL-1211-3</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17</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10</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补光灯（超级卡口）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海康威视 DS-TL2002BHK</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17</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11</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监控立杆（超级卡口）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根</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12</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立杆基础（超级卡口）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13</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立杆防水箱（超级卡口）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14</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落地箱（超级卡口）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15</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交换机（超级卡口）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闻俭 WJ-FD08-G</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16</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电源（超级卡口）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明伟 DC12V10A</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个</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17</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网线（超级卡口）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海康威视 DS-1LN5E-E/E</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1700</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18</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电源线（超级卡口）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金诚 RVV2*1.0</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1700</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19</w:t>
            </w:r>
            <w:r/>
          </w:p>
        </w:tc>
        <w:tc>
          <w:tcPr>
            <w:tcW w:w="2835"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电源线（超级卡口）</w:t>
            </w:r>
            <w:r/>
          </w:p>
        </w:tc>
        <w:tc>
          <w:tcPr>
            <w:tcW w:w="3260" w:type="dxa"/>
            <w:vAlign w:val="top"/>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金诚 RVV3*1.0</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米</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800</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20</w:t>
            </w:r>
            <w:r/>
          </w:p>
        </w:tc>
        <w:tc>
          <w:tcPr>
            <w:tcW w:w="283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管道开挖及管材（超级卡口）</w:t>
            </w:r>
            <w:r/>
          </w:p>
        </w:tc>
        <w:tc>
          <w:tcPr>
            <w:tcW w:w="326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21</w:t>
            </w:r>
            <w:r/>
          </w:p>
        </w:tc>
        <w:tc>
          <w:tcPr>
            <w:tcW w:w="283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辅材（超级卡口）</w:t>
            </w:r>
            <w:r/>
          </w:p>
        </w:tc>
        <w:tc>
          <w:tcPr>
            <w:tcW w:w="326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97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22</w:t>
            </w:r>
            <w:r/>
          </w:p>
        </w:tc>
        <w:tc>
          <w:tcPr>
            <w:tcW w:w="283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室内全彩显示屏(指挥屏)</w:t>
            </w:r>
            <w:r/>
          </w:p>
        </w:tc>
        <w:tc>
          <w:tcPr>
            <w:tcW w:w="326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海康威视 DS-D4015FI-CWF</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m²</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17.01</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23</w:t>
            </w:r>
            <w:r/>
          </w:p>
        </w:tc>
        <w:tc>
          <w:tcPr>
            <w:tcW w:w="283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LED显示屏接收卡(指挥屏)</w:t>
            </w:r>
            <w:r/>
          </w:p>
        </w:tc>
        <w:tc>
          <w:tcPr>
            <w:tcW w:w="326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海康威视 DS-D40C04-H</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张</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8</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24</w:t>
            </w:r>
            <w:r/>
          </w:p>
        </w:tc>
        <w:tc>
          <w:tcPr>
            <w:tcW w:w="283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LED显示屏支架(指挥屏)</w:t>
            </w:r>
            <w:r/>
          </w:p>
        </w:tc>
        <w:tc>
          <w:tcPr>
            <w:tcW w:w="326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项</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25</w:t>
            </w:r>
            <w:r/>
          </w:p>
        </w:tc>
        <w:tc>
          <w:tcPr>
            <w:tcW w:w="283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控制软件(指挥屏)</w:t>
            </w:r>
            <w:r/>
          </w:p>
        </w:tc>
        <w:tc>
          <w:tcPr>
            <w:tcW w:w="326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海康威视 InfoCom ShowOS Std</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套</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73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26</w:t>
            </w:r>
            <w:r/>
          </w:p>
        </w:tc>
        <w:tc>
          <w:tcPr>
            <w:tcW w:w="283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视频处理器(指挥屏)</w:t>
            </w:r>
            <w:r/>
          </w:p>
        </w:tc>
        <w:tc>
          <w:tcPr>
            <w:tcW w:w="326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海康威视 DS-C12L-0204H</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r>
        <w:trPr>
          <w:trHeight w:val="495"/>
        </w:trPr>
        <w:tc>
          <w:tcPr>
            <w:tcW w:w="710"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27</w:t>
            </w:r>
            <w:r/>
          </w:p>
        </w:tc>
        <w:tc>
          <w:tcPr>
            <w:tcW w:w="2835"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配电柜(指挥屏)</w:t>
            </w:r>
            <w:r/>
          </w:p>
        </w:tc>
        <w:tc>
          <w:tcPr>
            <w:tcW w:w="3260"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定制</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台</w:t>
            </w:r>
            <w:r/>
          </w:p>
        </w:tc>
        <w:tc>
          <w:tcPr>
            <w:tcW w:w="992"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w:t>
            </w:r>
            <w:r/>
          </w:p>
        </w:tc>
      </w:tr>
    </w:tbl>
    <w:p>
      <w:pPr>
        <w:pStyle w:val="928"/>
        <w:ind w:firstLine="480"/>
        <w:spacing w:line="400" w:lineRule="atLeast"/>
        <w:rPr>
          <w:rFonts w:hint="eastAsia" w:cs="黑体"/>
          <w:color w:val="000000"/>
        </w:rPr>
      </w:pPr>
      <w:r>
        <w:rPr>
          <w:rFonts w:hint="eastAsia" w:cs="黑体"/>
          <w:color w:val="000000"/>
        </w:rPr>
      </w:r>
      <w:r/>
    </w:p>
    <w:p>
      <w:pPr>
        <w:pStyle w:val="928"/>
        <w:numPr>
          <w:ilvl w:val="2"/>
          <w:numId w:val="68"/>
        </w:numPr>
        <w:ind w:firstLine="422"/>
        <w:spacing w:line="400" w:lineRule="atLeast"/>
        <w:rPr>
          <w:rFonts w:hint="eastAsia"/>
          <w:b/>
          <w:bCs/>
          <w:color w:val="000000"/>
          <w:sz w:val="21"/>
          <w:szCs w:val="21"/>
        </w:rPr>
      </w:pPr>
      <w:r>
        <w:rPr>
          <w:rFonts w:hint="eastAsia"/>
          <w:b/>
          <w:bCs/>
          <w:color w:val="000000"/>
          <w:sz w:val="21"/>
          <w:szCs w:val="21"/>
        </w:rPr>
        <w:t xml:space="preserve">定期维护</w:t>
      </w:r>
      <w:r/>
    </w:p>
    <w:p>
      <w:pPr>
        <w:pStyle w:val="928"/>
        <w:ind w:firstLine="480"/>
        <w:spacing w:line="400" w:lineRule="atLeast"/>
        <w:rPr>
          <w:rFonts w:hint="eastAsia"/>
          <w:color w:val="000000"/>
          <w:sz w:val="21"/>
          <w:szCs w:val="21"/>
        </w:rPr>
      </w:pPr>
      <w:r>
        <w:rPr>
          <w:rFonts w:hint="eastAsia"/>
          <w:color w:val="000000"/>
          <w:sz w:val="21"/>
          <w:szCs w:val="21"/>
        </w:rPr>
        <w:t xml:space="preserve">每季度定期巡检，其中对维保范围内超过质保期并已损坏的设备，中标方应当立即组织现场维修，无法当场修复的必须更换全新设备，全新更换设备免费保修期不少于12个月且性能型号不低于原设备。所需费用由中标方承担。</w:t>
      </w:r>
      <w:r/>
    </w:p>
    <w:p>
      <w:pPr>
        <w:pStyle w:val="928"/>
        <w:numPr>
          <w:ilvl w:val="2"/>
          <w:numId w:val="68"/>
        </w:numPr>
        <w:ind w:firstLine="422"/>
        <w:spacing w:line="400" w:lineRule="atLeast"/>
        <w:rPr>
          <w:rFonts w:hint="eastAsia"/>
          <w:b/>
          <w:bCs/>
          <w:color w:val="000000"/>
          <w:sz w:val="21"/>
          <w:szCs w:val="21"/>
        </w:rPr>
      </w:pPr>
      <w:r>
        <w:rPr>
          <w:rFonts w:hint="eastAsia"/>
          <w:b/>
          <w:bCs/>
          <w:color w:val="000000"/>
          <w:sz w:val="21"/>
          <w:szCs w:val="21"/>
        </w:rPr>
        <w:t xml:space="preserve">应急事件等维护内容</w:t>
      </w:r>
      <w:r/>
    </w:p>
    <w:p>
      <w:pPr>
        <w:pStyle w:val="928"/>
        <w:ind w:firstLine="480"/>
        <w:spacing w:line="400" w:lineRule="atLeast"/>
        <w:rPr>
          <w:rFonts w:hint="eastAsia"/>
          <w:color w:val="000000"/>
          <w:sz w:val="21"/>
          <w:szCs w:val="21"/>
        </w:rPr>
      </w:pPr>
      <w:r>
        <w:rPr>
          <w:rFonts w:hint="eastAsia"/>
          <w:color w:val="000000"/>
          <w:sz w:val="21"/>
          <w:szCs w:val="21"/>
        </w:rPr>
        <w:t xml:space="preserve">因应急安保、市政施工、道路重新规划、供电系统改造、路面修补（损坏）等原因引起的设备采购及维护修复工作（含全市所有高清抓拍点位、治安监控、其他技防设施以及相关配套设备）。对于紧</w:t>
      </w:r>
      <w:r>
        <w:rPr>
          <w:rFonts w:hint="eastAsia"/>
          <w:color w:val="000000"/>
          <w:sz w:val="21"/>
          <w:szCs w:val="21"/>
        </w:rPr>
        <w:t xml:space="preserve">急安保事件，甲方提出方案，由乙方提供必要的设备和安装施工调试。其他因公安实际工作变化原因需要迁移、改造的监控及抓拍点位及其他相关维护工作，由乙方承担基础施工和相关人工费用。</w:t>
      </w:r>
      <w:r/>
    </w:p>
    <w:p>
      <w:pPr>
        <w:pStyle w:val="928"/>
        <w:numPr>
          <w:ilvl w:val="2"/>
          <w:numId w:val="68"/>
        </w:numPr>
        <w:ind w:firstLine="422"/>
        <w:spacing w:line="400" w:lineRule="atLeast"/>
        <w:rPr>
          <w:rFonts w:hint="eastAsia"/>
          <w:b/>
          <w:bCs/>
          <w:color w:val="000000"/>
          <w:sz w:val="21"/>
          <w:szCs w:val="21"/>
        </w:rPr>
      </w:pPr>
      <w:r>
        <w:rPr>
          <w:rFonts w:hint="eastAsia"/>
          <w:b/>
          <w:bCs/>
          <w:color w:val="000000"/>
          <w:sz w:val="21"/>
          <w:szCs w:val="21"/>
        </w:rPr>
        <w:t xml:space="preserve">前后端设备的现场清洁保养和维护</w:t>
      </w:r>
      <w:r/>
    </w:p>
    <w:tbl>
      <w:tblPr>
        <w:tblW w:w="895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357"/>
        <w:gridCol w:w="4656"/>
        <w:gridCol w:w="1944"/>
      </w:tblGrid>
      <w:tr>
        <w:trPr>
          <w:trHeight w:val="382"/>
        </w:trPr>
        <w:tc>
          <w:tcPr>
            <w:tcBorders>
              <w:top w:val="single" w:color="000000" w:sz="8" w:space="0"/>
              <w:left w:val="single" w:color="000000" w:sz="8" w:space="0"/>
              <w:bottom w:val="single" w:color="000000" w:sz="8" w:space="0"/>
              <w:right w:val="single" w:color="000000" w:sz="8" w:space="0"/>
            </w:tcBorders>
            <w:tcW w:w="2357" w:type="dxa"/>
            <w:vAlign w:val="bottom"/>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设备名称</w:t>
            </w:r>
            <w:r/>
          </w:p>
        </w:tc>
        <w:tc>
          <w:tcPr>
            <w:tcBorders>
              <w:top w:val="single" w:color="000000" w:sz="8" w:space="0"/>
              <w:left w:val="none" w:color="000000" w:sz="4" w:space="0"/>
              <w:bottom w:val="single" w:color="000000" w:sz="8" w:space="0"/>
              <w:right w:val="single" w:color="000000" w:sz="8" w:space="0"/>
            </w:tcBorders>
            <w:tcW w:w="4656" w:type="dxa"/>
            <w:vAlign w:val="bottom"/>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清洁内容</w:t>
            </w:r>
            <w:r/>
          </w:p>
        </w:tc>
        <w:tc>
          <w:tcPr>
            <w:tcBorders>
              <w:top w:val="single" w:color="000000" w:sz="8" w:space="0"/>
              <w:left w:val="none" w:color="000000" w:sz="4" w:space="0"/>
              <w:bottom w:val="single" w:color="000000" w:sz="8" w:space="0"/>
              <w:right w:val="single" w:color="000000" w:sz="8" w:space="0"/>
            </w:tcBorders>
            <w:tcW w:w="1944" w:type="dxa"/>
            <w:vAlign w:val="bottom"/>
            <w:textDirection w:val="lrTb"/>
            <w:noWrap w:val="false"/>
          </w:tcPr>
          <w:p>
            <w:pPr>
              <w:pStyle w:val="928"/>
              <w:jc w:val="center"/>
              <w:spacing w:line="400" w:lineRule="atLeast"/>
              <w:rPr>
                <w:rFonts w:hint="eastAsia"/>
                <w:b/>
                <w:bCs/>
                <w:color w:val="000000"/>
                <w:sz w:val="21"/>
                <w:szCs w:val="21"/>
              </w:rPr>
            </w:pPr>
            <w:r>
              <w:rPr>
                <w:rFonts w:hint="eastAsia"/>
                <w:b/>
                <w:bCs/>
                <w:color w:val="000000"/>
                <w:sz w:val="21"/>
                <w:szCs w:val="21"/>
              </w:rPr>
              <w:t xml:space="preserve">清洁周期</w:t>
            </w:r>
            <w:r/>
          </w:p>
        </w:tc>
      </w:tr>
      <w:tr>
        <w:trPr>
          <w:trHeight w:val="668"/>
        </w:trPr>
        <w:tc>
          <w:tcPr>
            <w:tcBorders>
              <w:top w:val="single" w:color="000000" w:sz="8" w:space="0"/>
              <w:left w:val="single" w:color="000000" w:sz="8" w:space="0"/>
              <w:bottom w:val="single" w:color="000000" w:sz="8" w:space="0"/>
              <w:right w:val="single" w:color="000000" w:sz="8" w:space="0"/>
            </w:tcBorders>
            <w:tcW w:w="2357"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卡口监控系统前端设备</w:t>
            </w:r>
            <w:r/>
          </w:p>
        </w:tc>
        <w:tc>
          <w:tcPr>
            <w:tcBorders>
              <w:top w:val="single" w:color="000000" w:sz="8" w:space="0"/>
              <w:left w:val="none" w:color="000000" w:sz="4" w:space="0"/>
              <w:bottom w:val="single" w:color="000000" w:sz="8" w:space="0"/>
              <w:right w:val="single" w:color="000000" w:sz="8" w:space="0"/>
            </w:tcBorders>
            <w:tcW w:w="465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摄像机护罩、镜头的清洁除尘及故障检查；</w:t>
              <w:br w:type="textWrapping" w:clear="all"/>
              <w:t xml:space="preserve">前端控制箱内的清洁除尘及故障检查；</w:t>
              <w:br w:type="textWrapping" w:clear="all"/>
              <w:t xml:space="preserve">光端机的保养、清洁及故障检查；</w:t>
              <w:br w:type="textWrapping" w:clear="all"/>
              <w:t xml:space="preserve">检测器的保养，清洁及故障检查。</w:t>
            </w:r>
            <w:r/>
          </w:p>
        </w:tc>
        <w:tc>
          <w:tcPr>
            <w:tcBorders>
              <w:top w:val="single" w:color="000000" w:sz="8" w:space="0"/>
              <w:left w:val="none" w:color="000000" w:sz="4" w:space="0"/>
              <w:bottom w:val="single" w:color="000000" w:sz="8" w:space="0"/>
              <w:right w:val="single" w:color="000000" w:sz="8" w:space="0"/>
            </w:tcBorders>
            <w:tcW w:w="1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1次/季度</w:t>
            </w:r>
            <w:r/>
          </w:p>
        </w:tc>
      </w:tr>
      <w:tr>
        <w:trPr>
          <w:trHeight w:val="668"/>
        </w:trPr>
        <w:tc>
          <w:tcPr>
            <w:tcBorders>
              <w:top w:val="single" w:color="000000" w:sz="8" w:space="0"/>
              <w:left w:val="single" w:color="000000" w:sz="8" w:space="0"/>
              <w:bottom w:val="single" w:color="000000" w:sz="8" w:space="0"/>
              <w:right w:val="single" w:color="000000" w:sz="8" w:space="0"/>
            </w:tcBorders>
            <w:tcW w:w="2357"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中心设备</w:t>
            </w:r>
            <w:r/>
          </w:p>
        </w:tc>
        <w:tc>
          <w:tcPr>
            <w:tcBorders>
              <w:top w:val="single" w:color="000000" w:sz="8" w:space="0"/>
              <w:left w:val="none" w:color="000000" w:sz="4" w:space="0"/>
              <w:bottom w:val="single" w:color="000000" w:sz="8" w:space="0"/>
              <w:right w:val="single" w:color="000000" w:sz="8" w:space="0"/>
            </w:tcBorders>
            <w:tcW w:w="4656" w:type="dxa"/>
            <w:vAlign w:val="center"/>
            <w:textDirection w:val="lrTb"/>
            <w:noWrap w:val="false"/>
          </w:tcPr>
          <w:p>
            <w:pPr>
              <w:pStyle w:val="928"/>
              <w:spacing w:line="400" w:lineRule="atLeast"/>
              <w:rPr>
                <w:rFonts w:hint="eastAsia"/>
                <w:color w:val="000000"/>
                <w:sz w:val="21"/>
                <w:szCs w:val="21"/>
              </w:rPr>
            </w:pPr>
            <w:r>
              <w:rPr>
                <w:rFonts w:hint="eastAsia"/>
                <w:color w:val="000000"/>
                <w:sz w:val="21"/>
                <w:szCs w:val="21"/>
              </w:rPr>
              <w:t xml:space="preserve">机架除尘、工控机、服务器、显示设备屏幕的保养、清洁及故障检查；</w:t>
              <w:br w:type="textWrapping" w:clear="all"/>
              <w:t xml:space="preserve">控制柜的保养、清洁及故障检查；</w:t>
            </w:r>
            <w:r/>
          </w:p>
          <w:p>
            <w:pPr>
              <w:pStyle w:val="928"/>
              <w:spacing w:line="400" w:lineRule="atLeast"/>
              <w:rPr>
                <w:rFonts w:hint="eastAsia"/>
                <w:color w:val="000000"/>
                <w:sz w:val="21"/>
                <w:szCs w:val="21"/>
              </w:rPr>
            </w:pPr>
            <w:r>
              <w:rPr>
                <w:rFonts w:hint="eastAsia"/>
                <w:color w:val="000000"/>
                <w:sz w:val="21"/>
                <w:szCs w:val="21"/>
              </w:rPr>
              <w:t xml:space="preserve">大屏的保养、清洁及故障检查</w:t>
            </w:r>
            <w:r/>
          </w:p>
        </w:tc>
        <w:tc>
          <w:tcPr>
            <w:tcBorders>
              <w:top w:val="single" w:color="000000" w:sz="8" w:space="0"/>
              <w:left w:val="none" w:color="000000" w:sz="4" w:space="0"/>
              <w:bottom w:val="single" w:color="000000" w:sz="8" w:space="0"/>
              <w:right w:val="single" w:color="000000" w:sz="8" w:space="0"/>
            </w:tcBorders>
            <w:tcW w:w="1944" w:type="dxa"/>
            <w:vAlign w:val="center"/>
            <w:textDirection w:val="lrTb"/>
            <w:noWrap w:val="false"/>
          </w:tcPr>
          <w:p>
            <w:pPr>
              <w:pStyle w:val="928"/>
              <w:jc w:val="center"/>
              <w:spacing w:line="400" w:lineRule="atLeast"/>
              <w:rPr>
                <w:rFonts w:hint="eastAsia"/>
                <w:color w:val="000000"/>
                <w:sz w:val="21"/>
                <w:szCs w:val="21"/>
              </w:rPr>
            </w:pPr>
            <w:r>
              <w:rPr>
                <w:rFonts w:hint="eastAsia"/>
                <w:color w:val="000000"/>
                <w:sz w:val="21"/>
                <w:szCs w:val="21"/>
              </w:rPr>
              <w:t xml:space="preserve">1次/季度</w:t>
            </w:r>
            <w:r/>
          </w:p>
        </w:tc>
      </w:tr>
    </w:tbl>
    <w:p>
      <w:pPr>
        <w:pStyle w:val="928"/>
        <w:numPr>
          <w:ilvl w:val="2"/>
          <w:numId w:val="68"/>
        </w:numPr>
        <w:ind w:firstLine="422"/>
        <w:spacing w:line="360" w:lineRule="auto"/>
        <w:rPr>
          <w:rFonts w:hint="eastAsia" w:cs="黑体"/>
          <w:b/>
          <w:bCs/>
          <w:color w:val="000000"/>
          <w:sz w:val="21"/>
          <w:szCs w:val="21"/>
        </w:rPr>
      </w:pPr>
      <w:r>
        <w:rPr>
          <w:rFonts w:hint="eastAsia"/>
          <w:b/>
          <w:bCs/>
          <w:color w:val="000000"/>
          <w:sz w:val="21"/>
          <w:szCs w:val="21"/>
        </w:rPr>
        <w:t xml:space="preserve">系统中线路损坏的修复</w:t>
      </w:r>
      <w:r>
        <w:rPr>
          <w:rFonts w:hint="eastAsia" w:cs="黑体"/>
          <w:b/>
          <w:bCs/>
          <w:color w:val="000000"/>
          <w:sz w:val="21"/>
          <w:szCs w:val="21"/>
        </w:rPr>
      </w:r>
      <w:r/>
    </w:p>
    <w:p>
      <w:pPr>
        <w:pStyle w:val="928"/>
        <w:ind w:firstLine="480"/>
        <w:spacing w:line="360" w:lineRule="auto"/>
        <w:rPr>
          <w:rFonts w:hint="eastAsia"/>
          <w:color w:val="000000"/>
          <w:sz w:val="21"/>
          <w:szCs w:val="21"/>
        </w:rPr>
      </w:pPr>
      <w:r>
        <w:rPr>
          <w:rFonts w:hint="eastAsia"/>
          <w:color w:val="000000"/>
          <w:sz w:val="21"/>
          <w:szCs w:val="21"/>
        </w:rPr>
        <w:t xml:space="preserve">包括电源线、视频线、控制线、网线、光纤线等的损坏，以及通讯井的保养和损坏修复，对于因市政工程、拆迁等因素造成线路损坏的，由客户方负责协调，中标方配合进行修复；对于传输光纤问题，中标方根据光纤标号和联系电话联系运行商，运行商负责修复。如运行商修复有问题的由客户方负责协调。</w:t>
      </w:r>
      <w:r/>
    </w:p>
    <w:p>
      <w:pPr>
        <w:pStyle w:val="928"/>
        <w:numPr>
          <w:ilvl w:val="2"/>
          <w:numId w:val="68"/>
        </w:numPr>
        <w:ind w:firstLine="422"/>
        <w:spacing w:line="360" w:lineRule="auto"/>
        <w:rPr>
          <w:rFonts w:hint="eastAsia"/>
          <w:b/>
          <w:bCs/>
          <w:color w:val="000000"/>
          <w:sz w:val="21"/>
          <w:szCs w:val="21"/>
        </w:rPr>
      </w:pPr>
      <w:r>
        <w:rPr>
          <w:rFonts w:hint="eastAsia"/>
          <w:b/>
          <w:bCs/>
          <w:color w:val="000000"/>
          <w:sz w:val="21"/>
          <w:szCs w:val="21"/>
        </w:rPr>
        <w:t xml:space="preserve">系统主要设备元器件的损坏维护</w:t>
      </w:r>
      <w:r/>
    </w:p>
    <w:p>
      <w:pPr>
        <w:pStyle w:val="928"/>
        <w:ind w:firstLine="480"/>
        <w:spacing w:line="360" w:lineRule="auto"/>
        <w:rPr>
          <w:rFonts w:hint="eastAsia"/>
          <w:color w:val="000000"/>
          <w:sz w:val="21"/>
          <w:szCs w:val="21"/>
        </w:rPr>
      </w:pPr>
      <w:r>
        <w:rPr>
          <w:rFonts w:hint="eastAsia"/>
          <w:color w:val="000000"/>
          <w:sz w:val="21"/>
          <w:szCs w:val="21"/>
        </w:rPr>
        <w:t xml:space="preserve">1）对矩阵及键盘、硬盘录像机、编解码设备、显示设备、摄像机（工业相机），检测器、光端机、工控机、服务器、防火墙、网闸等所有设备提供检测和故</w:t>
      </w:r>
      <w:r>
        <w:rPr>
          <w:rFonts w:hint="eastAsia"/>
          <w:color w:val="000000"/>
          <w:sz w:val="21"/>
          <w:szCs w:val="21"/>
        </w:rPr>
        <w:t xml:space="preserve">障检修，一旦出现设备（除人为故意损坏和不可抗拒因素外）损坏情况可以修复的由中标方及时修复，无法修复的，由中标方提供新设备并负责安装调试工作，使系统恢复正常运行。维修费和购置费已包含在项目中。</w:t>
      </w:r>
      <w:r/>
    </w:p>
    <w:p>
      <w:pPr>
        <w:pStyle w:val="928"/>
        <w:ind w:firstLine="480"/>
        <w:spacing w:line="360" w:lineRule="auto"/>
        <w:rPr>
          <w:rFonts w:hint="eastAsia"/>
          <w:color w:val="000000"/>
          <w:sz w:val="21"/>
          <w:szCs w:val="21"/>
        </w:rPr>
      </w:pPr>
      <w:r>
        <w:rPr>
          <w:rFonts w:hint="eastAsia"/>
          <w:color w:val="000000"/>
          <w:sz w:val="21"/>
          <w:szCs w:val="21"/>
        </w:rPr>
        <w:t xml:space="preserve">2）对摄像机电源、视频头、视频跳线、尾纤等其他辅助设备提供全面的维护和检修，不能修理的进行更换，保证系统正常运行。维修费和购置费已包含在项目中。</w:t>
      </w:r>
      <w:r/>
    </w:p>
    <w:p>
      <w:pPr>
        <w:pStyle w:val="928"/>
        <w:ind w:firstLine="480"/>
        <w:spacing w:line="360" w:lineRule="auto"/>
        <w:rPr>
          <w:rFonts w:hint="eastAsia"/>
          <w:color w:val="000000"/>
          <w:sz w:val="21"/>
          <w:szCs w:val="21"/>
        </w:rPr>
      </w:pPr>
      <w:r>
        <w:rPr>
          <w:rFonts w:hint="eastAsia"/>
          <w:color w:val="000000"/>
          <w:sz w:val="21"/>
          <w:szCs w:val="21"/>
        </w:rPr>
        <w:t xml:space="preserve">3)地感线圈、车检器、导线等检测设备、设施的全面的维护和检修，不能修理的进行更换，保证系统正常运行。维修费和购置费已包含在项目中。</w:t>
      </w:r>
      <w:r/>
    </w:p>
    <w:p>
      <w:pPr>
        <w:pStyle w:val="928"/>
        <w:numPr>
          <w:ilvl w:val="2"/>
          <w:numId w:val="68"/>
        </w:numPr>
        <w:ind w:firstLine="422"/>
        <w:spacing w:line="360" w:lineRule="auto"/>
        <w:rPr>
          <w:rFonts w:hint="eastAsia"/>
          <w:b/>
          <w:bCs/>
          <w:color w:val="000000"/>
          <w:sz w:val="21"/>
          <w:szCs w:val="21"/>
        </w:rPr>
      </w:pPr>
      <w:r>
        <w:rPr>
          <w:rFonts w:hint="eastAsia"/>
          <w:b/>
          <w:bCs/>
          <w:color w:val="000000"/>
          <w:sz w:val="21"/>
          <w:szCs w:val="21"/>
        </w:rPr>
        <w:t xml:space="preserve">其他说明</w:t>
      </w:r>
      <w:r/>
    </w:p>
    <w:p>
      <w:pPr>
        <w:pStyle w:val="928"/>
        <w:ind w:firstLine="480"/>
        <w:spacing w:line="360" w:lineRule="auto"/>
        <w:rPr>
          <w:rFonts w:hint="eastAsia"/>
          <w:color w:val="000000"/>
          <w:sz w:val="21"/>
          <w:szCs w:val="21"/>
        </w:rPr>
      </w:pPr>
      <w:r>
        <w:rPr>
          <w:rFonts w:hint="eastAsia"/>
          <w:color w:val="000000"/>
          <w:sz w:val="21"/>
          <w:szCs w:val="21"/>
        </w:rPr>
        <w:t xml:space="preserve">1）因应急安保、市政施工、道路重新规划、路面修补（损坏）等原因引起的设备采购及维护修复工作（含全市所有高清抓拍点位及治安监控）。对于紧急安保事件，由甲方提出方案，由乙方提供必要的技防设备和安装施工调试。</w:t>
      </w:r>
      <w:r/>
    </w:p>
    <w:p>
      <w:pPr>
        <w:pStyle w:val="928"/>
        <w:ind w:firstLine="480"/>
        <w:spacing w:line="360" w:lineRule="auto"/>
        <w:rPr>
          <w:color w:val="000000"/>
          <w:sz w:val="21"/>
          <w:szCs w:val="21"/>
        </w:rPr>
      </w:pPr>
      <w:r>
        <w:rPr>
          <w:rFonts w:hint="eastAsia"/>
          <w:color w:val="000000"/>
          <w:sz w:val="21"/>
          <w:szCs w:val="21"/>
        </w:rPr>
        <w:t xml:space="preserve">2）因公安实际工作变化原因需要迁移、改造的监控及抓拍点位及其他相关维护工作，由乙方承担基础施工和相关人工费用。</w:t>
      </w:r>
      <w:r>
        <w:rPr>
          <w:color w:val="000000"/>
          <w:sz w:val="21"/>
          <w:szCs w:val="21"/>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太仓市公安局安全边界维保</w:t>
      </w:r>
      <w:r>
        <w:rPr>
          <w:rFonts w:ascii="宋体" w:hAnsi="宋体" w:eastAsia="宋体"/>
          <w:color w:val="000000"/>
          <w:sz w:val="21"/>
          <w:szCs w:val="21"/>
        </w:rPr>
      </w:r>
      <w:r/>
    </w:p>
    <w:p>
      <w:pPr>
        <w:pStyle w:val="928"/>
        <w:ind w:firstLine="420"/>
        <w:spacing w:line="360" w:lineRule="auto"/>
        <w:rPr>
          <w:rFonts w:cs="黑体"/>
          <w:color w:val="000000"/>
          <w:sz w:val="21"/>
          <w:szCs w:val="21"/>
        </w:rPr>
      </w:pPr>
      <w:r>
        <w:rPr>
          <w:rFonts w:cs="黑体"/>
          <w:color w:val="000000"/>
          <w:sz w:val="21"/>
          <w:szCs w:val="21"/>
        </w:rPr>
        <w:t xml:space="preserve">太仓市公安局于2018-2022年间开展了边界项目的阶梯建设，质保期均为三年。该项目从交付至今，运行稳定，很好的保障了太仓市公安局与外部单位的数据交换和信息共享，有力促进了各警种的实战业务应用。</w:t>
      </w:r>
      <w:r/>
    </w:p>
    <w:p>
      <w:pPr>
        <w:pStyle w:val="928"/>
        <w:ind w:firstLine="420"/>
        <w:spacing w:line="360" w:lineRule="auto"/>
        <w:rPr>
          <w:rFonts w:cs="黑体"/>
          <w:color w:val="000000"/>
          <w:sz w:val="21"/>
          <w:szCs w:val="21"/>
        </w:rPr>
      </w:pPr>
      <w:r>
        <w:rPr>
          <w:rFonts w:cs="黑体"/>
          <w:color w:val="000000"/>
          <w:sz w:val="21"/>
          <w:szCs w:val="21"/>
        </w:rPr>
        <w:t xml:space="preserve">截至目</w:t>
      </w:r>
      <w:r>
        <w:rPr>
          <w:rFonts w:cs="黑体"/>
          <w:color w:val="000000"/>
          <w:sz w:val="21"/>
          <w:szCs w:val="21"/>
        </w:rPr>
        <w:t xml:space="preserve">前，该项目已经过了免费质保期，为保障现有边界接入链路相关设备和接入业务的持续稳定运行，需要针对本项目开展续保工作。</w:t>
      </w:r>
      <w:r/>
    </w:p>
    <w:tbl>
      <w:tblPr>
        <w:tblW w:w="86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2563"/>
        <w:gridCol w:w="2089"/>
        <w:gridCol w:w="646"/>
        <w:gridCol w:w="1477"/>
      </w:tblGrid>
      <w:tr>
        <w:trPr>
          <w:trHeight w:val="276"/>
        </w:trPr>
        <w:tc>
          <w:tcPr>
            <w:tcW w:w="704"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序号</w:t>
            </w:r>
            <w:r/>
          </w:p>
        </w:tc>
        <w:tc>
          <w:tcPr>
            <w:tcW w:w="1134"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项目名称</w:t>
            </w:r>
            <w:r/>
          </w:p>
        </w:tc>
        <w:tc>
          <w:tcPr>
            <w:tcW w:w="2563"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设备名称</w:t>
            </w:r>
            <w:r/>
          </w:p>
        </w:tc>
        <w:tc>
          <w:tcPr>
            <w:tcW w:w="2089"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型号</w:t>
            </w:r>
            <w:r/>
          </w:p>
        </w:tc>
        <w:tc>
          <w:tcPr>
            <w:tcW w:w="646"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数量</w:t>
            </w:r>
            <w:r/>
          </w:p>
        </w:tc>
        <w:tc>
          <w:tcPr>
            <w:tcW w:w="1477"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建设时间</w:t>
            </w:r>
            <w:r/>
          </w:p>
        </w:tc>
      </w:tr>
      <w:tr>
        <w:trPr>
          <w:cantSplit/>
          <w:trHeight w:val="276"/>
        </w:trPr>
        <w:tc>
          <w:tcPr>
            <w:tcW w:w="70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W w:w="113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2018年</w:t>
              <w:br w:type="textWrapping" w:clear="all"/>
              <w:t xml:space="preserve">边界</w:t>
              <w:br w:type="textWrapping" w:clear="all"/>
              <w:t xml:space="preserve">建设</w:t>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合众安全数据交换系统</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DC-310-TC</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1套</w:t>
            </w:r>
            <w:r/>
          </w:p>
        </w:tc>
        <w:tc>
          <w:tcPr>
            <w:tcW w:w="1477"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2018年12月</w:t>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合众隔离网闸</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UG350-2101-TC</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合众跨网请求服务系统</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AS-310-TC</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1套</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合众集控探针</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CMD-100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W w:w="113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2018太仓</w:t>
              <w:br w:type="textWrapping" w:clear="all"/>
              <w:t xml:space="preserve">互联网边界</w:t>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山石网科防火墙</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SG6K-E3668-CN-36</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2018年12月</w:t>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合众集控探针</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CMD-100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合众安全隔离与单向传输系统</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SG-310-TC</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1套</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W w:w="113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2019年</w:t>
              <w:br w:type="textWrapping" w:clear="all"/>
              <w:t xml:space="preserve">边界扩容</w:t>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合众跨网请求服务系统</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AS-300-T2100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2套</w:t>
            </w:r>
            <w:r/>
          </w:p>
        </w:tc>
        <w:tc>
          <w:tcPr>
            <w:tcW w:w="1477"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2019年7月</w:t>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合众集控探针</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CMD-100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合众单向光闸</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SG-300-T3000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合众视频安全接入系统</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VG-310-B-HD</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1套</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山石防火墙</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SG-6000-E5260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W w:w="113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2020太仓</w:t>
              <w:br w:type="textWrapping" w:clear="all"/>
              <w:t xml:space="preserve">边界扩容</w:t>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合众单向光闸</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SG-310-TC</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2台</w:t>
            </w:r>
            <w:r/>
          </w:p>
        </w:tc>
        <w:tc>
          <w:tcPr>
            <w:tcW w:w="1477"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2020年10月</w:t>
            </w: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合众集控探针</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CMD-100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合众集中监控管理平台</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CM-350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1套</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中宇可信边界网关</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TRUSTMORE-SG5200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启明入侵防御系统</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NIPS2060D</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trHeight w:val="276"/>
        </w:trPr>
        <w:tc>
          <w:tcPr>
            <w:tcW w:w="70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w:t>
            </w:r>
            <w:r/>
          </w:p>
        </w:tc>
        <w:tc>
          <w:tcPr>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2021边界补充</w:t>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合众集中监控管理平台</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CM-350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1套</w:t>
            </w:r>
            <w:r/>
          </w:p>
        </w:tc>
        <w:tc>
          <w:tcPr>
            <w:tcW w:w="1477"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2021年5月</w:t>
            </w:r>
            <w:r/>
          </w:p>
        </w:tc>
      </w:tr>
      <w:tr>
        <w:trPr>
          <w:cantSplit/>
          <w:trHeight w:val="276"/>
        </w:trPr>
        <w:tc>
          <w:tcPr>
            <w:tcW w:w="70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c>
          <w:tcPr>
            <w:tcW w:w="113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2021太仓</w:t>
              <w:br w:type="textWrapping" w:clear="all"/>
              <w:t xml:space="preserve">长三角一</w:t>
              <w:br w:type="textWrapping" w:clear="all"/>
              <w:t xml:space="preserve">体化，</w:t>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合众视频安全交换系统</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VG-H3500-6400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1套</w:t>
            </w:r>
            <w:r/>
          </w:p>
        </w:tc>
        <w:tc>
          <w:tcPr>
            <w:tcW w:w="1477"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2022年1月</w:t>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合众数据安全交换系统前置机</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DC-H3200-6500-N</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合众数据安全交换系后统置机</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DC-H3200-6500-S</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合众网闸</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UG350-8100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合众请求服务系统外主机</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AS-H3300-7100-N</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合众请求服务系统内主机</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AS-H3300-7100-S</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合众集控探针</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CMD-100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中宇边界安全访问控制系统</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TRUSTMORE-5300-UP</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7</w:t>
            </w:r>
            <w:r/>
          </w:p>
        </w:tc>
        <w:tc>
          <w:tcPr>
            <w:tcW w:w="1134"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2022年</w:t>
              <w:br w:type="textWrapping" w:clear="all"/>
              <w:t xml:space="preserve">太仓边界</w:t>
              <w:br w:type="textWrapping" w:clear="all"/>
              <w:t xml:space="preserve">加固</w:t>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合众安全隔离与单向传输系统</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SG-350-H3000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2套</w:t>
            </w:r>
            <w:r/>
          </w:p>
        </w:tc>
        <w:tc>
          <w:tcPr>
            <w:tcW w:w="1477" w:type="dxa"/>
            <w:vAlign w:val="center"/>
            <w:vMerge w:val="restart"/>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2022年7月</w:t>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合众安全服务总线系统</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SSB-4500</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2套</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r>
        <w:trPr>
          <w:cantSplit/>
          <w:trHeight w:val="276"/>
        </w:trPr>
        <w:tc>
          <w:tcPr>
            <w:tcW w:w="70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1134"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c>
          <w:tcPr>
            <w:tcW w:w="2563"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中宇可信边界安全网关</w:t>
            </w:r>
            <w:r/>
          </w:p>
        </w:tc>
        <w:tc>
          <w:tcPr>
            <w:tcW w:w="2089"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TRUSTMORE-5300-UP</w:t>
            </w:r>
            <w:r/>
          </w:p>
        </w:tc>
        <w:tc>
          <w:tcPr>
            <w:tcW w:w="64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1台</w:t>
            </w:r>
            <w:r/>
          </w:p>
        </w:tc>
        <w:tc>
          <w:tcPr>
            <w:tcW w:w="1477" w:type="dxa"/>
            <w:vAlign w:val="center"/>
            <w:vMerge w:val="continue"/>
            <w:textDirection w:val="lrTb"/>
            <w:noWrap w:val="false"/>
          </w:tcPr>
          <w:p>
            <w:pPr>
              <w:pStyle w:val="928"/>
              <w:ind w:firstLine="420"/>
              <w:jc w:val="center"/>
              <w:spacing w:line="360" w:lineRule="auto"/>
              <w:rPr>
                <w:rFonts w:cs="黑体"/>
                <w:color w:val="000000"/>
                <w:sz w:val="21"/>
                <w:szCs w:val="21"/>
              </w:rPr>
            </w:pPr>
            <w:r>
              <w:rPr>
                <w:rFonts w:cs="黑体"/>
                <w:color w:val="000000"/>
                <w:sz w:val="21"/>
                <w:szCs w:val="21"/>
              </w:rPr>
            </w:r>
            <w:r/>
          </w:p>
        </w:tc>
      </w:tr>
    </w:tbl>
    <w:p>
      <w:pPr>
        <w:pStyle w:val="928"/>
        <w:ind w:firstLine="422"/>
        <w:spacing w:line="360" w:lineRule="auto"/>
        <w:rPr>
          <w:rFonts w:cs="黑体"/>
          <w:b/>
          <w:bCs/>
          <w:color w:val="000000"/>
          <w:sz w:val="21"/>
          <w:szCs w:val="21"/>
        </w:rPr>
      </w:pPr>
      <w:r/>
      <w:bookmarkStart w:id="12" w:name="_Toc178079635"/>
      <w:r>
        <w:rPr>
          <w:rFonts w:cs="黑体"/>
          <w:b/>
          <w:bCs/>
          <w:color w:val="000000"/>
          <w:sz w:val="21"/>
          <w:szCs w:val="21"/>
        </w:rPr>
        <w:t xml:space="preserve">具体服务要求</w:t>
      </w:r>
      <w:bookmarkEnd w:id="12"/>
      <w:r>
        <w:rPr>
          <w:rFonts w:cs="黑体"/>
          <w:b/>
          <w:bCs/>
          <w:color w:val="000000"/>
          <w:sz w:val="21"/>
          <w:szCs w:val="21"/>
        </w:rPr>
      </w:r>
      <w:r/>
    </w:p>
    <w:p>
      <w:pPr>
        <w:pStyle w:val="928"/>
        <w:ind w:firstLine="420"/>
        <w:spacing w:line="360" w:lineRule="auto"/>
        <w:rPr>
          <w:rFonts w:cs="黑体"/>
          <w:color w:val="000000"/>
          <w:sz w:val="21"/>
          <w:szCs w:val="21"/>
        </w:rPr>
      </w:pPr>
      <w:r>
        <w:rPr>
          <w:rFonts w:cs="黑体"/>
          <w:color w:val="000000"/>
          <w:sz w:val="21"/>
          <w:szCs w:val="21"/>
        </w:rPr>
        <w:t xml:space="preserve">7*24热线电话支持服务</w:t>
      </w:r>
      <w:r/>
    </w:p>
    <w:p>
      <w:pPr>
        <w:pStyle w:val="928"/>
        <w:ind w:firstLine="420"/>
        <w:spacing w:line="360" w:lineRule="auto"/>
        <w:rPr>
          <w:rFonts w:cs="黑体"/>
          <w:color w:val="000000"/>
          <w:sz w:val="21"/>
          <w:szCs w:val="21"/>
        </w:rPr>
      </w:pPr>
      <w:r>
        <w:rPr>
          <w:rFonts w:hint="eastAsia" w:cs="黑体"/>
          <w:color w:val="000000"/>
          <w:sz w:val="21"/>
          <w:szCs w:val="21"/>
        </w:rPr>
        <w:t xml:space="preserve">投标单位</w:t>
      </w:r>
      <w:r>
        <w:rPr>
          <w:rFonts w:cs="黑体"/>
          <w:color w:val="000000"/>
          <w:sz w:val="21"/>
          <w:szCs w:val="21"/>
        </w:rPr>
        <w:t xml:space="preserve">提供不限时间、不限数量的售后电话支持，在得到请求响应1小时内，通过电话给出解决方案，以帮助用户迅速有效地解决问题。</w:t>
      </w:r>
      <w:r/>
    </w:p>
    <w:p>
      <w:pPr>
        <w:pStyle w:val="928"/>
        <w:numPr>
          <w:ilvl w:val="0"/>
          <w:numId w:val="72"/>
        </w:numPr>
        <w:ind w:left="0" w:firstLine="422"/>
        <w:spacing w:line="360" w:lineRule="auto"/>
        <w:rPr>
          <w:rFonts w:cs="黑体"/>
          <w:b/>
          <w:color w:val="000000"/>
          <w:sz w:val="21"/>
          <w:szCs w:val="21"/>
        </w:rPr>
      </w:pPr>
      <w:r>
        <w:rPr>
          <w:rFonts w:cs="黑体"/>
          <w:b/>
          <w:color w:val="000000"/>
          <w:sz w:val="21"/>
          <w:szCs w:val="21"/>
        </w:rPr>
        <w:t xml:space="preserve">一年软件、硬件保修服务</w:t>
      </w:r>
      <w:r/>
    </w:p>
    <w:p>
      <w:pPr>
        <w:pStyle w:val="928"/>
        <w:ind w:firstLine="420"/>
        <w:spacing w:line="360" w:lineRule="auto"/>
        <w:rPr>
          <w:rFonts w:cs="黑体"/>
          <w:color w:val="000000"/>
          <w:sz w:val="21"/>
          <w:szCs w:val="21"/>
        </w:rPr>
      </w:pPr>
      <w:r>
        <w:rPr>
          <w:rFonts w:cs="黑体"/>
          <w:color w:val="000000"/>
          <w:sz w:val="21"/>
          <w:szCs w:val="21"/>
        </w:rPr>
        <w:t xml:space="preserve">软件产品提供一年的免费升级服务（通用安全设备由于原厂原因而不能提供该项服务的除外）。</w:t>
      </w:r>
      <w:r/>
    </w:p>
    <w:p>
      <w:pPr>
        <w:pStyle w:val="928"/>
        <w:ind w:firstLine="420"/>
        <w:spacing w:line="360" w:lineRule="auto"/>
        <w:rPr>
          <w:rFonts w:cs="黑体"/>
          <w:color w:val="000000"/>
          <w:sz w:val="21"/>
          <w:szCs w:val="21"/>
        </w:rPr>
      </w:pPr>
      <w:r>
        <w:rPr>
          <w:rFonts w:cs="黑体"/>
          <w:color w:val="000000"/>
          <w:sz w:val="21"/>
          <w:szCs w:val="21"/>
        </w:rPr>
        <w:t xml:space="preserve">硬件产品提供一年免费质保，</w:t>
      </w:r>
      <w:r>
        <w:rPr>
          <w:rFonts w:hint="eastAsia" w:cs="黑体"/>
          <w:color w:val="000000"/>
          <w:sz w:val="21"/>
          <w:szCs w:val="21"/>
        </w:rPr>
        <w:t xml:space="preserve">投标单位</w:t>
      </w:r>
      <w:r>
        <w:rPr>
          <w:rFonts w:cs="黑体"/>
          <w:color w:val="000000"/>
          <w:sz w:val="21"/>
          <w:szCs w:val="21"/>
        </w:rPr>
        <w:t xml:space="preserve">承诺故障1小时内响应，原厂工程师3小时内到达现场解决问题，12小时内解决问题，如不能解决，在8小时内安排原厂商高级技术人员到达现场，12小时内解决问题，如不能解决，在48小时内提供备件。</w:t>
      </w:r>
      <w:r/>
    </w:p>
    <w:p>
      <w:pPr>
        <w:pStyle w:val="928"/>
        <w:numPr>
          <w:ilvl w:val="0"/>
          <w:numId w:val="72"/>
        </w:numPr>
        <w:ind w:left="0" w:firstLine="422"/>
        <w:spacing w:line="360" w:lineRule="auto"/>
        <w:rPr>
          <w:rFonts w:cs="黑体"/>
          <w:b/>
          <w:color w:val="000000"/>
          <w:sz w:val="21"/>
          <w:szCs w:val="21"/>
        </w:rPr>
      </w:pPr>
      <w:r>
        <w:rPr>
          <w:rFonts w:cs="黑体"/>
          <w:b/>
          <w:color w:val="000000"/>
          <w:sz w:val="21"/>
          <w:szCs w:val="21"/>
        </w:rPr>
        <w:t xml:space="preserve">特别服务</w:t>
      </w:r>
      <w:r/>
    </w:p>
    <w:p>
      <w:pPr>
        <w:pStyle w:val="928"/>
        <w:ind w:firstLine="420"/>
        <w:spacing w:line="360" w:lineRule="auto"/>
        <w:rPr>
          <w:rFonts w:cs="黑体"/>
          <w:color w:val="000000"/>
          <w:sz w:val="21"/>
          <w:szCs w:val="21"/>
        </w:rPr>
      </w:pPr>
      <w:r>
        <w:rPr>
          <w:rFonts w:cs="黑体"/>
          <w:color w:val="000000"/>
          <w:sz w:val="21"/>
          <w:szCs w:val="21"/>
        </w:rPr>
        <w:t xml:space="preserve">提供24小时技术支持服务。用户在网络调整时，协助用户做好维保设备的产品安装、业务调试、系统变更和数据迁移等工作。</w:t>
      </w:r>
      <w:r/>
    </w:p>
    <w:p>
      <w:pPr>
        <w:pStyle w:val="928"/>
        <w:numPr>
          <w:ilvl w:val="0"/>
          <w:numId w:val="72"/>
        </w:numPr>
        <w:ind w:left="0" w:firstLine="422"/>
        <w:spacing w:line="360" w:lineRule="auto"/>
        <w:rPr>
          <w:rFonts w:cs="黑体"/>
          <w:b/>
          <w:color w:val="000000"/>
          <w:sz w:val="21"/>
          <w:szCs w:val="21"/>
        </w:rPr>
      </w:pPr>
      <w:r>
        <w:rPr>
          <w:rFonts w:cs="黑体"/>
          <w:b/>
          <w:color w:val="000000"/>
          <w:sz w:val="21"/>
          <w:szCs w:val="21"/>
        </w:rPr>
        <w:t xml:space="preserve">其他服务</w:t>
      </w:r>
      <w:r/>
    </w:p>
    <w:p>
      <w:pPr>
        <w:pStyle w:val="928"/>
        <w:ind w:firstLine="420"/>
        <w:spacing w:line="360" w:lineRule="auto"/>
        <w:rPr>
          <w:rFonts w:cs="黑体"/>
          <w:color w:val="000000"/>
          <w:sz w:val="21"/>
          <w:szCs w:val="21"/>
        </w:rPr>
      </w:pPr>
      <w:r>
        <w:rPr>
          <w:rFonts w:cs="黑体"/>
          <w:color w:val="000000"/>
          <w:sz w:val="21"/>
          <w:szCs w:val="21"/>
        </w:rPr>
        <w:t xml:space="preserve">通过制定详细服务计划、每季度对用户系统进行一次检查、远程系统检测及其它服务，避免系统发生问题。</w:t>
      </w:r>
      <w:r/>
    </w:p>
    <w:p>
      <w:pPr>
        <w:pStyle w:val="928"/>
        <w:ind w:firstLine="422"/>
        <w:spacing w:line="360" w:lineRule="auto"/>
        <w:rPr>
          <w:rFonts w:cs="黑体"/>
          <w:b/>
          <w:bCs/>
          <w:color w:val="000000"/>
          <w:sz w:val="21"/>
          <w:szCs w:val="21"/>
        </w:rPr>
      </w:pPr>
      <w:r/>
      <w:bookmarkStart w:id="13" w:name="_Toc178079636"/>
      <w:r>
        <w:rPr>
          <w:rFonts w:cs="黑体"/>
          <w:b/>
          <w:bCs/>
          <w:color w:val="000000"/>
          <w:sz w:val="21"/>
          <w:szCs w:val="21"/>
        </w:rPr>
        <w:t xml:space="preserve">应急预案</w:t>
      </w:r>
      <w:bookmarkEnd w:id="13"/>
      <w:r>
        <w:rPr>
          <w:rFonts w:cs="黑体"/>
          <w:b/>
          <w:bCs/>
          <w:color w:val="000000"/>
          <w:sz w:val="21"/>
          <w:szCs w:val="21"/>
        </w:rPr>
      </w:r>
      <w:r/>
    </w:p>
    <w:p>
      <w:pPr>
        <w:pStyle w:val="928"/>
        <w:ind w:firstLine="420"/>
        <w:spacing w:line="360" w:lineRule="auto"/>
        <w:rPr>
          <w:rFonts w:cs="黑体"/>
          <w:color w:val="000000"/>
          <w:sz w:val="21"/>
          <w:szCs w:val="21"/>
        </w:rPr>
      </w:pPr>
      <w:r>
        <w:rPr>
          <w:rFonts w:cs="黑体"/>
          <w:color w:val="000000"/>
          <w:sz w:val="21"/>
          <w:szCs w:val="21"/>
        </w:rPr>
        <w:t xml:space="preserve">由于平台系统的特殊性，当平台出现问题，公安的多个业务都会出现问题，会影响到公安的多个业务部门，为保证平台出现故障和灾难时能及时恢复正常运行，</w:t>
      </w:r>
      <w:r>
        <w:rPr>
          <w:rFonts w:hint="eastAsia" w:cs="黑体"/>
          <w:color w:val="000000"/>
          <w:sz w:val="21"/>
          <w:szCs w:val="21"/>
        </w:rPr>
        <w:t xml:space="preserve">须</w:t>
      </w:r>
      <w:r>
        <w:rPr>
          <w:rFonts w:cs="黑体"/>
          <w:color w:val="000000"/>
          <w:sz w:val="21"/>
          <w:szCs w:val="21"/>
        </w:rPr>
        <w:t xml:space="preserve">制定应急预案</w:t>
      </w:r>
      <w:r>
        <w:rPr>
          <w:rFonts w:hint="eastAsia" w:cs="黑体"/>
          <w:color w:val="000000"/>
          <w:sz w:val="21"/>
          <w:szCs w:val="21"/>
        </w:rPr>
        <w:t xml:space="preserve">：</w:t>
      </w:r>
      <w:r>
        <w:rPr>
          <w:rFonts w:cs="黑体"/>
          <w:color w:val="000000"/>
          <w:sz w:val="21"/>
          <w:szCs w:val="21"/>
        </w:rPr>
      </w:r>
      <w:r/>
    </w:p>
    <w:p>
      <w:pPr>
        <w:pStyle w:val="928"/>
        <w:ind w:firstLine="420"/>
        <w:spacing w:line="360" w:lineRule="auto"/>
        <w:rPr>
          <w:rFonts w:cs="黑体"/>
          <w:color w:val="000000"/>
          <w:sz w:val="21"/>
          <w:szCs w:val="21"/>
        </w:rPr>
      </w:pPr>
      <w:r>
        <w:rPr>
          <w:rFonts w:cs="黑体"/>
          <w:color w:val="000000"/>
          <w:sz w:val="21"/>
          <w:szCs w:val="21"/>
        </w:rPr>
        <w:t xml:space="preserve">根据具体故障等级划分进行相应的处理方式和流程。具体的故障</w:t>
      </w:r>
      <w:r>
        <w:rPr>
          <w:rFonts w:cs="黑体"/>
          <w:color w:val="000000"/>
          <w:sz w:val="21"/>
          <w:szCs w:val="21"/>
        </w:rPr>
        <w:t xml:space="preserve">等级分类如下。</w:t>
      </w:r>
      <w:r/>
    </w:p>
    <w:p>
      <w:pPr>
        <w:pStyle w:val="928"/>
        <w:ind w:firstLine="420"/>
        <w:spacing w:line="360" w:lineRule="auto"/>
        <w:rPr>
          <w:rFonts w:cs="黑体"/>
          <w:color w:val="000000"/>
          <w:sz w:val="21"/>
          <w:szCs w:val="21"/>
        </w:rPr>
      </w:pPr>
      <w:r>
        <w:rPr>
          <w:rFonts w:cs="黑体"/>
          <w:color w:val="000000"/>
          <w:sz w:val="21"/>
          <w:szCs w:val="21"/>
        </w:rPr>
        <w:t xml:space="preserve">一级：重大故障。主机或网络瘫痪，业务丢失。</w:t>
      </w:r>
      <w:r/>
    </w:p>
    <w:p>
      <w:pPr>
        <w:pStyle w:val="928"/>
        <w:ind w:firstLine="420"/>
        <w:spacing w:line="360" w:lineRule="auto"/>
        <w:rPr>
          <w:rFonts w:cs="黑体"/>
          <w:color w:val="000000"/>
          <w:sz w:val="21"/>
          <w:szCs w:val="21"/>
        </w:rPr>
      </w:pPr>
      <w:r>
        <w:rPr>
          <w:rFonts w:cs="黑体"/>
          <w:color w:val="000000"/>
          <w:sz w:val="21"/>
          <w:szCs w:val="21"/>
        </w:rPr>
        <w:t xml:space="preserve">二级：部分设备系统故障。部分设备工作不正常，影响和限制了部分业务运营。</w:t>
      </w:r>
      <w:r/>
    </w:p>
    <w:p>
      <w:pPr>
        <w:pStyle w:val="928"/>
        <w:ind w:firstLine="420"/>
        <w:spacing w:line="360" w:lineRule="auto"/>
        <w:rPr>
          <w:rFonts w:cs="黑体"/>
          <w:color w:val="000000"/>
          <w:sz w:val="21"/>
          <w:szCs w:val="21"/>
        </w:rPr>
      </w:pPr>
      <w:r>
        <w:rPr>
          <w:rFonts w:cs="黑体"/>
          <w:color w:val="000000"/>
          <w:sz w:val="21"/>
          <w:szCs w:val="21"/>
        </w:rPr>
        <w:t xml:space="preserve">三级：一般性技术故障。发现一些技术问题，但系统仍可正常运营。</w:t>
      </w:r>
      <w:r/>
    </w:p>
    <w:p>
      <w:pPr>
        <w:pStyle w:val="928"/>
        <w:ind w:firstLine="420"/>
        <w:spacing w:line="360" w:lineRule="auto"/>
        <w:rPr>
          <w:rFonts w:cs="黑体"/>
          <w:color w:val="000000"/>
          <w:sz w:val="21"/>
          <w:szCs w:val="21"/>
        </w:rPr>
      </w:pPr>
      <w:r>
        <w:rPr>
          <w:rFonts w:cs="黑体"/>
          <w:color w:val="000000"/>
          <w:sz w:val="21"/>
          <w:szCs w:val="21"/>
        </w:rPr>
        <w:t xml:space="preserve">针对平台不同故障级别，接入平台管理员应立即响应,判断故障源和故障等级，尝试解决故障。平台管理员自行无法解决的故障，应寻求平台供应商的技术支持。根据故障等级要求解决故障所需时间如下：</w:t>
      </w:r>
      <w:r/>
    </w:p>
    <w:p>
      <w:pPr>
        <w:pStyle w:val="928"/>
        <w:ind w:firstLine="420"/>
        <w:spacing w:line="360" w:lineRule="auto"/>
        <w:rPr>
          <w:rFonts w:cs="黑体"/>
          <w:color w:val="000000"/>
          <w:sz w:val="21"/>
          <w:szCs w:val="21"/>
        </w:rPr>
      </w:pPr>
      <w:r>
        <w:rPr>
          <w:rFonts w:cs="黑体"/>
          <w:color w:val="000000"/>
          <w:sz w:val="21"/>
          <w:szCs w:val="21"/>
        </w:rPr>
        <w:t xml:space="preserve">一级：重大故障，现场服务支持，4小时内解决故障。</w:t>
      </w:r>
      <w:r/>
    </w:p>
    <w:p>
      <w:pPr>
        <w:pStyle w:val="928"/>
        <w:ind w:firstLine="420"/>
        <w:spacing w:line="360" w:lineRule="auto"/>
        <w:rPr>
          <w:rFonts w:cs="黑体"/>
          <w:color w:val="000000"/>
          <w:sz w:val="21"/>
          <w:szCs w:val="21"/>
        </w:rPr>
      </w:pPr>
      <w:r>
        <w:rPr>
          <w:rFonts w:cs="黑体"/>
          <w:color w:val="000000"/>
          <w:sz w:val="21"/>
          <w:szCs w:val="21"/>
        </w:rPr>
        <w:t xml:space="preserve">二级：部分设备系统故障，7*24小时的应急支持和8小时内解决故障。</w:t>
      </w:r>
      <w:r/>
    </w:p>
    <w:p>
      <w:pPr>
        <w:pStyle w:val="928"/>
        <w:ind w:firstLine="420"/>
        <w:spacing w:line="360" w:lineRule="auto"/>
        <w:rPr>
          <w:rFonts w:cs="黑体"/>
          <w:color w:val="000000"/>
          <w:sz w:val="21"/>
          <w:szCs w:val="21"/>
        </w:rPr>
      </w:pPr>
      <w:r>
        <w:rPr>
          <w:rFonts w:cs="黑体"/>
          <w:color w:val="000000"/>
          <w:sz w:val="21"/>
          <w:szCs w:val="21"/>
        </w:rPr>
        <w:t xml:space="preserve">三级：一般性技术故障，电话远程支持，12小时内解决故障。</w:t>
      </w:r>
      <w:r/>
    </w:p>
    <w:p>
      <w:pPr>
        <w:pStyle w:val="928"/>
        <w:ind w:firstLine="420"/>
        <w:spacing w:line="360" w:lineRule="auto"/>
        <w:rPr>
          <w:rFonts w:cs="黑体"/>
          <w:color w:val="000000"/>
          <w:sz w:val="21"/>
          <w:szCs w:val="21"/>
        </w:rPr>
      </w:pPr>
      <w:r>
        <w:rPr>
          <w:rFonts w:cs="黑体"/>
          <w:color w:val="000000"/>
          <w:sz w:val="21"/>
          <w:szCs w:val="21"/>
        </w:rPr>
        <w:t xml:space="preserve">判定故障源为非平台系统自身故障的，平台管理员应联系告知该接入应用系统的相关管理部门或单位，处理应用系统故障。</w:t>
      </w:r>
      <w:r/>
    </w:p>
    <w:p>
      <w:pPr>
        <w:pStyle w:val="943"/>
        <w:spacing w:line="360" w:lineRule="auto"/>
        <w:rPr>
          <w:rFonts w:ascii="宋体" w:hAnsi="宋体" w:eastAsia="宋体" w:cs="黑体"/>
          <w:color w:val="000000"/>
          <w:sz w:val="21"/>
          <w:szCs w:val="21"/>
        </w:rPr>
      </w:pPr>
      <w:r>
        <w:rPr>
          <w:rFonts w:ascii="宋体" w:hAnsi="宋体" w:eastAsia="宋体" w:cs="黑体"/>
          <w:color w:val="000000"/>
          <w:sz w:val="21"/>
          <w:szCs w:val="21"/>
        </w:rPr>
        <w:t xml:space="preserve">对影响较大的和一时排除不了的故障，应及时向分管领导和上级主管部门汇报。故障解决后，应当做好故障记录和故障分析</w:t>
      </w:r>
      <w:r>
        <w:rPr>
          <w:rFonts w:hint="eastAsia" w:ascii="宋体" w:hAnsi="宋体" w:eastAsia="宋体" w:cs="黑体"/>
          <w:color w:val="000000"/>
          <w:sz w:val="21"/>
          <w:szCs w:val="21"/>
        </w:rPr>
        <w:t xml:space="preserve">。</w:t>
      </w:r>
      <w:r>
        <w:rPr>
          <w:rFonts w:ascii="宋体" w:hAnsi="宋体" w:eastAsia="宋体" w:cs="黑体"/>
          <w:color w:val="000000"/>
          <w:sz w:val="21"/>
          <w:szCs w:val="21"/>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2022年高清抓拍升级补盲项目1标段维保</w:t>
      </w:r>
      <w:r>
        <w:rPr>
          <w:rFonts w:ascii="宋体" w:hAnsi="宋体" w:eastAsia="宋体"/>
          <w:color w:val="000000"/>
          <w:sz w:val="21"/>
          <w:szCs w:val="21"/>
        </w:rPr>
      </w:r>
      <w:r/>
    </w:p>
    <w:p>
      <w:pPr>
        <w:pStyle w:val="943"/>
        <w:spacing w:line="360" w:lineRule="auto"/>
        <w:rPr>
          <w:rFonts w:ascii="宋体" w:hAnsi="宋体" w:eastAsia="宋体" w:cs="黑体"/>
          <w:color w:val="000000"/>
          <w:sz w:val="21"/>
          <w:szCs w:val="21"/>
        </w:rPr>
      </w:pPr>
      <w:r>
        <w:rPr>
          <w:rFonts w:hint="eastAsia" w:ascii="宋体" w:hAnsi="宋体" w:eastAsia="宋体" w:cs="黑体"/>
          <w:color w:val="000000"/>
          <w:sz w:val="21"/>
          <w:szCs w:val="21"/>
        </w:rPr>
        <w:t xml:space="preserve">1.1设备清单</w:t>
      </w:r>
      <w:r>
        <w:rPr>
          <w:rFonts w:ascii="宋体" w:hAnsi="宋体" w:eastAsia="宋体" w:cs="黑体"/>
          <w:color w:val="000000"/>
          <w:sz w:val="21"/>
          <w:szCs w:val="21"/>
        </w:rPr>
      </w:r>
      <w:r/>
    </w:p>
    <w:tbl>
      <w:tblPr>
        <w:tblW w:w="97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3109"/>
        <w:gridCol w:w="149"/>
        <w:gridCol w:w="4488"/>
        <w:gridCol w:w="598"/>
        <w:gridCol w:w="735"/>
      </w:tblGrid>
      <w:tr>
        <w:trPr>
          <w:trHeight w:val="454"/>
          <w:tblHeader/>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序号</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设备名称</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规格参数</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单位</w:t>
            </w:r>
            <w:r>
              <w:rPr>
                <w:color w:val="000000"/>
                <w:sz w:val="21"/>
                <w:szCs w:val="21"/>
              </w:rPr>
            </w:r>
            <w:r/>
          </w:p>
        </w:tc>
        <w:tc>
          <w:tcPr>
            <w:shd w:val="clear" w:color="000000" w:fill="ffffff"/>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数量</w:t>
            </w:r>
            <w:r>
              <w:rPr>
                <w:color w:val="000000"/>
                <w:sz w:val="21"/>
                <w:szCs w:val="21"/>
              </w:rPr>
            </w:r>
            <w:r/>
          </w:p>
        </w:tc>
      </w:tr>
      <w:tr>
        <w:trPr>
          <w:trHeight w:val="454"/>
        </w:trPr>
        <w:tc>
          <w:tcPr>
            <w:gridSpan w:val="6"/>
            <w:shd w:val="clear" w:color="000000" w:fill="ffffff"/>
            <w:tcMar>
              <w:left w:w="0" w:type="dxa"/>
              <w:right w:w="0" w:type="dxa"/>
            </w:tcMar>
            <w:tcW w:w="9785" w:type="dxa"/>
            <w:vAlign w:val="center"/>
            <w:textDirection w:val="lrTb"/>
            <w:noWrap w:val="false"/>
          </w:tcPr>
          <w:p>
            <w:pPr>
              <w:pStyle w:val="928"/>
              <w:jc w:val="center"/>
              <w:rPr>
                <w:color w:val="000000"/>
                <w:sz w:val="21"/>
                <w:szCs w:val="21"/>
              </w:rPr>
            </w:pPr>
            <w:r>
              <w:rPr>
                <w:rFonts w:hint="eastAsia"/>
                <w:color w:val="000000"/>
                <w:sz w:val="21"/>
                <w:szCs w:val="21"/>
              </w:rPr>
              <w:t xml:space="preserve">升级改造设备清单</w:t>
            </w:r>
            <w:r>
              <w:rPr>
                <w:color w:val="000000"/>
                <w:sz w:val="21"/>
                <w:szCs w:val="21"/>
              </w:rPr>
            </w:r>
            <w:r/>
          </w:p>
        </w:tc>
      </w:tr>
      <w:tr>
        <w:trPr>
          <w:trHeight w:val="454"/>
        </w:trPr>
        <w:tc>
          <w:tcPr>
            <w:gridSpan w:val="5"/>
            <w:shd w:val="clear" w:color="000000" w:fill="ffffff"/>
            <w:tcMar>
              <w:left w:w="0" w:type="dxa"/>
              <w:right w:w="0" w:type="dxa"/>
            </w:tcMar>
            <w:tcW w:w="9050" w:type="dxa"/>
            <w:vAlign w:val="center"/>
            <w:textDirection w:val="lrTb"/>
            <w:noWrap w:val="false"/>
          </w:tcPr>
          <w:p>
            <w:pPr>
              <w:pStyle w:val="928"/>
              <w:jc w:val="center"/>
              <w:rPr>
                <w:color w:val="000000"/>
                <w:sz w:val="21"/>
                <w:szCs w:val="21"/>
              </w:rPr>
            </w:pPr>
            <w:r>
              <w:rPr>
                <w:rFonts w:hint="eastAsia"/>
                <w:color w:val="000000"/>
                <w:sz w:val="21"/>
                <w:szCs w:val="21"/>
              </w:rPr>
              <w:t xml:space="preserve">一、前端设备</w:t>
            </w:r>
            <w:r>
              <w:rPr>
                <w:color w:val="000000"/>
                <w:sz w:val="21"/>
                <w:szCs w:val="21"/>
              </w:rPr>
            </w:r>
            <w:r/>
          </w:p>
        </w:tc>
        <w:tc>
          <w:tcPr>
            <w:shd w:val="clear" w:color="000000" w:fill="ffffff"/>
            <w:tcMar>
              <w:left w:w="0" w:type="dxa"/>
              <w:right w:w="0" w:type="dxa"/>
            </w:tcMar>
            <w:tcW w:w="735" w:type="dxa"/>
            <w:vAlign w:val="center"/>
            <w:textDirection w:val="lrTb"/>
            <w:noWrap w:val="false"/>
          </w:tcPr>
          <w:p>
            <w:pPr>
              <w:pStyle w:val="928"/>
              <w:jc w:val="center"/>
              <w:rPr>
                <w:color w:val="000000"/>
                <w:sz w:val="21"/>
                <w:szCs w:val="21"/>
              </w:rPr>
            </w:pP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1.1</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900W超卡设备</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详见原招标参数3.1.1</w:t>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75</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1.2</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500W超卡设备</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详见原招标参数3.1.2</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14</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1.3</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400W人卡设备</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详见原招标参数3.1.3</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1.4</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补光灯</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详见原招标参数3.1.4</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三合一补光灯</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详见原招标参数3.1.5</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90</w:t>
            </w:r>
            <w:r>
              <w:rPr>
                <w:color w:val="000000"/>
                <w:sz w:val="21"/>
                <w:szCs w:val="21"/>
              </w:rPr>
            </w:r>
            <w:r/>
          </w:p>
        </w:tc>
      </w:tr>
      <w:tr>
        <w:trPr>
          <w:trHeight w:val="454"/>
        </w:trPr>
        <w:tc>
          <w:tcPr>
            <w:gridSpan w:val="5"/>
            <w:shd w:val="clear" w:color="000000" w:fill="ffffff"/>
            <w:tcMar>
              <w:left w:w="0" w:type="dxa"/>
              <w:right w:w="0" w:type="dxa"/>
            </w:tcMar>
            <w:tcW w:w="9050" w:type="dxa"/>
            <w:vAlign w:val="center"/>
            <w:textDirection w:val="lrTb"/>
            <w:noWrap w:val="false"/>
          </w:tcPr>
          <w:p>
            <w:pPr>
              <w:pStyle w:val="928"/>
              <w:jc w:val="center"/>
              <w:rPr>
                <w:color w:val="000000"/>
                <w:sz w:val="21"/>
                <w:szCs w:val="21"/>
              </w:rPr>
            </w:pPr>
            <w:r>
              <w:rPr>
                <w:rFonts w:hint="eastAsia"/>
                <w:color w:val="000000"/>
                <w:sz w:val="21"/>
                <w:szCs w:val="21"/>
              </w:rPr>
              <w:t xml:space="preserve">二、杆体及配套设施</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2.1</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卡口监控杆（单支臂长度&lt;6m，含基础）</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套</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2.2</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卡口监控杆（6＜单支臂长度≤10m，含基础）</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套</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2.3</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卡口监控杆（10＜双支臂长度≤12m，含基础)</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套</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2.4</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卡口监控杆基础（单支臂长度≤6m)</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搬迁点位基础</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座</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2.5</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卡口监控杆支臂（臂长1.5m)</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辅道加横杆（含抱箍等）</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根</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2.6</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抱杆设备机箱</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尺寸不小于500*400*300(mm)</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套</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34</w:t>
            </w:r>
            <w:r>
              <w:rPr>
                <w:color w:val="000000"/>
                <w:sz w:val="21"/>
                <w:szCs w:val="21"/>
              </w:rPr>
            </w:r>
            <w:r/>
          </w:p>
        </w:tc>
      </w:tr>
      <w:tr>
        <w:trPr>
          <w:trHeight w:val="454"/>
        </w:trPr>
        <w:tc>
          <w:tcPr>
            <w:gridSpan w:val="4"/>
            <w:shd w:val="clear" w:color="000000" w:fill="ffffff"/>
            <w:tcMar>
              <w:left w:w="0" w:type="dxa"/>
              <w:right w:w="0" w:type="dxa"/>
            </w:tcMar>
            <w:tcW w:w="8452" w:type="dxa"/>
            <w:vAlign w:val="center"/>
            <w:textDirection w:val="lrTb"/>
            <w:noWrap w:val="false"/>
          </w:tcPr>
          <w:p>
            <w:pPr>
              <w:pStyle w:val="928"/>
              <w:jc w:val="center"/>
              <w:rPr>
                <w:color w:val="000000"/>
                <w:sz w:val="21"/>
                <w:szCs w:val="21"/>
              </w:rPr>
            </w:pPr>
            <w:r>
              <w:rPr>
                <w:rFonts w:hint="eastAsia"/>
                <w:color w:val="000000"/>
                <w:sz w:val="21"/>
                <w:szCs w:val="21"/>
              </w:rPr>
              <w:t xml:space="preserve">三、前端线材管材及辅材</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3.1</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电源线</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1200</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3.2</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塑料管</w:t>
            </w:r>
            <w:r>
              <w:rPr>
                <w:color w:val="000000"/>
                <w:sz w:val="21"/>
                <w:szCs w:val="21"/>
              </w:rPr>
            </w:r>
            <w:r/>
          </w:p>
        </w:tc>
        <w:tc>
          <w:tcPr>
            <w:shd w:val="clear" w:color="000000" w:fill="ffffff"/>
            <w:tcMar>
              <w:left w:w="0" w:type="dxa"/>
              <w:right w:w="0" w:type="dxa"/>
            </w:tcMar>
            <w:tcW w:w="4488"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700</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3.3</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镀锌钢管</w:t>
            </w:r>
            <w:r>
              <w:rPr>
                <w:color w:val="000000"/>
                <w:sz w:val="21"/>
                <w:szCs w:val="21"/>
              </w:rPr>
            </w:r>
            <w:r/>
          </w:p>
        </w:tc>
        <w:tc>
          <w:tcPr>
            <w:shd w:val="clear" w:color="000000" w:fill="ffffff"/>
            <w:tcMar>
              <w:left w:w="0" w:type="dxa"/>
              <w:right w:w="0" w:type="dxa"/>
            </w:tcMar>
            <w:tcW w:w="4488"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3.4</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PVC管</w:t>
            </w:r>
            <w:r>
              <w:rPr>
                <w:color w:val="000000"/>
                <w:sz w:val="21"/>
                <w:szCs w:val="21"/>
              </w:rPr>
            </w:r>
            <w:r/>
          </w:p>
        </w:tc>
        <w:tc>
          <w:tcPr>
            <w:shd w:val="clear" w:color="000000" w:fill="ffffff"/>
            <w:tcMar>
              <w:left w:w="0" w:type="dxa"/>
              <w:right w:w="0" w:type="dxa"/>
            </w:tcMar>
            <w:tcW w:w="4488"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w:t>
            </w:r>
            <w:r>
              <w:rPr>
                <w:rFonts w:hint="eastAsia"/>
                <w:color w:val="000000"/>
                <w:sz w:val="21"/>
                <w:szCs w:val="21"/>
              </w:rPr>
              <w:t xml:space="preserve">和材料具体技术参数要求</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270</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3.5</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波纹管</w:t>
            </w:r>
            <w:r>
              <w:rPr>
                <w:color w:val="000000"/>
                <w:sz w:val="21"/>
                <w:szCs w:val="21"/>
              </w:rPr>
            </w:r>
            <w:r/>
          </w:p>
        </w:tc>
        <w:tc>
          <w:tcPr>
            <w:shd w:val="clear" w:color="000000" w:fill="ffffff"/>
            <w:tcMar>
              <w:left w:w="0" w:type="dxa"/>
              <w:right w:w="0" w:type="dxa"/>
            </w:tcMar>
            <w:tcW w:w="4488"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180</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3.6</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窖井</w:t>
            </w:r>
            <w:r>
              <w:rPr>
                <w:color w:val="000000"/>
                <w:sz w:val="21"/>
                <w:szCs w:val="21"/>
              </w:rPr>
            </w:r>
            <w:r/>
          </w:p>
        </w:tc>
        <w:tc>
          <w:tcPr>
            <w:shd w:val="clear" w:color="000000" w:fill="ffffff"/>
            <w:tcMar>
              <w:left w:w="0" w:type="dxa"/>
              <w:right w:w="0" w:type="dxa"/>
            </w:tcMar>
            <w:tcW w:w="4488"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处</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11</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3.7</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其他辅材</w:t>
            </w:r>
            <w:r>
              <w:rPr>
                <w:color w:val="000000"/>
                <w:sz w:val="21"/>
                <w:szCs w:val="21"/>
              </w:rPr>
            </w:r>
            <w:r/>
          </w:p>
        </w:tc>
        <w:tc>
          <w:tcPr>
            <w:shd w:val="clear" w:color="000000" w:fill="ffffff"/>
            <w:tcMar>
              <w:left w:w="0" w:type="dxa"/>
              <w:right w:w="0" w:type="dxa"/>
            </w:tcMar>
            <w:tcW w:w="4488"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路</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89</w:t>
            </w:r>
            <w:r>
              <w:rPr>
                <w:color w:val="000000"/>
                <w:sz w:val="21"/>
                <w:szCs w:val="21"/>
              </w:rPr>
            </w:r>
            <w:r/>
          </w:p>
        </w:tc>
      </w:tr>
      <w:tr>
        <w:trPr>
          <w:trHeight w:val="454"/>
        </w:trPr>
        <w:tc>
          <w:tcPr>
            <w:gridSpan w:val="4"/>
            <w:shd w:val="clear" w:color="000000" w:fill="ffffff"/>
            <w:tcMar>
              <w:left w:w="0" w:type="dxa"/>
              <w:right w:w="0" w:type="dxa"/>
            </w:tcMar>
            <w:tcW w:w="8452" w:type="dxa"/>
            <w:vAlign w:val="center"/>
            <w:textDirection w:val="lrTb"/>
            <w:noWrap w:val="false"/>
          </w:tcPr>
          <w:p>
            <w:pPr>
              <w:pStyle w:val="928"/>
              <w:jc w:val="center"/>
              <w:rPr>
                <w:color w:val="000000"/>
                <w:sz w:val="21"/>
                <w:szCs w:val="21"/>
              </w:rPr>
            </w:pPr>
            <w:r>
              <w:rPr>
                <w:rFonts w:hint="eastAsia"/>
                <w:color w:val="000000"/>
                <w:sz w:val="21"/>
                <w:szCs w:val="21"/>
              </w:rPr>
              <w:t xml:space="preserve">四、前端安装工程费</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4.1</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引电费用</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含引电协调费、安装电表、电费等中的一种或几种。</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点</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26</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4.2</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系统集成费</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本项目涉及安装调试等各类人工集成费用</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路</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88</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4.3</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运维费</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本项目涉及前后端软硬件技术服务费（365天*24小时）</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路</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88</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4.4</w:t>
            </w:r>
            <w:r>
              <w:rPr>
                <w:color w:val="000000"/>
                <w:sz w:val="21"/>
                <w:szCs w:val="21"/>
              </w:rPr>
            </w:r>
            <w:r/>
          </w:p>
        </w:tc>
        <w:tc>
          <w:tcPr>
            <w:gridSpan w:val="2"/>
            <w:shd w:val="clear" w:color="000000" w:fill="ffffff"/>
            <w:tcMar>
              <w:left w:w="0" w:type="dxa"/>
              <w:right w:w="0" w:type="dxa"/>
            </w:tcMar>
            <w:tcW w:w="3258" w:type="dxa"/>
            <w:vAlign w:val="center"/>
            <w:textDirection w:val="lrTb"/>
            <w:noWrap w:val="false"/>
          </w:tcPr>
          <w:p>
            <w:pPr>
              <w:pStyle w:val="928"/>
              <w:jc w:val="center"/>
              <w:rPr>
                <w:color w:val="000000"/>
                <w:sz w:val="21"/>
                <w:szCs w:val="21"/>
              </w:rPr>
            </w:pPr>
            <w:r>
              <w:rPr>
                <w:rFonts w:hint="eastAsia"/>
                <w:color w:val="000000"/>
                <w:sz w:val="21"/>
                <w:szCs w:val="21"/>
              </w:rPr>
              <w:t xml:space="preserve">光纤链路租赁费</w:t>
            </w:r>
            <w:r>
              <w:rPr>
                <w:color w:val="000000"/>
                <w:sz w:val="21"/>
                <w:szCs w:val="21"/>
              </w:rPr>
            </w:r>
            <w:r/>
          </w:p>
        </w:tc>
        <w:tc>
          <w:tcPr>
            <w:shd w:val="clear" w:color="000000" w:fill="ffffff"/>
            <w:tcMar>
              <w:left w:w="0" w:type="dxa"/>
              <w:right w:w="0" w:type="dxa"/>
            </w:tcMar>
            <w:tcW w:w="4488" w:type="dxa"/>
            <w:vAlign w:val="center"/>
            <w:textDirection w:val="lrTb"/>
            <w:noWrap w:val="false"/>
          </w:tcPr>
          <w:p>
            <w:pPr>
              <w:pStyle w:val="928"/>
              <w:jc w:val="center"/>
              <w:rPr>
                <w:color w:val="000000"/>
                <w:sz w:val="21"/>
                <w:szCs w:val="21"/>
              </w:rPr>
            </w:pPr>
            <w:r>
              <w:rPr>
                <w:rFonts w:hint="eastAsia"/>
                <w:color w:val="000000"/>
                <w:sz w:val="21"/>
                <w:szCs w:val="21"/>
              </w:rPr>
              <w:t xml:space="preserve">一年</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点</w:t>
            </w:r>
            <w:r>
              <w:rPr>
                <w:color w:val="000000"/>
                <w:sz w:val="21"/>
                <w:szCs w:val="21"/>
              </w:rPr>
            </w:r>
            <w:r/>
          </w:p>
        </w:tc>
        <w:tc>
          <w:tcPr>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26</w:t>
            </w:r>
            <w:r>
              <w:rPr>
                <w:color w:val="000000"/>
                <w:sz w:val="21"/>
                <w:szCs w:val="21"/>
              </w:rPr>
            </w:r>
            <w:r/>
          </w:p>
        </w:tc>
      </w:tr>
      <w:tr>
        <w:trPr>
          <w:trHeight w:val="454"/>
        </w:trPr>
        <w:tc>
          <w:tcPr>
            <w:gridSpan w:val="6"/>
            <w:shd w:val="clear" w:color="000000" w:fill="ffffff"/>
            <w:tcMar>
              <w:left w:w="0" w:type="dxa"/>
              <w:right w:w="0" w:type="dxa"/>
            </w:tcMar>
            <w:tcW w:w="9785" w:type="dxa"/>
            <w:vAlign w:val="center"/>
            <w:textDirection w:val="lrTb"/>
            <w:noWrap w:val="false"/>
          </w:tcPr>
          <w:p>
            <w:pPr>
              <w:pStyle w:val="928"/>
              <w:jc w:val="center"/>
              <w:rPr>
                <w:color w:val="000000"/>
                <w:sz w:val="21"/>
                <w:szCs w:val="21"/>
              </w:rPr>
            </w:pPr>
            <w:r>
              <w:rPr>
                <w:rFonts w:hint="eastAsia"/>
                <w:color w:val="000000"/>
                <w:sz w:val="21"/>
                <w:szCs w:val="21"/>
              </w:rPr>
              <w:t xml:space="preserve">采购设备清单</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shd w:val="clear" w:color="000000" w:fill="ffffff"/>
            <w:tcMar>
              <w:left w:w="0" w:type="dxa"/>
              <w:right w:w="0" w:type="dxa"/>
            </w:tcMar>
            <w:tcW w:w="3109" w:type="dxa"/>
            <w:vAlign w:val="center"/>
            <w:textDirection w:val="lrTb"/>
            <w:noWrap w:val="false"/>
          </w:tcPr>
          <w:p>
            <w:pPr>
              <w:pStyle w:val="928"/>
              <w:jc w:val="center"/>
              <w:rPr>
                <w:color w:val="000000"/>
                <w:sz w:val="21"/>
                <w:szCs w:val="21"/>
              </w:rPr>
            </w:pPr>
            <w:r>
              <w:rPr>
                <w:rFonts w:hint="eastAsia"/>
                <w:color w:val="000000"/>
                <w:sz w:val="21"/>
                <w:szCs w:val="21"/>
              </w:rPr>
              <w:t xml:space="preserve">云存储设备</w:t>
            </w:r>
            <w:r>
              <w:rPr>
                <w:color w:val="000000"/>
                <w:sz w:val="21"/>
                <w:szCs w:val="21"/>
              </w:rPr>
            </w:r>
            <w:r/>
          </w:p>
        </w:tc>
        <w:tc>
          <w:tcPr>
            <w:gridSpan w:val="2"/>
            <w:shd w:val="clear" w:color="000000" w:fill="ffffff"/>
            <w:tcMar>
              <w:left w:w="0" w:type="dxa"/>
              <w:right w:w="0" w:type="dxa"/>
            </w:tcMar>
            <w:tcW w:w="4637"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详见原招标参数3.1.6</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shd w:val="clear" w:color="000000" w:fill="ffffff"/>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shd w:val="clear" w:color="000000" w:fill="ffffff"/>
            <w:tcMar>
              <w:left w:w="0" w:type="dxa"/>
              <w:right w:w="0" w:type="dxa"/>
            </w:tcMar>
            <w:tcW w:w="3109" w:type="dxa"/>
            <w:vAlign w:val="center"/>
            <w:textDirection w:val="lrTb"/>
            <w:noWrap w:val="false"/>
          </w:tcPr>
          <w:p>
            <w:pPr>
              <w:pStyle w:val="928"/>
              <w:jc w:val="center"/>
              <w:rPr>
                <w:color w:val="000000"/>
                <w:sz w:val="21"/>
                <w:szCs w:val="21"/>
              </w:rPr>
            </w:pPr>
            <w:r>
              <w:rPr>
                <w:rFonts w:hint="eastAsia"/>
                <w:color w:val="000000"/>
                <w:sz w:val="21"/>
                <w:szCs w:val="21"/>
              </w:rPr>
              <w:t xml:space="preserve">汇聚交换机</w:t>
            </w:r>
            <w:r>
              <w:rPr>
                <w:color w:val="000000"/>
                <w:sz w:val="21"/>
                <w:szCs w:val="21"/>
              </w:rPr>
            </w:r>
            <w:r/>
          </w:p>
        </w:tc>
        <w:tc>
          <w:tcPr>
            <w:gridSpan w:val="2"/>
            <w:shd w:val="clear" w:color="000000" w:fill="ffffff"/>
            <w:tcMar>
              <w:left w:w="0" w:type="dxa"/>
              <w:right w:w="0" w:type="dxa"/>
            </w:tcMar>
            <w:tcW w:w="4637"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详见原招标参数3.1.7</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shd w:val="clear" w:color="000000" w:fill="ffffff"/>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shd w:val="clear" w:color="000000" w:fill="ffffff"/>
            <w:tcMar>
              <w:left w:w="0" w:type="dxa"/>
              <w:right w:w="0" w:type="dxa"/>
            </w:tcMar>
            <w:tcW w:w="3109" w:type="dxa"/>
            <w:vAlign w:val="center"/>
            <w:textDirection w:val="lrTb"/>
            <w:noWrap w:val="false"/>
          </w:tcPr>
          <w:p>
            <w:pPr>
              <w:pStyle w:val="928"/>
              <w:jc w:val="center"/>
              <w:rPr>
                <w:color w:val="000000"/>
                <w:sz w:val="21"/>
                <w:szCs w:val="21"/>
              </w:rPr>
            </w:pPr>
            <w:r>
              <w:rPr>
                <w:rFonts w:hint="eastAsia"/>
                <w:color w:val="000000"/>
                <w:sz w:val="21"/>
                <w:szCs w:val="21"/>
              </w:rPr>
              <w:t xml:space="preserve">DP切屏器</w:t>
            </w:r>
            <w:r>
              <w:rPr>
                <w:color w:val="000000"/>
                <w:sz w:val="21"/>
                <w:szCs w:val="21"/>
              </w:rPr>
            </w:r>
            <w:r/>
          </w:p>
        </w:tc>
        <w:tc>
          <w:tcPr>
            <w:gridSpan w:val="2"/>
            <w:shd w:val="clear" w:color="000000" w:fill="ffffff"/>
            <w:tcMar>
              <w:left w:w="0" w:type="dxa"/>
              <w:right w:w="0" w:type="dxa"/>
            </w:tcMar>
            <w:tcW w:w="4637"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详见原招标参数3.1.8</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shd w:val="clear" w:color="000000" w:fill="ffffff"/>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8</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shd w:val="clear" w:color="000000" w:fill="ffffff"/>
            <w:tcMar>
              <w:left w:w="0" w:type="dxa"/>
              <w:right w:w="0" w:type="dxa"/>
            </w:tcMar>
            <w:tcW w:w="3109" w:type="dxa"/>
            <w:vAlign w:val="center"/>
            <w:textDirection w:val="lrTb"/>
            <w:noWrap w:val="false"/>
          </w:tcPr>
          <w:p>
            <w:pPr>
              <w:pStyle w:val="928"/>
              <w:jc w:val="center"/>
              <w:rPr>
                <w:color w:val="000000"/>
                <w:sz w:val="21"/>
                <w:szCs w:val="21"/>
              </w:rPr>
            </w:pPr>
            <w:r>
              <w:rPr>
                <w:rFonts w:hint="eastAsia"/>
                <w:color w:val="000000"/>
                <w:sz w:val="21"/>
                <w:szCs w:val="21"/>
              </w:rPr>
              <w:t xml:space="preserve">标签打印机</w:t>
            </w:r>
            <w:r>
              <w:rPr>
                <w:color w:val="000000"/>
                <w:sz w:val="21"/>
                <w:szCs w:val="21"/>
              </w:rPr>
            </w:r>
            <w:r/>
          </w:p>
        </w:tc>
        <w:tc>
          <w:tcPr>
            <w:gridSpan w:val="2"/>
            <w:shd w:val="clear" w:color="000000" w:fill="ffffff"/>
            <w:tcMar>
              <w:left w:w="0" w:type="dxa"/>
              <w:right w:w="0" w:type="dxa"/>
            </w:tcMar>
            <w:tcW w:w="4637"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详见原招标参数3.1.9</w:t>
            </w:r>
            <w:r>
              <w:rPr>
                <w:color w:val="000000"/>
                <w:sz w:val="21"/>
                <w:szCs w:val="21"/>
              </w:rPr>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shd w:val="clear" w:color="000000" w:fill="ffffff"/>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454"/>
        </w:trPr>
        <w:tc>
          <w:tcPr>
            <w:shd w:val="clear" w:color="000000" w:fill="ffffff"/>
            <w:tcMar>
              <w:left w:w="0" w:type="dxa"/>
              <w:right w:w="0" w:type="dxa"/>
            </w:tcMar>
            <w:tcW w:w="706"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c>
          <w:tcPr>
            <w:shd w:val="clear" w:color="000000" w:fill="ffffff"/>
            <w:tcMar>
              <w:left w:w="0" w:type="dxa"/>
              <w:right w:w="0" w:type="dxa"/>
            </w:tcMar>
            <w:tcW w:w="3109" w:type="dxa"/>
            <w:vAlign w:val="center"/>
            <w:textDirection w:val="lrTb"/>
            <w:noWrap w:val="false"/>
          </w:tcPr>
          <w:p>
            <w:pPr>
              <w:pStyle w:val="928"/>
              <w:jc w:val="center"/>
              <w:rPr>
                <w:color w:val="000000"/>
                <w:sz w:val="21"/>
                <w:szCs w:val="21"/>
              </w:rPr>
            </w:pPr>
            <w:r>
              <w:rPr>
                <w:rFonts w:hint="eastAsia"/>
                <w:color w:val="000000"/>
                <w:sz w:val="21"/>
                <w:szCs w:val="21"/>
              </w:rPr>
              <w:t xml:space="preserve">笔记本电脑</w:t>
            </w:r>
            <w:r>
              <w:rPr>
                <w:color w:val="000000"/>
                <w:sz w:val="21"/>
                <w:szCs w:val="21"/>
              </w:rPr>
            </w:r>
            <w:r/>
          </w:p>
        </w:tc>
        <w:tc>
          <w:tcPr>
            <w:gridSpan w:val="2"/>
            <w:shd w:val="clear" w:color="000000" w:fill="ffffff"/>
            <w:tcMar>
              <w:left w:w="0" w:type="dxa"/>
              <w:right w:w="0" w:type="dxa"/>
            </w:tcMar>
            <w:tcW w:w="463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详见原招标参数3.1.10</w:t>
            </w:r>
            <w:r/>
          </w:p>
        </w:tc>
        <w:tc>
          <w:tcPr>
            <w:shd w:val="clear" w:color="000000" w:fill="ffffff"/>
            <w:tcMar>
              <w:left w:w="0" w:type="dxa"/>
              <w:right w:w="0" w:type="dxa"/>
            </w:tcMar>
            <w:tcW w:w="59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shd w:val="clear" w:color="000000" w:fill="ffffff"/>
            <w:tcMar>
              <w:left w:w="0" w:type="dxa"/>
              <w:right w:w="0" w:type="dxa"/>
            </w:tcMar>
            <w:tcW w:w="735"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bl>
    <w:p>
      <w:pPr>
        <w:pStyle w:val="943"/>
        <w:spacing w:line="360" w:lineRule="auto"/>
        <w:rPr>
          <w:rFonts w:ascii="宋体" w:hAnsi="宋体" w:eastAsia="宋体" w:cs="黑体"/>
          <w:color w:val="000000"/>
          <w:sz w:val="21"/>
          <w:szCs w:val="21"/>
        </w:rPr>
      </w:pPr>
      <w:r>
        <w:rPr>
          <w:rFonts w:hint="eastAsia" w:ascii="宋体" w:hAnsi="宋体" w:eastAsia="宋体" w:cs="黑体"/>
          <w:color w:val="000000"/>
          <w:sz w:val="21"/>
          <w:szCs w:val="21"/>
        </w:rPr>
        <w:t xml:space="preserve">2、升级改造点位表</w:t>
      </w:r>
      <w:r>
        <w:rPr>
          <w:rFonts w:ascii="宋体" w:hAnsi="宋体" w:eastAsia="宋体" w:cs="黑体"/>
          <w:color w:val="000000"/>
          <w:sz w:val="21"/>
          <w:szCs w:val="21"/>
        </w:rPr>
      </w:r>
      <w:r/>
    </w:p>
    <w:tbl>
      <w:tblPr>
        <w:tblW w:w="100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313"/>
        <w:gridCol w:w="596"/>
        <w:gridCol w:w="596"/>
        <w:gridCol w:w="489"/>
        <w:gridCol w:w="828"/>
        <w:gridCol w:w="797"/>
        <w:gridCol w:w="785"/>
        <w:gridCol w:w="967"/>
        <w:gridCol w:w="1067"/>
        <w:gridCol w:w="733"/>
      </w:tblGrid>
      <w:tr>
        <w:trPr>
          <w:trHeight w:val="285"/>
          <w:tblHeader/>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序号</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点位名称</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900W</w:t>
            </w:r>
            <w:r>
              <w:rPr>
                <w:color w:val="000000"/>
                <w:sz w:val="21"/>
                <w:szCs w:val="21"/>
              </w:rPr>
            </w:r>
            <w:r/>
          </w:p>
          <w:p>
            <w:pPr>
              <w:pStyle w:val="928"/>
              <w:jc w:val="center"/>
              <w:rPr>
                <w:color w:val="000000"/>
                <w:sz w:val="21"/>
                <w:szCs w:val="21"/>
              </w:rPr>
            </w:pPr>
            <w:r>
              <w:rPr>
                <w:rFonts w:hint="eastAsia"/>
                <w:color w:val="000000"/>
                <w:sz w:val="21"/>
                <w:szCs w:val="21"/>
              </w:rPr>
              <w:t xml:space="preserve">超卡</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500W</w:t>
            </w:r>
            <w:r>
              <w:rPr>
                <w:color w:val="000000"/>
                <w:sz w:val="21"/>
                <w:szCs w:val="21"/>
              </w:rPr>
            </w:r>
            <w:r/>
          </w:p>
          <w:p>
            <w:pPr>
              <w:pStyle w:val="928"/>
              <w:jc w:val="center"/>
              <w:rPr>
                <w:color w:val="000000"/>
                <w:sz w:val="21"/>
                <w:szCs w:val="21"/>
              </w:rPr>
            </w:pPr>
            <w:r>
              <w:rPr>
                <w:rFonts w:hint="eastAsia"/>
                <w:color w:val="000000"/>
                <w:sz w:val="21"/>
                <w:szCs w:val="21"/>
              </w:rPr>
              <w:t xml:space="preserve">超卡</w:t>
            </w: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rFonts w:hint="eastAsia"/>
                <w:color w:val="000000"/>
                <w:sz w:val="21"/>
                <w:szCs w:val="21"/>
              </w:rPr>
              <w:t xml:space="preserve">人卡</w:t>
            </w: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三合一</w:t>
            </w:r>
            <w:r>
              <w:rPr>
                <w:color w:val="000000"/>
                <w:sz w:val="21"/>
                <w:szCs w:val="21"/>
              </w:rPr>
            </w:r>
            <w:r/>
          </w:p>
          <w:p>
            <w:pPr>
              <w:pStyle w:val="928"/>
              <w:jc w:val="center"/>
              <w:rPr>
                <w:color w:val="000000"/>
                <w:sz w:val="21"/>
                <w:szCs w:val="21"/>
              </w:rPr>
            </w:pPr>
            <w:r>
              <w:rPr>
                <w:rFonts w:hint="eastAsia"/>
                <w:color w:val="000000"/>
                <w:sz w:val="21"/>
                <w:szCs w:val="21"/>
              </w:rPr>
              <w:t xml:space="preserve">补光灯</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rFonts w:hint="eastAsia"/>
                <w:color w:val="000000"/>
                <w:sz w:val="21"/>
                <w:szCs w:val="21"/>
              </w:rPr>
              <w:t xml:space="preserve">补光灯</w:t>
            </w: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rFonts w:hint="eastAsia"/>
                <w:color w:val="000000"/>
                <w:sz w:val="21"/>
                <w:szCs w:val="21"/>
              </w:rPr>
              <w:t xml:space="preserve">监控杆</w:t>
            </w: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rFonts w:hint="eastAsia"/>
                <w:color w:val="000000"/>
                <w:sz w:val="21"/>
                <w:szCs w:val="21"/>
              </w:rPr>
              <w:t xml:space="preserve">杆体基础</w:t>
            </w: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rFonts w:hint="eastAsia"/>
                <w:color w:val="000000"/>
                <w:sz w:val="21"/>
                <w:szCs w:val="21"/>
              </w:rPr>
              <w:t xml:space="preserve">新增支臂</w:t>
            </w: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抱杆箱</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太平南路县府西街北</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郑和</w:t>
            </w:r>
            <w:r>
              <w:rPr>
                <w:rFonts w:hint="eastAsia"/>
                <w:color w:val="000000"/>
                <w:sz w:val="21"/>
                <w:szCs w:val="21"/>
              </w:rPr>
              <w:t xml:space="preserve">路盐铁塘桥</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7</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rFonts w:hint="eastAsia"/>
                <w:color w:val="000000"/>
                <w:sz w:val="21"/>
                <w:szCs w:val="21"/>
              </w:rPr>
              <w:t xml:space="preserve">1.5m*2</w:t>
            </w: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县府西街盐铁塘桥</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上海西路盐铁塘桥</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昆太路城西卡口北</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204国道新浏河大桥</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7</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太蓬卡口</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8</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8</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G204南郊卡口</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8</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9</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南郊新农村30组</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10</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南郊太安电灌站小路</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11</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南郊污水处理厂小路</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12</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金仓湖桥底东环向南</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13</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金仓湖桥底西环向北</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14</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太沙公路杨林桥北</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S339新湖卡口</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8</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16</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新周卡口</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17</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S338璜泾卡口</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8</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18</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鹿河江堤卡口</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19</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太海汽渡东江堤</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20</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飞沪路陆渡卡口</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21</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346国道洋桥卡口</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22</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浏河梅家</w:t>
            </w:r>
            <w:r>
              <w:rPr>
                <w:rFonts w:hint="eastAsia"/>
                <w:color w:val="000000"/>
                <w:sz w:val="21"/>
                <w:szCs w:val="21"/>
              </w:rPr>
              <w:t xml:space="preserve">宅卡口</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23</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浏河阅兵村K407小路</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24</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科博尔厂东</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25</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浏河科博尔卡口</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26</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浏河石桥南路</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rFonts w:hint="eastAsia"/>
                <w:color w:val="000000"/>
                <w:sz w:val="21"/>
                <w:szCs w:val="21"/>
              </w:rPr>
              <w:t xml:space="preserve">27</w:t>
            </w: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购买备品备件</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color w:val="000000"/>
                <w:sz w:val="21"/>
                <w:szCs w:val="21"/>
              </w:rPr>
            </w:r>
            <w:r/>
          </w:p>
        </w:tc>
      </w:tr>
      <w:tr>
        <w:trPr>
          <w:trHeight w:val="285"/>
        </w:trPr>
        <w:tc>
          <w:tcPr>
            <w:tcMar>
              <w:left w:w="0" w:type="dxa"/>
              <w:right w:w="0" w:type="dxa"/>
            </w:tcMar>
            <w:tcW w:w="87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2313" w:type="dxa"/>
            <w:vAlign w:val="center"/>
            <w:textDirection w:val="lrTb"/>
            <w:noWrap w:val="false"/>
          </w:tcPr>
          <w:p>
            <w:pPr>
              <w:pStyle w:val="928"/>
              <w:jc w:val="center"/>
              <w:rPr>
                <w:color w:val="000000"/>
                <w:sz w:val="21"/>
                <w:szCs w:val="21"/>
              </w:rPr>
            </w:pPr>
            <w:r>
              <w:rPr>
                <w:rFonts w:hint="eastAsia"/>
                <w:color w:val="000000"/>
                <w:sz w:val="21"/>
                <w:szCs w:val="21"/>
              </w:rPr>
              <w:t xml:space="preserve">合计</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75</w:t>
            </w:r>
            <w:r>
              <w:rPr>
                <w:color w:val="000000"/>
                <w:sz w:val="21"/>
                <w:szCs w:val="21"/>
              </w:rPr>
            </w:r>
            <w:r/>
          </w:p>
        </w:tc>
        <w:tc>
          <w:tcPr>
            <w:tcMar>
              <w:left w:w="0" w:type="dxa"/>
              <w:right w:w="0" w:type="dxa"/>
            </w:tcMar>
            <w:tcW w:w="596" w:type="dxa"/>
            <w:vAlign w:val="center"/>
            <w:textDirection w:val="lrTb"/>
            <w:noWrap w:val="false"/>
          </w:tcPr>
          <w:p>
            <w:pPr>
              <w:pStyle w:val="928"/>
              <w:jc w:val="center"/>
              <w:rPr>
                <w:color w:val="000000"/>
                <w:sz w:val="21"/>
                <w:szCs w:val="21"/>
              </w:rPr>
            </w:pPr>
            <w:r>
              <w:rPr>
                <w:rFonts w:hint="eastAsia"/>
                <w:color w:val="000000"/>
                <w:sz w:val="21"/>
                <w:szCs w:val="21"/>
              </w:rPr>
              <w:t xml:space="preserve">14</w:t>
            </w:r>
            <w:r>
              <w:rPr>
                <w:color w:val="000000"/>
                <w:sz w:val="21"/>
                <w:szCs w:val="21"/>
              </w:rPr>
            </w:r>
            <w:r/>
          </w:p>
        </w:tc>
        <w:tc>
          <w:tcPr>
            <w:tcMar>
              <w:left w:w="0" w:type="dxa"/>
              <w:right w:w="0" w:type="dxa"/>
            </w:tcMar>
            <w:tcW w:w="489"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c>
          <w:tcPr>
            <w:tcMar>
              <w:left w:w="0" w:type="dxa"/>
              <w:right w:w="0" w:type="dxa"/>
            </w:tcMar>
            <w:tcW w:w="828" w:type="dxa"/>
            <w:vAlign w:val="center"/>
            <w:textDirection w:val="lrTb"/>
            <w:noWrap w:val="false"/>
          </w:tcPr>
          <w:p>
            <w:pPr>
              <w:pStyle w:val="928"/>
              <w:jc w:val="center"/>
              <w:rPr>
                <w:color w:val="000000"/>
                <w:sz w:val="21"/>
                <w:szCs w:val="21"/>
              </w:rPr>
            </w:pPr>
            <w:r>
              <w:rPr>
                <w:rFonts w:hint="eastAsia"/>
                <w:color w:val="000000"/>
                <w:sz w:val="21"/>
                <w:szCs w:val="21"/>
              </w:rPr>
              <w:t xml:space="preserve">90</w:t>
            </w:r>
            <w:r>
              <w:rPr>
                <w:color w:val="000000"/>
                <w:sz w:val="21"/>
                <w:szCs w:val="21"/>
              </w:rPr>
            </w:r>
            <w:r/>
          </w:p>
        </w:tc>
        <w:tc>
          <w:tcPr>
            <w:tcMar>
              <w:left w:w="0" w:type="dxa"/>
              <w:right w:w="0" w:type="dxa"/>
            </w:tcMar>
            <w:tcW w:w="797"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85" w:type="dxa"/>
            <w:vAlign w:val="center"/>
            <w:textDirection w:val="lrTb"/>
            <w:noWrap w:val="false"/>
          </w:tcPr>
          <w:p>
            <w:pPr>
              <w:pStyle w:val="928"/>
              <w:jc w:val="center"/>
              <w:rPr>
                <w:color w:val="000000"/>
                <w:sz w:val="21"/>
                <w:szCs w:val="21"/>
              </w:rPr>
            </w:pPr>
            <w:r>
              <w:rPr>
                <w:rFonts w:hint="eastAsia"/>
                <w:color w:val="000000"/>
                <w:sz w:val="21"/>
                <w:szCs w:val="21"/>
              </w:rPr>
              <w:t xml:space="preserve">11</w:t>
            </w:r>
            <w:r>
              <w:rPr>
                <w:color w:val="000000"/>
                <w:sz w:val="21"/>
                <w:szCs w:val="21"/>
              </w:rPr>
            </w:r>
            <w:r/>
          </w:p>
        </w:tc>
        <w:tc>
          <w:tcPr>
            <w:tcMar>
              <w:left w:w="0" w:type="dxa"/>
              <w:right w:w="0" w:type="dxa"/>
            </w:tcMar>
            <w:tcW w:w="967"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1067"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33" w:type="dxa"/>
            <w:vAlign w:val="center"/>
            <w:textDirection w:val="lrTb"/>
            <w:noWrap w:val="false"/>
          </w:tcPr>
          <w:p>
            <w:pPr>
              <w:pStyle w:val="928"/>
              <w:jc w:val="center"/>
              <w:rPr>
                <w:color w:val="000000"/>
                <w:sz w:val="21"/>
                <w:szCs w:val="21"/>
              </w:rPr>
            </w:pPr>
            <w:r>
              <w:rPr>
                <w:rFonts w:hint="eastAsia"/>
                <w:color w:val="000000"/>
                <w:sz w:val="21"/>
                <w:szCs w:val="21"/>
              </w:rPr>
              <w:t xml:space="preserve">34</w:t>
            </w:r>
            <w:r>
              <w:rPr>
                <w:color w:val="000000"/>
                <w:sz w:val="21"/>
                <w:szCs w:val="21"/>
              </w:rPr>
            </w:r>
            <w:r/>
          </w:p>
        </w:tc>
      </w:tr>
    </w:tbl>
    <w:p>
      <w:pPr>
        <w:pStyle w:val="943"/>
        <w:spacing w:line="360" w:lineRule="auto"/>
        <w:rPr>
          <w:rFonts w:ascii="宋体" w:hAnsi="宋体" w:eastAsia="宋体" w:cs="黑体"/>
          <w:color w:val="000000"/>
          <w:sz w:val="21"/>
          <w:szCs w:val="21"/>
        </w:rPr>
      </w:pPr>
      <w:r>
        <w:rPr>
          <w:rFonts w:hint="eastAsia" w:ascii="宋体" w:hAnsi="宋体" w:eastAsia="宋体" w:cs="黑体"/>
          <w:color w:val="000000"/>
          <w:sz w:val="21"/>
          <w:szCs w:val="21"/>
        </w:rPr>
        <w:t xml:space="preserve">3、本项目包含已有市电引入或改造，以及光纤线路引入，中标单位要负责相关接电及管线工程，维保期内涉及的施工费用、网络费用和供电费用等由中标单位负责解决。工程按照相关要求做好隐蔽工程，不得明线裸露以及随意飞线，并对原有的飞线和裸露线路进行整改，原有裸纤的点位，不得私自改变裸纤的光纤模式。借纤点位中标单位负责相关借纤线路工程的新建和维修。中标方需满足采购方在本标段点位借杆、借电、借网额外安装ETC、测速雷达、视频监控等设备的需求，不得额外收取其他费用。</w:t>
      </w:r>
      <w:r>
        <w:rPr>
          <w:rFonts w:ascii="宋体" w:hAnsi="宋体" w:eastAsia="宋体" w:cs="黑体"/>
          <w:color w:val="000000"/>
          <w:sz w:val="21"/>
          <w:szCs w:val="21"/>
        </w:rPr>
      </w:r>
      <w:r/>
    </w:p>
    <w:p>
      <w:pPr>
        <w:pStyle w:val="943"/>
        <w:spacing w:line="360" w:lineRule="auto"/>
        <w:rPr>
          <w:rFonts w:hint="eastAsia" w:ascii="宋体" w:hAnsi="宋体" w:eastAsia="宋体" w:cs="黑体"/>
          <w:color w:val="000000"/>
          <w:sz w:val="21"/>
          <w:szCs w:val="21"/>
        </w:rPr>
      </w:pPr>
      <w:r>
        <w:rPr>
          <w:rFonts w:hint="eastAsia" w:ascii="宋体" w:hAnsi="宋体" w:eastAsia="宋体" w:cs="黑体"/>
          <w:color w:val="000000"/>
          <w:sz w:val="21"/>
          <w:szCs w:val="21"/>
        </w:rPr>
        <w:t xml:space="preserve">4、具体点位清单：</w:t>
      </w:r>
      <w:r/>
    </w:p>
    <w:tbl>
      <w:tblPr>
        <w:tblW w:w="32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0" w:type="dxa"/>
          <w:right w:w="15" w:type="dxa"/>
          <w:bottom w:w="0" w:type="dxa"/>
        </w:tblCellMar>
        <w:tblLook w:val="04A0" w:firstRow="1" w:lastRow="0" w:firstColumn="1" w:lastColumn="0" w:noHBand="0" w:noVBand="1"/>
      </w:tblPr>
      <w:tblGrid>
        <w:gridCol w:w="3225"/>
      </w:tblGrid>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CK_太平南路县府西街北东向西</w:t>
            </w:r>
            <w:r>
              <w:rPr>
                <w:color w:val="000000"/>
                <w:sz w:val="21"/>
                <w:szCs w:val="21"/>
              </w:rPr>
              <mc:AlternateContent>
                <mc:Choice Requires="wpg">
                  <w:drawing>
                    <wp:inline xmlns:wp="http://schemas.openxmlformats.org/drawingml/2006/wordprocessingDrawing" distT="0" distB="0" distL="0" distR="0">
                      <wp:extent cx="9521" cy="25705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521" cy="2570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7pt;height:20.2pt;mso-wrap-distance-left:0.0pt;mso-wrap-distance-top:0.0pt;mso-wrap-distance-right:0.0pt;mso-wrap-distance-bottom:0.0pt;" stroked="f">
                      <v:path textboxrect="0,0,0,0"/>
                      <v:imagedata r:id="rId16" o:title=""/>
                    </v:shape>
                  </w:pict>
                </mc:Fallback>
              </mc:AlternateConten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CK_太平南路县府西街北西向东</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CK_郑和路盐铁塘桥东向西1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CK_郑和路盐铁塘桥东向西2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CK_郑和路盐铁塘桥东向西3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PK_郑和路盐铁塘桥东向西辅道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CK_郑和路盐铁塘桥</w:t>
            </w:r>
            <w:r>
              <w:rPr>
                <w:color w:val="000000"/>
                <w:sz w:val="21"/>
                <w:szCs w:val="21"/>
              </w:rPr>
              <w:t xml:space="preserve">西向东1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CK_郑和路盐铁塘桥西向东2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PK_郑和路盐铁塘桥西向东辅道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CK_县府西街盐铁塘桥东向西1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CK_县府西街盐铁塘桥东向西2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CK_县府西街盐铁塘桥西向东1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CK_县府西街盐铁塘桥西向东2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CK_上海西路盐铁塘桥东向西1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CK_上海西路盐铁塘桥东向西2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CK_上海西路盐铁塘桥西向东1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CK_上海西路盐铁塘桥西向东2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CK_昆太路城西卡口出市1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CK_昆太路城西卡口出市2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PK_昆太路城西卡口出市辅道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CK_昆太路城西卡口进市1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CK_昆太路城西卡口进市2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PK_昆太路城西卡口进市辅道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CK_204国道新浏河大桥北向南1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CK_204国道新浏河大桥北向南2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CK_204国道新浏河大桥北向南3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CK_太蓬卡口出市1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CK_太蓬卡口出市2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CK_太蓬卡口出市3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PK_太蓬卡口出市辅道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CK_太蓬卡口进市1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CK_太蓬卡口进市2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CK_太蓬卡口进市3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PK_太蓬卡口进市辅道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CK_G204南郊卡口出市1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CK_G204南郊卡口出市2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CK_G204南郊卡口出市3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PK_G204南郊卡口出市辅道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CK_G204南郊卡口进市1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CK_G204南郊</w:t>
            </w:r>
            <w:r>
              <w:rPr>
                <w:color w:val="000000"/>
                <w:sz w:val="21"/>
                <w:szCs w:val="21"/>
              </w:rPr>
              <w:t xml:space="preserve">卡口进市2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CK_G204南郊卡口进市3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PK_G204南郊卡口进市辅道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shd w:val="clear" w:color="auto" w:fill="ffff00"/>
              </w:rPr>
            </w:pPr>
            <w:r>
              <w:rPr>
                <w:color w:val="000000"/>
                <w:sz w:val="21"/>
                <w:szCs w:val="21"/>
              </w:rPr>
              <w:t xml:space="preserve">CK_南郊新农村30组进市</w:t>
            </w:r>
            <w:r>
              <w:rPr>
                <w:rFonts w:hint="eastAsia"/>
                <w:color w:val="000000"/>
                <w:sz w:val="21"/>
                <w:szCs w:val="21"/>
                <w:shd w:val="clear" w:color="auto" w:fill="ffff00"/>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CK_南郊太安电灌站小路进市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CK_南郊污水处理厂小路出市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CK_南郊污水处理厂小路进市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CK_金仓湖桥底东环向南</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CK_金仓湖桥底西环向北</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CK_太沙公路杨林桥北南向北1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CK_太沙公路杨林桥北南向北2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PK_太沙公路杨林桥北南向北辅道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CK_太沙公路杨林桥北北向南1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CK_太沙公路杨林桥北北向南2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PK_太沙公路杨林桥北北向南辅道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CK_新周卡口出市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CK_新周卡口进市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CK_G346璜泾卡口出市1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CK_G346璜泾卡口出市2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CK_G346璜泾卡口出市3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PK_G346璜泾卡口出市辅道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CK_G346璜泾卡口进市1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CK_G346璜泾卡口进市2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CK_G346璜泾卡口进市3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PK_G346璜泾卡口进市辅道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CK_S339新湖卡口出市1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CK_S339新湖卡口出市2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CK_S339新湖卡口出市3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PK_S339新湖卡口出市辅道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CK_S339新湖卡口进市1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CK_S339新湖卡口进市2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CK_S339新湖卡口进市3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PK_S339新湖卡口进</w:t>
            </w:r>
            <w:r>
              <w:rPr>
                <w:color w:val="000000"/>
                <w:sz w:val="21"/>
                <w:szCs w:val="21"/>
              </w:rPr>
              <w:t xml:space="preserve">市辅道</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CK_鹿河江堤卡口南向北</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CK_鹿河江堤卡口北向南</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CK_飞沪路陆渡卡口出市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CK_飞沪路陆渡卡口进市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CK_346国道洋桥卡口出市1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CK_346国道洋桥卡口出市2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CK_346国道洋桥卡口出市3</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CK_浏河阅兵村K407小路出市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CK_浏河阅兵村K407小路进市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CK_科博尔厂东出市预警1</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CK_科博尔厂东出市预警2</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CK_浏河梅家宅卡口出市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CK_浏河科博尔卡口进市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CK_浏河石桥南路进市</w:t>
            </w:r>
            <w:r>
              <w:rPr>
                <w:rFonts w:hint="eastAsia"/>
                <w:color w:val="000000"/>
                <w:sz w:val="21"/>
                <w:szCs w:val="21"/>
              </w:rPr>
            </w:r>
            <w:r/>
          </w:p>
        </w:tc>
      </w:tr>
      <w:tr>
        <w:trPr>
          <w:trHeight w:val="285"/>
        </w:trPr>
        <w:tc>
          <w:tcPr>
            <w:tcW w:w="3225"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CK_太海汽渡东江堤车道1</w:t>
            </w:r>
            <w:r>
              <w:rPr>
                <w:rFonts w:hint="eastAsia"/>
                <w:color w:val="000000"/>
                <w:sz w:val="21"/>
                <w:szCs w:val="21"/>
              </w:rPr>
            </w:r>
            <w:r/>
          </w:p>
        </w:tc>
      </w:tr>
      <w:tr>
        <w:trPr>
          <w:trHeight w:val="375"/>
        </w:trPr>
        <w:tc>
          <w:tcPr>
            <w:shd w:val="solid" w:color="ffffff" w:fill="auto"/>
            <w:tcW w:w="3225" w:type="dxa"/>
            <w:vAlign w:val="center"/>
            <w:textDirection w:val="lrTb"/>
            <w:noWrap w:val="false"/>
          </w:tcPr>
          <w:p>
            <w:pPr>
              <w:pStyle w:val="928"/>
              <w:jc w:val="left"/>
              <w:spacing w:line="360" w:lineRule="auto"/>
              <w:shd w:val="solid" w:color="ffffff" w:fill="auto"/>
              <w:rPr>
                <w:rFonts w:hint="eastAsia"/>
                <w:color w:val="000000"/>
                <w:sz w:val="21"/>
                <w:szCs w:val="21"/>
                <w:shd w:val="clear" w:color="auto" w:fill="ffffff"/>
              </w:rPr>
            </w:pPr>
            <w:r>
              <w:rPr>
                <w:color w:val="000000"/>
                <w:sz w:val="21"/>
                <w:szCs w:val="21"/>
                <w:shd w:val="clear" w:color="auto" w:fill="ffffff"/>
              </w:rPr>
              <w:t xml:space="preserve">CK_港城中专东门进口</w:t>
            </w:r>
            <w:r>
              <w:rPr>
                <w:rFonts w:hint="eastAsia"/>
                <w:color w:val="000000"/>
                <w:sz w:val="21"/>
                <w:szCs w:val="21"/>
                <w:shd w:val="clear" w:color="auto" w:fill="ffffff"/>
              </w:rPr>
            </w:r>
            <w:r/>
          </w:p>
        </w:tc>
      </w:tr>
      <w:tr>
        <w:trPr>
          <w:trHeight w:val="375"/>
        </w:trPr>
        <w:tc>
          <w:tcPr>
            <w:shd w:val="solid" w:color="ffffff" w:fill="auto"/>
            <w:tcW w:w="3225" w:type="dxa"/>
            <w:vAlign w:val="center"/>
            <w:textDirection w:val="lrTb"/>
            <w:noWrap w:val="false"/>
          </w:tcPr>
          <w:p>
            <w:pPr>
              <w:pStyle w:val="928"/>
              <w:jc w:val="left"/>
              <w:spacing w:line="360" w:lineRule="auto"/>
              <w:shd w:val="solid" w:color="ffffff" w:fill="auto"/>
              <w:rPr>
                <w:rFonts w:hint="eastAsia"/>
                <w:color w:val="000000"/>
                <w:sz w:val="21"/>
                <w:szCs w:val="21"/>
                <w:shd w:val="clear" w:color="auto" w:fill="ffffff"/>
              </w:rPr>
            </w:pPr>
            <w:r>
              <w:rPr>
                <w:color w:val="000000"/>
                <w:sz w:val="21"/>
                <w:szCs w:val="21"/>
                <w:shd w:val="clear" w:color="auto" w:fill="ffffff"/>
              </w:rPr>
              <w:t xml:space="preserve">CK_港城中专东门出口</w:t>
            </w:r>
            <w:r>
              <w:rPr>
                <w:rFonts w:hint="eastAsia"/>
                <w:color w:val="000000"/>
                <w:sz w:val="21"/>
                <w:szCs w:val="21"/>
                <w:shd w:val="clear" w:color="auto" w:fill="ffffff"/>
              </w:rPr>
            </w:r>
            <w:r/>
          </w:p>
        </w:tc>
      </w:tr>
      <w:tr>
        <w:trPr>
          <w:trHeight w:val="375"/>
        </w:trPr>
        <w:tc>
          <w:tcPr>
            <w:shd w:val="solid" w:color="ffffff" w:fill="auto"/>
            <w:tcW w:w="3225" w:type="dxa"/>
            <w:vAlign w:val="center"/>
            <w:textDirection w:val="lrTb"/>
            <w:noWrap w:val="false"/>
          </w:tcPr>
          <w:p>
            <w:pPr>
              <w:pStyle w:val="928"/>
              <w:jc w:val="left"/>
              <w:spacing w:line="360" w:lineRule="auto"/>
              <w:shd w:val="solid" w:color="ffffff" w:fill="auto"/>
              <w:rPr>
                <w:rFonts w:hint="eastAsia"/>
                <w:color w:val="000000"/>
                <w:sz w:val="21"/>
                <w:szCs w:val="21"/>
                <w:shd w:val="clear" w:color="auto" w:fill="ffffff"/>
              </w:rPr>
            </w:pPr>
            <w:r>
              <w:rPr>
                <w:color w:val="000000"/>
                <w:sz w:val="21"/>
                <w:szCs w:val="21"/>
                <w:shd w:val="clear" w:color="auto" w:fill="ffffff"/>
              </w:rPr>
              <w:t xml:space="preserve">CK_港城中专南大门出口</w:t>
            </w:r>
            <w:r>
              <w:rPr>
                <w:rFonts w:hint="eastAsia"/>
                <w:color w:val="000000"/>
                <w:sz w:val="21"/>
                <w:szCs w:val="21"/>
                <w:shd w:val="clear" w:color="auto" w:fill="ffffff"/>
              </w:rPr>
            </w:r>
            <w:r/>
          </w:p>
        </w:tc>
      </w:tr>
      <w:tr>
        <w:trPr>
          <w:trHeight w:val="375"/>
        </w:trPr>
        <w:tc>
          <w:tcPr>
            <w:shd w:val="solid" w:color="ffffff" w:fill="auto"/>
            <w:tcW w:w="3225" w:type="dxa"/>
            <w:vAlign w:val="center"/>
            <w:textDirection w:val="lrTb"/>
            <w:noWrap w:val="false"/>
          </w:tcPr>
          <w:p>
            <w:pPr>
              <w:pStyle w:val="928"/>
              <w:jc w:val="left"/>
              <w:spacing w:line="360" w:lineRule="auto"/>
              <w:shd w:val="solid" w:color="ffffff" w:fill="auto"/>
              <w:rPr>
                <w:rFonts w:hint="eastAsia"/>
                <w:color w:val="000000"/>
                <w:sz w:val="21"/>
                <w:szCs w:val="21"/>
                <w:shd w:val="clear" w:color="auto" w:fill="ffffff"/>
              </w:rPr>
            </w:pPr>
            <w:r>
              <w:rPr>
                <w:color w:val="000000"/>
                <w:sz w:val="21"/>
                <w:szCs w:val="21"/>
                <w:shd w:val="clear" w:color="auto" w:fill="ffffff"/>
              </w:rPr>
              <w:t xml:space="preserve">CK_港城中专南大门进口</w:t>
            </w:r>
            <w:r>
              <w:rPr>
                <w:rFonts w:hint="eastAsia"/>
                <w:color w:val="000000"/>
                <w:sz w:val="21"/>
                <w:szCs w:val="21"/>
                <w:shd w:val="clear" w:color="auto" w:fill="ffffff"/>
              </w:rPr>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2022年高清抓拍升级补盲项目2标段维保</w:t>
      </w:r>
      <w:r>
        <w:rPr>
          <w:rFonts w:ascii="宋体" w:hAnsi="宋体" w:eastAsia="宋体"/>
          <w:color w:val="000000"/>
          <w:sz w:val="21"/>
          <w:szCs w:val="21"/>
        </w:rPr>
      </w:r>
      <w:r/>
    </w:p>
    <w:p>
      <w:pPr>
        <w:pStyle w:val="928"/>
        <w:ind w:left="425"/>
        <w:rPr>
          <w:color w:val="000000"/>
          <w:sz w:val="21"/>
          <w:szCs w:val="21"/>
        </w:rPr>
      </w:pPr>
      <w:r>
        <w:rPr>
          <w:rFonts w:hint="eastAsia"/>
          <w:color w:val="000000"/>
          <w:sz w:val="21"/>
          <w:szCs w:val="21"/>
        </w:rPr>
        <w:t xml:space="preserve">1、设备清单</w:t>
      </w:r>
      <w:r>
        <w:rPr>
          <w:color w:val="000000"/>
          <w:sz w:val="21"/>
          <w:szCs w:val="21"/>
        </w:rPr>
      </w:r>
      <w:r/>
    </w:p>
    <w:tbl>
      <w:tblPr>
        <w:tblW w:w="98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2742"/>
        <w:gridCol w:w="5029"/>
        <w:gridCol w:w="758"/>
        <w:gridCol w:w="667"/>
      </w:tblGrid>
      <w:tr>
        <w:trPr>
          <w:trHeight w:val="454"/>
          <w:tblHeader/>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序号</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项目名称</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参数配置</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单位</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数量</w:t>
            </w:r>
            <w:r>
              <w:rPr>
                <w:color w:val="000000"/>
                <w:sz w:val="21"/>
                <w:szCs w:val="21"/>
              </w:rPr>
            </w:r>
            <w:r/>
          </w:p>
        </w:tc>
      </w:tr>
      <w:tr>
        <w:trPr>
          <w:trHeight w:val="454"/>
        </w:trPr>
        <w:tc>
          <w:tcPr>
            <w:gridSpan w:val="5"/>
            <w:shd w:val="clear" w:color="000000" w:fill="ffffff"/>
            <w:tcMar>
              <w:left w:w="0" w:type="dxa"/>
              <w:right w:w="0" w:type="dxa"/>
            </w:tcMar>
            <w:tcW w:w="9814" w:type="dxa"/>
            <w:vAlign w:val="center"/>
            <w:textDirection w:val="lrTb"/>
            <w:noWrap w:val="false"/>
          </w:tcPr>
          <w:p>
            <w:pPr>
              <w:pStyle w:val="928"/>
              <w:jc w:val="center"/>
              <w:rPr>
                <w:color w:val="000000"/>
                <w:sz w:val="21"/>
                <w:szCs w:val="21"/>
              </w:rPr>
            </w:pPr>
            <w:r>
              <w:rPr>
                <w:rFonts w:hint="eastAsia"/>
                <w:color w:val="000000"/>
                <w:sz w:val="21"/>
                <w:szCs w:val="21"/>
              </w:rPr>
              <w:t xml:space="preserve">卡口新建设备清单</w:t>
            </w:r>
            <w:r>
              <w:rPr>
                <w:color w:val="000000"/>
                <w:sz w:val="21"/>
                <w:szCs w:val="21"/>
              </w:rPr>
            </w:r>
            <w:r/>
          </w:p>
        </w:tc>
      </w:tr>
      <w:tr>
        <w:trPr>
          <w:trHeight w:val="454"/>
        </w:trPr>
        <w:tc>
          <w:tcPr>
            <w:gridSpan w:val="4"/>
            <w:shd w:val="clear" w:color="000000" w:fill="ffffff"/>
            <w:tcMar>
              <w:left w:w="0" w:type="dxa"/>
              <w:right w:w="0" w:type="dxa"/>
            </w:tcMar>
            <w:tcW w:w="9147" w:type="dxa"/>
            <w:vAlign w:val="center"/>
            <w:textDirection w:val="lrTb"/>
            <w:noWrap w:val="false"/>
          </w:tcPr>
          <w:p>
            <w:pPr>
              <w:pStyle w:val="928"/>
              <w:jc w:val="center"/>
              <w:rPr>
                <w:color w:val="000000"/>
                <w:sz w:val="21"/>
                <w:szCs w:val="21"/>
              </w:rPr>
            </w:pPr>
            <w:r>
              <w:rPr>
                <w:rFonts w:hint="eastAsia"/>
                <w:color w:val="000000"/>
                <w:sz w:val="21"/>
                <w:szCs w:val="21"/>
              </w:rPr>
              <w:t xml:space="preserve">一、前端设备</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1.1</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900W超卡设备（核心产品）</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详见原招标参数3.2.1</w:t>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57</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1.2</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500W超卡设备</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详见原招标参数3.2.2</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1.3</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900W电警设备</w:t>
            </w:r>
            <w:r>
              <w:rPr>
                <w:color w:val="000000"/>
                <w:sz w:val="21"/>
                <w:szCs w:val="21"/>
              </w:rPr>
            </w:r>
            <w:r/>
          </w:p>
          <w:p>
            <w:pPr>
              <w:pStyle w:val="928"/>
              <w:jc w:val="center"/>
              <w:rPr>
                <w:color w:val="000000"/>
                <w:sz w:val="21"/>
                <w:szCs w:val="21"/>
              </w:rPr>
            </w:pPr>
            <w:r>
              <w:rPr>
                <w:rFonts w:hint="eastAsia"/>
                <w:color w:val="000000"/>
                <w:sz w:val="21"/>
                <w:szCs w:val="21"/>
              </w:rPr>
              <w:t xml:space="preserve">（电警拍闯禁区）</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详见原招标参数3.2.3</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1.4</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400W人卡设备</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详见原招标参数3.2.4</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补光灯</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w:t>
            </w:r>
            <w:r>
              <w:rPr>
                <w:rFonts w:hint="eastAsia"/>
                <w:color w:val="000000"/>
                <w:sz w:val="21"/>
                <w:szCs w:val="21"/>
              </w:rPr>
              <w:t xml:space="preserve">2.5</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1.6</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三合一补光灯</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详见原招标参数3.2.6</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65</w:t>
            </w:r>
            <w:r>
              <w:rPr>
                <w:color w:val="000000"/>
                <w:sz w:val="21"/>
                <w:szCs w:val="21"/>
              </w:rPr>
            </w:r>
            <w:r/>
          </w:p>
        </w:tc>
      </w:tr>
      <w:tr>
        <w:trPr>
          <w:trHeight w:val="454"/>
        </w:trPr>
        <w:tc>
          <w:tcPr>
            <w:gridSpan w:val="4"/>
            <w:shd w:val="clear" w:color="000000" w:fill="ffffff"/>
            <w:tcMar>
              <w:left w:w="0" w:type="dxa"/>
              <w:right w:w="0" w:type="dxa"/>
            </w:tcMar>
            <w:tcW w:w="9147" w:type="dxa"/>
            <w:vAlign w:val="center"/>
            <w:textDirection w:val="lrTb"/>
            <w:noWrap w:val="false"/>
          </w:tcPr>
          <w:p>
            <w:pPr>
              <w:pStyle w:val="928"/>
              <w:jc w:val="center"/>
              <w:rPr>
                <w:color w:val="000000"/>
                <w:sz w:val="21"/>
                <w:szCs w:val="21"/>
              </w:rPr>
            </w:pPr>
            <w:r>
              <w:rPr>
                <w:rFonts w:hint="eastAsia"/>
                <w:color w:val="000000"/>
                <w:sz w:val="21"/>
                <w:szCs w:val="21"/>
              </w:rPr>
              <w:t xml:space="preserve">二、杆体及配套设施</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2.1</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卡口监控杆（单支臂长度&lt;6m，含基础）</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套</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2.2</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卡口监控杆（6＜单支臂长度≤10m，含基础）</w:t>
            </w:r>
            <w:r>
              <w:rPr>
                <w:color w:val="000000"/>
                <w:sz w:val="21"/>
                <w:szCs w:val="21"/>
              </w:rPr>
            </w:r>
            <w:r/>
          </w:p>
        </w:tc>
        <w:tc>
          <w:tcPr>
            <w:shd w:val="clear" w:color="000000" w:fill="ffffff"/>
            <w:tcMar>
              <w:left w:w="0" w:type="dxa"/>
              <w:right w:w="0" w:type="dxa"/>
            </w:tcMar>
            <w:tcW w:w="5029"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套</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2.3</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卡口监控杆（10＜单支臂长度≤12m，含基础）</w:t>
            </w:r>
            <w:r>
              <w:rPr>
                <w:color w:val="000000"/>
                <w:sz w:val="21"/>
                <w:szCs w:val="21"/>
              </w:rPr>
            </w:r>
            <w:r/>
          </w:p>
        </w:tc>
        <w:tc>
          <w:tcPr>
            <w:shd w:val="clear" w:color="000000" w:fill="ffffff"/>
            <w:tcMar>
              <w:left w:w="0" w:type="dxa"/>
              <w:right w:w="0" w:type="dxa"/>
            </w:tcMar>
            <w:tcW w:w="5029"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套</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2.4</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卡口监控杆（10＜双支臂长度≤12m，含基础)</w:t>
            </w:r>
            <w:r>
              <w:rPr>
                <w:color w:val="000000"/>
                <w:sz w:val="21"/>
                <w:szCs w:val="21"/>
              </w:rPr>
            </w:r>
            <w:r/>
          </w:p>
        </w:tc>
        <w:tc>
          <w:tcPr>
            <w:shd w:val="clear" w:color="000000" w:fill="ffffff"/>
            <w:tcMar>
              <w:left w:w="0" w:type="dxa"/>
              <w:right w:w="0" w:type="dxa"/>
            </w:tcMar>
            <w:tcW w:w="5029"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套</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2.7</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卡口监控杆支臂（臂长2m)</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辅道加横杆（含抱箍等）</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根</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2.8</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卡口监控杆支臂（臂长3m)</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辅道加横杆（含抱箍等）</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根</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2.9</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卡口监控杆支臂（臂长4m)</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辅道加横杆（含抱箍等）</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根</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2.10</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抱杆设备机箱</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尺寸不小于500*400*300(mm)</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套</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32</w:t>
            </w:r>
            <w:r>
              <w:rPr>
                <w:color w:val="000000"/>
                <w:sz w:val="21"/>
                <w:szCs w:val="21"/>
              </w:rPr>
            </w:r>
            <w:r/>
          </w:p>
        </w:tc>
      </w:tr>
      <w:tr>
        <w:trPr>
          <w:trHeight w:val="454"/>
        </w:trPr>
        <w:tc>
          <w:tcPr>
            <w:gridSpan w:val="3"/>
            <w:shd w:val="clear" w:color="000000" w:fill="ffffff"/>
            <w:tcMar>
              <w:left w:w="0" w:type="dxa"/>
              <w:right w:w="0" w:type="dxa"/>
            </w:tcMar>
            <w:tcW w:w="8389" w:type="dxa"/>
            <w:vAlign w:val="center"/>
            <w:textDirection w:val="lrTb"/>
            <w:noWrap w:val="false"/>
          </w:tcPr>
          <w:p>
            <w:pPr>
              <w:pStyle w:val="928"/>
              <w:jc w:val="center"/>
              <w:rPr>
                <w:color w:val="000000"/>
                <w:sz w:val="21"/>
                <w:szCs w:val="21"/>
              </w:rPr>
            </w:pPr>
            <w:r>
              <w:rPr>
                <w:rFonts w:hint="eastAsia"/>
                <w:color w:val="000000"/>
                <w:sz w:val="21"/>
                <w:szCs w:val="21"/>
              </w:rPr>
              <w:t xml:space="preserve">三、前端线材管材及辅材</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3.1</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电源线</w:t>
            </w:r>
            <w:r>
              <w:rPr>
                <w:color w:val="000000"/>
                <w:sz w:val="21"/>
                <w:szCs w:val="21"/>
              </w:rPr>
            </w:r>
            <w:r/>
          </w:p>
        </w:tc>
        <w:tc>
          <w:tcPr>
            <w:shd w:val="clear" w:color="000000" w:fill="ffffff"/>
            <w:tcMar>
              <w:left w:w="0" w:type="dxa"/>
              <w:right w:w="0" w:type="dxa"/>
            </w:tcMar>
            <w:tcW w:w="5029"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3000</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3.2</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塑料管</w:t>
            </w:r>
            <w:r>
              <w:rPr>
                <w:color w:val="000000"/>
                <w:sz w:val="21"/>
                <w:szCs w:val="21"/>
              </w:rPr>
            </w:r>
            <w:r/>
          </w:p>
        </w:tc>
        <w:tc>
          <w:tcPr>
            <w:shd w:val="clear" w:color="000000" w:fill="ffffff"/>
            <w:tcMar>
              <w:left w:w="0" w:type="dxa"/>
              <w:right w:w="0" w:type="dxa"/>
            </w:tcMar>
            <w:tcW w:w="5029"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2200</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3.3</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镀锌钢管</w:t>
            </w:r>
            <w:r>
              <w:rPr>
                <w:color w:val="000000"/>
                <w:sz w:val="21"/>
                <w:szCs w:val="21"/>
              </w:rPr>
            </w:r>
            <w:r/>
          </w:p>
        </w:tc>
        <w:tc>
          <w:tcPr>
            <w:shd w:val="clear" w:color="000000" w:fill="ffffff"/>
            <w:tcMar>
              <w:left w:w="0" w:type="dxa"/>
              <w:right w:w="0" w:type="dxa"/>
            </w:tcMar>
            <w:tcW w:w="5029"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w:t>
            </w:r>
            <w:r>
              <w:rPr>
                <w:rFonts w:hint="eastAsia"/>
                <w:color w:val="000000"/>
                <w:sz w:val="21"/>
                <w:szCs w:val="21"/>
              </w:rPr>
              <w:t xml:space="preserve">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100</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3.4</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PVC管</w:t>
            </w:r>
            <w:r>
              <w:rPr>
                <w:color w:val="000000"/>
                <w:sz w:val="21"/>
                <w:szCs w:val="21"/>
              </w:rPr>
            </w:r>
            <w:r/>
          </w:p>
        </w:tc>
        <w:tc>
          <w:tcPr>
            <w:shd w:val="clear" w:color="000000" w:fill="ffffff"/>
            <w:tcMar>
              <w:left w:w="0" w:type="dxa"/>
              <w:right w:w="0" w:type="dxa"/>
            </w:tcMar>
            <w:tcW w:w="5029"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230</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3.5</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波纹管</w:t>
            </w:r>
            <w:r>
              <w:rPr>
                <w:color w:val="000000"/>
                <w:sz w:val="21"/>
                <w:szCs w:val="21"/>
              </w:rPr>
            </w:r>
            <w:r/>
          </w:p>
        </w:tc>
        <w:tc>
          <w:tcPr>
            <w:shd w:val="clear" w:color="000000" w:fill="ffffff"/>
            <w:tcMar>
              <w:left w:w="0" w:type="dxa"/>
              <w:right w:w="0" w:type="dxa"/>
            </w:tcMar>
            <w:tcW w:w="5029"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130</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3.6</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窖井</w:t>
            </w:r>
            <w:r>
              <w:rPr>
                <w:color w:val="000000"/>
                <w:sz w:val="21"/>
                <w:szCs w:val="21"/>
              </w:rPr>
            </w:r>
            <w:r/>
          </w:p>
        </w:tc>
        <w:tc>
          <w:tcPr>
            <w:shd w:val="clear" w:color="000000" w:fill="ffffff"/>
            <w:tcMar>
              <w:left w:w="0" w:type="dxa"/>
              <w:right w:w="0" w:type="dxa"/>
            </w:tcMar>
            <w:tcW w:w="5029"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处</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22</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3.7</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其他辅材</w:t>
            </w:r>
            <w:r>
              <w:rPr>
                <w:color w:val="000000"/>
                <w:sz w:val="21"/>
                <w:szCs w:val="21"/>
              </w:rPr>
            </w:r>
            <w:r/>
          </w:p>
        </w:tc>
        <w:tc>
          <w:tcPr>
            <w:shd w:val="clear" w:color="000000" w:fill="ffffff"/>
            <w:tcMar>
              <w:left w:w="0" w:type="dxa"/>
              <w:right w:w="0" w:type="dxa"/>
            </w:tcMar>
            <w:tcW w:w="5029" w:type="dxa"/>
            <w:vAlign w:val="top"/>
            <w:textDirection w:val="lrTb"/>
            <w:noWrap w:val="false"/>
          </w:tcPr>
          <w:p>
            <w:pPr>
              <w:pStyle w:val="928"/>
              <w:jc w:val="center"/>
              <w:rPr>
                <w:color w:val="000000"/>
                <w:sz w:val="21"/>
                <w:szCs w:val="21"/>
              </w:rPr>
            </w:pPr>
            <w:r>
              <w:rPr>
                <w:rFonts w:hint="eastAsia"/>
                <w:color w:val="000000"/>
                <w:sz w:val="21"/>
                <w:szCs w:val="21"/>
              </w:rPr>
              <w:t xml:space="preserve">详见原招标配套设施和材料具体技术参数要求</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路</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64</w:t>
            </w:r>
            <w:r>
              <w:rPr>
                <w:color w:val="000000"/>
                <w:sz w:val="21"/>
                <w:szCs w:val="21"/>
              </w:rPr>
            </w:r>
            <w:r/>
          </w:p>
        </w:tc>
      </w:tr>
      <w:tr>
        <w:trPr>
          <w:trHeight w:val="454"/>
        </w:trPr>
        <w:tc>
          <w:tcPr>
            <w:gridSpan w:val="3"/>
            <w:shd w:val="clear" w:color="000000" w:fill="ffffff"/>
            <w:tcMar>
              <w:left w:w="0" w:type="dxa"/>
              <w:right w:w="0" w:type="dxa"/>
            </w:tcMar>
            <w:tcW w:w="8389" w:type="dxa"/>
            <w:vAlign w:val="center"/>
            <w:textDirection w:val="lrTb"/>
            <w:noWrap w:val="false"/>
          </w:tcPr>
          <w:p>
            <w:pPr>
              <w:pStyle w:val="928"/>
              <w:jc w:val="center"/>
              <w:rPr>
                <w:color w:val="000000"/>
                <w:sz w:val="21"/>
                <w:szCs w:val="21"/>
              </w:rPr>
            </w:pPr>
            <w:r>
              <w:rPr>
                <w:rFonts w:hint="eastAsia"/>
                <w:color w:val="000000"/>
                <w:sz w:val="21"/>
                <w:szCs w:val="21"/>
              </w:rPr>
              <w:t xml:space="preserve">四、前端安装工程费</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4.1</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引电费用</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含引电协调费、安装电表、电费等中的一种或几种</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点</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23</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4.2</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系统集成费</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本项目涉及安装调试等各类人工集成费用</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路</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65</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4.3</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运维费</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本项目涉及前后端软硬件技术服务费（365天*24小时）</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路</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65</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4.4</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光纤链路租赁费</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一年</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点</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23</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4.5</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云存储租赁服务</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一年</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路</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65</w:t>
            </w:r>
            <w:r>
              <w:rPr>
                <w:color w:val="000000"/>
                <w:sz w:val="21"/>
                <w:szCs w:val="21"/>
              </w:rPr>
            </w:r>
            <w:r/>
          </w:p>
        </w:tc>
      </w:tr>
      <w:tr>
        <w:trPr>
          <w:trHeight w:val="454"/>
        </w:trPr>
        <w:tc>
          <w:tcPr>
            <w:gridSpan w:val="5"/>
            <w:shd w:val="clear" w:color="000000" w:fill="ffffff"/>
            <w:tcMar>
              <w:left w:w="0" w:type="dxa"/>
              <w:right w:w="0" w:type="dxa"/>
            </w:tcMar>
            <w:tcW w:w="9814" w:type="dxa"/>
            <w:vAlign w:val="center"/>
            <w:textDirection w:val="lrTb"/>
            <w:noWrap w:val="false"/>
          </w:tcPr>
          <w:p>
            <w:pPr>
              <w:pStyle w:val="928"/>
              <w:jc w:val="center"/>
              <w:rPr>
                <w:color w:val="000000"/>
                <w:sz w:val="21"/>
                <w:szCs w:val="21"/>
              </w:rPr>
            </w:pPr>
            <w:r>
              <w:rPr>
                <w:rFonts w:hint="eastAsia"/>
                <w:color w:val="000000"/>
                <w:sz w:val="21"/>
                <w:szCs w:val="21"/>
              </w:rPr>
              <w:t xml:space="preserve">治安危化品采购设备清单</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防爆摄像机</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详见原招标参数3.2.7</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30</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硬盘录像机</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详见原招标参数3.2.8</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监控硬盘</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4TB SATA硬盘</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交换机</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详见原招标参数3.2.9</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网线</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六类，室外型</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1500</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电源线</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RVV2*1.0</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米</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1500</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7</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线管</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PVC及镀锌钢管</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150</w:t>
            </w:r>
            <w:r>
              <w:rPr>
                <w:rFonts w:hint="eastAsia"/>
                <w:color w:val="000000"/>
                <w:sz w:val="21"/>
                <w:szCs w:val="21"/>
              </w:rPr>
              <w:t xml:space="preserve">0</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8</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机柜</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6U</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台</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9</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集成费</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前端设备的安装调试等</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项</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r>
      <w:tr>
        <w:trPr>
          <w:trHeight w:val="454"/>
        </w:trPr>
        <w:tc>
          <w:tcPr>
            <w:shd w:val="clear" w:color="000000" w:fill="ffffff"/>
            <w:tcMar>
              <w:left w:w="0" w:type="dxa"/>
              <w:right w:w="0" w:type="dxa"/>
            </w:tcMar>
            <w:tcW w:w="618" w:type="dxa"/>
            <w:vAlign w:val="center"/>
            <w:textDirection w:val="lrTb"/>
            <w:noWrap w:val="false"/>
          </w:tcPr>
          <w:p>
            <w:pPr>
              <w:pStyle w:val="928"/>
              <w:jc w:val="center"/>
              <w:rPr>
                <w:color w:val="000000"/>
                <w:sz w:val="21"/>
                <w:szCs w:val="21"/>
              </w:rPr>
            </w:pPr>
            <w:r>
              <w:rPr>
                <w:rFonts w:hint="eastAsia"/>
                <w:color w:val="000000"/>
                <w:sz w:val="21"/>
                <w:szCs w:val="21"/>
              </w:rPr>
              <w:t xml:space="preserve">10</w:t>
            </w:r>
            <w:r>
              <w:rPr>
                <w:color w:val="000000"/>
                <w:sz w:val="21"/>
                <w:szCs w:val="21"/>
              </w:rPr>
            </w:r>
            <w:r/>
          </w:p>
        </w:tc>
        <w:tc>
          <w:tcPr>
            <w:shd w:val="clear" w:color="000000" w:fill="ffffff"/>
            <w:tcMar>
              <w:left w:w="0" w:type="dxa"/>
              <w:right w:w="0" w:type="dxa"/>
            </w:tcMar>
            <w:tcW w:w="2742" w:type="dxa"/>
            <w:vAlign w:val="center"/>
            <w:textDirection w:val="lrTb"/>
            <w:noWrap w:val="false"/>
          </w:tcPr>
          <w:p>
            <w:pPr>
              <w:pStyle w:val="928"/>
              <w:jc w:val="center"/>
              <w:rPr>
                <w:color w:val="000000"/>
                <w:sz w:val="21"/>
                <w:szCs w:val="21"/>
              </w:rPr>
            </w:pPr>
            <w:r>
              <w:rPr>
                <w:rFonts w:hint="eastAsia"/>
                <w:color w:val="000000"/>
                <w:sz w:val="21"/>
                <w:szCs w:val="21"/>
              </w:rPr>
              <w:t xml:space="preserve">平台接入</w:t>
            </w:r>
            <w:r>
              <w:rPr>
                <w:color w:val="000000"/>
                <w:sz w:val="21"/>
                <w:szCs w:val="21"/>
              </w:rPr>
            </w:r>
            <w:r/>
          </w:p>
        </w:tc>
        <w:tc>
          <w:tcPr>
            <w:shd w:val="clear" w:color="000000" w:fill="ffffff"/>
            <w:tcMar>
              <w:left w:w="0" w:type="dxa"/>
              <w:right w:w="0" w:type="dxa"/>
            </w:tcMar>
            <w:tcW w:w="5029" w:type="dxa"/>
            <w:vAlign w:val="center"/>
            <w:textDirection w:val="lrTb"/>
            <w:noWrap w:val="false"/>
          </w:tcPr>
          <w:p>
            <w:pPr>
              <w:pStyle w:val="928"/>
              <w:jc w:val="center"/>
              <w:rPr>
                <w:color w:val="000000"/>
                <w:sz w:val="21"/>
                <w:szCs w:val="21"/>
              </w:rPr>
            </w:pPr>
            <w:r>
              <w:rPr>
                <w:rFonts w:hint="eastAsia"/>
                <w:color w:val="000000"/>
                <w:sz w:val="21"/>
                <w:szCs w:val="21"/>
              </w:rPr>
              <w:t xml:space="preserve">平台接入及服务</w:t>
            </w:r>
            <w:r>
              <w:rPr>
                <w:color w:val="000000"/>
                <w:sz w:val="21"/>
                <w:szCs w:val="21"/>
              </w:rPr>
            </w:r>
            <w:r/>
          </w:p>
        </w:tc>
        <w:tc>
          <w:tcPr>
            <w:shd w:val="clear" w:color="000000" w:fill="ffffff"/>
            <w:tcMar>
              <w:left w:w="0" w:type="dxa"/>
              <w:right w:w="0" w:type="dxa"/>
            </w:tcMar>
            <w:tcW w:w="758" w:type="dxa"/>
            <w:vAlign w:val="center"/>
            <w:textDirection w:val="lrTb"/>
            <w:noWrap w:val="false"/>
          </w:tcPr>
          <w:p>
            <w:pPr>
              <w:pStyle w:val="928"/>
              <w:jc w:val="center"/>
              <w:rPr>
                <w:color w:val="000000"/>
                <w:sz w:val="21"/>
                <w:szCs w:val="21"/>
              </w:rPr>
            </w:pPr>
            <w:r>
              <w:rPr>
                <w:rFonts w:hint="eastAsia"/>
                <w:color w:val="000000"/>
                <w:sz w:val="21"/>
                <w:szCs w:val="21"/>
              </w:rPr>
              <w:t xml:space="preserve">项</w:t>
            </w:r>
            <w:r>
              <w:rPr>
                <w:color w:val="000000"/>
                <w:sz w:val="21"/>
                <w:szCs w:val="21"/>
              </w:rPr>
            </w:r>
            <w:r/>
          </w:p>
        </w:tc>
        <w:tc>
          <w:tcPr>
            <w:tcMar>
              <w:left w:w="0" w:type="dxa"/>
              <w:right w:w="0" w:type="dxa"/>
            </w:tcMar>
            <w:tcW w:w="667"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bl>
    <w:p>
      <w:pPr>
        <w:pStyle w:val="928"/>
        <w:ind w:firstLine="420"/>
        <w:rPr>
          <w:color w:val="000000"/>
          <w:sz w:val="21"/>
          <w:szCs w:val="21"/>
        </w:rPr>
      </w:pPr>
      <w:r>
        <w:rPr>
          <w:rFonts w:hint="eastAsia"/>
          <w:color w:val="000000"/>
          <w:sz w:val="21"/>
          <w:szCs w:val="21"/>
        </w:rPr>
        <w:t xml:space="preserve">2、前端环保卡口新建点位表</w:t>
      </w:r>
      <w:r>
        <w:rPr>
          <w:color w:val="000000"/>
          <w:sz w:val="21"/>
          <w:szCs w:val="21"/>
        </w:rPr>
      </w:r>
      <w:r/>
    </w:p>
    <w:tbl>
      <w:tblPr>
        <w:tblW w:w="96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2684"/>
        <w:gridCol w:w="628"/>
        <w:gridCol w:w="764"/>
        <w:gridCol w:w="764"/>
        <w:gridCol w:w="460"/>
        <w:gridCol w:w="936"/>
        <w:gridCol w:w="683"/>
        <w:gridCol w:w="683"/>
        <w:gridCol w:w="905"/>
        <w:gridCol w:w="692"/>
      </w:tblGrid>
      <w:tr>
        <w:trPr>
          <w:trHeight w:val="285"/>
          <w:tblHeader/>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序号</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点位名称</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900W</w:t>
            </w:r>
            <w:r>
              <w:rPr>
                <w:color w:val="000000"/>
                <w:sz w:val="21"/>
                <w:szCs w:val="21"/>
              </w:rPr>
            </w:r>
            <w:r/>
          </w:p>
          <w:p>
            <w:pPr>
              <w:pStyle w:val="928"/>
              <w:jc w:val="center"/>
              <w:rPr>
                <w:color w:val="000000"/>
                <w:sz w:val="21"/>
                <w:szCs w:val="21"/>
              </w:rPr>
            </w:pPr>
            <w:r>
              <w:rPr>
                <w:rFonts w:hint="eastAsia"/>
                <w:color w:val="000000"/>
                <w:sz w:val="21"/>
                <w:szCs w:val="21"/>
              </w:rPr>
              <w:t xml:space="preserve">超卡</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rFonts w:hint="eastAsia"/>
                <w:color w:val="000000"/>
                <w:sz w:val="21"/>
                <w:szCs w:val="21"/>
              </w:rPr>
              <w:t xml:space="preserve">900W</w:t>
            </w:r>
            <w:r>
              <w:rPr>
                <w:color w:val="000000"/>
                <w:sz w:val="21"/>
                <w:szCs w:val="21"/>
              </w:rPr>
            </w:r>
            <w:r/>
          </w:p>
          <w:p>
            <w:pPr>
              <w:pStyle w:val="928"/>
              <w:jc w:val="center"/>
              <w:rPr>
                <w:color w:val="000000"/>
                <w:sz w:val="21"/>
                <w:szCs w:val="21"/>
              </w:rPr>
            </w:pPr>
            <w:r>
              <w:rPr>
                <w:rFonts w:hint="eastAsia"/>
                <w:color w:val="000000"/>
                <w:sz w:val="21"/>
                <w:szCs w:val="21"/>
              </w:rPr>
              <w:t xml:space="preserve">电警</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rFonts w:hint="eastAsia"/>
                <w:color w:val="000000"/>
                <w:sz w:val="21"/>
                <w:szCs w:val="21"/>
              </w:rPr>
              <w:t xml:space="preserve">500W</w:t>
            </w:r>
            <w:r>
              <w:rPr>
                <w:color w:val="000000"/>
                <w:sz w:val="21"/>
                <w:szCs w:val="21"/>
              </w:rPr>
            </w:r>
            <w:r/>
          </w:p>
          <w:p>
            <w:pPr>
              <w:pStyle w:val="928"/>
              <w:jc w:val="center"/>
              <w:rPr>
                <w:color w:val="000000"/>
                <w:sz w:val="21"/>
                <w:szCs w:val="21"/>
              </w:rPr>
            </w:pPr>
            <w:r>
              <w:rPr>
                <w:rFonts w:hint="eastAsia"/>
                <w:color w:val="000000"/>
                <w:sz w:val="21"/>
                <w:szCs w:val="21"/>
              </w:rPr>
              <w:t xml:space="preserve">超卡</w:t>
            </w: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rFonts w:hint="eastAsia"/>
                <w:color w:val="000000"/>
                <w:sz w:val="21"/>
                <w:szCs w:val="21"/>
              </w:rPr>
              <w:t xml:space="preserve">人卡</w:t>
            </w: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三合一</w:t>
            </w:r>
            <w:r>
              <w:rPr>
                <w:color w:val="000000"/>
                <w:sz w:val="21"/>
                <w:szCs w:val="21"/>
              </w:rPr>
            </w:r>
            <w:r/>
          </w:p>
          <w:p>
            <w:pPr>
              <w:pStyle w:val="928"/>
              <w:jc w:val="center"/>
              <w:rPr>
                <w:color w:val="000000"/>
                <w:sz w:val="21"/>
                <w:szCs w:val="21"/>
              </w:rPr>
            </w:pPr>
            <w:r>
              <w:rPr>
                <w:rFonts w:hint="eastAsia"/>
                <w:color w:val="000000"/>
                <w:sz w:val="21"/>
                <w:szCs w:val="21"/>
              </w:rPr>
              <w:t xml:space="preserve">补光灯</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补光灯</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监控杆</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rFonts w:hint="eastAsia"/>
                <w:color w:val="000000"/>
                <w:sz w:val="21"/>
                <w:szCs w:val="21"/>
              </w:rPr>
              <w:t xml:space="preserve">新增支臂</w:t>
            </w: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抱杆箱</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园林路园林桥北</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怀仁路荡茜桥</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璜泾陆磺公路碧桂园路口西</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346国道荣文路</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崇文路荡茜路三岔口东</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新立路新周路北侧</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7</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向东岛北门</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8</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岳鹿路江南路南侧</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9</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崇恩路陆嘉北路东侧</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10</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临港路朱桥村</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11</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红旗村G15高速桥洞</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12</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新苗路G15高速桥洞</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13</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发达路339省道北侧</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14</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腾飞路往南G15高速桥洞</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rFonts w:hint="eastAsia"/>
                <w:color w:val="000000"/>
                <w:sz w:val="21"/>
                <w:szCs w:val="21"/>
              </w:rPr>
              <w:t xml:space="preserve">2m</w:t>
            </w: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四通路339省道北</w:t>
            </w:r>
            <w:r>
              <w:rPr>
                <w:rFonts w:hint="eastAsia"/>
                <w:color w:val="000000"/>
                <w:sz w:val="21"/>
                <w:szCs w:val="21"/>
              </w:rPr>
              <w:t xml:space="preserve">侧东</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16</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兴业路339省道北侧</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17</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老204国道城南路桥南侧</w:t>
            </w:r>
            <w:r>
              <w:rPr>
                <w:color w:val="000000"/>
                <w:sz w:val="21"/>
                <w:szCs w:val="21"/>
              </w:rPr>
            </w:r>
            <w:r/>
          </w:p>
          <w:p>
            <w:pPr>
              <w:pStyle w:val="928"/>
              <w:jc w:val="center"/>
              <w:rPr>
                <w:color w:val="000000"/>
                <w:sz w:val="21"/>
                <w:szCs w:val="21"/>
              </w:rPr>
            </w:pPr>
            <w:r>
              <w:rPr>
                <w:rFonts w:hint="eastAsia"/>
                <w:color w:val="000000"/>
                <w:sz w:val="21"/>
                <w:szCs w:val="21"/>
              </w:rPr>
              <w:t xml:space="preserve">（电警拍闯禁区）</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rFonts w:hint="eastAsia"/>
                <w:color w:val="000000"/>
                <w:sz w:val="21"/>
                <w:szCs w:val="21"/>
              </w:rPr>
              <w:t xml:space="preserve">3m+4m</w:t>
            </w: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18</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文华路健雄路北侧</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19</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白云渡路金湾路西侧北</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20</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邢巷线石头塘桥西侧</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21</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向东岛南门东</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22</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兴湖路新跃桥西侧</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rFonts w:hint="eastAsia"/>
                <w:color w:val="000000"/>
                <w:sz w:val="21"/>
                <w:szCs w:val="21"/>
              </w:rPr>
              <w:t xml:space="preserve">23</w:t>
            </w: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南郊新农村30组</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r>
      <w:tr>
        <w:trPr>
          <w:trHeight w:val="285"/>
        </w:trPr>
        <w:tc>
          <w:tcPr>
            <w:tcMar>
              <w:left w:w="0" w:type="dxa"/>
              <w:right w:w="0" w:type="dxa"/>
            </w:tcMar>
            <w:tcW w:w="470" w:type="dxa"/>
            <w:vAlign w:val="center"/>
            <w:textDirection w:val="lrTb"/>
            <w:noWrap w:val="false"/>
          </w:tcPr>
          <w:p>
            <w:pPr>
              <w:pStyle w:val="928"/>
              <w:jc w:val="center"/>
              <w:rPr>
                <w:color w:val="000000"/>
                <w:sz w:val="21"/>
                <w:szCs w:val="21"/>
              </w:rPr>
            </w:pPr>
            <w:r>
              <w:rPr>
                <w:color w:val="000000"/>
                <w:sz w:val="21"/>
                <w:szCs w:val="21"/>
              </w:rPr>
            </w:r>
            <w:r/>
          </w:p>
        </w:tc>
        <w:tc>
          <w:tcPr>
            <w:tcMar>
              <w:left w:w="0" w:type="dxa"/>
              <w:right w:w="0" w:type="dxa"/>
            </w:tcMar>
            <w:tcW w:w="2684" w:type="dxa"/>
            <w:vAlign w:val="center"/>
            <w:textDirection w:val="lrTb"/>
            <w:noWrap w:val="false"/>
          </w:tcPr>
          <w:p>
            <w:pPr>
              <w:pStyle w:val="928"/>
              <w:jc w:val="center"/>
              <w:rPr>
                <w:color w:val="000000"/>
                <w:sz w:val="21"/>
                <w:szCs w:val="21"/>
              </w:rPr>
            </w:pPr>
            <w:r>
              <w:rPr>
                <w:rFonts w:hint="eastAsia"/>
                <w:color w:val="000000"/>
                <w:sz w:val="21"/>
                <w:szCs w:val="21"/>
              </w:rPr>
              <w:t xml:space="preserve">合计</w:t>
            </w:r>
            <w:r>
              <w:rPr>
                <w:color w:val="000000"/>
                <w:sz w:val="21"/>
                <w:szCs w:val="21"/>
              </w:rPr>
            </w:r>
            <w:r/>
          </w:p>
        </w:tc>
        <w:tc>
          <w:tcPr>
            <w:tcMar>
              <w:left w:w="0" w:type="dxa"/>
              <w:right w:w="0" w:type="dxa"/>
            </w:tcMar>
            <w:tcW w:w="628" w:type="dxa"/>
            <w:vAlign w:val="center"/>
            <w:textDirection w:val="lrTb"/>
            <w:noWrap w:val="false"/>
          </w:tcPr>
          <w:p>
            <w:pPr>
              <w:pStyle w:val="928"/>
              <w:jc w:val="center"/>
              <w:rPr>
                <w:color w:val="000000"/>
                <w:sz w:val="21"/>
                <w:szCs w:val="21"/>
              </w:rPr>
            </w:pPr>
            <w:r>
              <w:rPr>
                <w:rFonts w:hint="eastAsia"/>
                <w:color w:val="000000"/>
                <w:sz w:val="21"/>
                <w:szCs w:val="21"/>
              </w:rPr>
              <w:t xml:space="preserve">57</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Mar>
              <w:left w:w="0" w:type="dxa"/>
              <w:right w:w="0" w:type="dxa"/>
            </w:tcMar>
            <w:tcW w:w="764"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460"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Mar>
              <w:left w:w="0" w:type="dxa"/>
              <w:right w:w="0" w:type="dxa"/>
            </w:tcMar>
            <w:tcW w:w="936" w:type="dxa"/>
            <w:vAlign w:val="center"/>
            <w:textDirection w:val="lrTb"/>
            <w:noWrap w:val="false"/>
          </w:tcPr>
          <w:p>
            <w:pPr>
              <w:pStyle w:val="928"/>
              <w:jc w:val="center"/>
              <w:rPr>
                <w:color w:val="000000"/>
                <w:sz w:val="21"/>
                <w:szCs w:val="21"/>
              </w:rPr>
            </w:pPr>
            <w:r>
              <w:rPr>
                <w:rFonts w:hint="eastAsia"/>
                <w:color w:val="000000"/>
                <w:sz w:val="21"/>
                <w:szCs w:val="21"/>
              </w:rPr>
              <w:t xml:space="preserve">65</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Mar>
              <w:left w:w="0" w:type="dxa"/>
              <w:right w:w="0" w:type="dxa"/>
            </w:tcMar>
            <w:tcW w:w="683" w:type="dxa"/>
            <w:vAlign w:val="center"/>
            <w:textDirection w:val="lrTb"/>
            <w:noWrap w:val="false"/>
          </w:tcPr>
          <w:p>
            <w:pPr>
              <w:pStyle w:val="928"/>
              <w:jc w:val="center"/>
              <w:rPr>
                <w:color w:val="000000"/>
                <w:sz w:val="21"/>
                <w:szCs w:val="21"/>
              </w:rPr>
            </w:pPr>
            <w:r>
              <w:rPr>
                <w:rFonts w:hint="eastAsia"/>
                <w:color w:val="000000"/>
                <w:sz w:val="21"/>
                <w:szCs w:val="21"/>
              </w:rPr>
              <w:t xml:space="preserve">22</w:t>
            </w:r>
            <w:r>
              <w:rPr>
                <w:color w:val="000000"/>
                <w:sz w:val="21"/>
                <w:szCs w:val="21"/>
              </w:rPr>
            </w:r>
            <w:r/>
          </w:p>
        </w:tc>
        <w:tc>
          <w:tcPr>
            <w:tcMar>
              <w:left w:w="0" w:type="dxa"/>
              <w:right w:w="0" w:type="dxa"/>
            </w:tcMar>
            <w:tcW w:w="905"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tcMar>
              <w:left w:w="0" w:type="dxa"/>
              <w:right w:w="0" w:type="dxa"/>
            </w:tcMar>
            <w:tcW w:w="692" w:type="dxa"/>
            <w:vAlign w:val="center"/>
            <w:textDirection w:val="lrTb"/>
            <w:noWrap w:val="false"/>
          </w:tcPr>
          <w:p>
            <w:pPr>
              <w:pStyle w:val="928"/>
              <w:jc w:val="center"/>
              <w:rPr>
                <w:color w:val="000000"/>
                <w:sz w:val="21"/>
                <w:szCs w:val="21"/>
              </w:rPr>
            </w:pPr>
            <w:r>
              <w:rPr>
                <w:rFonts w:hint="eastAsia"/>
                <w:color w:val="000000"/>
                <w:sz w:val="21"/>
                <w:szCs w:val="21"/>
              </w:rPr>
              <w:t xml:space="preserve">32</w:t>
            </w:r>
            <w:r>
              <w:rPr>
                <w:color w:val="000000"/>
                <w:sz w:val="21"/>
                <w:szCs w:val="21"/>
              </w:rPr>
            </w:r>
            <w:r/>
          </w:p>
        </w:tc>
      </w:tr>
    </w:tbl>
    <w:p>
      <w:pPr>
        <w:pStyle w:val="928"/>
        <w:ind w:firstLine="420"/>
        <w:spacing w:line="360" w:lineRule="auto"/>
        <w:rPr>
          <w:color w:val="000000"/>
          <w:sz w:val="21"/>
          <w:szCs w:val="21"/>
        </w:rPr>
      </w:pPr>
      <w:r>
        <w:rPr>
          <w:rFonts w:hint="eastAsia"/>
          <w:color w:val="000000"/>
          <w:sz w:val="21"/>
          <w:szCs w:val="21"/>
        </w:rPr>
        <w:t xml:space="preserve">3、本项目包含已有市电引入或改造，以及光纤线路引入，中标单位要负责相关接电及管线工程，维保期内涉及的施工费用、网络费用和供电费用等由中标单位负责解决。工程按照相关要求做好隐蔽工程，不得明线裸露以及随意飞线，并对原有的借杆点位的飞线和裸露线路进行整改，借纤点位中标单位负责相关借纤线路工程的新建和维修。中标方需满足采购方在本标段点位借杆、借电、借网额外安装ETC、测速雷达、视频监控等设备的需求，不得额外收取其他费用。</w:t>
      </w:r>
      <w:r>
        <w:rPr>
          <w:color w:val="000000"/>
          <w:sz w:val="21"/>
          <w:szCs w:val="21"/>
        </w:rPr>
      </w:r>
      <w:r/>
    </w:p>
    <w:p>
      <w:pPr>
        <w:pStyle w:val="928"/>
        <w:ind w:firstLine="420"/>
        <w:spacing w:line="360" w:lineRule="auto"/>
        <w:rPr>
          <w:rFonts w:hint="eastAsia"/>
          <w:color w:val="000000"/>
          <w:sz w:val="21"/>
          <w:szCs w:val="21"/>
        </w:rPr>
      </w:pPr>
      <w:r>
        <w:rPr>
          <w:rFonts w:hint="eastAsia"/>
          <w:color w:val="000000"/>
          <w:sz w:val="21"/>
          <w:szCs w:val="21"/>
        </w:rPr>
        <w:t xml:space="preserve">4、具体点位清单：</w:t>
      </w:r>
      <w:r/>
    </w:p>
    <w:tbl>
      <w:tblPr>
        <w:tblW w:w="46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0" w:type="dxa"/>
          <w:right w:w="15" w:type="dxa"/>
          <w:bottom w:w="0" w:type="dxa"/>
        </w:tblCellMar>
        <w:tblLook w:val="04A0" w:firstRow="1" w:lastRow="0" w:firstColumn="1" w:lastColumn="0" w:noHBand="0" w:noVBand="1"/>
      </w:tblPr>
      <w:tblGrid>
        <w:gridCol w:w="4630"/>
      </w:tblGrid>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CK_园林路园林桥北南向北</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CK_园林路园林</w:t>
            </w:r>
            <w:r>
              <w:rPr>
                <w:color w:val="000000"/>
                <w:sz w:val="21"/>
                <w:szCs w:val="21"/>
              </w:rPr>
              <w:t xml:space="preserve">桥北北向南</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CK_怀仁路荡茜桥南向北</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CK_怀仁路荡茜桥北向南</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CK_璜泾陆磺公路碧桂园路口东向西1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CK_璜泾陆磺公路碧桂园路口东向西2</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CK_346国道荣文路东向西</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CK_346国道荣文路西向东</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CK_崇文路荡茜路三岔口东向西</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CK_崇文路荡茜路三岔口西向东</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CK_邢巷线石头塘桥西侧东向西</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CK_邢巷线石头塘桥西侧西向东</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CK_向东岛北门南向北1</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CK_向东岛北门南向北2</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CK_向东岛北门北向南1</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CK_向东岛北门北向南2</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CK_向东岛南门南向北1</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CK_向东岛南门南向北2</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CK_向东岛南门北向南1</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CK_向东岛南门北向南2</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CK_岳鹿路江南路南侧南向北1</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CK_岳鹿路江南路南侧南向北2</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CK_岳鹿路江南路南侧南向北3</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CK_岳鹿路江南路南侧北向南1</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CK_岳鹿路江南路南侧北向南2</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CK_岳鹿路江南路南侧北向南3</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CK_崇恩路陆嘉北路东侧东向西1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CK_崇恩路陆嘉北路东侧东向西辅道</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CK_崇恩路陆嘉北路东侧西向东1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CK_崇恩路陆嘉北路东侧西向东辅道</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CK_白云渡路金湾路西侧东向西1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CK_白云渡路金湾路西侧东向西辅道</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CK_白云渡路金湾路西侧</w:t>
            </w:r>
            <w:r>
              <w:rPr>
                <w:color w:val="000000"/>
                <w:sz w:val="21"/>
                <w:szCs w:val="21"/>
              </w:rPr>
              <w:t xml:space="preserve">西向东1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CK_白云渡路金湾路西侧西向东辅道</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CK_临港路朱桥村南向北1</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CK_临港路朱桥村南向北辅道</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CK_临港路朱桥村北向南1</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CK_临港路朱桥村北向南辅道</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CK_发达路339省道北侧南向北1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CK_发达路339省道北侧南向北2</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PK_发达路339省道北侧南向北辅道</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CK_发达路339省道北侧北向南1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CK_发达路339省道北侧北向南2</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PK_发达路339省道北侧北向南辅道</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CK_四通路339省道北侧南向北1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CK_四通路339省道北侧南向北2</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CK_四通路339省道北侧南向北辅道</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CK_兴业路339省道北侧南向北1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CK_兴业路339省道北侧南向北辅道</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CK_新立路新周路北侧南向北</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CK_新立路新周路北侧北向南</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CK_红旗村G15高速桥洞</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CK_新苗路G15高速桥洞</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CK_兴旺路339北侧南向北</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CK_文华路健雄路北侧南向北</w:t>
            </w:r>
            <w:r>
              <w:rPr>
                <w:rFonts w:hint="eastAsia"/>
                <w:color w:val="000000"/>
                <w:sz w:val="21"/>
                <w:szCs w:val="21"/>
              </w:rPr>
            </w:r>
            <w:r/>
          </w:p>
        </w:tc>
      </w:tr>
      <w:tr>
        <w:trPr>
          <w:trHeight w:val="285"/>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CK_文华路健雄路北侧北向南</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PK_老204国道城南路桥南侧南向北</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PK_老204国道城南路桥南侧北向南</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CK_胜泾路南漳泾路北侧南向北1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CK_胜泾路南漳泾路北侧南向北2</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CK_胜泾路南漳泾路北侧北向南1</w:t>
            </w:r>
            <w:r>
              <w:rPr>
                <w:rFonts w:hint="eastAsia"/>
                <w:color w:val="000000"/>
                <w:sz w:val="21"/>
                <w:szCs w:val="21"/>
              </w:rPr>
            </w:r>
            <w:r/>
          </w:p>
        </w:tc>
      </w:tr>
      <w:tr>
        <w:trPr>
          <w:trHeight w:val="570"/>
        </w:trPr>
        <w:tc>
          <w:tcPr>
            <w:tcW w:w="4630" w:type="dxa"/>
            <w:vAlign w:val="center"/>
            <w:textDirection w:val="lrTb"/>
            <w:noWrap w:val="false"/>
          </w:tcPr>
          <w:p>
            <w:pPr>
              <w:pStyle w:val="928"/>
              <w:jc w:val="left"/>
              <w:spacing w:line="360" w:lineRule="auto"/>
              <w:rPr>
                <w:rFonts w:hint="eastAsia"/>
                <w:color w:val="000000"/>
                <w:sz w:val="21"/>
                <w:szCs w:val="21"/>
              </w:rPr>
            </w:pPr>
            <w:r>
              <w:rPr>
                <w:color w:val="000000"/>
                <w:sz w:val="21"/>
                <w:szCs w:val="21"/>
              </w:rPr>
              <w:t xml:space="preserve">CK_胜泾路南漳</w:t>
            </w:r>
            <w:r>
              <w:rPr>
                <w:color w:val="000000"/>
                <w:sz w:val="21"/>
                <w:szCs w:val="21"/>
              </w:rPr>
              <w:t xml:space="preserve">泾路北侧北向南2</w:t>
            </w:r>
            <w:r>
              <w:rPr>
                <w:rFonts w:hint="eastAsia"/>
                <w:color w:val="000000"/>
                <w:sz w:val="21"/>
                <w:szCs w:val="21"/>
              </w:rPr>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沪苏通项目软硬件维保</w:t>
      </w:r>
      <w:r>
        <w:rPr>
          <w:rFonts w:ascii="宋体" w:hAnsi="宋体" w:eastAsia="宋体"/>
          <w:color w:val="000000"/>
          <w:sz w:val="21"/>
          <w:szCs w:val="21"/>
        </w:rPr>
      </w:r>
      <w:r/>
    </w:p>
    <w:tbl>
      <w:tblPr>
        <w:tblW w:w="9087" w:type="dxa"/>
        <w:tblInd w:w="0" w:type="dxa"/>
        <w:tblLayout w:type="fixed"/>
        <w:tblCellMar>
          <w:left w:w="15" w:type="dxa"/>
          <w:top w:w="0" w:type="dxa"/>
          <w:right w:w="15" w:type="dxa"/>
          <w:bottom w:w="0" w:type="dxa"/>
        </w:tblCellMar>
        <w:tblLook w:val="04A0" w:firstRow="1" w:lastRow="0" w:firstColumn="1" w:lastColumn="0" w:noHBand="0" w:noVBand="1"/>
      </w:tblPr>
      <w:tblGrid>
        <w:gridCol w:w="710"/>
        <w:gridCol w:w="1715"/>
        <w:gridCol w:w="3686"/>
        <w:gridCol w:w="1134"/>
        <w:gridCol w:w="850"/>
        <w:gridCol w:w="992"/>
      </w:tblGrid>
      <w:tr>
        <w:trPr>
          <w:trHeight w:val="546"/>
        </w:trPr>
        <w:tc>
          <w:tcPr>
            <w:gridSpan w:val="6"/>
            <w:tcBorders>
              <w:top w:val="single" w:color="000000" w:sz="4" w:space="0"/>
              <w:left w:val="single" w:color="000000" w:sz="4" w:space="0"/>
              <w:bottom w:val="single" w:color="000000" w:sz="4" w:space="0"/>
              <w:right w:val="single" w:color="000000" w:sz="4" w:space="0"/>
            </w:tcBorders>
            <w:tcW w:w="9087"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建设.巡更系统（设备维护服务）</w:t>
            </w:r>
            <w:r/>
          </w:p>
        </w:tc>
      </w:tr>
      <w:tr>
        <w:trPr>
          <w:trHeight w:val="444"/>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系统工作站</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OptiPlex 5060 Tower 230352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DELL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巡更管理软件</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V1.0 带加密狗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蓝卡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巡检器</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BP-20125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蓝卡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30</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通讯座</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BS-1000USB口</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蓝卡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巡逻员卡</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BLC-35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蓝卡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40</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巡逻点</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BLC-6-28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蓝卡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100</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标示牌</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BMK-20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蓝卡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100</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安装调试服务费</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安装调试服务费（365天*24小时）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605"/>
        </w:trPr>
        <w:tc>
          <w:tcPr>
            <w:gridSpan w:val="6"/>
            <w:tcBorders>
              <w:top w:val="single" w:color="000000" w:sz="4" w:space="0"/>
              <w:left w:val="single" w:color="000000" w:sz="4" w:space="0"/>
              <w:bottom w:val="single" w:color="000000" w:sz="4" w:space="0"/>
              <w:right w:val="single" w:color="000000" w:sz="4" w:space="0"/>
            </w:tcBorders>
            <w:tcW w:w="9087"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建设.中心管理应用系统（设备维护服务）</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铁路巡防综合管控平台</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DH-DSS7016D-2I</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交换机A</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LSW3600-48GT4XGS-SE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迪普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r>
      <w:tr>
        <w:trPr>
          <w:trHeight w:val="536"/>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万兆光模块(40KM)</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SFP-40G-LR 1340nm  40km</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国产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机柜</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600x800x2000mm</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图腾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PDU</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国标万用10A  8位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科佳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8</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理线架</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CN1331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国产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8</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六类网线</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4对双绞线</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国产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960</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电源线</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RV</w:t>
            </w:r>
            <w:r>
              <w:rPr>
                <w:rFonts w:cs="黑体"/>
                <w:color w:val="000000"/>
                <w:sz w:val="21"/>
                <w:szCs w:val="21"/>
              </w:rPr>
              <w:t xml:space="preserve">V3*2.5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国产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米</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135</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安装调试服务费</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安装调试服务费（365天*24小时）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687"/>
        </w:trPr>
        <w:tc>
          <w:tcPr>
            <w:gridSpan w:val="6"/>
            <w:tcBorders>
              <w:top w:val="single" w:color="000000" w:sz="4" w:space="0"/>
              <w:left w:val="single" w:color="000000" w:sz="4" w:space="0"/>
              <w:bottom w:val="single" w:color="000000" w:sz="4" w:space="0"/>
              <w:right w:val="single" w:color="000000" w:sz="4" w:space="0"/>
            </w:tcBorders>
            <w:tcW w:w="9087"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建设.指挥中心大屏（设备维护服务）</w:t>
            </w:r>
            <w:r/>
          </w:p>
        </w:tc>
      </w:tr>
      <w:tr>
        <w:trPr>
          <w:trHeight w:val="112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1.2小间距2100x4800</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DH-PHSIA1.2-EH（2250*4800）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平方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10.04</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显示屏独立主控</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DH-LCS-M600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大屏控制器</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DH-DSCON3000-4U</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多屏控制软件</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定制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控制键盘</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DH-NKB5000-F</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大屏安装结构</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定制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大屏线缆</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CHL-020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挂壁配电箱</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定制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功放一体机</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MK230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AKAIE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壁挂音箱</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BE05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AKAIE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只</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标准机柜</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800*600*1200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图腾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无线话筒</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PM-880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LONGX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安装调试服务费</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安装调试服务费（365天*24小时）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712"/>
        </w:trPr>
        <w:tc>
          <w:tcPr>
            <w:gridSpan w:val="6"/>
            <w:tcBorders>
              <w:top w:val="single" w:color="000000" w:sz="4" w:space="0"/>
              <w:left w:val="single" w:color="000000" w:sz="4" w:space="0"/>
              <w:bottom w:val="single" w:color="000000" w:sz="4" w:space="0"/>
              <w:right w:val="single" w:color="000000" w:sz="4" w:space="0"/>
            </w:tcBorders>
            <w:tcW w:w="9087"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建设.监控中心、分中心所需要的UPS、办公电脑等（设备维护服务）</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20KV  UPS主机</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KCRT-20K</w:t>
            </w:r>
            <w:r>
              <w:rPr>
                <w:rFonts w:cs="黑体"/>
                <w:color w:val="000000"/>
                <w:sz w:val="21"/>
                <w:szCs w:val="21"/>
              </w:rPr>
              <w:t xml:space="preserve">VA</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雷诺士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电池（12V100AH ）</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Reros 12V/100AH</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雷诺士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32</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电池柜</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A-32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雷诺士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UPS配电线</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电池连接线、辅材、搬运等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雷诺士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交换机B</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LSW3600-48GT4XGS-SE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迪普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电源控制箱</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16回路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定制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r>
      <w:tr>
        <w:trPr>
          <w:trHeight w:val="53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办公电脑</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OptiPlex 5060 Tower 231059/E2318H</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DELL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9</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4工位操作台、椅</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定制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定制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0</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2工位操作台、椅</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定制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定制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w:t>
            </w:r>
            <w:r/>
          </w:p>
        </w:tc>
      </w:tr>
      <w:tr>
        <w:trPr>
          <w:trHeight w:val="274"/>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太仓站、太仓南站75寸液晶电视</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75A7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创维</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视频解码器</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DH-NVD0105DH-4K</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24口千兆交换机</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S5120V2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H3C</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接地</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镀锌管Ø40*2500米</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定制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0</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中心电源二级防雷</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NKP-TEL-5C-2a</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科佳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0</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其他配套辅材等</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配套辅材等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配套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安装调试服务费</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安装调试服务费（365天*24小时）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r>
        <w:trPr>
          <w:trHeight w:val="638"/>
        </w:trPr>
        <w:tc>
          <w:tcPr>
            <w:gridSpan w:val="6"/>
            <w:tcBorders>
              <w:top w:val="single" w:color="000000" w:sz="4" w:space="0"/>
              <w:left w:val="single" w:color="000000" w:sz="4" w:space="0"/>
              <w:bottom w:val="single" w:color="000000" w:sz="4" w:space="0"/>
              <w:right w:val="single" w:color="000000" w:sz="4" w:space="0"/>
            </w:tcBorders>
            <w:tcW w:w="9087" w:type="dxa"/>
            <w:vAlign w:val="center"/>
            <w:textDirection w:val="lrTb"/>
            <w:noWrap w:val="false"/>
          </w:tcPr>
          <w:p>
            <w:pPr>
              <w:pStyle w:val="928"/>
              <w:jc w:val="center"/>
              <w:spacing w:line="360" w:lineRule="auto"/>
              <w:rPr>
                <w:rFonts w:cs="黑体"/>
                <w:b/>
                <w:color w:val="000000"/>
                <w:sz w:val="21"/>
                <w:szCs w:val="21"/>
              </w:rPr>
            </w:pPr>
            <w:r>
              <w:rPr>
                <w:rFonts w:cs="黑体"/>
                <w:b/>
                <w:color w:val="000000"/>
                <w:sz w:val="21"/>
                <w:szCs w:val="21"/>
              </w:rPr>
              <w:t xml:space="preserve">建设.室内监控（设备维护服务）</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200万星光级低照度摄像机</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DH-IP</w:t>
            </w:r>
            <w:r>
              <w:rPr>
                <w:rFonts w:cs="黑体"/>
                <w:color w:val="000000"/>
                <w:sz w:val="21"/>
                <w:szCs w:val="21"/>
              </w:rPr>
              <w:t xml:space="preserve">C-HFW5243M</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400万像素红外半球</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DH-IPC-HFW5443T</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10</w:t>
            </w:r>
            <w:r/>
          </w:p>
        </w:tc>
      </w:tr>
      <w:tr>
        <w:trPr>
          <w:trHeight w:val="45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硬盘录像机（16路）</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DH-NVR4416-16P-HDS2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浙江大华</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3.5寸监控级硬盘</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ST6000VX000,6T,5900RPM,3.5",SATA</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希捷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块</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r>
      <w:tr>
        <w:trPr>
          <w:trHeight w:val="67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安装调试服务费</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安装调试服务费（365天*24小时）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视频网云平台扩容维保</w:t>
      </w:r>
      <w:r>
        <w:rPr>
          <w:rFonts w:ascii="宋体" w:hAnsi="宋体" w:eastAsia="宋体"/>
          <w:color w:val="000000"/>
          <w:sz w:val="21"/>
          <w:szCs w:val="21"/>
        </w:rPr>
      </w:r>
      <w:r/>
    </w:p>
    <w:tbl>
      <w:tblPr>
        <w:tblW w:w="9075" w:type="dxa"/>
        <w:tblInd w:w="0" w:type="dxa"/>
        <w:tblLayout w:type="fixed"/>
        <w:tblCellMar>
          <w:left w:w="15" w:type="dxa"/>
          <w:top w:w="0" w:type="dxa"/>
          <w:right w:w="15" w:type="dxa"/>
          <w:bottom w:w="0" w:type="dxa"/>
        </w:tblCellMar>
        <w:tblLook w:val="04A0" w:firstRow="1" w:lastRow="0" w:firstColumn="1" w:lastColumn="0" w:noHBand="0" w:noVBand="1"/>
      </w:tblPr>
      <w:tblGrid>
        <w:gridCol w:w="1050"/>
        <w:gridCol w:w="2625"/>
        <w:gridCol w:w="3270"/>
        <w:gridCol w:w="1050"/>
        <w:gridCol w:w="1080"/>
      </w:tblGrid>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品牌型号</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单位</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视频云接入转发节点</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IVS3800XS</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解析比对节点</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IVS3800XC</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480"/>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图片云存储节点</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OceanStor 9000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感知存储业务交换机</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CE6857E-48S6CQ</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算法-人脸图片模式</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定制</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算法-车辆图片模式</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定制</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算法-人体图片模式</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定制</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算力管理调度</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定制</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公安网视频云平台扩容维保</w:t>
      </w:r>
      <w:r>
        <w:rPr>
          <w:rFonts w:ascii="宋体" w:hAnsi="宋体" w:eastAsia="宋体"/>
          <w:color w:val="000000"/>
          <w:sz w:val="21"/>
          <w:szCs w:val="21"/>
        </w:rPr>
      </w:r>
      <w:r/>
    </w:p>
    <w:tbl>
      <w:tblPr>
        <w:tblW w:w="9075" w:type="dxa"/>
        <w:tblInd w:w="0" w:type="dxa"/>
        <w:tblLayout w:type="fixed"/>
        <w:tblCellMar>
          <w:left w:w="15" w:type="dxa"/>
          <w:top w:w="0" w:type="dxa"/>
          <w:right w:w="15" w:type="dxa"/>
          <w:bottom w:w="0" w:type="dxa"/>
        </w:tblCellMar>
        <w:tblLook w:val="04A0" w:firstRow="1" w:lastRow="0" w:firstColumn="1" w:lastColumn="0" w:noHBand="0" w:noVBand="1"/>
      </w:tblPr>
      <w:tblGrid>
        <w:gridCol w:w="1050"/>
        <w:gridCol w:w="2625"/>
        <w:gridCol w:w="3270"/>
        <w:gridCol w:w="1050"/>
        <w:gridCol w:w="1080"/>
      </w:tblGrid>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品牌型号</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单位</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存储转发节点</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IVS3800XS</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解析比对节点</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IV</w:t>
            </w:r>
            <w:r>
              <w:rPr>
                <w:rFonts w:cs="黑体"/>
                <w:color w:val="000000"/>
                <w:sz w:val="21"/>
                <w:szCs w:val="21"/>
              </w:rPr>
              <w:t xml:space="preserve">S3800XC</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390"/>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全息人像聚类算法</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定制</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光纤模块</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SFP-10G-BXU1</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对</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ascii="宋体" w:hAnsi="宋体" w:eastAsia="宋体"/>
          <w:color w:val="000000"/>
          <w:sz w:val="21"/>
          <w:szCs w:val="21"/>
        </w:rPr>
        <w:t xml:space="preserve">公安网大数据扩容</w:t>
      </w:r>
      <w:r/>
    </w:p>
    <w:tbl>
      <w:tblPr>
        <w:tblW w:w="9075" w:type="dxa"/>
        <w:tblInd w:w="0" w:type="dxa"/>
        <w:tblLayout w:type="fixed"/>
        <w:tblCellMar>
          <w:left w:w="15" w:type="dxa"/>
          <w:top w:w="0" w:type="dxa"/>
          <w:right w:w="15" w:type="dxa"/>
          <w:bottom w:w="0" w:type="dxa"/>
        </w:tblCellMar>
        <w:tblLook w:val="04A0" w:firstRow="1" w:lastRow="0" w:firstColumn="1" w:lastColumn="0" w:noHBand="0" w:noVBand="1"/>
      </w:tblPr>
      <w:tblGrid>
        <w:gridCol w:w="1050"/>
        <w:gridCol w:w="2625"/>
        <w:gridCol w:w="3270"/>
        <w:gridCol w:w="1050"/>
        <w:gridCol w:w="1080"/>
      </w:tblGrid>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品牌型号</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单位</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大数据节点</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华为 Atlas 800</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MPPDB数仓软件授权</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国产 定制</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70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TB</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系统运维管理平台</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国产 定制</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虚拟化软件平台</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国产 定制</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套</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2022年人像卡口租赁项目二标段采购部分维保</w:t>
      </w:r>
      <w:r>
        <w:rPr>
          <w:rFonts w:ascii="宋体" w:hAnsi="宋体" w:eastAsia="宋体"/>
          <w:color w:val="000000"/>
          <w:sz w:val="21"/>
          <w:szCs w:val="21"/>
        </w:rPr>
      </w:r>
      <w:r/>
    </w:p>
    <w:tbl>
      <w:tblPr>
        <w:tblW w:w="9075" w:type="dxa"/>
        <w:tblInd w:w="0" w:type="dxa"/>
        <w:tblLayout w:type="fixed"/>
        <w:tblCellMar>
          <w:left w:w="15" w:type="dxa"/>
          <w:top w:w="0" w:type="dxa"/>
          <w:right w:w="15" w:type="dxa"/>
          <w:bottom w:w="0" w:type="dxa"/>
        </w:tblCellMar>
        <w:tblLook w:val="04A0" w:firstRow="1" w:lastRow="0" w:firstColumn="1" w:lastColumn="0" w:noHBand="0" w:noVBand="1"/>
      </w:tblPr>
      <w:tblGrid>
        <w:gridCol w:w="1050"/>
        <w:gridCol w:w="2625"/>
        <w:gridCol w:w="3270"/>
        <w:gridCol w:w="1050"/>
        <w:gridCol w:w="1080"/>
      </w:tblGrid>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品牌型号</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单位</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云存储设备</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海康DS-A71048R CVS/8tb</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校时服务器</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海康DS-VEN11H-NTP</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5G布控球</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科达 IPC522</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5G智能单兵</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科达 KBS-WGO1A</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穿戴式防抖摄像机</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科达、KPS-TD11A</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笔记本电脑</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联想、昭阳笔记本/K4e-ITL</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r>
        <w:trPr>
          <w:trHeight w:val="285"/>
        </w:trPr>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台式电脑</w:t>
            </w:r>
            <w:r/>
          </w:p>
        </w:tc>
        <w:tc>
          <w:tcPr>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联想、启天M455</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8"/>
              <w:jc w:val="center"/>
              <w:spacing w:line="360" w:lineRule="auto"/>
              <w:rPr>
                <w:rFonts w:cs="黑体"/>
                <w:color w:val="000000"/>
                <w:sz w:val="21"/>
                <w:szCs w:val="21"/>
              </w:rPr>
            </w:pPr>
            <w:r>
              <w:rPr>
                <w:rFonts w:cs="黑体"/>
                <w:color w:val="000000"/>
                <w:sz w:val="21"/>
                <w:szCs w:val="21"/>
              </w:rPr>
              <w:t xml:space="preserve">台</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网络安全设备升级</w:t>
      </w:r>
      <w:r>
        <w:rPr>
          <w:rFonts w:ascii="宋体" w:hAnsi="宋体" w:eastAsia="宋体"/>
          <w:color w:val="000000"/>
          <w:sz w:val="21"/>
          <w:szCs w:val="21"/>
        </w:rPr>
      </w:r>
      <w:r/>
    </w:p>
    <w:tbl>
      <w:tblPr>
        <w:tblW w:w="92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326"/>
        <w:gridCol w:w="1920"/>
        <w:gridCol w:w="2250"/>
        <w:gridCol w:w="870"/>
        <w:gridCol w:w="855"/>
      </w:tblGrid>
      <w:tr>
        <w:trPr>
          <w:trHeight w:val="27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序号</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标的物名称</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品牌、规格</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生产厂家</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单位</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数量</w:t>
            </w:r>
            <w:r/>
          </w:p>
        </w:tc>
      </w:tr>
      <w:tr>
        <w:trPr>
          <w:trHeight w:val="72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1</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安全隔离与单向传输系统（核心产品）</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合众 SG-350-H3000</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杭州合众数据技术有限公司</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套</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2</w:t>
            </w:r>
            <w:r/>
          </w:p>
        </w:tc>
      </w:tr>
      <w:tr>
        <w:trPr>
          <w:trHeight w:val="72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2</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安全服务总线系统</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合众SSB-4500</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杭州合众数据技术有限公司</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台</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2</w:t>
            </w:r>
            <w:r/>
          </w:p>
        </w:tc>
      </w:tr>
      <w:tr>
        <w:trPr>
          <w:trHeight w:val="96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3</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可信边界网关</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万通TrustMore-SG-5300-UP</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北京中宇万通科技股份有限公司</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台</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1</w:t>
            </w:r>
            <w:r/>
          </w:p>
        </w:tc>
      </w:tr>
      <w:tr>
        <w:trPr>
          <w:trHeight w:val="72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4</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三层交换机</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华为 S5735S-L24T4X-A1</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华为技术有限公司</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台</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1</w:t>
            </w:r>
            <w:r/>
          </w:p>
        </w:tc>
      </w:tr>
      <w:tr>
        <w:trPr>
          <w:trHeight w:val="72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5</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采集模块</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天懋 RadarVN-201</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广州天懋信息系统股份有限公司</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套</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1</w:t>
            </w:r>
            <w:r/>
          </w:p>
        </w:tc>
      </w:tr>
      <w:tr>
        <w:trPr>
          <w:trHeight w:val="72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6</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分析模块</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天懋 RadarVN-201</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广州天懋信息系统股份有限公司</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套</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1</w:t>
            </w:r>
            <w:r/>
          </w:p>
        </w:tc>
      </w:tr>
      <w:tr>
        <w:trPr>
          <w:trHeight w:val="72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7</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网络末梢传感器</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天懋 NSS-C01</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广州天懋信息系统股份有限公司</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台</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6</w:t>
            </w:r>
            <w:r/>
          </w:p>
        </w:tc>
      </w:tr>
      <w:tr>
        <w:trPr>
          <w:trHeight w:val="72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8</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ETC感知采集设备</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目炬</w:t>
              <w:br w:type="textWrapping" w:clear="all"/>
              <w:t xml:space="preserve">PDM-01</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杭州目炬科技有限公司</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台</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70</w:t>
            </w:r>
            <w:r/>
          </w:p>
        </w:tc>
      </w:tr>
      <w:tr>
        <w:trPr>
          <w:trHeight w:val="72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9</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平台及服务器</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中科可控 H520-G30</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中科可控信息产业有限公司</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台</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4</w:t>
            </w:r>
            <w:r/>
          </w:p>
        </w:tc>
      </w:tr>
      <w:tr>
        <w:trPr>
          <w:trHeight w:val="48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10</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其他（立杆，辅材，施工、调试、维护）</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定制</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定制</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点</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70</w:t>
            </w:r>
            <w:r/>
          </w:p>
        </w:tc>
      </w:tr>
      <w:tr>
        <w:trPr>
          <w:trHeight w:val="480"/>
        </w:trPr>
        <w:tc>
          <w:tcPr>
            <w:tcW w:w="993"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11</w:t>
            </w:r>
            <w:r/>
          </w:p>
        </w:tc>
        <w:tc>
          <w:tcPr>
            <w:tcW w:w="2326"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核心交换机</w:t>
            </w:r>
            <w:r/>
          </w:p>
        </w:tc>
        <w:tc>
          <w:tcPr>
            <w:tcW w:w="192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H3C S10506X</w:t>
            </w:r>
            <w:r/>
          </w:p>
        </w:tc>
        <w:tc>
          <w:tcPr>
            <w:tcW w:w="225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新华三技术有限公司</w:t>
            </w:r>
            <w:r/>
          </w:p>
        </w:tc>
        <w:tc>
          <w:tcPr>
            <w:tcW w:w="870"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台</w:t>
            </w:r>
            <w:r/>
          </w:p>
        </w:tc>
        <w:tc>
          <w:tcPr>
            <w:tcW w:w="855" w:type="dxa"/>
            <w:vAlign w:val="center"/>
            <w:textDirection w:val="lrTb"/>
            <w:noWrap w:val="false"/>
          </w:tcPr>
          <w:p>
            <w:pPr>
              <w:pStyle w:val="928"/>
              <w:jc w:val="center"/>
              <w:spacing w:line="360" w:lineRule="auto"/>
              <w:widowControl/>
              <w:rPr>
                <w:rFonts w:cs="黑体"/>
                <w:color w:val="000000"/>
                <w:sz w:val="21"/>
                <w:szCs w:val="21"/>
              </w:rPr>
            </w:pPr>
            <w:r>
              <w:rPr>
                <w:rFonts w:cs="黑体"/>
                <w:color w:val="000000"/>
                <w:sz w:val="21"/>
                <w:szCs w:val="21"/>
              </w:rPr>
              <w:t xml:space="preserve">1</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卡口“智能+”感知设备建设项目维保</w:t>
      </w:r>
      <w:r>
        <w:rPr>
          <w:rFonts w:ascii="宋体" w:hAnsi="宋体" w:eastAsia="宋体"/>
          <w:color w:val="000000"/>
          <w:sz w:val="21"/>
          <w:szCs w:val="21"/>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545"/>
        <w:gridCol w:w="2229"/>
        <w:gridCol w:w="3260"/>
        <w:gridCol w:w="709"/>
        <w:gridCol w:w="708"/>
      </w:tblGrid>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序号</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标的物名称</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品牌、规格</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生产厂家</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单位</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数量</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生态人脸卡口</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iDS-TCV900-HEFK/50</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14</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w:t>
            </w:r>
            <w:r>
              <w:rPr>
                <w:rFonts w:cs="宋体"/>
                <w:color w:val="000000"/>
                <w:sz w:val="21"/>
                <w:szCs w:val="21"/>
              </w:rPr>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存储卡</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萤石 128G/TF</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萤石网络有限公司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张</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14</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闪光灯</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CXBG-2-MC-SL-1211-3</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14</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环保补光灯灯</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DS-TL2002B(国内标配)</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14</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5</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安检模块</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套</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6</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工作站</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DELL T3650</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戴尔（中国）有限公司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w:t>
            </w:r>
            <w:r/>
          </w:p>
        </w:tc>
      </w:tr>
      <w:tr>
        <w:trPr>
          <w:trHeight w:val="48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7</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6550双源双视角智能安检机套装</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ISD-SC6550D-4BXV</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套</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8</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智能安检门</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ISD-SMG518L-N</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9</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无刷通用摆闸(闸道)</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DS-K3B501XS-L/R</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套</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10</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测温明眸产品（测温）</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DS-K5671-3XF/ZU</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11</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身份证阅读器</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DS-K1F1002F-I(RS232)(国内标配)</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12</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安检平板</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DS-MDP002</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个</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13</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防</w:t>
            </w:r>
            <w:r>
              <w:rPr>
                <w:rFonts w:cs="宋体"/>
                <w:color w:val="000000"/>
                <w:sz w:val="21"/>
                <w:szCs w:val="21"/>
              </w:rPr>
              <w:t xml:space="preserve">疫安检设备</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DS-K1T240MIG-QR</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6</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14</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人车安检月台</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ISD-SAC8211BHK+ISD-SAC6211BHK</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套</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15</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道闸杆</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DS-TMG520-H</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16</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拦阻升降柱</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DS-TMB101-M/E</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个</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17</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升降柱控制盒</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DS-TMB090-M</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18</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车底扫描设备</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MV-PD030001-01</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套</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19</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车辆抓拍设备</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DS-TCG205-E</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20</w:t>
            </w:r>
            <w:r/>
          </w:p>
        </w:tc>
        <w:tc>
          <w:tcPr>
            <w:shd w:val="clear" w:color="000000" w:fill="ffffff"/>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立柱</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L1300-R117(TCG22X)</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根</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21</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站内动态人脸识别设备</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DS-2CD7U48HIK-XZ</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8</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22</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硬盘录像机</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DS-8632N-i8</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23</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监控硬盘</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希捷 S</w:t>
            </w:r>
            <w:r>
              <w:rPr>
                <w:rFonts w:cs="宋体"/>
                <w:color w:val="000000"/>
                <w:sz w:val="21"/>
                <w:szCs w:val="21"/>
              </w:rPr>
              <w:t xml:space="preserve">T 8T</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希捷科技有限公司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8</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24</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高空VR全景鹰眼</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iDS-2VPE13-HIK440-BX/SP</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25</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交通诱导屏</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YDBZ-0-B-HKYD-100</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平米</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23</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26</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交通诱导屏配件</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DS-TVL000-0-4</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套</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27</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智能发光地砖</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FD20D75-RGY-485</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块</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40</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28</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发光地砖控制箱</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FDC-6-D-24-485</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29</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告警喇叭</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 10W</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个</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30</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定向音柱</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DS-TAA100-D/150</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31</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配套软件开发服务</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项</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32</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服务器</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DS-VE22S-B</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33</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解码器</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DS-6908UD</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34</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超卡立杆</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 6.5米挑臂14米</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根</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35</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超卡立杆</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 6.5米挑</w:t>
            </w:r>
            <w:r>
              <w:rPr>
                <w:rFonts w:cs="宋体"/>
                <w:color w:val="000000"/>
                <w:sz w:val="21"/>
                <w:szCs w:val="21"/>
              </w:rPr>
              <w:t xml:space="preserve">臂12米</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根</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36</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超卡立杆</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 6.5米挑臂 10米</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根</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37</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超卡立杆</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 6.5米挑臂4米</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根</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38</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立杆基础</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套</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39</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设备箱</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个</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40</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球形摄像机</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IDS-2DE7432IW-AS1</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41</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双舱人脸抓拍机</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DS-2CD7U44HTWD-XZ</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42</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人脸抓拍机立杆</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shd w:val="clear" w:color="000000" w:fill="ffffff"/>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根</w:t>
            </w:r>
            <w:r/>
          </w:p>
        </w:tc>
        <w:tc>
          <w:tcPr>
            <w:shd w:val="clear" w:color="000000" w:fill="ffffff"/>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43</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高空鹰眼摄像机</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iDS-2DP2427ZIXS-D/440</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6</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44</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摄像机</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DS-2CD7A87EVWDV2-LZS/Q1(2.8-12mm)</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22</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45</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室外防水箱</w:t>
            </w:r>
            <w:r/>
          </w:p>
        </w:tc>
        <w:tc>
          <w:tcPr>
            <w:shd w:val="clear" w:color="000000" w:fill="ffffff"/>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个</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6</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46</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硬盘录像机</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海康威视 DS-8664N-I16</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杭州海康威视数字股份有限公司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台</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47</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监控硬盘</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希捷 ST 8T</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希捷科技有限公司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块</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16</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48</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挑臂定制</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根</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3</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49</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监控立杆</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 6.5米挑臂3米</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根</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50</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监控</w:t>
            </w:r>
            <w:r>
              <w:rPr>
                <w:rFonts w:cs="宋体"/>
                <w:color w:val="000000"/>
                <w:sz w:val="21"/>
                <w:szCs w:val="21"/>
              </w:rPr>
              <w:t xml:space="preserve">立杆</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 3.5米含基础</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根</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5</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51</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基础浇筑</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套</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4</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52</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网线</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爱谱华顿 6类</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上海爱谱华顿电子工业有限公司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米</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800</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53</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电源线</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帝华 RVV2.1.0</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江苏帝华线缆有限公司</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米</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1100</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54</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线管</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波纹管</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公元</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米</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1100</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55</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线路租赁</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hint="eastAsia" w:cs="宋体"/>
                <w:color w:val="000000"/>
                <w:sz w:val="21"/>
                <w:szCs w:val="21"/>
              </w:rPr>
              <w:t xml:space="preserve">一年</w:t>
            </w:r>
            <w:r>
              <w:rPr>
                <w:rFonts w:cs="宋体"/>
                <w:color w:val="000000"/>
                <w:sz w:val="21"/>
                <w:szCs w:val="21"/>
              </w:rPr>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根</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7</w:t>
            </w:r>
            <w:r/>
          </w:p>
        </w:tc>
      </w:tr>
      <w:tr>
        <w:trPr>
          <w:trHeight w:val="240"/>
        </w:trPr>
        <w:tc>
          <w:tcPr>
            <w:tcW w:w="7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56</w:t>
            </w:r>
            <w:r/>
          </w:p>
        </w:tc>
        <w:tc>
          <w:tcPr>
            <w:tcW w:w="1545"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集成费</w:t>
            </w:r>
            <w:r/>
          </w:p>
        </w:tc>
        <w:tc>
          <w:tcPr>
            <w:tcW w:w="222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3260"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定制</w:t>
            </w:r>
            <w:r/>
          </w:p>
        </w:tc>
        <w:tc>
          <w:tcPr>
            <w:tcW w:w="709"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项</w:t>
            </w:r>
            <w:r/>
          </w:p>
        </w:tc>
        <w:tc>
          <w:tcPr>
            <w:tcW w:w="708" w:type="dxa"/>
            <w:vAlign w:val="center"/>
            <w:textDirection w:val="lrTb"/>
            <w:noWrap w:val="false"/>
          </w:tcPr>
          <w:p>
            <w:pPr>
              <w:pStyle w:val="928"/>
              <w:jc w:val="center"/>
              <w:spacing w:line="360" w:lineRule="auto"/>
              <w:widowControl/>
              <w:rPr>
                <w:rFonts w:cs="宋体"/>
                <w:color w:val="000000"/>
                <w:sz w:val="21"/>
                <w:szCs w:val="21"/>
              </w:rPr>
            </w:pPr>
            <w:r>
              <w:rPr>
                <w:rFonts w:cs="宋体"/>
                <w:color w:val="000000"/>
                <w:sz w:val="21"/>
                <w:szCs w:val="21"/>
              </w:rPr>
              <w:t xml:space="preserve">1</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看守所智慧监所信息化建设项目维保（看守所智慧监所改造工程）</w:t>
      </w:r>
      <w:r>
        <w:rPr>
          <w:rFonts w:ascii="宋体" w:hAnsi="宋体" w:eastAsia="宋体"/>
          <w:color w:val="000000"/>
          <w:sz w:val="21"/>
          <w:szCs w:val="21"/>
        </w:rPr>
      </w:r>
      <w:r/>
    </w:p>
    <w:p>
      <w:pPr>
        <w:pStyle w:val="928"/>
        <w:spacing w:line="360" w:lineRule="auto"/>
        <w:rPr>
          <w:color w:val="000000"/>
          <w:sz w:val="21"/>
          <w:szCs w:val="21"/>
        </w:rPr>
      </w:pPr>
      <w:r>
        <w:rPr>
          <w:rFonts w:hint="eastAsia"/>
          <w:color w:val="000000"/>
          <w:sz w:val="21"/>
          <w:szCs w:val="21"/>
        </w:rPr>
        <w:t xml:space="preserve">主要用于保障看守所智能化改造建设项目后续智慧监所日常运行的维修保养</w:t>
      </w:r>
      <w:r>
        <w:rPr>
          <w:color w:val="000000"/>
          <w:sz w:val="21"/>
          <w:szCs w:val="21"/>
        </w:rPr>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2267"/>
        <w:gridCol w:w="6065"/>
      </w:tblGrid>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2267"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运维服务范围</w:t>
            </w:r>
            <w:r>
              <w:rPr>
                <w:rFonts w:ascii="宋体" w:hAnsi="宋体"/>
                <w:color w:val="000000"/>
                <w:sz w:val="21"/>
                <w:szCs w:val="21"/>
              </w:rPr>
            </w:r>
            <w:r/>
          </w:p>
        </w:tc>
        <w:tc>
          <w:tcPr>
            <w:tcW w:w="6065"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运维内容</w:t>
            </w:r>
            <w:r>
              <w:rPr>
                <w:rFonts w:ascii="宋体" w:hAnsi="宋体"/>
                <w:color w:val="000000"/>
                <w:sz w:val="21"/>
                <w:szCs w:val="21"/>
              </w:rPr>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信息系统改造（含综合布线、计算机网络）</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1.日常巡检：对机房、楼层弱电间配线架进行全量巡检，确保无松动、无氧化，线缆标签清晰；</w:t>
            </w:r>
            <w:r/>
          </w:p>
          <w:p>
            <w:pPr>
              <w:pStyle w:val="1746"/>
              <w:ind w:firstLine="0"/>
              <w:rPr>
                <w:rFonts w:ascii="宋体" w:hAnsi="宋体"/>
                <w:color w:val="000000"/>
                <w:sz w:val="21"/>
                <w:szCs w:val="21"/>
              </w:rPr>
            </w:pPr>
            <w:r>
              <w:rPr>
                <w:rFonts w:ascii="宋体" w:hAnsi="宋体"/>
                <w:color w:val="000000"/>
                <w:sz w:val="21"/>
                <w:szCs w:val="21"/>
              </w:rPr>
              <w:t xml:space="preserve">2.网络监控：实时监测网络设备端口流量、丢包率、时延，重点关注 48 口光口板卡 SFP 模块光功率；</w:t>
            </w:r>
            <w:r/>
          </w:p>
          <w:p>
            <w:pPr>
              <w:pStyle w:val="1746"/>
              <w:ind w:firstLine="0"/>
              <w:rPr>
                <w:rFonts w:ascii="宋体" w:hAnsi="宋体"/>
                <w:color w:val="000000"/>
                <w:sz w:val="21"/>
                <w:szCs w:val="21"/>
              </w:rPr>
            </w:pPr>
            <w:r>
              <w:rPr>
                <w:rFonts w:ascii="宋体" w:hAnsi="宋体"/>
                <w:color w:val="000000"/>
                <w:sz w:val="21"/>
                <w:szCs w:val="21"/>
              </w:rPr>
              <w:t xml:space="preserve">3.安全策略检查：定期核查网闸文件交换、数据库传输等模块的访问控制规则，确保无非法端口开放；</w:t>
            </w:r>
            <w:r/>
          </w:p>
          <w:p>
            <w:pPr>
              <w:pStyle w:val="1746"/>
              <w:ind w:firstLine="0"/>
              <w:rPr>
                <w:rFonts w:ascii="宋体" w:hAnsi="宋体"/>
                <w:color w:val="000000"/>
                <w:sz w:val="21"/>
                <w:szCs w:val="21"/>
              </w:rPr>
            </w:pPr>
            <w:r>
              <w:rPr>
                <w:rFonts w:ascii="宋体" w:hAnsi="宋体"/>
                <w:color w:val="000000"/>
                <w:sz w:val="21"/>
                <w:szCs w:val="21"/>
              </w:rPr>
              <w:t xml:space="preserve">4.故障处理：网络中断</w:t>
            </w:r>
            <w:r>
              <w:rPr>
                <w:rFonts w:hint="eastAsia" w:ascii="宋体" w:hAnsi="宋体"/>
                <w:color w:val="000000"/>
                <w:sz w:val="21"/>
                <w:szCs w:val="21"/>
              </w:rPr>
              <w:t xml:space="preserve">/</w:t>
            </w:r>
            <w:r>
              <w:rPr>
                <w:rFonts w:ascii="宋体" w:hAnsi="宋体"/>
                <w:color w:val="000000"/>
                <w:sz w:val="21"/>
                <w:szCs w:val="21"/>
              </w:rPr>
              <w:t xml:space="preserve">数据传输卡顿时，通过跳线替换测试配线架端口，检测光纤链路，用测试仪排查铜缆线对端接错误或老化问题；交换机端口断连时，通过 LLDP 协议排查设备邻居关系，用光功率计</w:t>
            </w:r>
            <w:r>
              <w:rPr>
                <w:rFonts w:ascii="宋体" w:hAnsi="宋体"/>
                <w:color w:val="000000"/>
                <w:sz w:val="21"/>
                <w:szCs w:val="21"/>
              </w:rPr>
              <w:t xml:space="preserve">测试 SFP 模块光衰；网闸数据传输中断时，查看系统日志排查安全策略冲突或硬件接口故障。</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监控系统（含监室区域点位、存储系统）</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1.硬件状态监控：实时监控高清网络摄像机、录像机等设备运行状态，确保无离线或异常；</w:t>
            </w:r>
            <w:r/>
          </w:p>
          <w:p>
            <w:pPr>
              <w:pStyle w:val="1746"/>
              <w:ind w:firstLine="0"/>
              <w:rPr>
                <w:rFonts w:ascii="宋体" w:hAnsi="宋体"/>
                <w:color w:val="000000"/>
                <w:sz w:val="21"/>
                <w:szCs w:val="21"/>
              </w:rPr>
            </w:pPr>
            <w:r>
              <w:rPr>
                <w:rFonts w:ascii="宋体" w:hAnsi="宋体"/>
                <w:color w:val="000000"/>
                <w:sz w:val="21"/>
                <w:szCs w:val="21"/>
              </w:rPr>
              <w:t xml:space="preserve">2.画面与音频维护：定期测试拾音器录音清晰度，用视频质量诊断工具每日自动检测摄像机状态；</w:t>
            </w:r>
            <w:r/>
          </w:p>
          <w:p>
            <w:pPr>
              <w:pStyle w:val="1746"/>
              <w:ind w:firstLine="0"/>
              <w:rPr>
                <w:rFonts w:ascii="宋体" w:hAnsi="宋体"/>
                <w:color w:val="000000"/>
                <w:sz w:val="21"/>
                <w:szCs w:val="21"/>
              </w:rPr>
            </w:pPr>
            <w:r>
              <w:rPr>
                <w:rFonts w:ascii="宋体" w:hAnsi="宋体"/>
                <w:color w:val="000000"/>
                <w:sz w:val="21"/>
                <w:szCs w:val="21"/>
              </w:rPr>
              <w:t xml:space="preserve">3.数据存储管理：监控存储空间使用情况，定期对监控视频数据进行自动备份，并验证备份数据的完整性与可恢复性；</w:t>
            </w:r>
            <w:r/>
          </w:p>
          <w:p>
            <w:pPr>
              <w:pStyle w:val="1746"/>
              <w:ind w:firstLine="0"/>
              <w:rPr>
                <w:rFonts w:ascii="宋体" w:hAnsi="宋体"/>
                <w:color w:val="000000"/>
                <w:sz w:val="21"/>
                <w:szCs w:val="21"/>
              </w:rPr>
            </w:pPr>
            <w:r>
              <w:rPr>
                <w:rFonts w:ascii="宋体" w:hAnsi="宋体"/>
                <w:color w:val="000000"/>
                <w:sz w:val="21"/>
                <w:szCs w:val="21"/>
              </w:rPr>
              <w:t xml:space="preserve">4.故障处理</w:t>
            </w:r>
            <w:r>
              <w:rPr>
                <w:rFonts w:hint="eastAsia" w:ascii="宋体" w:hAnsi="宋体"/>
                <w:color w:val="000000"/>
                <w:sz w:val="21"/>
                <w:szCs w:val="21"/>
              </w:rPr>
              <w:t xml:space="preserve">：</w:t>
            </w:r>
            <w:r>
              <w:rPr>
                <w:rFonts w:ascii="宋体" w:hAnsi="宋体"/>
                <w:color w:val="000000"/>
                <w:sz w:val="21"/>
                <w:szCs w:val="21"/>
              </w:rPr>
              <w:t xml:space="preserve">摄像机无图像时，用 PING 测试网络连通性，通过 ONVIF 工具检测设备在线状态，排查电源或硬件故障；录像机录像丢失时，检查存储硬盘是否离线、录像计划配置是否存在覆盖策略错误。</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应急报警系统</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1.功能测试：定期手动触发紧急按钮，验证声光报警器声压级是否达标、报警主机防区响应时间是否正常；</w:t>
            </w:r>
            <w:r/>
          </w:p>
          <w:p>
            <w:pPr>
              <w:pStyle w:val="1746"/>
              <w:ind w:firstLine="0"/>
              <w:rPr>
                <w:rFonts w:ascii="宋体" w:hAnsi="宋体"/>
                <w:color w:val="000000"/>
                <w:sz w:val="21"/>
                <w:szCs w:val="21"/>
              </w:rPr>
            </w:pPr>
            <w:r>
              <w:rPr>
                <w:rFonts w:ascii="宋体" w:hAnsi="宋体"/>
                <w:color w:val="000000"/>
                <w:sz w:val="21"/>
                <w:szCs w:val="21"/>
              </w:rPr>
              <w:t xml:space="preserve">2.状态监控：实时监测紧急按钮、声光报警装置、报警主机等设备运行状态，确保无故障；</w:t>
            </w:r>
            <w:r/>
          </w:p>
          <w:p>
            <w:pPr>
              <w:pStyle w:val="1746"/>
              <w:ind w:firstLine="0"/>
              <w:rPr>
                <w:rFonts w:ascii="宋体" w:hAnsi="宋体"/>
                <w:color w:val="000000"/>
                <w:sz w:val="21"/>
                <w:szCs w:val="21"/>
              </w:rPr>
            </w:pPr>
            <w:r>
              <w:rPr>
                <w:rFonts w:ascii="宋体" w:hAnsi="宋体"/>
                <w:color w:val="000000"/>
                <w:sz w:val="21"/>
                <w:szCs w:val="21"/>
              </w:rPr>
              <w:t xml:space="preserve">3.故障处理：报警主机误报时，检查报警联动模块接线是否松动，分析环境干扰因素；报警信号传输异常时，排查线路通断或设备硬件问题。</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4</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门禁系统（含监室门读卡器、控制器、磁力锁、闭门器）</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1.状态与功能监控：通过</w:t>
            </w:r>
            <w:r>
              <w:rPr>
                <w:rFonts w:ascii="宋体" w:hAnsi="宋体"/>
                <w:color w:val="000000"/>
                <w:sz w:val="21"/>
                <w:szCs w:val="21"/>
              </w:rPr>
              <w:t xml:space="preserve">门禁管理软件监测刷卡记录、双门互锁功能，测试胁迫密码触发报警的有效性；</w:t>
            </w:r>
            <w:r/>
          </w:p>
          <w:p>
            <w:pPr>
              <w:pStyle w:val="1746"/>
              <w:ind w:firstLine="0"/>
              <w:rPr>
                <w:rFonts w:ascii="宋体" w:hAnsi="宋体"/>
                <w:color w:val="000000"/>
                <w:sz w:val="21"/>
                <w:szCs w:val="21"/>
              </w:rPr>
            </w:pPr>
            <w:r>
              <w:rPr>
                <w:rFonts w:ascii="宋体" w:hAnsi="宋体"/>
                <w:color w:val="000000"/>
                <w:sz w:val="21"/>
                <w:szCs w:val="21"/>
              </w:rPr>
              <w:t xml:space="preserve">2.硬件维护：定期测试磁力锁承受拉力、断电开门功能，检查锁体固定螺丝无松动；</w:t>
            </w:r>
            <w:r/>
          </w:p>
          <w:p>
            <w:pPr>
              <w:pStyle w:val="1746"/>
              <w:ind w:firstLine="0"/>
              <w:rPr>
                <w:rFonts w:ascii="宋体" w:hAnsi="宋体"/>
                <w:color w:val="000000"/>
                <w:sz w:val="21"/>
                <w:szCs w:val="21"/>
              </w:rPr>
            </w:pPr>
            <w:r>
              <w:rPr>
                <w:rFonts w:ascii="宋体" w:hAnsi="宋体"/>
                <w:color w:val="000000"/>
                <w:sz w:val="21"/>
                <w:szCs w:val="21"/>
              </w:rPr>
              <w:t xml:space="preserve">3.权限管理：定期同步人员权限数据，确保与智慧监所平台人员信息一致，无权限遗漏；</w:t>
            </w:r>
            <w:r/>
          </w:p>
          <w:p>
            <w:pPr>
              <w:pStyle w:val="1746"/>
              <w:ind w:firstLine="0"/>
              <w:rPr>
                <w:rFonts w:ascii="宋体" w:hAnsi="宋体"/>
                <w:color w:val="000000"/>
                <w:sz w:val="21"/>
                <w:szCs w:val="21"/>
              </w:rPr>
            </w:pPr>
            <w:r>
              <w:rPr>
                <w:rFonts w:ascii="宋体" w:hAnsi="宋体"/>
                <w:color w:val="000000"/>
                <w:sz w:val="21"/>
                <w:szCs w:val="21"/>
              </w:rPr>
              <w:t xml:space="preserve">4.故障处理：读卡器无法读卡时，用万用表测量供电电压，通过 RS485 调试工具排查通讯是否正常；门禁控制器参数丢失时，通过备份配置文件恢复，并重新同步数据库。</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5</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人员定位系统（含微基站、人员高精度定位系统）</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1.信号与精度维护：定期检查微基站信号覆盖范围，确保定位数据准确；</w:t>
            </w:r>
            <w:r/>
          </w:p>
          <w:p>
            <w:pPr>
              <w:pStyle w:val="1746"/>
              <w:ind w:firstLine="0"/>
              <w:rPr>
                <w:rFonts w:ascii="宋体" w:hAnsi="宋体"/>
                <w:color w:val="000000"/>
                <w:sz w:val="21"/>
                <w:szCs w:val="21"/>
              </w:rPr>
            </w:pPr>
            <w:r>
              <w:rPr>
                <w:rFonts w:ascii="宋体" w:hAnsi="宋体"/>
                <w:color w:val="000000"/>
                <w:sz w:val="21"/>
                <w:szCs w:val="21"/>
              </w:rPr>
              <w:t xml:space="preserve">2.状态监控：实时监测定位标签数据推送情况，核查电子围栏越界</w:t>
            </w:r>
            <w:r>
              <w:rPr>
                <w:rFonts w:hint="eastAsia" w:ascii="宋体" w:hAnsi="宋体"/>
                <w:color w:val="000000"/>
                <w:sz w:val="21"/>
                <w:szCs w:val="21"/>
              </w:rPr>
              <w:t xml:space="preserve">/</w:t>
            </w:r>
            <w:r>
              <w:rPr>
                <w:rFonts w:ascii="宋体" w:hAnsi="宋体"/>
                <w:color w:val="000000"/>
                <w:sz w:val="21"/>
                <w:szCs w:val="21"/>
              </w:rPr>
              <w:t xml:space="preserve">滞留报警的准确率；</w:t>
            </w:r>
            <w:r/>
          </w:p>
          <w:p>
            <w:pPr>
              <w:pStyle w:val="1746"/>
              <w:ind w:firstLine="0"/>
              <w:rPr>
                <w:rFonts w:ascii="宋体" w:hAnsi="宋体"/>
                <w:color w:val="000000"/>
                <w:sz w:val="21"/>
                <w:szCs w:val="21"/>
              </w:rPr>
            </w:pPr>
            <w:r>
              <w:rPr>
                <w:rFonts w:ascii="宋体" w:hAnsi="宋体"/>
                <w:color w:val="000000"/>
                <w:sz w:val="21"/>
                <w:szCs w:val="21"/>
              </w:rPr>
              <w:t xml:space="preserve">3.功能测试：检查人员轨迹回放功能是否正常，确保轨迹数据完整；</w:t>
            </w:r>
            <w:r/>
          </w:p>
          <w:p>
            <w:pPr>
              <w:pStyle w:val="1746"/>
              <w:ind w:firstLine="0"/>
              <w:rPr>
                <w:rFonts w:ascii="宋体" w:hAnsi="宋体"/>
                <w:color w:val="000000"/>
                <w:sz w:val="21"/>
                <w:szCs w:val="21"/>
              </w:rPr>
            </w:pPr>
            <w:r>
              <w:rPr>
                <w:rFonts w:ascii="宋体" w:hAnsi="宋体"/>
                <w:color w:val="000000"/>
                <w:sz w:val="21"/>
                <w:szCs w:val="21"/>
              </w:rPr>
              <w:t xml:space="preserve">4.故障处理：定位数据异常时，排查定位标签设备电量及硬件状态。</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6</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大屏显示系统（含指挥中心、值班室、所务公开终端）</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1.显示状态检查：定期检查大屏显示单元亮度均匀性，确认无坏点、亮线，核查拼接控制器信号切换流畅度；</w:t>
            </w:r>
            <w:r/>
          </w:p>
          <w:p>
            <w:pPr>
              <w:pStyle w:val="1746"/>
              <w:ind w:firstLine="0"/>
              <w:rPr>
                <w:rFonts w:ascii="宋体" w:hAnsi="宋体"/>
                <w:color w:val="000000"/>
                <w:sz w:val="21"/>
                <w:szCs w:val="21"/>
              </w:rPr>
            </w:pPr>
            <w:r>
              <w:rPr>
                <w:rFonts w:ascii="宋体" w:hAnsi="宋体"/>
                <w:color w:val="000000"/>
                <w:sz w:val="21"/>
                <w:szCs w:val="21"/>
              </w:rPr>
              <w:t xml:space="preserve">2.功能测试：测试触摸功能精准度，验证远程控制开关机、信号切换功能是否正常；</w:t>
            </w:r>
            <w:r/>
          </w:p>
          <w:p>
            <w:pPr>
              <w:pStyle w:val="1746"/>
              <w:ind w:firstLine="0"/>
              <w:rPr>
                <w:rFonts w:ascii="宋体" w:hAnsi="宋体"/>
                <w:color w:val="000000"/>
                <w:sz w:val="21"/>
                <w:szCs w:val="21"/>
              </w:rPr>
            </w:pPr>
            <w:r>
              <w:rPr>
                <w:rFonts w:ascii="宋体" w:hAnsi="宋体"/>
                <w:color w:val="000000"/>
                <w:sz w:val="21"/>
                <w:szCs w:val="21"/>
              </w:rPr>
              <w:t xml:space="preserve">3.故障处理：大屏黑屏时，排查设备电源或拼接控制器信号输出问题；显</w:t>
            </w:r>
            <w:r>
              <w:rPr>
                <w:rFonts w:ascii="宋体" w:hAnsi="宋体"/>
                <w:color w:val="000000"/>
                <w:sz w:val="21"/>
                <w:szCs w:val="21"/>
              </w:rPr>
              <w:t xml:space="preserve">示花屏时，检查 HDMI/DVI 线缆接触情况或拼接控制器参数配置。</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7</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监室智能交互系统</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1.软件维护：定期</w:t>
            </w:r>
            <w:r>
              <w:rPr>
                <w:rFonts w:hint="eastAsia" w:ascii="宋体" w:hAnsi="宋体"/>
                <w:color w:val="000000"/>
                <w:sz w:val="21"/>
                <w:szCs w:val="21"/>
              </w:rPr>
              <w:t xml:space="preserve">对</w:t>
            </w:r>
            <w:r>
              <w:rPr>
                <w:rFonts w:ascii="宋体" w:hAnsi="宋体"/>
                <w:color w:val="000000"/>
                <w:sz w:val="21"/>
                <w:szCs w:val="21"/>
              </w:rPr>
              <w:t xml:space="preserve">监室智能交互终端软件</w:t>
            </w:r>
            <w:r>
              <w:rPr>
                <w:rFonts w:hint="eastAsia" w:ascii="宋体" w:hAnsi="宋体"/>
                <w:color w:val="000000"/>
                <w:sz w:val="21"/>
                <w:szCs w:val="21"/>
              </w:rPr>
              <w:t xml:space="preserve">进行维护</w:t>
            </w:r>
            <w:r>
              <w:rPr>
                <w:rFonts w:ascii="宋体" w:hAnsi="宋体"/>
                <w:color w:val="000000"/>
                <w:sz w:val="21"/>
                <w:szCs w:val="21"/>
              </w:rPr>
              <w:t xml:space="preserve">；</w:t>
            </w:r>
            <w:r/>
          </w:p>
          <w:p>
            <w:pPr>
              <w:pStyle w:val="1746"/>
              <w:ind w:firstLine="0"/>
              <w:rPr>
                <w:rFonts w:ascii="宋体" w:hAnsi="宋体"/>
                <w:color w:val="000000"/>
                <w:sz w:val="21"/>
                <w:szCs w:val="21"/>
              </w:rPr>
            </w:pPr>
            <w:r>
              <w:rPr>
                <w:rFonts w:ascii="宋体" w:hAnsi="宋体"/>
                <w:color w:val="000000"/>
                <w:sz w:val="21"/>
                <w:szCs w:val="21"/>
              </w:rPr>
              <w:t xml:space="preserve">2.功能测试：测试在押人员信息查询、点名、服务预约等核心功能的正常性；</w:t>
            </w:r>
            <w:r/>
          </w:p>
          <w:p>
            <w:pPr>
              <w:pStyle w:val="1746"/>
              <w:ind w:firstLine="0"/>
              <w:rPr>
                <w:rFonts w:ascii="宋体" w:hAnsi="宋体"/>
                <w:color w:val="000000"/>
                <w:sz w:val="21"/>
                <w:szCs w:val="21"/>
              </w:rPr>
            </w:pPr>
            <w:r>
              <w:rPr>
                <w:rFonts w:ascii="宋体" w:hAnsi="宋体"/>
                <w:color w:val="000000"/>
                <w:sz w:val="21"/>
                <w:szCs w:val="21"/>
              </w:rPr>
              <w:t xml:space="preserve">3.故障处理：终端操作卡顿或功能失效时，排查软件闪退问题或终端硬件故障。</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8</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车底扫描系统</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1.功能测试：定期测试车底成像分辨率、扫描响应时间，检查设备防水性能是否达标；</w:t>
            </w:r>
            <w:r/>
          </w:p>
          <w:p>
            <w:pPr>
              <w:pStyle w:val="1746"/>
              <w:ind w:firstLine="0"/>
              <w:rPr>
                <w:rFonts w:ascii="宋体" w:hAnsi="宋体"/>
                <w:color w:val="000000"/>
                <w:sz w:val="21"/>
                <w:szCs w:val="21"/>
              </w:rPr>
            </w:pPr>
            <w:r>
              <w:rPr>
                <w:rFonts w:ascii="宋体" w:hAnsi="宋体"/>
                <w:color w:val="000000"/>
                <w:sz w:val="21"/>
                <w:szCs w:val="21"/>
              </w:rPr>
              <w:t xml:space="preserve">2.硬件维护：定期检查电源管理器输出电压，避免电压不稳损坏设备；</w:t>
            </w:r>
            <w:r/>
          </w:p>
          <w:p>
            <w:pPr>
              <w:pStyle w:val="1746"/>
              <w:ind w:firstLine="0"/>
              <w:rPr>
                <w:rFonts w:ascii="宋体" w:hAnsi="宋体"/>
                <w:color w:val="000000"/>
                <w:sz w:val="21"/>
                <w:szCs w:val="21"/>
              </w:rPr>
            </w:pPr>
            <w:r>
              <w:rPr>
                <w:rFonts w:ascii="宋体" w:hAnsi="宋体"/>
                <w:color w:val="000000"/>
                <w:sz w:val="21"/>
                <w:szCs w:val="21"/>
              </w:rPr>
              <w:t xml:space="preserve">3.故障处理：车底成像模糊时，检查辅助照明 LED 是否正常发光。</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9</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高压电网系统</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1.状态监控：定期监测电网输出电压、报警响应时间，测试设备绝缘性能，确保符合安全标准；</w:t>
            </w:r>
            <w:r/>
          </w:p>
          <w:p>
            <w:pPr>
              <w:pStyle w:val="1746"/>
              <w:ind w:firstLine="0"/>
              <w:rPr>
                <w:rFonts w:ascii="宋体" w:hAnsi="宋体"/>
                <w:color w:val="000000"/>
                <w:sz w:val="21"/>
                <w:szCs w:val="21"/>
              </w:rPr>
            </w:pPr>
            <w:r>
              <w:rPr>
                <w:rFonts w:ascii="宋体" w:hAnsi="宋体"/>
                <w:color w:val="000000"/>
                <w:sz w:val="21"/>
                <w:szCs w:val="21"/>
              </w:rPr>
              <w:t xml:space="preserve">2.故障处理：电网无电压输出时，检查升压器输入电源、RS485 通讯链路，排查高压模块是否故障；</w:t>
            </w:r>
            <w:r/>
          </w:p>
          <w:p>
            <w:pPr>
              <w:pStyle w:val="1746"/>
              <w:ind w:firstLine="0"/>
              <w:rPr>
                <w:rFonts w:ascii="宋体" w:hAnsi="宋体"/>
                <w:color w:val="000000"/>
                <w:sz w:val="21"/>
                <w:szCs w:val="21"/>
              </w:rPr>
            </w:pPr>
            <w:r>
              <w:rPr>
                <w:rFonts w:ascii="宋体" w:hAnsi="宋体"/>
                <w:color w:val="000000"/>
                <w:sz w:val="21"/>
                <w:szCs w:val="21"/>
              </w:rPr>
              <w:t xml:space="preserve">3.安全维护：确保电网设备周边无安全隐患，定期清理设备周边杂物。</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10</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会见类系统（含提审会见、家属会见、远程会见</w:t>
            </w:r>
            <w:r>
              <w:rPr>
                <w:rFonts w:hint="eastAsia" w:ascii="宋体" w:hAnsi="宋体"/>
                <w:color w:val="000000"/>
                <w:sz w:val="21"/>
                <w:szCs w:val="21"/>
              </w:rPr>
              <w:t xml:space="preserve">）</w:t>
            </w:r>
            <w:r>
              <w:rPr>
                <w:rFonts w:ascii="宋体" w:hAnsi="宋体"/>
                <w:color w:val="000000"/>
                <w:sz w:val="21"/>
                <w:szCs w:val="21"/>
              </w:rPr>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1.提审会见系统：测试身份验证、录音录像、排队叫号全流程功能，确保各环节无卡顿；</w:t>
            </w:r>
            <w:r/>
          </w:p>
          <w:p>
            <w:pPr>
              <w:pStyle w:val="1746"/>
              <w:ind w:firstLine="0"/>
              <w:rPr>
                <w:rFonts w:ascii="宋体" w:hAnsi="宋体"/>
                <w:color w:val="000000"/>
                <w:sz w:val="21"/>
                <w:szCs w:val="21"/>
              </w:rPr>
            </w:pPr>
            <w:r>
              <w:rPr>
                <w:rFonts w:ascii="宋体" w:hAnsi="宋体"/>
                <w:color w:val="000000"/>
                <w:sz w:val="21"/>
                <w:szCs w:val="21"/>
              </w:rPr>
              <w:t xml:space="preserve">2.家属</w:t>
            </w:r>
            <w:r>
              <w:rPr>
                <w:rFonts w:hint="eastAsia" w:ascii="宋体" w:hAnsi="宋体"/>
                <w:color w:val="000000"/>
                <w:sz w:val="21"/>
                <w:szCs w:val="21"/>
              </w:rPr>
              <w:t xml:space="preserve">/</w:t>
            </w:r>
            <w:r>
              <w:rPr>
                <w:rFonts w:ascii="宋体" w:hAnsi="宋体"/>
                <w:color w:val="000000"/>
                <w:sz w:val="21"/>
                <w:szCs w:val="21"/>
              </w:rPr>
              <w:t xml:space="preserve">远程会见系统：测试视频会议画面流畅度，核查文件扫描、打印功能正常性；</w:t>
            </w:r>
            <w:r/>
          </w:p>
          <w:p>
            <w:pPr>
              <w:pStyle w:val="1746"/>
              <w:ind w:firstLine="0"/>
              <w:rPr>
                <w:rFonts w:ascii="宋体" w:hAnsi="宋体"/>
                <w:color w:val="000000"/>
                <w:sz w:val="21"/>
                <w:szCs w:val="21"/>
              </w:rPr>
            </w:pPr>
            <w:r>
              <w:rPr>
                <w:rFonts w:ascii="宋体" w:hAnsi="宋体"/>
                <w:color w:val="000000"/>
                <w:sz w:val="21"/>
                <w:szCs w:val="21"/>
              </w:rPr>
              <w:t xml:space="preserve">3.故障处</w:t>
            </w:r>
            <w:r>
              <w:rPr>
                <w:rFonts w:ascii="宋体" w:hAnsi="宋体"/>
                <w:color w:val="000000"/>
                <w:sz w:val="21"/>
                <w:szCs w:val="21"/>
              </w:rPr>
              <w:t xml:space="preserve">理：视频卡顿时，排查网络带宽是否充足或终端设备驱动是否过期</w:t>
            </w:r>
            <w:r>
              <w:rPr>
                <w:rFonts w:hint="eastAsia" w:ascii="宋体" w:hAnsi="宋体"/>
                <w:color w:val="000000"/>
                <w:sz w:val="21"/>
                <w:szCs w:val="21"/>
              </w:rPr>
              <w:t xml:space="preserve">。</w:t>
            </w:r>
            <w:r>
              <w:rPr>
                <w:rFonts w:ascii="宋体" w:hAnsi="宋体"/>
                <w:color w:val="000000"/>
                <w:sz w:val="21"/>
                <w:szCs w:val="21"/>
              </w:rPr>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11</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车载视频监控系统</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1.状态监控：实时监控押运车辆车载摄像机、存储设备的运行状态及录像情况；</w:t>
            </w:r>
            <w:r/>
          </w:p>
          <w:p>
            <w:pPr>
              <w:pStyle w:val="1746"/>
              <w:ind w:firstLine="0"/>
              <w:rPr>
                <w:rFonts w:ascii="宋体" w:hAnsi="宋体"/>
                <w:color w:val="000000"/>
                <w:sz w:val="21"/>
                <w:szCs w:val="21"/>
              </w:rPr>
            </w:pPr>
            <w:r>
              <w:rPr>
                <w:rFonts w:ascii="宋体" w:hAnsi="宋体"/>
                <w:color w:val="000000"/>
                <w:sz w:val="21"/>
                <w:szCs w:val="21"/>
              </w:rPr>
              <w:t xml:space="preserve">2.硬件维护：定期检查车载设备固定情况，测试设备供电稳定性；</w:t>
            </w:r>
            <w:r/>
          </w:p>
          <w:p>
            <w:pPr>
              <w:pStyle w:val="1746"/>
              <w:ind w:firstLine="0"/>
              <w:rPr>
                <w:rFonts w:ascii="宋体" w:hAnsi="宋体"/>
                <w:color w:val="000000"/>
                <w:sz w:val="21"/>
                <w:szCs w:val="21"/>
              </w:rPr>
            </w:pPr>
            <w:r>
              <w:rPr>
                <w:rFonts w:ascii="宋体" w:hAnsi="宋体"/>
                <w:color w:val="000000"/>
                <w:sz w:val="21"/>
                <w:szCs w:val="21"/>
              </w:rPr>
              <w:t xml:space="preserve">3.数据管理：定期导出车载监控数据，确保数据存储安全；</w:t>
            </w:r>
            <w:r/>
          </w:p>
          <w:p>
            <w:pPr>
              <w:pStyle w:val="1746"/>
              <w:ind w:firstLine="0"/>
              <w:rPr>
                <w:rFonts w:ascii="宋体" w:hAnsi="宋体"/>
                <w:color w:val="000000"/>
                <w:sz w:val="21"/>
                <w:szCs w:val="21"/>
              </w:rPr>
            </w:pPr>
            <w:r>
              <w:rPr>
                <w:rFonts w:ascii="宋体" w:hAnsi="宋体"/>
                <w:color w:val="000000"/>
                <w:sz w:val="21"/>
                <w:szCs w:val="21"/>
              </w:rPr>
              <w:t xml:space="preserve">4.故障处理：车载录像异常时，排查设备电源、车载网络或存储硬盘故障。</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12</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核心计算与存储硬件（含服务器、存储设备）</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1.状态监控：实时采集 CPU 使用率、内存占用、磁盘 I/O、RAID 阵列健康状态；</w:t>
            </w:r>
            <w:r/>
          </w:p>
          <w:p>
            <w:pPr>
              <w:pStyle w:val="1746"/>
              <w:ind w:firstLine="0"/>
              <w:rPr>
                <w:rFonts w:ascii="宋体" w:hAnsi="宋体"/>
                <w:color w:val="000000"/>
                <w:sz w:val="21"/>
                <w:szCs w:val="21"/>
              </w:rPr>
            </w:pPr>
            <w:r>
              <w:rPr>
                <w:rFonts w:ascii="宋体" w:hAnsi="宋体"/>
                <w:color w:val="000000"/>
                <w:sz w:val="21"/>
                <w:szCs w:val="21"/>
              </w:rPr>
              <w:t xml:space="preserve">2.定期巡检：检查服务器散热风扇转速、电源模块冗余状态，对存储硬盘进行坏道检测；</w:t>
            </w:r>
            <w:r/>
          </w:p>
          <w:p>
            <w:pPr>
              <w:pStyle w:val="1746"/>
              <w:ind w:firstLine="0"/>
              <w:rPr>
                <w:rFonts w:ascii="宋体" w:hAnsi="宋体"/>
                <w:color w:val="000000"/>
                <w:sz w:val="21"/>
                <w:szCs w:val="21"/>
              </w:rPr>
            </w:pPr>
            <w:r>
              <w:rPr>
                <w:rFonts w:ascii="宋体" w:hAnsi="宋体"/>
                <w:color w:val="000000"/>
                <w:sz w:val="21"/>
                <w:szCs w:val="21"/>
              </w:rPr>
              <w:t xml:space="preserve">3.性能优化：根据运行数据调整硬件资源配置，确保 CPU、内存等资源合理利用；</w:t>
            </w:r>
            <w:r/>
          </w:p>
          <w:p>
            <w:pPr>
              <w:pStyle w:val="1746"/>
              <w:ind w:firstLine="0"/>
              <w:rPr>
                <w:rFonts w:ascii="宋体" w:hAnsi="宋体"/>
                <w:color w:val="000000"/>
                <w:sz w:val="21"/>
                <w:szCs w:val="21"/>
              </w:rPr>
            </w:pPr>
            <w:r>
              <w:rPr>
                <w:rFonts w:ascii="宋体" w:hAnsi="宋体"/>
                <w:color w:val="000000"/>
                <w:sz w:val="21"/>
                <w:szCs w:val="21"/>
              </w:rPr>
              <w:t xml:space="preserve">4.故障处理：存储读写异常时，通过日志分析定位故障盘，结合 RAID 卡告警灯判断是否更换硬盘；服务器宕机时，通过 IPMI 远程管理接口查看硬件日志，排查内存松动、电源故障等问题。</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13</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软件系统（含智慧监所平台软件、监控管理软件、门禁管理软件、智能分析软件等）</w:t>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1.核心平台运维：实时监测智慧监所平台响应时间、接口调用成功率、数据库连接数，检查数据资源库、二三维图层</w:t>
            </w:r>
            <w:r>
              <w:rPr>
                <w:rFonts w:ascii="宋体" w:hAnsi="宋体"/>
                <w:color w:val="000000"/>
                <w:sz w:val="21"/>
                <w:szCs w:val="21"/>
              </w:rPr>
              <w:t xml:space="preserve">服务、应急指挥调度服务无宕机；</w:t>
            </w:r>
            <w:r/>
          </w:p>
          <w:p>
            <w:pPr>
              <w:pStyle w:val="1746"/>
              <w:ind w:firstLine="0"/>
              <w:rPr>
                <w:rFonts w:ascii="宋体" w:hAnsi="宋体"/>
                <w:color w:val="000000"/>
                <w:sz w:val="21"/>
                <w:szCs w:val="21"/>
              </w:rPr>
            </w:pPr>
            <w:r>
              <w:rPr>
                <w:rFonts w:ascii="宋体" w:hAnsi="宋体"/>
                <w:color w:val="000000"/>
                <w:sz w:val="21"/>
                <w:szCs w:val="21"/>
              </w:rPr>
              <w:t xml:space="preserve">2.子系统软件运维：</w:t>
            </w:r>
            <w:r/>
          </w:p>
          <w:p>
            <w:pPr>
              <w:pStyle w:val="1746"/>
              <w:ind w:firstLine="0"/>
              <w:rPr>
                <w:rFonts w:ascii="宋体" w:hAnsi="宋体"/>
                <w:color w:val="000000"/>
                <w:sz w:val="21"/>
                <w:szCs w:val="21"/>
              </w:rPr>
            </w:pPr>
            <w:r>
              <w:rPr>
                <w:rFonts w:ascii="宋体" w:hAnsi="宋体"/>
                <w:color w:val="000000"/>
                <w:sz w:val="21"/>
                <w:szCs w:val="21"/>
              </w:rPr>
              <w:t xml:space="preserve">监控管理软件：监测录像存储完整性、智能分析（行为识别</w:t>
            </w:r>
            <w:r>
              <w:rPr>
                <w:rFonts w:hint="eastAsia" w:ascii="宋体" w:hAnsi="宋体"/>
                <w:color w:val="000000"/>
                <w:sz w:val="21"/>
                <w:szCs w:val="21"/>
              </w:rPr>
              <w:t xml:space="preserve">/</w:t>
            </w:r>
            <w:r>
              <w:rPr>
                <w:rFonts w:ascii="宋体" w:hAnsi="宋体"/>
                <w:color w:val="000000"/>
                <w:sz w:val="21"/>
                <w:szCs w:val="21"/>
              </w:rPr>
              <w:t xml:space="preserve">异常预警）准确率，定期清理软件缓存；</w:t>
            </w:r>
            <w:r/>
          </w:p>
          <w:p>
            <w:pPr>
              <w:pStyle w:val="1746"/>
              <w:ind w:firstLine="0"/>
              <w:rPr>
                <w:rFonts w:ascii="宋体" w:hAnsi="宋体"/>
                <w:color w:val="000000"/>
                <w:sz w:val="21"/>
                <w:szCs w:val="21"/>
              </w:rPr>
            </w:pPr>
            <w:r>
              <w:rPr>
                <w:rFonts w:ascii="宋体" w:hAnsi="宋体"/>
                <w:color w:val="000000"/>
                <w:sz w:val="21"/>
                <w:szCs w:val="21"/>
              </w:rPr>
              <w:t xml:space="preserve">门禁管理软件：监测门禁事件日志，定期清理历史刷卡记录；</w:t>
            </w:r>
            <w:r/>
          </w:p>
          <w:p>
            <w:pPr>
              <w:pStyle w:val="1746"/>
              <w:ind w:firstLine="0"/>
              <w:rPr>
                <w:rFonts w:ascii="宋体" w:hAnsi="宋体"/>
                <w:color w:val="000000"/>
                <w:sz w:val="21"/>
                <w:szCs w:val="21"/>
              </w:rPr>
            </w:pPr>
            <w:r>
              <w:rPr>
                <w:rFonts w:ascii="宋体" w:hAnsi="宋体"/>
                <w:color w:val="000000"/>
                <w:sz w:val="21"/>
                <w:szCs w:val="21"/>
              </w:rPr>
              <w:t xml:space="preserve">智能分析软件：检查行为识别精度；</w:t>
            </w:r>
            <w:r/>
          </w:p>
          <w:p>
            <w:pPr>
              <w:pStyle w:val="1746"/>
              <w:ind w:firstLine="0"/>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.故障处理：</w:t>
            </w:r>
            <w:r/>
          </w:p>
          <w:p>
            <w:pPr>
              <w:pStyle w:val="1746"/>
              <w:ind w:firstLine="0"/>
              <w:rPr>
                <w:rFonts w:ascii="宋体" w:hAnsi="宋体"/>
                <w:color w:val="000000"/>
                <w:sz w:val="21"/>
                <w:szCs w:val="21"/>
              </w:rPr>
            </w:pPr>
            <w:r>
              <w:rPr>
                <w:rFonts w:ascii="宋体" w:hAnsi="宋体"/>
                <w:color w:val="000000"/>
                <w:sz w:val="21"/>
                <w:szCs w:val="21"/>
              </w:rPr>
              <w:t xml:space="preserve">平台页面加载缓慢时，用浏览器 F12 工具分析前端资源加载耗时，排查数据库查询语句效率；</w:t>
            </w:r>
            <w:r/>
          </w:p>
          <w:p>
            <w:pPr>
              <w:pStyle w:val="1746"/>
              <w:ind w:firstLine="0"/>
              <w:rPr>
                <w:rFonts w:ascii="宋体" w:hAnsi="宋体"/>
                <w:color w:val="000000"/>
                <w:sz w:val="21"/>
                <w:szCs w:val="21"/>
              </w:rPr>
            </w:pPr>
            <w:r>
              <w:rPr>
                <w:rFonts w:ascii="宋体" w:hAnsi="宋体"/>
                <w:color w:val="000000"/>
                <w:sz w:val="21"/>
                <w:szCs w:val="21"/>
              </w:rPr>
              <w:t xml:space="preserve">三维图层加载失败时，检查地图引擎服务状态、模型文件完整性；</w:t>
            </w:r>
            <w:r/>
          </w:p>
          <w:p>
            <w:pPr>
              <w:pStyle w:val="1746"/>
              <w:ind w:firstLine="0"/>
              <w:rPr>
                <w:rFonts w:ascii="宋体" w:hAnsi="宋体"/>
                <w:color w:val="000000"/>
                <w:sz w:val="21"/>
                <w:szCs w:val="21"/>
              </w:rPr>
            </w:pPr>
            <w:r>
              <w:rPr>
                <w:rFonts w:ascii="宋体" w:hAnsi="宋体"/>
                <w:color w:val="000000"/>
                <w:sz w:val="21"/>
                <w:szCs w:val="21"/>
              </w:rPr>
              <w:t xml:space="preserve">5.安全运维：定期进行软件漏洞扫描，及时安装安全补丁；开启用户操作审计，定期抽查日志排查异常操作；每日自动备份软件配置文件，数据库采用 “每日增量 + 每周全量” 备份策略，每季度执行数据恢复测试。</w:t>
            </w:r>
            <w:r/>
          </w:p>
        </w:tc>
      </w:tr>
      <w:tr>
        <w:trPr/>
        <w:tc>
          <w:tcPr>
            <w:tcW w:w="990" w:type="dxa"/>
            <w:vAlign w:val="top"/>
            <w:textDirection w:val="lrTb"/>
            <w:noWrap w:val="false"/>
          </w:tcPr>
          <w:p>
            <w:pPr>
              <w:pStyle w:val="1746"/>
              <w:ind w:firstLine="0"/>
              <w:jc w:val="center"/>
              <w:rPr>
                <w:rFonts w:ascii="宋体" w:hAnsi="宋体"/>
                <w:color w:val="000000"/>
                <w:sz w:val="21"/>
                <w:szCs w:val="21"/>
              </w:rPr>
            </w:pPr>
            <w:r>
              <w:rPr>
                <w:rFonts w:hint="eastAsia" w:ascii="宋体" w:hAnsi="宋体"/>
                <w:color w:val="000000"/>
                <w:sz w:val="21"/>
                <w:szCs w:val="21"/>
              </w:rPr>
              <w:t xml:space="preserve">14</w:t>
            </w:r>
            <w:r>
              <w:rPr>
                <w:rFonts w:ascii="宋体" w:hAnsi="宋体"/>
                <w:color w:val="000000"/>
                <w:sz w:val="21"/>
                <w:szCs w:val="21"/>
              </w:rPr>
            </w:r>
            <w:r/>
          </w:p>
        </w:tc>
        <w:tc>
          <w:tcPr>
            <w:tcW w:w="2267" w:type="dxa"/>
            <w:vAlign w:val="top"/>
            <w:textDirection w:val="lrTb"/>
            <w:noWrap w:val="false"/>
          </w:tcPr>
          <w:p>
            <w:pPr>
              <w:pStyle w:val="1746"/>
              <w:ind w:firstLine="0"/>
              <w:rPr>
                <w:rFonts w:ascii="宋体" w:hAnsi="宋体"/>
                <w:color w:val="000000"/>
                <w:sz w:val="21"/>
                <w:szCs w:val="21"/>
              </w:rPr>
            </w:pPr>
            <w:r>
              <w:rPr>
                <w:rFonts w:hint="eastAsia" w:ascii="宋体" w:hAnsi="宋体"/>
                <w:color w:val="000000"/>
                <w:sz w:val="21"/>
                <w:szCs w:val="21"/>
              </w:rPr>
              <w:t xml:space="preserve">数据安全运维</w:t>
            </w:r>
            <w:r>
              <w:rPr>
                <w:rFonts w:ascii="宋体" w:hAnsi="宋体"/>
                <w:color w:val="000000"/>
                <w:sz w:val="21"/>
                <w:szCs w:val="21"/>
              </w:rPr>
            </w:r>
            <w:r/>
          </w:p>
        </w:tc>
        <w:tc>
          <w:tcPr>
            <w:tcW w:w="6065" w:type="dxa"/>
            <w:vAlign w:val="top"/>
            <w:textDirection w:val="lrTb"/>
            <w:noWrap w:val="false"/>
          </w:tcPr>
          <w:p>
            <w:pPr>
              <w:pStyle w:val="1746"/>
              <w:ind w:firstLine="0"/>
              <w:rPr>
                <w:rFonts w:ascii="宋体" w:hAnsi="宋体"/>
                <w:color w:val="000000"/>
                <w:sz w:val="21"/>
                <w:szCs w:val="21"/>
              </w:rPr>
            </w:pPr>
            <w:r>
              <w:rPr>
                <w:rFonts w:ascii="宋体" w:hAnsi="宋体"/>
                <w:color w:val="000000"/>
                <w:sz w:val="21"/>
                <w:szCs w:val="21"/>
              </w:rPr>
              <w:t xml:space="preserve">1.数据分类分级：按敏感度将数据分为三级（高敏感：在押人员生物信息</w:t>
            </w:r>
            <w:r>
              <w:rPr>
                <w:rFonts w:hint="eastAsia" w:ascii="宋体" w:hAnsi="宋体"/>
                <w:color w:val="000000"/>
                <w:sz w:val="21"/>
                <w:szCs w:val="21"/>
              </w:rPr>
              <w:t xml:space="preserve">/</w:t>
            </w:r>
            <w:r>
              <w:rPr>
                <w:rFonts w:ascii="宋体" w:hAnsi="宋体"/>
                <w:color w:val="000000"/>
                <w:sz w:val="21"/>
                <w:szCs w:val="21"/>
              </w:rPr>
              <w:t xml:space="preserve">案件信息；中敏感：视频录像</w:t>
            </w:r>
            <w:r>
              <w:rPr>
                <w:rFonts w:hint="eastAsia" w:ascii="宋体" w:hAnsi="宋体"/>
                <w:color w:val="000000"/>
                <w:sz w:val="21"/>
                <w:szCs w:val="21"/>
              </w:rPr>
              <w:t xml:space="preserve">/</w:t>
            </w:r>
            <w:r>
              <w:rPr>
                <w:rFonts w:ascii="宋体" w:hAnsi="宋体"/>
                <w:color w:val="000000"/>
                <w:sz w:val="21"/>
                <w:szCs w:val="21"/>
              </w:rPr>
              <w:t xml:space="preserve">门禁记录；普通数据：所务公开信息），实施分级防护；</w:t>
            </w:r>
            <w:r/>
          </w:p>
          <w:p>
            <w:pPr>
              <w:pStyle w:val="1746"/>
              <w:ind w:firstLine="0"/>
              <w:rPr>
                <w:rFonts w:ascii="宋体" w:hAnsi="宋体"/>
                <w:color w:val="000000"/>
                <w:sz w:val="21"/>
                <w:szCs w:val="21"/>
              </w:rPr>
            </w:pPr>
            <w:r>
              <w:rPr>
                <w:rFonts w:ascii="宋体" w:hAnsi="宋体"/>
                <w:color w:val="000000"/>
                <w:sz w:val="21"/>
                <w:szCs w:val="21"/>
              </w:rPr>
              <w:t xml:space="preserve">2.加密防护：敏感数据采用加密传输，高敏感数据存储采用国密标准硬盘加密，数据库启用 TDE 加密敏感字段；定期扫描加密协议兼容性、密钥泄露风险，开展渗透测试验证加密有效性；</w:t>
            </w:r>
            <w:r/>
          </w:p>
          <w:p>
            <w:pPr>
              <w:pStyle w:val="1746"/>
              <w:ind w:firstLine="0"/>
              <w:rPr>
                <w:rFonts w:ascii="宋体" w:hAnsi="宋体"/>
                <w:color w:val="000000"/>
                <w:sz w:val="21"/>
                <w:szCs w:val="21"/>
              </w:rPr>
            </w:pPr>
            <w:r>
              <w:rPr>
                <w:rFonts w:ascii="宋体" w:hAnsi="宋体"/>
                <w:color w:val="000000"/>
                <w:sz w:val="21"/>
                <w:szCs w:val="21"/>
              </w:rPr>
              <w:t xml:space="preserve">3.审计与备份：记录所有加密操作，定期复盘审计日志；确保数据备份与恢复成功率 </w:t>
            </w:r>
            <w:r>
              <w:rPr>
                <w:rFonts w:ascii="宋体" w:hAnsi="宋体"/>
                <w:color w:val="000000"/>
                <w:sz w:val="21"/>
                <w:szCs w:val="21"/>
              </w:rPr>
              <w:t xml:space="preserve">100%，保障数据保密性、完整性、可用性。</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监管场所监控扩容维保</w:t>
      </w:r>
      <w:r>
        <w:rPr>
          <w:rFonts w:ascii="宋体" w:hAnsi="宋体" w:eastAsia="宋体"/>
          <w:color w:val="000000"/>
          <w:sz w:val="21"/>
          <w:szCs w:val="21"/>
        </w:rPr>
      </w:r>
      <w:r/>
    </w:p>
    <w:p>
      <w:pPr>
        <w:pStyle w:val="1719"/>
        <w:ind w:firstLine="420"/>
        <w:spacing w:after="0" w:line="360" w:lineRule="auto"/>
        <w:rPr>
          <w:rFonts w:hint="eastAsia" w:ascii="宋体" w:hAnsi="宋体" w:eastAsia="宋体" w:cs="宋体"/>
          <w:color w:val="000000"/>
          <w:sz w:val="21"/>
          <w:szCs w:val="21"/>
          <w:shd w:val="clear" w:color="auto" w:fill="ffffff"/>
          <w:lang w:eastAsia="zh-CN"/>
        </w:rPr>
      </w:pPr>
      <w:r>
        <w:rPr>
          <w:rFonts w:hint="eastAsia" w:ascii="宋体" w:hAnsi="宋体" w:eastAsia="宋体" w:cs="宋体"/>
          <w:color w:val="000000"/>
          <w:sz w:val="21"/>
          <w:szCs w:val="21"/>
          <w:shd w:val="clear" w:color="auto" w:fill="ffffff"/>
          <w:lang w:eastAsia="zh-CN"/>
        </w:rPr>
        <w:t xml:space="preserve">主要用于保障监所视频监控系统存储容量扩容项目的后续维修保养。</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视频监控系统（含平台）及配套设备维护、对部分高清监控前后端进行维护修复</w:t>
      </w:r>
      <w:r>
        <w:rPr>
          <w:rFonts w:ascii="宋体" w:hAnsi="宋体" w:eastAsia="宋体"/>
          <w:color w:val="000000"/>
          <w:sz w:val="21"/>
          <w:szCs w:val="21"/>
        </w:rPr>
      </w:r>
      <w:r/>
    </w:p>
    <w:p>
      <w:pPr>
        <w:pStyle w:val="1719"/>
        <w:ind w:firstLine="420"/>
        <w:spacing w:after="0" w:line="360" w:lineRule="auto"/>
        <w:rPr>
          <w:rFonts w:hint="eastAsia" w:ascii="宋体" w:hAnsi="宋体" w:eastAsia="宋体"/>
          <w:color w:val="000000"/>
          <w:sz w:val="21"/>
          <w:szCs w:val="21"/>
          <w:lang w:eastAsia="zh-CN"/>
        </w:rPr>
      </w:pPr>
      <w:r>
        <w:rPr>
          <w:rFonts w:hint="eastAsia" w:ascii="宋体" w:hAnsi="宋体" w:eastAsia="宋体" w:cs="宋体"/>
          <w:color w:val="000000"/>
          <w:sz w:val="21"/>
          <w:szCs w:val="21"/>
          <w:shd w:val="clear" w:color="auto" w:fill="ffffff"/>
          <w:lang w:eastAsia="zh-CN"/>
        </w:rPr>
        <w:t xml:space="preserve">太仓市公安局所有过保的治安监控和单位内部监控的前端设备以及各级监控中心机房相关配套设备的一年维保服务，视频专网治安监控</w:t>
      </w:r>
      <w:r>
        <w:rPr>
          <w:rFonts w:hint="eastAsia" w:ascii="宋体" w:hAnsi="宋体" w:eastAsia="宋体"/>
          <w:color w:val="000000"/>
          <w:sz w:val="21"/>
          <w:szCs w:val="21"/>
          <w:shd w:val="clear" w:color="auto" w:fill="ffffff"/>
          <w:lang w:eastAsia="zh-CN"/>
        </w:rPr>
        <w:t xml:space="preserve">2143</w:t>
      </w:r>
      <w:r>
        <w:rPr>
          <w:rFonts w:hint="eastAsia" w:ascii="宋体" w:hAnsi="宋体" w:eastAsia="宋体" w:cs="宋体"/>
          <w:color w:val="000000"/>
          <w:sz w:val="21"/>
          <w:szCs w:val="21"/>
          <w:shd w:val="clear" w:color="auto" w:fill="ffffff"/>
          <w:lang w:eastAsia="zh-CN"/>
        </w:rPr>
        <w:t xml:space="preserve">台，视频专网内部监控</w:t>
      </w:r>
      <w:r>
        <w:rPr>
          <w:rFonts w:hint="eastAsia" w:ascii="宋体" w:hAnsi="宋体" w:eastAsia="宋体"/>
          <w:color w:val="000000"/>
          <w:sz w:val="21"/>
          <w:szCs w:val="21"/>
          <w:shd w:val="clear" w:color="auto" w:fill="ffffff"/>
          <w:lang w:eastAsia="zh-CN"/>
        </w:rPr>
        <w:t xml:space="preserve">1300</w:t>
      </w:r>
      <w:r>
        <w:rPr>
          <w:rFonts w:hint="eastAsia" w:ascii="宋体" w:hAnsi="宋体" w:eastAsia="宋体" w:cs="宋体"/>
          <w:color w:val="000000"/>
          <w:sz w:val="21"/>
          <w:szCs w:val="21"/>
          <w:shd w:val="clear" w:color="auto" w:fill="ffffff"/>
          <w:lang w:eastAsia="zh-CN"/>
        </w:rPr>
        <w:t xml:space="preserve">台；公安网内部监控合计</w:t>
      </w:r>
      <w:r>
        <w:rPr>
          <w:rFonts w:hint="eastAsia" w:ascii="宋体" w:hAnsi="宋体" w:eastAsia="宋体"/>
          <w:color w:val="000000"/>
          <w:sz w:val="21"/>
          <w:szCs w:val="21"/>
          <w:shd w:val="clear" w:color="auto" w:fill="ffffff"/>
          <w:lang w:eastAsia="zh-CN"/>
        </w:rPr>
        <w:t xml:space="preserve">543</w:t>
      </w:r>
      <w:r>
        <w:rPr>
          <w:rFonts w:hint="eastAsia" w:ascii="宋体" w:hAnsi="宋体" w:eastAsia="宋体" w:cs="宋体"/>
          <w:color w:val="000000"/>
          <w:sz w:val="21"/>
          <w:szCs w:val="21"/>
          <w:shd w:val="clear" w:color="auto" w:fill="ffffff"/>
          <w:lang w:eastAsia="zh-CN"/>
        </w:rPr>
        <w:t xml:space="preserve">路。合计视频监控</w:t>
      </w:r>
      <w:r>
        <w:rPr>
          <w:rFonts w:hint="eastAsia" w:ascii="宋体" w:hAnsi="宋体" w:eastAsia="宋体"/>
          <w:color w:val="000000"/>
          <w:sz w:val="21"/>
          <w:szCs w:val="21"/>
          <w:shd w:val="clear" w:color="auto" w:fill="ffffff"/>
          <w:lang w:eastAsia="zh-CN"/>
        </w:rPr>
        <w:t xml:space="preserve">3986</w:t>
      </w:r>
      <w:r>
        <w:rPr>
          <w:rFonts w:hint="eastAsia" w:ascii="宋体" w:hAnsi="宋体" w:eastAsia="宋体" w:cs="宋体"/>
          <w:color w:val="000000"/>
          <w:sz w:val="21"/>
          <w:szCs w:val="21"/>
          <w:shd w:val="clear" w:color="auto" w:fill="ffffff"/>
          <w:lang w:eastAsia="zh-CN"/>
        </w:rPr>
        <w:t xml:space="preserve">路，硬盘录像机</w:t>
      </w:r>
      <w:r>
        <w:rPr>
          <w:rFonts w:hint="eastAsia" w:ascii="宋体" w:hAnsi="宋体" w:eastAsia="宋体"/>
          <w:color w:val="000000"/>
          <w:sz w:val="21"/>
          <w:szCs w:val="21"/>
          <w:shd w:val="clear" w:color="auto" w:fill="ffffff"/>
          <w:lang w:eastAsia="zh-CN"/>
        </w:rPr>
        <w:t xml:space="preserve">218</w:t>
      </w:r>
      <w:r>
        <w:rPr>
          <w:rFonts w:hint="eastAsia" w:ascii="宋体" w:hAnsi="宋体" w:eastAsia="宋体" w:cs="宋体"/>
          <w:color w:val="000000"/>
          <w:sz w:val="21"/>
          <w:szCs w:val="21"/>
          <w:shd w:val="clear" w:color="auto" w:fill="ffffff"/>
          <w:lang w:eastAsia="zh-CN"/>
        </w:rPr>
        <w:t xml:space="preserve">台。中心存储</w:t>
      </w:r>
      <w:r>
        <w:rPr>
          <w:rFonts w:hint="eastAsia" w:ascii="宋体" w:hAnsi="宋体" w:eastAsia="宋体"/>
          <w:color w:val="000000"/>
          <w:sz w:val="21"/>
          <w:szCs w:val="21"/>
          <w:shd w:val="clear" w:color="auto" w:fill="ffffff"/>
          <w:lang w:eastAsia="zh-CN"/>
        </w:rPr>
        <w:t xml:space="preserve">3</w:t>
      </w:r>
      <w:r>
        <w:rPr>
          <w:rFonts w:hint="eastAsia" w:ascii="宋体" w:hAnsi="宋体" w:eastAsia="宋体" w:cs="宋体"/>
          <w:color w:val="000000"/>
          <w:sz w:val="21"/>
          <w:szCs w:val="21"/>
          <w:shd w:val="clear" w:color="auto" w:fill="ffffff"/>
          <w:lang w:eastAsia="zh-CN"/>
        </w:rPr>
        <w:t xml:space="preserve">台。</w:t>
      </w:r>
      <w:r>
        <w:rPr>
          <w:rFonts w:hint="eastAsia" w:ascii="宋体" w:hAnsi="宋体" w:eastAsia="宋体"/>
          <w:color w:val="000000"/>
          <w:sz w:val="21"/>
          <w:szCs w:val="21"/>
          <w:lang w:eastAsia="zh-CN"/>
        </w:rPr>
      </w:r>
      <w:r/>
    </w:p>
    <w:p>
      <w:pPr>
        <w:pStyle w:val="1719"/>
        <w:ind w:firstLine="420"/>
        <w:spacing w:after="0" w:line="360" w:lineRule="auto"/>
        <w:rPr>
          <w:rFonts w:hint="eastAsia" w:ascii="宋体" w:hAnsi="宋体" w:eastAsia="宋体"/>
          <w:color w:val="000000"/>
          <w:sz w:val="21"/>
          <w:szCs w:val="21"/>
          <w:lang w:eastAsia="zh-CN"/>
        </w:rPr>
      </w:pPr>
      <w:r>
        <w:rPr>
          <w:rFonts w:hint="eastAsia" w:ascii="宋体" w:hAnsi="宋体" w:eastAsia="宋体" w:cs="宋体"/>
          <w:color w:val="000000"/>
          <w:sz w:val="21"/>
          <w:szCs w:val="21"/>
          <w:lang w:eastAsia="zh-CN"/>
        </w:rPr>
        <w:t xml:space="preserve">对维保范围内超过质保期并已损坏的摄像机、存储设备、网络设备，必须更换全新设备，全新更换设备免费保修期不小于</w:t>
      </w:r>
      <w:r>
        <w:rPr>
          <w:rFonts w:hint="eastAsia" w:ascii="宋体" w:hAnsi="宋体" w:eastAsia="宋体"/>
          <w:color w:val="000000"/>
          <w:sz w:val="21"/>
          <w:szCs w:val="21"/>
          <w:lang w:eastAsia="zh-CN"/>
        </w:rPr>
        <w:t xml:space="preserve">1</w:t>
      </w:r>
      <w:r>
        <w:rPr>
          <w:rFonts w:hint="eastAsia" w:ascii="宋体" w:hAnsi="宋体" w:eastAsia="宋体" w:cs="宋体"/>
          <w:color w:val="000000"/>
          <w:sz w:val="21"/>
          <w:szCs w:val="21"/>
          <w:lang w:eastAsia="zh-CN"/>
        </w:rPr>
        <w:t xml:space="preserve">年且性能型号不低于原设备；</w:t>
      </w:r>
      <w:r>
        <w:rPr>
          <w:rFonts w:hint="eastAsia" w:ascii="宋体" w:hAnsi="宋体" w:eastAsia="宋体"/>
          <w:color w:val="000000"/>
          <w:sz w:val="21"/>
          <w:szCs w:val="21"/>
          <w:lang w:eastAsia="zh-CN"/>
        </w:rPr>
        <w:t xml:space="preserve"> </w:t>
      </w:r>
      <w:r>
        <w:rPr>
          <w:rFonts w:hint="eastAsia" w:ascii="宋体" w:hAnsi="宋体" w:eastAsia="宋体" w:cs="宋体"/>
          <w:color w:val="000000"/>
          <w:sz w:val="21"/>
          <w:szCs w:val="21"/>
          <w:lang w:eastAsia="zh-CN"/>
        </w:rPr>
        <w:t xml:space="preserve">技术指标参照</w:t>
      </w:r>
      <w:r>
        <w:rPr>
          <w:rFonts w:ascii="宋体" w:hAnsi="宋体" w:eastAsia="宋体" w:cs="Arial"/>
          <w:color w:val="000000"/>
          <w:sz w:val="21"/>
          <w:szCs w:val="21"/>
          <w:lang w:eastAsia="zh-CN"/>
        </w:rPr>
        <w:t xml:space="preserve">“</w:t>
      </w:r>
      <w:r>
        <w:rPr>
          <w:rFonts w:hint="eastAsia" w:ascii="宋体" w:hAnsi="宋体" w:eastAsia="宋体" w:cs="宋体"/>
          <w:color w:val="000000"/>
          <w:sz w:val="21"/>
          <w:szCs w:val="21"/>
          <w:lang w:eastAsia="zh-CN"/>
        </w:rPr>
        <w:t xml:space="preserve">3.维护服务相关技术指标</w:t>
      </w:r>
      <w:r>
        <w:rPr>
          <w:rFonts w:ascii="宋体" w:hAnsi="宋体" w:eastAsia="宋体" w:cs="Arial"/>
          <w:color w:val="000000"/>
          <w:sz w:val="21"/>
          <w:szCs w:val="21"/>
          <w:lang w:eastAsia="zh-CN"/>
        </w:rPr>
        <w:t xml:space="preserve">”</w:t>
      </w:r>
      <w:r>
        <w:rPr>
          <w:rFonts w:hint="eastAsia" w:ascii="宋体" w:hAnsi="宋体" w:eastAsia="宋体"/>
          <w:color w:val="000000"/>
          <w:sz w:val="21"/>
          <w:szCs w:val="21"/>
          <w:lang w:eastAsia="zh-CN"/>
        </w:rPr>
      </w:r>
      <w:r/>
    </w:p>
    <w:p>
      <w:pPr>
        <w:pStyle w:val="928"/>
        <w:ind w:firstLine="420"/>
        <w:spacing w:line="360" w:lineRule="auto"/>
        <w:rPr>
          <w:rFonts w:hint="eastAsia"/>
          <w:color w:val="000000"/>
        </w:rPr>
      </w:pPr>
      <w:r>
        <w:rPr>
          <w:rFonts w:hint="eastAsia"/>
          <w:color w:val="000000"/>
          <w:sz w:val="21"/>
          <w:szCs w:val="21"/>
        </w:rPr>
        <w:t xml:space="preserve">监控系统维护统计表：</w:t>
      </w:r>
      <w:r>
        <w:rPr>
          <w:rFonts w:hint="eastAsia"/>
          <w:color w:val="000000"/>
        </w:rPr>
      </w:r>
      <w:r/>
    </w:p>
    <w:tbl>
      <w:tblPr>
        <w:tblW w:w="8948"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776"/>
        <w:gridCol w:w="1229"/>
        <w:gridCol w:w="867"/>
        <w:gridCol w:w="779"/>
        <w:gridCol w:w="677"/>
        <w:gridCol w:w="898"/>
        <w:gridCol w:w="986"/>
        <w:gridCol w:w="852"/>
        <w:gridCol w:w="816"/>
        <w:gridCol w:w="1068"/>
      </w:tblGrid>
      <w:tr>
        <w:trPr>
          <w:trHeight w:val="48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单位</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内部监控</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一类监控</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路面NVR</w:t>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内部NVR</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公安网监控</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公安网NVR</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监控总数</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录像机总数</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城中所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93</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87</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33</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16</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213</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24</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城西所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89</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68</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26</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183</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18</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开发区</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80</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810</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20</w:t>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21</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911</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24</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科教所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61</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170</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21</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252</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双凤所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48</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20</w:t>
            </w: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68</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沙溪所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49</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189</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36</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274</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16</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岳王所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56</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41</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97</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13</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浏家港所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42</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14</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56</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璜泾所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41</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22</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63</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浏河所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55</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88</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28</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171</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11</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港区所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13</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25</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38</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12</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金浪所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51</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33</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84</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13</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板桥所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30</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581</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18</w:t>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35</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646</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19</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14</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陆渡所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15</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23</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15</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金仓湖所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33</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43</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16</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公交所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16</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15</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32</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17</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94</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30</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124</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18</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大数据</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105</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105</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19</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警务中心</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40</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139</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179</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rHeight w:val="33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20</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城厢中队</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21</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璜泾中队</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27</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27</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22</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浏河中队</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31</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40</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23</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南郊中队</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11</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13</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24</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双凤中队</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35</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41</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25</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沙溪中队</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33</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37</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26</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港区中队</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27</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陆渡中队</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28</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高新区中队</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29</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事故中队</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14</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14</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30</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车管所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66</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66</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31</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监视居住</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78</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78</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32</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看守所</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33</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反恐基地</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26</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26</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34</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检查站</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77</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77</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r>
      <w:tr>
        <w:trPr>
          <w:trHeight w:val="600"/>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合计</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1300</w:t>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2143</w:t>
            </w:r>
            <w:r/>
          </w:p>
        </w:tc>
        <w:tc>
          <w:tcPr>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66</w:t>
            </w:r>
            <w:r/>
          </w:p>
        </w:tc>
        <w:tc>
          <w:tcPr>
            <w:tcBorders>
              <w:top w:val="single" w:color="000000" w:sz="4" w:space="0"/>
              <w:left w:val="none" w:color="000000" w:sz="4" w:space="0"/>
              <w:bottom w:val="single" w:color="000000" w:sz="4" w:space="0"/>
              <w:right w:val="single" w:color="000000" w:sz="4" w:space="0"/>
            </w:tcBorders>
            <w:tcW w:w="89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72</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543</w:t>
            </w:r>
            <w:r/>
          </w:p>
        </w:tc>
        <w:tc>
          <w:tcPr>
            <w:tcBorders>
              <w:top w:val="single" w:color="000000" w:sz="4" w:space="0"/>
              <w:left w:val="none" w:color="000000" w:sz="4" w:space="0"/>
              <w:bottom w:val="single" w:color="000000" w:sz="4" w:space="0"/>
              <w:right w:val="single" w:color="000000" w:sz="4" w:space="0"/>
            </w:tcBorders>
            <w:tcW w:w="85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80</w:t>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3986</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218</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高清抓拍系统（含平台）及配套设备维护、对部分高清抓拍前后端进行维护修复</w:t>
      </w:r>
      <w:r>
        <w:rPr>
          <w:rFonts w:ascii="宋体" w:hAnsi="宋体" w:eastAsia="宋体"/>
          <w:color w:val="000000"/>
          <w:sz w:val="21"/>
          <w:szCs w:val="21"/>
        </w:rPr>
      </w:r>
      <w:r/>
    </w:p>
    <w:p>
      <w:pPr>
        <w:pStyle w:val="1719"/>
        <w:ind w:firstLine="420"/>
        <w:spacing w:after="0" w:line="36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已经过保的车辆高清抓拍卡口系统前后端等设备的维护及服务。合计</w:t>
      </w:r>
      <w:r>
        <w:rPr>
          <w:rFonts w:hint="eastAsia" w:ascii="宋体" w:hAnsi="宋体"/>
          <w:color w:val="000000"/>
          <w:sz w:val="21"/>
          <w:szCs w:val="21"/>
          <w:lang w:eastAsia="zh-CN"/>
        </w:rPr>
        <w:t xml:space="preserve">370</w:t>
      </w:r>
      <w:r>
        <w:rPr>
          <w:rFonts w:hint="eastAsia" w:ascii="宋体" w:hAnsi="宋体" w:eastAsia="宋体" w:cs="宋体"/>
          <w:color w:val="000000"/>
          <w:sz w:val="21"/>
          <w:szCs w:val="21"/>
          <w:lang w:eastAsia="zh-CN"/>
        </w:rPr>
        <w:t xml:space="preserve">台抓拍主机及覆盖车道的配套镜头、闪光灯、补光灯、交换机、光收发器及前后端存储设备。维护要求每个抓拍车道全天候过车捕获率大于等于</w:t>
      </w:r>
      <w:r>
        <w:rPr>
          <w:rFonts w:hint="eastAsia" w:ascii="宋体" w:hAnsi="宋体"/>
          <w:color w:val="000000"/>
          <w:sz w:val="21"/>
          <w:szCs w:val="21"/>
          <w:lang w:eastAsia="zh-CN"/>
        </w:rPr>
        <w:t xml:space="preserve">99%</w:t>
      </w:r>
      <w:r>
        <w:rPr>
          <w:rFonts w:hint="eastAsia" w:ascii="宋体" w:hAnsi="宋体" w:eastAsia="宋体" w:cs="宋体"/>
          <w:color w:val="000000"/>
          <w:sz w:val="21"/>
          <w:szCs w:val="21"/>
          <w:lang w:eastAsia="zh-CN"/>
        </w:rPr>
        <w:t xml:space="preserve">，车牌识别率大于等于</w:t>
      </w:r>
      <w:r>
        <w:rPr>
          <w:rFonts w:hint="eastAsia" w:ascii="宋体" w:hAnsi="宋体"/>
          <w:color w:val="000000"/>
          <w:sz w:val="21"/>
          <w:szCs w:val="21"/>
          <w:lang w:eastAsia="zh-CN"/>
        </w:rPr>
        <w:t xml:space="preserve">99%,</w:t>
      </w:r>
      <w:r>
        <w:rPr>
          <w:rFonts w:hint="eastAsia" w:ascii="宋体" w:hAnsi="宋体" w:eastAsia="宋体" w:cs="宋体"/>
          <w:color w:val="000000"/>
          <w:sz w:val="21"/>
          <w:szCs w:val="21"/>
          <w:lang w:eastAsia="zh-CN"/>
        </w:rPr>
        <w:t xml:space="preserve">能分辨车辆品牌型号，并能清晰捕获驾驶员和副驾驶人脸。抓拍主机必须与公安车辆抓拍平台，公安车辆云存储平台，公安车辆大数据平台，交警违章平台的实现实时无缝对接。对维保范围内超过质保期并已损坏的抓拍主机、配套镜头、闪光灯、补光灯、交换机、光收发器及前后端存储设备</w:t>
      </w:r>
      <w:r>
        <w:rPr>
          <w:rFonts w:hint="eastAsia" w:ascii="宋体" w:hAnsi="宋体" w:eastAsia="宋体" w:cs="宋体"/>
          <w:color w:val="000000"/>
          <w:sz w:val="21"/>
          <w:szCs w:val="21"/>
          <w:lang w:eastAsia="zh-CN"/>
        </w:rPr>
        <w:t xml:space="preserve">，如果无法及时修复必须更换全新设备且性能型号不低于原设备；同时在维护中对达不到甲方上述要求和不满足</w:t>
      </w:r>
      <w:r>
        <w:rPr>
          <w:rFonts w:cs="Arial"/>
          <w:color w:val="000000"/>
          <w:sz w:val="21"/>
          <w:szCs w:val="21"/>
          <w:lang w:eastAsia="zh-CN"/>
        </w:rPr>
        <w:t xml:space="preserve">“</w:t>
      </w:r>
      <w:r>
        <w:rPr>
          <w:rFonts w:hint="eastAsia" w:ascii="宋体" w:hAnsi="宋体" w:eastAsia="等线"/>
          <w:color w:val="000000"/>
          <w:sz w:val="21"/>
          <w:szCs w:val="21"/>
          <w:lang w:eastAsia="zh-CN"/>
        </w:rPr>
        <w:t xml:space="preserve">3</w:t>
      </w:r>
      <w:r>
        <w:rPr>
          <w:rFonts w:hint="eastAsia" w:ascii="宋体" w:hAnsi="宋体"/>
          <w:color w:val="000000"/>
          <w:sz w:val="21"/>
          <w:szCs w:val="21"/>
          <w:lang w:eastAsia="zh-CN"/>
        </w:rPr>
        <w:t xml:space="preserve">.1.2</w:t>
      </w:r>
      <w:r>
        <w:rPr>
          <w:rFonts w:hint="eastAsia" w:ascii="宋体" w:hAnsi="宋体" w:eastAsia="宋体" w:cs="宋体"/>
          <w:color w:val="000000"/>
          <w:sz w:val="21"/>
          <w:szCs w:val="21"/>
          <w:lang w:eastAsia="zh-CN"/>
        </w:rPr>
        <w:t xml:space="preserve">抓拍修复技术指标</w:t>
      </w:r>
      <w:r>
        <w:rPr>
          <w:rFonts w:cs="Arial"/>
          <w:color w:val="000000"/>
          <w:sz w:val="21"/>
          <w:szCs w:val="21"/>
          <w:lang w:eastAsia="zh-CN"/>
        </w:rPr>
        <w:t xml:space="preserve">”</w:t>
      </w:r>
      <w:r>
        <w:rPr>
          <w:rFonts w:hint="eastAsia" w:ascii="宋体" w:hAnsi="宋体" w:eastAsia="宋体" w:cs="宋体"/>
          <w:color w:val="000000"/>
          <w:sz w:val="21"/>
          <w:szCs w:val="21"/>
          <w:lang w:eastAsia="zh-CN"/>
        </w:rPr>
        <w:t xml:space="preserve">和</w:t>
      </w:r>
      <w:r>
        <w:rPr>
          <w:rFonts w:cs="Arial"/>
          <w:color w:val="000000"/>
          <w:sz w:val="21"/>
          <w:szCs w:val="21"/>
          <w:lang w:eastAsia="zh-CN"/>
        </w:rPr>
        <w:t xml:space="preserve">“</w:t>
      </w:r>
      <w:r>
        <w:rPr>
          <w:rFonts w:hint="eastAsia" w:ascii="宋体" w:hAnsi="宋体" w:eastAsia="等线"/>
          <w:color w:val="000000"/>
          <w:sz w:val="21"/>
          <w:szCs w:val="21"/>
          <w:lang w:eastAsia="zh-CN"/>
        </w:rPr>
        <w:t xml:space="preserve">3</w:t>
      </w:r>
      <w:r>
        <w:rPr>
          <w:rFonts w:hint="eastAsia" w:ascii="宋体" w:hAnsi="宋体"/>
          <w:color w:val="000000"/>
          <w:sz w:val="21"/>
          <w:szCs w:val="21"/>
          <w:lang w:eastAsia="zh-CN"/>
        </w:rPr>
        <w:t xml:space="preserve">.1.3</w:t>
      </w:r>
      <w:r>
        <w:rPr>
          <w:rFonts w:hint="eastAsia" w:ascii="宋体" w:hAnsi="宋体" w:eastAsia="宋体" w:cs="宋体"/>
          <w:color w:val="000000"/>
          <w:sz w:val="21"/>
          <w:szCs w:val="21"/>
          <w:lang w:eastAsia="zh-CN"/>
        </w:rPr>
        <w:t xml:space="preserve">抓拍相机指标</w:t>
      </w:r>
      <w:r>
        <w:rPr>
          <w:rFonts w:cs="Arial"/>
          <w:color w:val="000000"/>
          <w:sz w:val="21"/>
          <w:szCs w:val="21"/>
          <w:lang w:eastAsia="zh-CN"/>
        </w:rPr>
        <w:t xml:space="preserve">”</w:t>
      </w:r>
      <w:r>
        <w:rPr>
          <w:rFonts w:hint="eastAsia" w:ascii="宋体" w:hAnsi="宋体" w:eastAsia="宋体" w:cs="宋体"/>
          <w:color w:val="000000"/>
          <w:sz w:val="21"/>
          <w:szCs w:val="21"/>
          <w:lang w:eastAsia="zh-CN"/>
        </w:rPr>
        <w:t xml:space="preserve">的点位设备参照上述要求更换，并由乙方负责相关费用，不设上限。</w:t>
      </w:r>
      <w:r>
        <w:rPr>
          <w:rFonts w:ascii="宋体" w:hAnsi="宋体" w:eastAsia="宋体" w:cs="宋体"/>
          <w:color w:val="000000"/>
          <w:sz w:val="21"/>
          <w:szCs w:val="21"/>
          <w:lang w:eastAsia="zh-CN"/>
        </w:rPr>
      </w:r>
      <w:r/>
    </w:p>
    <w:p>
      <w:pPr>
        <w:pStyle w:val="1719"/>
        <w:ind w:firstLine="420"/>
        <w:spacing w:after="0" w:line="360" w:lineRule="auto"/>
        <w:rPr>
          <w:rFonts w:hint="eastAsia" w:ascii="宋体" w:hAnsi="宋体"/>
          <w:color w:val="000000"/>
          <w:sz w:val="21"/>
          <w:szCs w:val="21"/>
          <w:lang w:eastAsia="zh-CN"/>
        </w:rPr>
      </w:pPr>
      <w:r>
        <w:rPr>
          <w:rFonts w:hint="eastAsia" w:ascii="宋体" w:hAnsi="宋体" w:eastAsia="宋体" w:cs="宋体"/>
          <w:color w:val="000000"/>
          <w:sz w:val="21"/>
          <w:szCs w:val="21"/>
        </w:rPr>
        <w:t xml:space="preserve">抓拍点明细：</w:t>
      </w:r>
      <w:r>
        <w:rPr>
          <w:rFonts w:hint="eastAsia" w:ascii="宋体" w:hAnsi="宋体"/>
          <w:color w:val="000000"/>
          <w:sz w:val="21"/>
          <w:szCs w:val="21"/>
          <w:lang w:eastAsia="zh-CN"/>
        </w:rPr>
      </w:r>
      <w:r/>
    </w:p>
    <w:tbl>
      <w:tblPr>
        <w:tblW w:w="83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276"/>
        <w:gridCol w:w="7088"/>
      </w:tblGrid>
      <w:tr>
        <w:trPr>
          <w:trHeight w:val="285"/>
        </w:trPr>
        <w:tc>
          <w:tcPr>
            <w:tcW w:w="1276" w:type="dxa"/>
            <w:vAlign w:val="center"/>
            <w:textDirection w:val="lrTb"/>
            <w:noWrap w:val="false"/>
          </w:tcPr>
          <w:p>
            <w:pPr>
              <w:pStyle w:val="928"/>
              <w:jc w:val="center"/>
              <w:widowControl/>
              <w:rPr>
                <w:rFonts w:hint="eastAsia" w:cs="宋体"/>
                <w:color w:val="000000"/>
                <w:sz w:val="21"/>
                <w:szCs w:val="21"/>
              </w:rPr>
            </w:pPr>
            <w:r>
              <w:rPr>
                <w:rFonts w:hint="eastAsia"/>
                <w:color w:val="000000"/>
                <w:sz w:val="21"/>
                <w:szCs w:val="21"/>
              </w:rPr>
              <w:t xml:space="preserve">序号</w:t>
            </w:r>
            <w:r>
              <w:rPr>
                <w:rFonts w:hint="eastAsia" w:cs="宋体"/>
                <w:color w:val="000000"/>
                <w:sz w:val="21"/>
                <w:szCs w:val="21"/>
              </w:rPr>
            </w:r>
            <w:r/>
          </w:p>
        </w:tc>
        <w:tc>
          <w:tcPr>
            <w:tcW w:w="7088" w:type="dxa"/>
            <w:vAlign w:val="bottom"/>
            <w:textDirection w:val="lrTb"/>
            <w:noWrap w:val="false"/>
          </w:tcPr>
          <w:p>
            <w:pPr>
              <w:pStyle w:val="928"/>
              <w:ind w:firstLine="480"/>
              <w:jc w:val="center"/>
              <w:rPr>
                <w:rFonts w:cs="黑体"/>
                <w:color w:val="000000"/>
                <w:sz w:val="21"/>
                <w:szCs w:val="21"/>
              </w:rPr>
            </w:pPr>
            <w:r>
              <w:rPr>
                <w:rFonts w:hint="eastAsia"/>
                <w:color w:val="000000"/>
                <w:sz w:val="21"/>
                <w:szCs w:val="21"/>
              </w:rPr>
              <w:t xml:space="preserve">设备名称</w:t>
            </w:r>
            <w:r>
              <w:rPr>
                <w:rFonts w:cs="黑体"/>
                <w:color w:val="000000"/>
                <w:sz w:val="21"/>
                <w:szCs w:val="21"/>
              </w:rPr>
            </w:r>
            <w:r/>
          </w:p>
        </w:tc>
      </w:tr>
      <w:tr>
        <w:trPr>
          <w:trHeight w:val="300"/>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CK_338省道浏家港大桥1北向南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CK_338省道浏家港大桥1南向北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CK_338省道浏家港大桥2北向南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CK_338省道浏家港大桥2南向北</w:t>
            </w:r>
            <w:r>
              <w:rPr>
                <w:color w:val="000000"/>
                <w:sz w:val="21"/>
                <w:szCs w:val="21"/>
              </w:rPr>
            </w:r>
            <w:r/>
          </w:p>
        </w:tc>
      </w:tr>
      <w:tr>
        <w:trPr>
          <w:trHeight w:val="338"/>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CK_338省道浏家港大桥辅道北向南</w:t>
            </w:r>
            <w:r>
              <w:rPr>
                <w:color w:val="000000"/>
                <w:sz w:val="21"/>
                <w:szCs w:val="21"/>
              </w:rPr>
            </w:r>
            <w:r/>
          </w:p>
        </w:tc>
      </w:tr>
      <w:tr>
        <w:trPr>
          <w:trHeight w:val="244"/>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CK_338省道浏家港大桥辅道南向北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CK_346国道洋桥卡口进市1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CK_346国道洋桥卡口进市2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CK_346国道洋桥卡口进市3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CK_G15高速朝阳路卡口出市</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CK_G15高速朝阳路卡口进市1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CK_G15高速朝阳路卡口进市2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CK_G15高速朝阳路卡口进市3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CK_G15高速朝阳路卡口进市4</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CK_G15高速S339板桥卡口出市1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CK_G15高速S339板桥卡口出市2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CK_G15高速S339板桥卡口进市1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CK_G15高速S339板桥卡口进市2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CK_城西沼丰路沼泾卡口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CK_科博尔厂东出市预警3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PK_204国道339省道北侧北向南1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PK_204国道339省道北侧北向南2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PK_G15高速双浮路立交1东向西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PK_G15高速双浮路立交2西向东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PK_G15高速双浮路立交3东向西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PK_G15高速双浮路立交4西向东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PK_G15高速朝阳路卡口调头车道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PK_G204直塘卡口出市1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PK_G204直塘卡口进市1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PK_G204直塘卡口出市2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PK_G204直塘卡口出市辅道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PK_G204直塘卡口进市2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PK_G204直塘卡口进市辅道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PK_S224锡太卡口进市1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PK_S224锡太卡口出市1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PK_S224锡太卡口出市2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PK_S224锡太卡口出市辅道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PK_S224锡太卡口进市2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PK_S224锡太卡口进市辅道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PK_滨河路娄江路东侧1西向东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PK_滨河路娄江路东侧2西向东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PK_滨河路娄江路东侧1东向西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PK_滨河路娄江路东侧2东向西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PK_朝阳路</w:t>
            </w:r>
            <w:r>
              <w:rPr>
                <w:rFonts w:hint="eastAsia"/>
                <w:color w:val="000000"/>
                <w:sz w:val="21"/>
                <w:szCs w:val="21"/>
              </w:rPr>
              <w:t xml:space="preserve">娄江路东侧1西向东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PK_朝阳路娄江路东侧2西向东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PK_朝阳路娄江路东侧1东向西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PK_朝阳路娄江路东侧2东向西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PK_城西卡口出市预警</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49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PK_城西沼泾卡口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PK_东仓北路苏州路北侧1南向北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PK_东仓北路苏州路北侧2南向北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PK_东仓北路苏州路北侧3南向北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PK_东仓北路苏州路北侧1北向南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PK_东仓北路苏州路北侧2北向南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PK_东仓北路苏州路北侧3北向南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PK_东亭北路苏州路北侧1北向南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PK_东亭北路苏州路北侧2北向南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PK_东亭北路苏州路北侧1南向北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59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PK_东亭北路苏州路北侧2南向北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PK_港区玖珑大道北向南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PK_港区玖珑大道南向北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PK_港区玖珑大道辅道北向南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PK_港区玖珑大道辅道南向北</w:t>
            </w:r>
            <w:r>
              <w:rPr>
                <w:color w:val="000000"/>
                <w:sz w:val="21"/>
                <w:szCs w:val="21"/>
              </w:rPr>
            </w:r>
            <w:r/>
          </w:p>
        </w:tc>
      </w:tr>
      <w:tr>
        <w:trPr>
          <w:trHeight w:val="340"/>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CK_南郊公安检查站预警卡口出城1</w:t>
            </w:r>
            <w:r>
              <w:rPr>
                <w:color w:val="000000"/>
                <w:sz w:val="21"/>
                <w:szCs w:val="21"/>
              </w:rPr>
            </w:r>
            <w:r/>
          </w:p>
        </w:tc>
      </w:tr>
      <w:tr>
        <w:trPr>
          <w:trHeight w:val="232"/>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CK_南郊公安检查站预警卡口出城2</w:t>
            </w:r>
            <w:r>
              <w:rPr>
                <w:color w:val="000000"/>
                <w:sz w:val="21"/>
                <w:szCs w:val="21"/>
              </w:rPr>
            </w:r>
            <w:r/>
          </w:p>
        </w:tc>
      </w:tr>
      <w:tr>
        <w:trPr>
          <w:trHeight w:val="350"/>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CK_南郊公安检查站预警卡口出城3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PK_科博尔卡口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PK_石桥卡口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69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PK_阅兵垃圾站三岔口抓拍</w:t>
            </w:r>
            <w:r>
              <w:rPr>
                <w:color w:val="000000"/>
                <w:sz w:val="21"/>
                <w:szCs w:val="21"/>
              </w:rPr>
            </w:r>
            <w:r/>
          </w:p>
        </w:tc>
      </w:tr>
      <w:tr>
        <w:trPr>
          <w:trHeight w:val="270"/>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CK_南郊公安检查站预警卡口进城1</w:t>
            </w:r>
            <w:r>
              <w:rPr>
                <w:color w:val="000000"/>
                <w:sz w:val="21"/>
                <w:szCs w:val="21"/>
              </w:rPr>
            </w:r>
            <w:r/>
          </w:p>
        </w:tc>
      </w:tr>
      <w:tr>
        <w:trPr>
          <w:trHeight w:val="246"/>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CK_南郊公安检查站预警卡口进城2</w:t>
            </w:r>
            <w:r>
              <w:rPr>
                <w:color w:val="000000"/>
                <w:sz w:val="21"/>
                <w:szCs w:val="21"/>
              </w:rPr>
            </w:r>
            <w:r/>
          </w:p>
        </w:tc>
      </w:tr>
      <w:tr>
        <w:trPr>
          <w:trHeight w:val="208"/>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CK_南郊公安检查站预警卡口进城3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PK_浏河水闸桥南向北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PK_浏河水闸桥北向南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PK_毛太路苏州路北侧北向南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PK_毛太路苏州路北侧南向北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PK_南郊检查站车辆安检1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PK_南郊检查站车辆安检2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79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PK_南郊检查站车辆安检3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CK_G15高速上海东路卡口出市</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CK_G15高速上海东路卡口进市1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CK_G15高速上海东路卡口进市2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PK_七丫路338省道东侧3东向西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PK_七丫路338省道东侧4西向东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PK_太海汽渡卡口出市</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PK_太海汽渡卡口进市</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PK_太蓬卡口出市预警</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PK_太平北路苏州路北侧1北向南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89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PK_太平北路苏州路北侧2北向南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PK_太平北路苏州路北侧3北向南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PK_太平北路苏州路北侧1南向北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PK_太平北路苏州路北侧2南向北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PK_太平北路苏州路北侧3南向北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PK_协星路_疏港高速立交1南向北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PK_协星路_疏港高速立交2北向南</w:t>
            </w:r>
            <w:r>
              <w:rPr>
                <w:color w:val="000000"/>
                <w:sz w:val="21"/>
                <w:szCs w:val="21"/>
              </w:rPr>
            </w:r>
            <w:r/>
          </w:p>
        </w:tc>
      </w:tr>
      <w:tr>
        <w:trPr>
          <w:trHeight w:val="336"/>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PK_新港路东林佳苑向西</w:t>
            </w:r>
            <w:r>
              <w:rPr>
                <w:rFonts w:hint="eastAsia"/>
                <w:color w:val="000000"/>
                <w:sz w:val="21"/>
                <w:szCs w:val="21"/>
              </w:rPr>
              <w:t xml:space="preserve">辅车道西向东</w:t>
            </w:r>
            <w:r>
              <w:rPr>
                <w:color w:val="000000"/>
                <w:sz w:val="21"/>
                <w:szCs w:val="21"/>
              </w:rPr>
            </w:r>
            <w:r/>
          </w:p>
        </w:tc>
      </w:tr>
      <w:tr>
        <w:trPr>
          <w:trHeight w:val="242"/>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PK_新港路东林佳苑向西机动车道西向东</w:t>
            </w:r>
            <w:r>
              <w:rPr>
                <w:color w:val="000000"/>
                <w:sz w:val="21"/>
                <w:szCs w:val="21"/>
              </w:rPr>
            </w:r>
            <w:r/>
          </w:p>
        </w:tc>
      </w:tr>
      <w:tr>
        <w:trPr>
          <w:trHeight w:val="360"/>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PK_新港路东林佳苑向东机动车道东向西</w:t>
            </w:r>
            <w:r>
              <w:rPr>
                <w:color w:val="000000"/>
                <w:sz w:val="21"/>
                <w:szCs w:val="21"/>
              </w:rPr>
            </w:r>
            <w:r/>
          </w:p>
        </w:tc>
      </w:tr>
      <w:tr>
        <w:trPr>
          <w:trHeight w:val="224"/>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99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PK_新港路东林佳苑向东辅车道东向西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PK_郑和东路娄江路东侧1西向东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PK_郑和东路娄江路东侧2西向东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PK_郑和东路娄江路东侧3西向东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PK_郑和东路娄江路东侧1东向西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PK_郑和东路娄江路东侧2东向西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PK_郑和东路娄江路东侧3东向西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PK_太仓站站南路地面出口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PK_太仓站站南路地库出口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PK_太仓站站南路出租车出口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109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PK_太仓站站前大道入口1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PK_太仓站站前大道入口2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PK_太仓站站前大道地面出口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PK_太仓站站前大道地库出口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PK_太仓站北入口出站</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PK_太仓站北入口地库进站</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PK_太仓站北入口地面进站</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PK_太仓站出租车进口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PK_太仓南站地下车库西北出口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PK_太仓南站站房管理处进口</w:t>
            </w:r>
            <w:r>
              <w:rPr>
                <w:color w:val="000000"/>
                <w:sz w:val="21"/>
                <w:szCs w:val="21"/>
              </w:rPr>
            </w:r>
            <w:r/>
          </w:p>
        </w:tc>
      </w:tr>
      <w:tr>
        <w:trPr>
          <w:trHeight w:val="274"/>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119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PK_太仓南站地下车库东北入口卡口</w:t>
            </w:r>
            <w:r>
              <w:rPr>
                <w:color w:val="000000"/>
                <w:sz w:val="21"/>
                <w:szCs w:val="21"/>
              </w:rPr>
            </w:r>
            <w:r/>
          </w:p>
        </w:tc>
      </w:tr>
      <w:tr>
        <w:trPr>
          <w:trHeight w:val="238"/>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PK_太仓南站地下车库西南入口卡口</w:t>
            </w:r>
            <w:r>
              <w:rPr>
                <w:color w:val="000000"/>
                <w:sz w:val="21"/>
                <w:szCs w:val="21"/>
              </w:rPr>
            </w:r>
            <w:r/>
          </w:p>
        </w:tc>
      </w:tr>
      <w:tr>
        <w:trPr>
          <w:trHeight w:val="244"/>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w:t>
            </w:r>
            <w:r>
              <w:rPr>
                <w:rFonts w:hint="eastAsia"/>
                <w:color w:val="000000"/>
                <w:sz w:val="21"/>
                <w:szCs w:val="21"/>
              </w:rPr>
              <w:t xml:space="preserve">_太仓南站地下车库东北出口卡口</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PK_洋桥检查站出市抓拍1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PK_洋桥检查站出市抓拍2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PK_洋桥检查站出市抓拍3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CK_339省道346国道东侧东向西1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CK_339省道346国道东侧东向西2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PK_339省道346国道东侧东向西3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CK_339省道346国道东侧西向东1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129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CK_339省道346国道东侧西向东2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PK_339省道346国道东侧西向东3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CK_G204新浏河大桥南堍南向北1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CK_G204新浏河大桥南堍南向北2</w:t>
            </w:r>
            <w:r>
              <w:rPr>
                <w:color w:val="000000"/>
                <w:sz w:val="21"/>
                <w:szCs w:val="21"/>
              </w:rPr>
            </w:r>
            <w:r/>
          </w:p>
        </w:tc>
      </w:tr>
      <w:tr>
        <w:trPr>
          <w:trHeight w:val="346"/>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PK_G204新浏河大桥南堍南向北辅道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CK_G204新浏河大桥南堍南向北3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CK_G204新浏河大桥南堍南向北4</w:t>
            </w:r>
            <w:r>
              <w:rPr>
                <w:color w:val="000000"/>
                <w:sz w:val="21"/>
                <w:szCs w:val="21"/>
              </w:rPr>
            </w:r>
            <w:r/>
          </w:p>
        </w:tc>
      </w:tr>
      <w:tr>
        <w:trPr>
          <w:trHeight w:val="222"/>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PK_G204新浏河大桥南堍北向南辅道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CK_S339五洋路北侧北向南1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CK_S339五洋路北侧北向南2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139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PK_S339五洋路北侧北向南3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CK_S339五洋路北侧南向北1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CK_S339五洋路北侧南向北2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PK_S339五洋路北侧南向北3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CK_三高线</w:t>
            </w:r>
            <w:r>
              <w:rPr>
                <w:rFonts w:hint="eastAsia"/>
                <w:color w:val="000000"/>
                <w:sz w:val="21"/>
                <w:szCs w:val="21"/>
              </w:rPr>
              <w:t xml:space="preserve">滨江大道西侧东向西</w:t>
            </w:r>
            <w:r>
              <w:rPr>
                <w:color w:val="000000"/>
                <w:sz w:val="21"/>
                <w:szCs w:val="21"/>
              </w:rPr>
            </w:r>
            <w:r/>
          </w:p>
        </w:tc>
      </w:tr>
      <w:tr>
        <w:trPr>
          <w:trHeight w:val="306"/>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PK_三高线滨江大道西侧东向西辅道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CK_三高线滨江大道西侧西向东</w:t>
            </w:r>
            <w:r>
              <w:rPr>
                <w:color w:val="000000"/>
                <w:sz w:val="21"/>
                <w:szCs w:val="21"/>
              </w:rPr>
            </w:r>
            <w:r/>
          </w:p>
        </w:tc>
      </w:tr>
      <w:tr>
        <w:trPr>
          <w:trHeight w:val="202"/>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PK_三高线滨江大道西侧西向东辅道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CK_朝阳路盐铁塘桥西向东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CK_朝阳路盐铁塘桥东向西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149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CK_郑和大街浏河医院西向东1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CK_郑和大街浏河医院西向东2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CK_郑和大街浏河医院西向东3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PK_郑和大街浏河医院西向东4</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CK_郑和大街浏河医院东向西1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CK_郑和大街浏河医院东向西2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PK_郑和大街浏河医院东向西3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CK_岳鹿路江南路北侧北向南1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CK_岳鹿路江南路北侧北向南2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PK_岳鹿路江南路北侧北向南3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159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CK_岳鹿路江南路北侧南向北1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CK_岳鹿路江南路北侧南向北2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PK_岳鹿路江南路北侧南向北3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CK_岳鹿路新港路南侧北向南1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CK_岳鹿路新港路南侧北向南2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PK_岳鹿路新港路南侧北向南3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CK_岳鹿路新港路南侧南向北1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CK_岳鹿路新港路南侧南向北2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PK_岳鹿路新港路南侧南向北</w:t>
            </w:r>
            <w:r>
              <w:rPr>
                <w:rFonts w:hint="eastAsia"/>
                <w:color w:val="000000"/>
                <w:sz w:val="21"/>
                <w:szCs w:val="21"/>
              </w:rPr>
              <w:t xml:space="preserve">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CK_鹿北路安息堂东西向东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169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CK_鹿北路安息堂东东向西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CK_双浮公路346国道西侧东向西1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CK_双浮公路346国道西侧东向西2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PK_双浮公路346国道西侧东向西3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CK_双浮公路346国道西侧西向东1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CK_双浮公路346国道西侧西向东2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PK_双浮公路346国道西侧西向东3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CK_双浮路204国道西侧西向东1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CK_双浮路204国道西侧西向东2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PK_双浮路204国道西侧西向东3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179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CK_双浮路204国道西侧东向西1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CK_双浮路204国道西侧东向西2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PK_双浮路204国道西侧东向西3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CK_四通路洛阳路北侧南向北1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CK_四通路洛阳路北侧南向北2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PK_四通路洛阳路北侧南向北3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CK_四通路洛阳路北侧北向南1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CK_四通路洛阳路北侧北向南2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PK_四通路洛阳路北侧北向南3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CK_陆璜公路杨林塘北南向北1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189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CK_陆璜公路杨林塘北南向北2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PK_陆璜公路杨林塘北南向北3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CK_陆璜公路杨林塘北北向南1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CK_陆璜公路杨林塘北北向南2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PK_陆璜公路杨林塘北北向南3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CK_新港路牌楼镇东西向东1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PK_新港路牌楼镇东西向东2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CK_新港路牌楼镇东东向西1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PK_新港路牌楼镇东东向西2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CK_兴业路禅寺路南侧北向南1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199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PK_兴业路禅寺路南侧北向南2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CK_兴业路禅寺路南侧南向北1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PK_兴业路禅寺路南侧南向北2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CK_沈海高速上海路立交东向西1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CK_沈海高速上海路立交东向西2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CK_沈海高速上海路立交东向西3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CK_沈海高速上海路立交西向东1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CK_沈海高速上海路立交西向东2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CK_沈海高速上海路立交西向东3</w:t>
            </w:r>
            <w:r>
              <w:rPr>
                <w:color w:val="000000"/>
                <w:sz w:val="21"/>
                <w:szCs w:val="21"/>
              </w:rPr>
            </w:r>
            <w:r/>
          </w:p>
        </w:tc>
      </w:tr>
      <w:tr>
        <w:trPr>
          <w:trHeight w:val="282"/>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CK_岳鹿公路双浮路口南侧南向北1</w:t>
            </w:r>
            <w:r>
              <w:rPr>
                <w:color w:val="000000"/>
                <w:sz w:val="21"/>
                <w:szCs w:val="21"/>
              </w:rPr>
            </w:r>
            <w:r/>
          </w:p>
        </w:tc>
      </w:tr>
      <w:tr>
        <w:trPr>
          <w:trHeight w:val="386"/>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209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CK_岳鹿公路双浮路口南侧南向北2</w:t>
            </w:r>
            <w:r>
              <w:rPr>
                <w:color w:val="000000"/>
                <w:sz w:val="21"/>
                <w:szCs w:val="21"/>
              </w:rPr>
            </w:r>
            <w:r/>
          </w:p>
        </w:tc>
      </w:tr>
      <w:tr>
        <w:trPr>
          <w:trHeight w:val="250"/>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CK_岳鹿公路双浮路口南侧北向南1</w:t>
            </w:r>
            <w:r>
              <w:rPr>
                <w:color w:val="000000"/>
                <w:sz w:val="21"/>
                <w:szCs w:val="21"/>
              </w:rPr>
            </w:r>
            <w:r/>
          </w:p>
        </w:tc>
      </w:tr>
      <w:tr>
        <w:trPr>
          <w:trHeight w:val="226"/>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CK_岳鹿公路双浮路口南侧北向南2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CK_沙鹿路鹿河镇标南南向北1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CK_沙鹿路鹿河镇标南南向北2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CK_沙鹿路鹿河镇标南北向南1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CK_沙鹿路鹿河镇标南北向南2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CK_郑和路兴业路东侧东向西1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CK_郑和路兴业路东侧东向西2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CK_郑和路兴业路东侧东向西3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219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CK_郑和路兴业路东侧东向西4</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CK_郑和路兴业路东侧西向东1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CK_郑和路兴业路东侧西向东2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CK_郑和路兴业路东侧西向东3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CK_中市路陆嘉南路西侧东向西1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CK_中市路陆嘉南路西侧东向西2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CK_中市路陆嘉南路西侧西向东1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CK_中市路陆嘉南路西侧西向东2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CK_G204上海西路西向东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CK_G204上海西路东向西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229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CK_G204县府西街东向西1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CK_G204县府西街东向西2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PK_G204县府西街东向西3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CK_G204县府西街西向东1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CK_G204县府西街西向东2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PK_G204县府西街西向东3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CK_G204燕山路东向西1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CK_G204燕山路东向西2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CK_G204燕山路东向西3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CK_G204燕山路东向西4</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239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w:t>
            </w:r>
            <w:r>
              <w:rPr>
                <w:rFonts w:hint="eastAsia"/>
                <w:color w:val="000000"/>
                <w:sz w:val="21"/>
                <w:szCs w:val="21"/>
              </w:rPr>
              <w:t xml:space="preserve">204燕山路西向东1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CK_G204燕山路西向东2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CK_G204郑和路西向东1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CK_G204郑和路西向东2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CK_G204郑和路东向西1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CK_G204郑和路东向西2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CK_东仓路燕山路北北向南1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CK_东仓路燕山路北北向南2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CK_东仓路燕山路北北向南3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CK_东仓路燕山路北南向北1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249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CK_东仓路燕山路北南向北2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CK_东仓路燕山路北南向北3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CK_南园路盐铁塘桥东向西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CK_南园路盐铁塘桥西向东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CK_人民北路苏州路北侧北向南1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CK_人民北路苏州路北侧北向南2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CK_人民北路苏州路北侧南向北1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CK_人民北路苏州路北侧南向北2</w:t>
            </w:r>
            <w:r>
              <w:rPr>
                <w:color w:val="000000"/>
                <w:sz w:val="21"/>
                <w:szCs w:val="21"/>
              </w:rPr>
            </w:r>
            <w:r/>
          </w:p>
        </w:tc>
      </w:tr>
      <w:tr>
        <w:trPr>
          <w:trHeight w:val="267"/>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CK_人民北路弇山路北侧桥北向南1</w:t>
            </w:r>
            <w:r>
              <w:rPr>
                <w:color w:val="000000"/>
                <w:sz w:val="21"/>
                <w:szCs w:val="21"/>
              </w:rPr>
            </w:r>
            <w:r/>
          </w:p>
        </w:tc>
      </w:tr>
      <w:tr>
        <w:trPr>
          <w:trHeight w:val="229"/>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CK_人民北路弇山路北侧桥北向南2</w:t>
            </w:r>
            <w:r>
              <w:rPr>
                <w:color w:val="000000"/>
                <w:sz w:val="21"/>
                <w:szCs w:val="21"/>
              </w:rPr>
            </w:r>
            <w:r/>
          </w:p>
        </w:tc>
      </w:tr>
      <w:tr>
        <w:trPr>
          <w:trHeight w:val="20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259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CK_人民北路弇山路北侧桥南向北1</w:t>
            </w:r>
            <w:r>
              <w:rPr>
                <w:color w:val="000000"/>
                <w:sz w:val="21"/>
                <w:szCs w:val="21"/>
              </w:rPr>
            </w:r>
            <w:r/>
          </w:p>
        </w:tc>
      </w:tr>
      <w:tr>
        <w:trPr>
          <w:trHeight w:val="323"/>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CK_人民北路弇山路北侧桥南向北2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CK_人民路城南桥北堍南向北1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CK_人民路城南桥北堍南向北2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CK_人民路城南桥北堍北向南1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CK_人民路城南桥北堍北向南2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CK_苏州路盐铁塘桥东向西1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CK_苏州路盐铁塘桥东向西2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CK_苏州路盐铁塘桥东向西3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CK_苏州路盐铁塘桥西向东1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269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CK_苏州路盐铁塘桥西向东2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CK_苏州路盐铁塘桥西向东3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CK_太平路南珠桥北堍北向南1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CK_太平路南珠桥北堍北向南2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CK_太平路南珠桥北堍南向北1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CK_太平路南珠桥北堍南向北2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CK_太平路燕山路北侧南向北1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CK_太平路燕山路北侧南向北2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CK_太平路燕山路北侧北向南1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CK_太平路燕山路北侧北向南2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279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CK_太平路燕山路北侧北向南3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CK_天津路常胜路北向南1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CK_天津路常胜路北向南2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CK_天津路常胜路北向南3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CK_天津路常胜路南向北1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CK_天津路常胜路南向北2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CK_天津路常胜路南向北3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CK_天津路常胜路南向北4</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CK_天津路东亭路北向南1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CK_天津路东亭路北向南2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289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PK_天津路</w:t>
            </w:r>
            <w:r>
              <w:rPr>
                <w:rFonts w:hint="eastAsia"/>
                <w:color w:val="000000"/>
                <w:sz w:val="21"/>
                <w:szCs w:val="21"/>
              </w:rPr>
              <w:t xml:space="preserve">东亭路北向南3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CK_天津路东亭路南向北1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CK_天津路东亭路南向北2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CK_天津路东亭路南向北3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CK_沈海高速朝阳路立交东向西1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CK_沈海高速朝阳路立交东向西2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CK_沈海高速朝阳路立交西向东1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CK_沈海高速朝阳路立交西向东2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CK_204国道新华西路东向西1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CK_204国道新华西路东向西2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299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CK_204国道新华西路西向东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CK_天津路娄江路南向北1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CK_天津路娄江路南向北2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CK_天津路娄江路北向南1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CK_天津路娄江路北向南2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CK_天津路娄江路北向南3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CK_东仓路东仓桥北堍北向南1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CK_东仓路东仓桥北堍北向南2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CK_东仓路东仓桥北堍北向南3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CK_东仓路东仓桥北堍南向北1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309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CK_东仓路东仓桥北堍南向北2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CK_东仓路东仓桥北堍南向北3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CK_东仓路东仓桥北堍南向北4</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CK_半泾北路苏州路北侧南向北1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CK_半泾北路苏州路北侧南向北2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w:t>
            </w:r>
            <w:r>
              <w:rPr>
                <w:rFonts w:hint="eastAsia"/>
                <w:color w:val="000000"/>
                <w:sz w:val="21"/>
                <w:szCs w:val="21"/>
              </w:rPr>
              <w:t xml:space="preserve">半泾北路苏州路北侧北向南1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CK_半泾北路苏州路北侧北向南2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CK_常胜北路苏州路北侧南向北1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CK_常胜北路苏州路北侧南向北2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CK_常胜北路苏州路北侧南向北3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319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CK_常胜北路苏州路北侧北向南1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CK_常胜北路苏州路北侧北向南2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CK_常胜北路苏州路北侧北向南3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CK_常胜北路苏州路北侧北向南4</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CK_上海东路娄江路东侧东向西1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CK_上海东路娄江路东侧东向西2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CK_上海东路娄江路东侧东向西3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CK_上海东路娄江路东侧东向西4</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CK_上海东路娄江路东侧西向东1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CK_上海东路娄江路东侧西向东2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329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CK_上海东路娄江路东侧西向东3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CK_双周卡口进市</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CK_双周卡口出市</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CK_直塘卡口进市1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CK_直塘卡口进市2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CK_直塘卡口出市1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CK_直塘卡口出市2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CK_锡太卡口进市1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CK_锡太卡口进市2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CK_锡太卡口出市1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339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CK_锡太卡口出市2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CK_太海</w:t>
            </w:r>
            <w:r>
              <w:rPr>
                <w:rFonts w:hint="eastAsia"/>
                <w:color w:val="000000"/>
                <w:sz w:val="21"/>
                <w:szCs w:val="21"/>
              </w:rPr>
              <w:t xml:space="preserve">汽渡进市1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CK_太海汽渡进市2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CK_太海汽渡出市1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CK_太海汽渡出市2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CK_长江路卡口进市</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CK_长江路卡口出市</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CK_东仓路郑和路北侧北向南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CK_陆璜公路339省道北侧北向南</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CK_太平路海运堤路北50米</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349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CK_人民路弇山路路口南侧</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CK_太平路弇山路路口西侧</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CK_人民路向阳路东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CK_东仓新路健雄路西侧西向东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CK_滨河路东亭路东侧东向西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CK_通港路岳鹿路东侧东向西</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CK_339省道兴业路西侧西向东</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CK_346国道S48南侧南向北</w:t>
            </w:r>
            <w:r>
              <w:rPr>
                <w:color w:val="000000"/>
                <w:sz w:val="21"/>
                <w:szCs w:val="21"/>
              </w:rPr>
            </w:r>
            <w:r/>
          </w:p>
        </w:tc>
      </w:tr>
      <w:tr>
        <w:trPr>
          <w:trHeight w:val="246"/>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CK_204国道正夫路卡口北侧南向北1</w:t>
            </w:r>
            <w:r>
              <w:rPr>
                <w:color w:val="000000"/>
                <w:sz w:val="21"/>
                <w:szCs w:val="21"/>
              </w:rPr>
            </w:r>
            <w:r/>
          </w:p>
        </w:tc>
      </w:tr>
      <w:tr>
        <w:trPr>
          <w:trHeight w:val="222"/>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CK_204国道正夫路卡口北侧南向北2</w:t>
            </w:r>
            <w:r>
              <w:rPr>
                <w:color w:val="000000"/>
                <w:sz w:val="21"/>
                <w:szCs w:val="21"/>
              </w:rPr>
            </w:r>
            <w:r/>
          </w:p>
        </w:tc>
      </w:tr>
      <w:tr>
        <w:trPr>
          <w:trHeight w:val="198"/>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359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CK_204国道正夫路卡口北侧南向北3</w:t>
            </w:r>
            <w:r>
              <w:rPr>
                <w:color w:val="000000"/>
                <w:sz w:val="21"/>
                <w:szCs w:val="21"/>
              </w:rPr>
            </w:r>
            <w:r/>
          </w:p>
        </w:tc>
      </w:tr>
      <w:tr>
        <w:trPr>
          <w:trHeight w:val="302"/>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CK_204国道正夫路卡口北侧南向北辅道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361</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CK_新洋桥卡口进市1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362</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CK_新洋桥卡口进市2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363</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CK_新洋桥卡口进市3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364</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CK_新洋桥卡口进市辅道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365</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CK_嘉太检查站南侧进市1</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366</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CK_嘉太检查站南侧</w:t>
            </w:r>
            <w:r>
              <w:rPr>
                <w:rFonts w:hint="eastAsia"/>
                <w:color w:val="000000"/>
                <w:sz w:val="21"/>
                <w:szCs w:val="21"/>
              </w:rPr>
              <w:t xml:space="preserve">进市2</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367</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CK_嘉太检查站南侧进市3</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368</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CK_嘉太检查站南侧进市辅道</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369</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CK_陆渡卡口进市</w:t>
            </w:r>
            <w:r>
              <w:rPr>
                <w:color w:val="000000"/>
                <w:sz w:val="21"/>
                <w:szCs w:val="21"/>
              </w:rPr>
            </w:r>
            <w:r/>
          </w:p>
        </w:tc>
      </w:tr>
      <w:tr>
        <w:trPr>
          <w:trHeight w:val="285"/>
        </w:trPr>
        <w:tc>
          <w:tcPr>
            <w:tcW w:w="1276" w:type="dxa"/>
            <w:vAlign w:val="center"/>
            <w:textDirection w:val="lrTb"/>
            <w:noWrap w:val="false"/>
          </w:tcPr>
          <w:p>
            <w:pPr>
              <w:pStyle w:val="928"/>
              <w:jc w:val="center"/>
              <w:rPr>
                <w:color w:val="000000"/>
                <w:sz w:val="21"/>
                <w:szCs w:val="21"/>
              </w:rPr>
            </w:pPr>
            <w:r>
              <w:rPr>
                <w:rFonts w:hint="eastAsia"/>
                <w:color w:val="000000"/>
                <w:sz w:val="21"/>
                <w:szCs w:val="21"/>
              </w:rPr>
              <w:t xml:space="preserve">370</w:t>
            </w:r>
            <w:r>
              <w:rPr>
                <w:color w:val="000000"/>
                <w:sz w:val="21"/>
                <w:szCs w:val="21"/>
              </w:rPr>
            </w:r>
            <w:r/>
          </w:p>
        </w:tc>
        <w:tc>
          <w:tcPr>
            <w:tcW w:w="7088" w:type="dxa"/>
            <w:vAlign w:val="bottom"/>
            <w:textDirection w:val="lrTb"/>
            <w:noWrap w:val="false"/>
          </w:tcPr>
          <w:p>
            <w:pPr>
              <w:pStyle w:val="928"/>
              <w:ind w:firstLine="480"/>
              <w:jc w:val="center"/>
              <w:rPr>
                <w:color w:val="000000"/>
                <w:sz w:val="21"/>
                <w:szCs w:val="21"/>
              </w:rPr>
            </w:pPr>
            <w:r>
              <w:rPr>
                <w:rFonts w:hint="eastAsia"/>
                <w:color w:val="000000"/>
                <w:sz w:val="21"/>
                <w:szCs w:val="21"/>
              </w:rPr>
              <w:t xml:space="preserve">CK_华亭卡口进市辅道</w:t>
            </w:r>
            <w:r>
              <w:rPr>
                <w:color w:val="000000"/>
                <w:sz w:val="21"/>
                <w:szCs w:val="21"/>
              </w:rPr>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人脸识别系统前后端及配套设备维护调试及对部分人像卡口前后端进行维护修复</w:t>
      </w:r>
      <w:r>
        <w:rPr>
          <w:rFonts w:ascii="宋体" w:hAnsi="宋体" w:eastAsia="宋体"/>
          <w:color w:val="000000"/>
          <w:sz w:val="21"/>
          <w:szCs w:val="21"/>
        </w:rPr>
      </w:r>
      <w:r/>
    </w:p>
    <w:p>
      <w:pPr>
        <w:pStyle w:val="1719"/>
        <w:ind w:firstLine="420"/>
        <w:spacing w:after="0" w:line="360" w:lineRule="auto"/>
        <w:rPr>
          <w:rFonts w:hint="eastAsia" w:ascii="宋体" w:hAnsi="宋体"/>
          <w:color w:val="000000"/>
          <w:sz w:val="21"/>
          <w:szCs w:val="21"/>
          <w:lang w:eastAsia="zh-CN"/>
        </w:rPr>
      </w:pPr>
      <w:r>
        <w:rPr>
          <w:rFonts w:hint="eastAsia" w:ascii="宋体" w:hAnsi="宋体" w:eastAsia="宋体" w:cs="宋体"/>
          <w:color w:val="000000"/>
          <w:sz w:val="21"/>
          <w:szCs w:val="21"/>
          <w:lang w:eastAsia="zh-CN"/>
        </w:rPr>
        <w:t xml:space="preserve">人脸识别系统及过保的人脸识别设备配套设备维护调试，包括解析服务维护及</w:t>
      </w:r>
      <w:r>
        <w:rPr>
          <w:rFonts w:hint="eastAsia" w:ascii="宋体" w:hAnsi="宋体"/>
          <w:color w:val="000000"/>
          <w:sz w:val="21"/>
          <w:szCs w:val="21"/>
          <w:lang w:eastAsia="zh-CN"/>
        </w:rPr>
        <w:t xml:space="preserve">174</w:t>
      </w:r>
      <w:r>
        <w:rPr>
          <w:rFonts w:hint="eastAsia" w:ascii="宋体" w:hAnsi="宋体" w:eastAsia="宋体" w:cs="宋体"/>
          <w:color w:val="000000"/>
          <w:sz w:val="21"/>
          <w:szCs w:val="21"/>
          <w:lang w:eastAsia="zh-CN"/>
        </w:rPr>
        <w:t xml:space="preserve">个动态人像卡口维护服务。满足平台对接各类公安业务的升级、对接、维护保障服务等；对维保范围内超过质保期并已损坏的抓拍主机、配套镜头、补光灯、交换机、光收发器及前后端存储设备，如果无法及时修复必须更换全新设备且性能型号不低于原设备；同时在维护中对达不到甲方上述要求和不满足</w:t>
      </w:r>
      <w:r>
        <w:rPr>
          <w:rFonts w:cs="Arial"/>
          <w:color w:val="000000"/>
          <w:sz w:val="21"/>
          <w:szCs w:val="21"/>
          <w:lang w:eastAsia="zh-CN"/>
        </w:rPr>
        <w:t xml:space="preserve">“</w:t>
      </w:r>
      <w:r>
        <w:rPr>
          <w:rFonts w:hint="eastAsia" w:ascii="宋体" w:hAnsi="宋体" w:eastAsia="等线"/>
          <w:color w:val="000000"/>
          <w:sz w:val="21"/>
          <w:szCs w:val="21"/>
          <w:lang w:eastAsia="zh-CN"/>
        </w:rPr>
        <w:t xml:space="preserve">3</w:t>
      </w:r>
      <w:r>
        <w:rPr>
          <w:rFonts w:hint="eastAsia" w:ascii="宋体" w:hAnsi="宋体"/>
          <w:color w:val="000000"/>
          <w:sz w:val="21"/>
          <w:szCs w:val="21"/>
          <w:lang w:eastAsia="zh-CN"/>
        </w:rPr>
        <w:t xml:space="preserve">.1.4</w:t>
      </w:r>
      <w:r>
        <w:rPr>
          <w:rFonts w:hint="eastAsia" w:ascii="宋体" w:hAnsi="宋体" w:eastAsia="宋体" w:cs="宋体"/>
          <w:color w:val="000000"/>
          <w:sz w:val="21"/>
          <w:szCs w:val="21"/>
          <w:lang w:eastAsia="zh-CN"/>
        </w:rPr>
        <w:t xml:space="preserve">、人脸识别修复标准</w:t>
      </w:r>
      <w:r>
        <w:rPr>
          <w:rFonts w:cs="Arial"/>
          <w:color w:val="000000"/>
          <w:sz w:val="21"/>
          <w:szCs w:val="21"/>
          <w:lang w:eastAsia="zh-CN"/>
        </w:rPr>
        <w:t xml:space="preserve">”</w:t>
      </w:r>
      <w:r>
        <w:rPr>
          <w:rFonts w:hint="eastAsia" w:ascii="宋体" w:hAnsi="宋体" w:eastAsia="宋体" w:cs="宋体"/>
          <w:color w:val="000000"/>
          <w:sz w:val="21"/>
          <w:szCs w:val="21"/>
          <w:lang w:eastAsia="zh-CN"/>
        </w:rPr>
        <w:t xml:space="preserve">和</w:t>
      </w:r>
      <w:r>
        <w:rPr>
          <w:rFonts w:cs="Arial"/>
          <w:color w:val="000000"/>
          <w:sz w:val="21"/>
          <w:szCs w:val="21"/>
          <w:lang w:eastAsia="zh-CN"/>
        </w:rPr>
        <w:t xml:space="preserve">“</w:t>
      </w:r>
      <w:r>
        <w:rPr>
          <w:rFonts w:hint="eastAsia" w:ascii="宋体" w:hAnsi="宋体" w:eastAsia="等线"/>
          <w:color w:val="000000"/>
          <w:sz w:val="21"/>
          <w:szCs w:val="21"/>
          <w:lang w:eastAsia="zh-CN"/>
        </w:rPr>
        <w:t xml:space="preserve">3</w:t>
      </w:r>
      <w:r>
        <w:rPr>
          <w:rFonts w:hint="eastAsia" w:ascii="宋体" w:hAnsi="宋体"/>
          <w:color w:val="000000"/>
          <w:sz w:val="21"/>
          <w:szCs w:val="21"/>
          <w:lang w:eastAsia="zh-CN"/>
        </w:rPr>
        <w:t xml:space="preserve">.1.5</w:t>
      </w:r>
      <w:r>
        <w:rPr>
          <w:rFonts w:hint="eastAsia" w:ascii="宋体" w:hAnsi="宋体" w:eastAsia="宋体" w:cs="宋体"/>
          <w:color w:val="000000"/>
          <w:sz w:val="21"/>
          <w:szCs w:val="21"/>
          <w:lang w:eastAsia="zh-CN"/>
        </w:rPr>
        <w:t xml:space="preserve">人像卡口相机技术指标</w:t>
      </w:r>
      <w:r>
        <w:rPr>
          <w:rFonts w:cs="Arial"/>
          <w:color w:val="000000"/>
          <w:sz w:val="21"/>
          <w:szCs w:val="21"/>
          <w:lang w:eastAsia="zh-CN"/>
        </w:rPr>
        <w:t xml:space="preserve">”</w:t>
      </w:r>
      <w:r>
        <w:rPr>
          <w:rFonts w:hint="eastAsia" w:ascii="宋体" w:hAnsi="宋体" w:eastAsia="宋体" w:cs="宋体"/>
          <w:color w:val="000000"/>
          <w:sz w:val="21"/>
          <w:szCs w:val="21"/>
          <w:lang w:eastAsia="zh-CN"/>
        </w:rPr>
        <w:t xml:space="preserve">的点位设备参照上述要求更换或者加装调试，并由乙方负责相关费用，不设上限。</w:t>
      </w:r>
      <w:r>
        <w:rPr>
          <w:rFonts w:hint="eastAsia" w:ascii="宋体" w:hAnsi="宋体"/>
          <w:color w:val="000000"/>
          <w:sz w:val="21"/>
          <w:szCs w:val="21"/>
          <w:lang w:eastAsia="zh-CN"/>
        </w:rPr>
      </w:r>
      <w:r/>
    </w:p>
    <w:p>
      <w:pPr>
        <w:pStyle w:val="928"/>
        <w:ind w:firstLine="420"/>
        <w:spacing w:line="360" w:lineRule="auto"/>
        <w:rPr>
          <w:rFonts w:hint="eastAsia"/>
          <w:color w:val="000000"/>
        </w:rPr>
      </w:pPr>
      <w:r>
        <w:rPr>
          <w:rFonts w:hint="eastAsia"/>
          <w:color w:val="000000"/>
          <w:sz w:val="21"/>
          <w:szCs w:val="21"/>
        </w:rPr>
        <w:t xml:space="preserve">监控点位明细：</w:t>
      </w:r>
      <w:r>
        <w:rPr>
          <w:rFonts w:hint="eastAsia"/>
          <w:color w:val="000000"/>
        </w:rPr>
      </w:r>
      <w:r/>
    </w:p>
    <w:tbl>
      <w:tblPr>
        <w:tblW w:w="74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7"/>
        <w:gridCol w:w="5900"/>
      </w:tblGrid>
      <w:tr>
        <w:trPr>
          <w:trHeight w:val="285"/>
        </w:trPr>
        <w:tc>
          <w:tcPr>
            <w:tcW w:w="1547" w:type="dxa"/>
            <w:vAlign w:val="bottom"/>
            <w:textDirection w:val="lrTb"/>
            <w:noWrap w:val="false"/>
          </w:tcPr>
          <w:p>
            <w:pPr>
              <w:pStyle w:val="928"/>
              <w:ind w:firstLine="210"/>
              <w:rPr>
                <w:rFonts w:hint="eastAsia"/>
                <w:color w:val="000000"/>
                <w:sz w:val="21"/>
                <w:szCs w:val="21"/>
              </w:rPr>
            </w:pPr>
            <w:r>
              <w:rPr>
                <w:rFonts w:hint="eastAsia"/>
                <w:color w:val="000000"/>
                <w:sz w:val="21"/>
                <w:szCs w:val="21"/>
              </w:rPr>
              <w:t xml:space="preserve">序号</w:t>
            </w:r>
            <w:r/>
          </w:p>
        </w:tc>
        <w:tc>
          <w:tcPr>
            <w:tcW w:w="590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点位名称</w:t>
            </w:r>
            <w:r/>
          </w:p>
        </w:tc>
      </w:tr>
      <w:tr>
        <w:trPr>
          <w:trHeight w:val="285"/>
        </w:trPr>
        <w:tc>
          <w:tcPr>
            <w:tcW w:w="1547" w:type="dxa"/>
            <w:vAlign w:val="top"/>
            <w:textDirection w:val="lrTb"/>
            <w:noWrap w:val="false"/>
          </w:tcPr>
          <w:p>
            <w:pPr>
              <w:pStyle w:val="928"/>
              <w:ind w:firstLine="480"/>
              <w:rPr>
                <w:rFonts w:hint="eastAsia" w:ascii="Times New Roman" w:hAnsi="Times New Roman"/>
                <w:color w:val="000000"/>
                <w:sz w:val="21"/>
                <w:szCs w:val="21"/>
              </w:rPr>
            </w:pPr>
            <w:r>
              <w:rPr>
                <w:rFonts w:hint="eastAsia"/>
                <w:color w:val="000000"/>
                <w:sz w:val="21"/>
                <w:szCs w:val="21"/>
              </w:rPr>
              <w:t xml:space="preserve">1</w:t>
            </w:r>
            <w:r>
              <w:rPr>
                <w:rFonts w:hint="eastAsia" w:ascii="Times New Roman" w:hAnsi="Times New Roman"/>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rxsb_金仓湖北门入口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rxsb_沙溪车站候车大厅</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rxsb_沙溪车站旅客下车</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rxsb_沙溪老街东侧</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rxsb_沙溪老街西侧</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rxsb_吉麦隆入口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rxsb_沙溪苏杭时代二楼入口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rxsb_沙溪苏杭时代出口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rxsb_浏河车站</w:t>
            </w:r>
            <w:r>
              <w:rPr>
                <w:rFonts w:hint="eastAsia"/>
                <w:color w:val="000000"/>
                <w:sz w:val="21"/>
                <w:szCs w:val="21"/>
              </w:rPr>
              <w:t xml:space="preserve">出口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rxsb_浏河车站候车大厅</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rxsb_浏河水闸桥（出）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rxsb_浏河水闸桥（进）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rxsb_南郊卡口辅道进市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rxsb_菲比酒吧门口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rxsb_南郊检查站出市安检</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rxsb_华亭检查站安检门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rxsb_华亭检查站南向北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rxsb_华亭检查站北向南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rxsb_长途车站出站口1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rxsb_长途车站出站口2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rxsb_长途车站入口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rxsb_朝阳路车站安检口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rxsb_永辉超市入口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rxsb_永辉超市出口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rxsb_大润发入口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rxsb_大润发出口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rxsb_浏河执法局3</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rxsb_浏河便民服务中心5</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29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rxsb_浏河执法局2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rxsb_浏河执法局1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rxsb_浏河便民服务中心2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rxsb_浏河便民服务中心3</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rxsb_浏河便民服务中心4</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rxsb_浏河便民服务中心1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rxsb_浏河执法局4</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rxsb_陆渡卡口北向南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rxsb_陆渡卡口南向北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rxsb_南郊卡口南向北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39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w:t>
            </w:r>
            <w:r>
              <w:rPr>
                <w:rFonts w:hint="eastAsia"/>
                <w:color w:val="000000"/>
                <w:sz w:val="21"/>
                <w:szCs w:val="21"/>
              </w:rPr>
              <w:t xml:space="preserve">sb_南郊卡口北向南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rxsb_洋桥卡口西向东</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rxsb_洋桥卡口东向西</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rxsb_车管所北门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rxsb_体育馆侧门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rxsb_体育馆正门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rxsb_南郊检查站安检口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rxsb_车管所正门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rxsb_璜泾镇便民服务中心1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rxsb_璜泾镇便民服务中心2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49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rxsb_左岸春天进门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rxsb_左岸春天出门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rxsb_人证核验_太仓沙溪车站</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rxsb_人证核验_太仓浏河车站2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rxsb_人证核验_太仓浏河车站1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rxsb_人证核验_太仓港区车站</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rxsb_人证核验_太仓长途客运站2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rxsb_人证核验_太仓长途客运站1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rxsb_人证核验_太仓朝阳车站</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rxsb_高铁太仓站进站通道1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59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rxsb_高铁太仓站进站检票1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rxsb_高铁太仓站进站通道2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rxsb_高铁太仓站进站检票2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rxsb_高铁太仓站进站检票3</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rxsb_高铁太仓站进站通道3</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rxsb_高铁太仓站售票1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rxsb_高铁太仓站进站检票4</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w:t>
            </w:r>
            <w:r>
              <w:rPr>
                <w:rFonts w:hint="eastAsia"/>
                <w:color w:val="000000"/>
                <w:sz w:val="21"/>
                <w:szCs w:val="21"/>
              </w:rPr>
              <w:t xml:space="preserve">sb_高铁太仓站安检2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rxsb_高铁太仓站出站1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rxsb_高铁太仓站出站3</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69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rxsb_高铁太仓站安检1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rxsb_高铁太仓站出站2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rxsb_高铁太仓站出站4</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rxsb_高铁太仓站售票2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rxsb_高铁太仓站候车大厅出口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rxsb_高铁太仓南站出站通道1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rxsb_高铁太仓南站出站通道2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rxsb_高铁太仓南站进站通道东</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rxsb_高铁太仓南站进站通道西</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rxsb_高铁太仓南站出站通道西</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79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rxsb_高铁太仓南站出站通道东</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rxsb_墅沟水闸1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rxsb_浏河长江路卡口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rxsb_长江路边防所东</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rxsb_洋桥检查站安检室</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rxsb_洋桥检查站安检室外北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rxsb_洋桥检查站进市东向西</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rxsb_东仓路加油站</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rxsb_长途汽车站入口新</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rxsb_浏河湿地公园广场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89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rxsb_太丰卡口进市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rxsb_太丰卡口出市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rxsb_新双周卡口进市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rxsb_新太海汽渡进市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rxsb_新太海汽渡出市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rxsb_浏河石桥卡口进市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rxsb_浏河石桥卡口出市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rxsb_科博尔卡口进市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rxsb_科博尔卡口出市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rxsb_浏河滨江大桥下长江路卡口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99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rxsb_太仓市公安局门口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rxsb_城中所办案区2号出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rxsb_城中所办案区1号进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rxsb_金仓湖所办案区2号出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rxsb_金仓湖所办案区1号进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rxsb_金浪所办案区2号出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rxsb_金浪所办案区1号进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rxsb_浏家港所办案区2号出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rxsb_浏家港所办案区1号进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rxsb_陆渡所办案区1号进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109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rxsb_陆渡所办案区2号出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rxsb_岳王所办案区1号进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rxsb_岳王所办案区2号出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rxsb_璜泾所办案区2号出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rxsb_璜泾所办案区1号进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rxsb_港区所办案区2号出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rxsb_港区所办案区1号进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rxsb_城西所办案区2号出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rxsb_城西所办案区1号进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rxsb_科教新城所办案区1号进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119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rxsb_科教新城所办案区2</w:t>
            </w:r>
            <w:r>
              <w:rPr>
                <w:rFonts w:hint="eastAsia"/>
                <w:color w:val="000000"/>
                <w:sz w:val="21"/>
                <w:szCs w:val="21"/>
              </w:rPr>
              <w:t xml:space="preserve">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rxsb_双凤所办案区1号进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rxsb_双凤所办案区2号出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rxsb_双凤中队办案区1号进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rxsb_双凤中队办案区2号出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rxsb_沙溪所办案区2号出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rxsb_沙溪所办案区1号进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rxsb_浏河中队办案区1号进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129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rxsb_浏河中队办案区2号出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rxsb_高新区所办案区1号进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rxsb_高新区所办案区2号出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rxsb_板桥所办案区2号出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rxsb_板桥所办案区1号进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rxsb_海防所办案区1号进</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rxsb_海防所办案区2号出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rxsb_法制大队办案区2号出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rxsb_正夫路204国道卡口东侧东向西</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rxsb_正夫路204国道卡口东侧西向东</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139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rxsb_利民花园三期56幢大门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rxsb_东方幼儿园</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rxsb_江沁苑东门进口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rxsb_浏河滨江幼儿园</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rxsb_童礼苑</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rxsb_童礼苑北门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w:t>
            </w:r>
            <w:r>
              <w:rPr>
                <w:rFonts w:hint="eastAsia"/>
                <w:color w:val="000000"/>
                <w:sz w:val="21"/>
                <w:szCs w:val="21"/>
              </w:rPr>
              <w:t xml:space="preserve">xsb_童赋苑南门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rxsb_童赋苑东门</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rxsb_浏河政府门口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rxsb_南郊检查站入市工位1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149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rxsb_南郊检查站入市工位2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rxsb_南郊检查站入市工位3</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rxsb_南郊检查站出市工位1</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rxsb_南郊检查站出市工位2</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rxsb_南郊检查站北辅道入市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rxsb_南郊检查站北辅道出市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rxsb_南郊检查站南辅道出市</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rxsb_府南街兄弟烧烤门口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rxsb_南郊检查站人车核验机主</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rxsb_南郊检查站人车核验机副</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159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rxsb_南郊检查站安检大厅入口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rxsb_高铁太仓站安检3</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rxsb_娄东东港路东</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rxsb_娄东实验小学南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rxsb_娄东实验小学北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164</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rxsb_娄东县府街太平路北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165</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rxsb_娄东县府街太平路南</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166</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rxsb_娄东宾馆门口</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167</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rxsb_江申大道健雄路东北角非机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168</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rxsb_健雄路文昌路西南角非机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169</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rxsb_县府街扬州路东南角非机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170</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rxsb_东仓路县府街东北角</w:t>
            </w:r>
            <w:r>
              <w:rPr>
                <w:rFonts w:hint="eastAsia"/>
                <w:color w:val="000000"/>
                <w:sz w:val="21"/>
                <w:szCs w:val="21"/>
              </w:rPr>
              <w:t xml:space="preserve">非机</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171</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rxsb_市政府西侧半泾路南西</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172</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rxsb_市政府西侧半泾路北东</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173</w:t>
            </w:r>
            <w:r>
              <w:rPr>
                <w:color w:val="000000"/>
                <w:sz w:val="21"/>
                <w:szCs w:val="21"/>
              </w:rPr>
            </w:r>
            <w:r/>
          </w:p>
        </w:tc>
        <w:tc>
          <w:tcPr>
            <w:tcW w:w="5900" w:type="dxa"/>
            <w:vAlign w:val="center"/>
            <w:textDirection w:val="lrTb"/>
            <w:noWrap w:val="false"/>
          </w:tcPr>
          <w:p>
            <w:pPr>
              <w:pStyle w:val="928"/>
              <w:jc w:val="center"/>
              <w:rPr>
                <w:color w:val="000000"/>
                <w:sz w:val="21"/>
                <w:szCs w:val="21"/>
              </w:rPr>
            </w:pPr>
            <w:r>
              <w:rPr>
                <w:rFonts w:hint="eastAsia"/>
                <w:color w:val="000000"/>
                <w:sz w:val="21"/>
                <w:szCs w:val="21"/>
              </w:rPr>
              <w:t xml:space="preserve">rxsb_市政府西侧半泾路北西</w:t>
            </w:r>
            <w:r>
              <w:rPr>
                <w:color w:val="000000"/>
                <w:sz w:val="21"/>
                <w:szCs w:val="21"/>
              </w:rPr>
            </w:r>
            <w:r/>
          </w:p>
        </w:tc>
      </w:tr>
      <w:tr>
        <w:trPr>
          <w:trHeight w:val="285"/>
        </w:trPr>
        <w:tc>
          <w:tcPr>
            <w:tcW w:w="1547" w:type="dxa"/>
            <w:vAlign w:val="top"/>
            <w:textDirection w:val="lrTb"/>
            <w:noWrap w:val="false"/>
          </w:tcPr>
          <w:p>
            <w:pPr>
              <w:pStyle w:val="928"/>
              <w:ind w:firstLine="480"/>
              <w:rPr>
                <w:color w:val="000000"/>
                <w:sz w:val="21"/>
                <w:szCs w:val="21"/>
              </w:rPr>
            </w:pPr>
            <w:r>
              <w:rPr>
                <w:rFonts w:hint="eastAsia"/>
                <w:color w:val="000000"/>
                <w:sz w:val="21"/>
                <w:szCs w:val="21"/>
              </w:rPr>
              <w:t xml:space="preserve">174</w:t>
            </w:r>
            <w:r>
              <w:rPr>
                <w:color w:val="000000"/>
                <w:sz w:val="21"/>
                <w:szCs w:val="21"/>
              </w:rPr>
            </w:r>
            <w:r/>
          </w:p>
        </w:tc>
        <w:tc>
          <w:tcPr>
            <w:tcW w:w="5900" w:type="dxa"/>
            <w:vAlign w:val="top"/>
            <w:textDirection w:val="lrTb"/>
            <w:noWrap w:val="false"/>
          </w:tcPr>
          <w:p>
            <w:pPr>
              <w:pStyle w:val="928"/>
              <w:jc w:val="center"/>
              <w:rPr>
                <w:color w:val="000000"/>
                <w:sz w:val="21"/>
                <w:szCs w:val="21"/>
              </w:rPr>
            </w:pPr>
            <w:r>
              <w:rPr>
                <w:rFonts w:hint="eastAsia"/>
                <w:color w:val="000000"/>
                <w:sz w:val="21"/>
                <w:szCs w:val="21"/>
              </w:rPr>
              <w:t xml:space="preserve">rxsb_浏河东码头</w:t>
            </w:r>
            <w:r>
              <w:rPr>
                <w:color w:val="000000"/>
                <w:sz w:val="21"/>
                <w:szCs w:val="21"/>
              </w:rPr>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对市局过保的移动图传设备的维护及服务</w:t>
      </w:r>
      <w:r>
        <w:rPr>
          <w:rFonts w:ascii="宋体" w:hAnsi="宋体" w:eastAsia="宋体"/>
          <w:color w:val="000000"/>
          <w:sz w:val="21"/>
          <w:szCs w:val="21"/>
        </w:rPr>
      </w:r>
      <w:r/>
    </w:p>
    <w:p>
      <w:pPr>
        <w:pStyle w:val="928"/>
        <w:ind w:firstLine="420"/>
        <w:spacing w:line="360" w:lineRule="auto"/>
        <w:rPr>
          <w:rFonts w:hint="eastAsia"/>
          <w:color w:val="000000"/>
          <w:sz w:val="21"/>
          <w:szCs w:val="21"/>
          <w:shd w:val="clear" w:color="auto" w:fill="ffffff"/>
        </w:rPr>
      </w:pPr>
      <w:r>
        <w:rPr>
          <w:rFonts w:hint="eastAsia"/>
          <w:color w:val="000000"/>
          <w:sz w:val="21"/>
          <w:szCs w:val="21"/>
          <w:shd w:val="clear" w:color="auto" w:fill="ffffff"/>
        </w:rPr>
        <w:t xml:space="preserve">对市局过保的4G车载图传设备、4G布控球、4G单兵、4G执法仪、无人机单兵等设备的维护及服务，包含架设、安装、改装、搬迁、维护、现场应急安保等。</w:t>
      </w:r>
      <w:r/>
    </w:p>
    <w:p>
      <w:pPr>
        <w:pStyle w:val="928"/>
        <w:ind w:firstLine="420"/>
        <w:spacing w:line="360" w:lineRule="auto"/>
        <w:rPr>
          <w:rFonts w:hint="eastAsia"/>
          <w:color w:val="000000"/>
          <w:sz w:val="21"/>
          <w:szCs w:val="21"/>
        </w:rPr>
      </w:pPr>
      <w:r>
        <w:rPr>
          <w:rFonts w:hint="eastAsia"/>
          <w:color w:val="000000"/>
          <w:sz w:val="21"/>
          <w:szCs w:val="21"/>
        </w:rPr>
        <w:t xml:space="preserve">设备明细表：</w:t>
      </w:r>
      <w:r/>
    </w:p>
    <w:tbl>
      <w:tblPr>
        <w:tblW w:w="82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7"/>
        <w:gridCol w:w="1467"/>
        <w:gridCol w:w="867"/>
        <w:gridCol w:w="2816"/>
        <w:gridCol w:w="2184"/>
      </w:tblGrid>
      <w:tr>
        <w:trPr>
          <w:trHeight w:val="285"/>
        </w:trPr>
        <w:tc>
          <w:tcPr>
            <w:shd w:val="clear" w:color="auto" w:fill="ffffff"/>
            <w:tcW w:w="947"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序号</w:t>
            </w:r>
            <w:r/>
          </w:p>
        </w:tc>
        <w:tc>
          <w:tcPr>
            <w:shd w:val="clear" w:color="auto" w:fill="ffffff"/>
            <w:tcW w:w="1467"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所属分组</w:t>
            </w:r>
            <w:r/>
          </w:p>
        </w:tc>
        <w:tc>
          <w:tcPr>
            <w:shd w:val="clear" w:color="auto" w:fill="ffffff"/>
            <w:tcW w:w="867"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编号</w:t>
            </w:r>
            <w:r/>
          </w:p>
        </w:tc>
        <w:tc>
          <w:tcPr>
            <w:shd w:val="clear" w:color="auto" w:fill="ffffff"/>
            <w:tcW w:w="2816"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名称</w:t>
            </w:r>
            <w:r/>
          </w:p>
        </w:tc>
        <w:tc>
          <w:tcPr>
            <w:shd w:val="clear" w:color="auto" w:fill="ffffff"/>
            <w:tcW w:w="2184"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型号</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4G单兵</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122</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0122太仓无人机01</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诚泰旧</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4G单兵</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国标</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太仓无人机02</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诚泰新</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4G单兵</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91</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0091太仓4G单兵6</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DS-MH2430</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4G单兵</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92</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0092太仓4G单兵7</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DS-MH2430</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4G单兵</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93</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0093太仓4G单兵8</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DS-MH2430</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4G单兵</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88</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0088太仓4G布控球1</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DS-MH6171-S</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4G单兵</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89</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0089太仓4G布控球2</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DS-MH6171-S</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4G单兵</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85</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0085太仓4G布控球3</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DS-MH6171-S</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4G单兵</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86</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0086太仓4G布控球4</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DS-MH6171-S</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4G单兵</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87</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0087太仓4</w:t>
            </w:r>
            <w:r>
              <w:rPr>
                <w:rFonts w:hint="eastAsia"/>
                <w:color w:val="000000"/>
                <w:sz w:val="21"/>
                <w:szCs w:val="21"/>
              </w:rPr>
              <w:t xml:space="preserve">G布控球5</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DS-MH6171-S</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11</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城厢中队</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苏E902F警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12</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城中所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苏E3333警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13</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城中所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苏E3331警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14</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城西所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苏E3363警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15</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城西所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苏E3335警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16</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城厢中队</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苏E959G警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17</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开发区所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苏E3321警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18</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科教新城所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苏E3330警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19</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陆渡所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苏E3340警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20</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陆渡所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11</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苏E3368警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21</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金浪所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12</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苏E3347警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22</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沙溪所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13</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苏E3351警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23</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双凤所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14</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苏E3322警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24</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岳王所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16</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苏E3436警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25</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金仓湖</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17</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苏E3325警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26</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岳王所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19</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苏E3366警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27</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板桥所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20</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苏E956G警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28</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浏家港所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21</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苏E3375警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29</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开发区中队</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22</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苏E901F警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30</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金浪所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23</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苏E3329警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31</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双凤所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24</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苏E3341警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32</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开发区所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26</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苏E3336警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33</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璜泾中队</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27</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苏E929E警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34</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璜泾所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28</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苏E3373警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35</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璜泾所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29</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苏E3342警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36</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开发区中队</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32</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苏E903F警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285"/>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37</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浏河所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39</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苏E3338警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38</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浏河所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40</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苏E3356警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39</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浏家港所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41</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苏E3343警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40</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港区所</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44</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苏E3323警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41</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沙溪中队</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45</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苏E907F警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r>
        <w:trPr>
          <w:trHeight w:val="300"/>
        </w:trPr>
        <w:tc>
          <w:tcPr>
            <w:shd w:val="clear" w:color="auto" w:fill="ffffff"/>
            <w:tcW w:w="94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42</w:t>
            </w:r>
            <w:r/>
          </w:p>
        </w:tc>
        <w:tc>
          <w:tcPr>
            <w:shd w:val="clear" w:color="auto" w:fill="ffffff"/>
            <w:tcW w:w="14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通信指挥车</w:t>
            </w:r>
            <w:r/>
          </w:p>
        </w:tc>
        <w:tc>
          <w:tcPr>
            <w:shd w:val="clear" w:color="auto" w:fill="ffffff"/>
            <w:tcW w:w="867"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199</w:t>
            </w:r>
            <w:r/>
          </w:p>
        </w:tc>
        <w:tc>
          <w:tcPr>
            <w:shd w:val="clear" w:color="auto" w:fill="ffffff"/>
            <w:tcW w:w="28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通信指挥车苏E3413警</w:t>
            </w:r>
            <w:r/>
          </w:p>
        </w:tc>
        <w:tc>
          <w:tcPr>
            <w:shd w:val="clear" w:color="auto" w:fill="ffffff"/>
            <w:tcW w:w="218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视频会议系统（58套）及一键点调系统（34套）维保</w:t>
      </w:r>
      <w:r>
        <w:rPr>
          <w:rFonts w:ascii="宋体" w:hAnsi="宋体" w:eastAsia="宋体"/>
          <w:color w:val="000000"/>
          <w:sz w:val="21"/>
          <w:szCs w:val="21"/>
        </w:rPr>
        <w:t xml:space="preserve">及一年（一人）的驻场服务</w:t>
      </w:r>
      <w:r/>
    </w:p>
    <w:p>
      <w:pPr>
        <w:pStyle w:val="928"/>
        <w:ind w:firstLine="420"/>
        <w:spacing w:line="360" w:lineRule="auto"/>
        <w:rPr>
          <w:rFonts w:hint="eastAsia"/>
          <w:color w:val="000000"/>
          <w:sz w:val="21"/>
          <w:szCs w:val="21"/>
          <w:shd w:val="clear" w:color="auto" w:fill="ffffff"/>
        </w:rPr>
      </w:pPr>
      <w:r>
        <w:rPr>
          <w:rFonts w:hint="eastAsia"/>
          <w:color w:val="000000"/>
          <w:sz w:val="21"/>
          <w:szCs w:val="21"/>
          <w:shd w:val="clear" w:color="auto" w:fill="ffffff"/>
        </w:rPr>
        <w:t xml:space="preserve">对市局所有使用的视频会议系统（58套）及一键点调系统（34套）维保服务。包含架设、安装、改装、搬迁、前后端维护、现场应急安保等。</w:t>
      </w:r>
      <w:r/>
    </w:p>
    <w:p>
      <w:pPr>
        <w:pStyle w:val="928"/>
        <w:ind w:firstLine="420"/>
        <w:spacing w:line="360" w:lineRule="auto"/>
        <w:rPr>
          <w:rFonts w:hint="eastAsia"/>
          <w:color w:val="000000"/>
          <w:sz w:val="21"/>
          <w:szCs w:val="21"/>
        </w:rPr>
      </w:pPr>
      <w:r>
        <w:rPr>
          <w:rFonts w:hint="eastAsia"/>
          <w:color w:val="000000"/>
          <w:sz w:val="21"/>
          <w:szCs w:val="21"/>
        </w:rPr>
        <w:t xml:space="preserve">视频会议：</w:t>
      </w:r>
      <w:r/>
    </w:p>
    <w:tbl>
      <w:tblPr>
        <w:tblW w:w="84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2589"/>
        <w:gridCol w:w="4416"/>
      </w:tblGrid>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序号</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名称</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地址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一楼东会议室</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一楼西会议室</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指挥中心4楼会议室</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警务中心辅楼大会议室</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市局终端5</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警务中心主楼二楼交警大队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市局终端6</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车管所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市局终端7</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看守所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市局终端8</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水上派出所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市局终端9</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沙溪派出所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市局终端10</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公交派出所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11</w:t>
            </w:r>
            <w:r>
              <w:rPr>
                <w:rFonts w:hint="eastAsia"/>
                <w:color w:val="000000"/>
                <w:sz w:val="21"/>
                <w:szCs w:val="21"/>
              </w:rPr>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市局终端11</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科教新城派出所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12</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市局终端12</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岳王派出所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13</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市局终端13</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城中派出所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14</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市局终端14</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城西派出所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15</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市局终端15</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开发区派出所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16</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市局终端16</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双凤派出所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17</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市局终端17</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璜泾派出所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18</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市局终端18</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浏家港派出所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19</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市局终端19</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浏河派出所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20</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市局终端20</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港区派出所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21</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市局终端21</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金浪派出所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22</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市局终端22</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板桥派出所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23</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市局终端23</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陆渡派出所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24</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市局终端24</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金仓湖派出所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25</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市局终端25</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港区中队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26</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市局终端26</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沙溪中队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27</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市局终端27</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城厢中队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28</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市局终端28</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浏河中队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29</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市局终端29</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华亭卡口</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30</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市局终端30</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南郊中队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31</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市局终端31</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璜泾中队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32</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市局终端32</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海防所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33</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市局终端33</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双凤中队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34</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市局终端34</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科信大队1</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35</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市局终端35</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科信大队2</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36</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市局终端36</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人管大队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37</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市局终端37</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政治处</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38</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市局终端38</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局长室</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39</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市局终端39</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法制大队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40</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市局终端40</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南郊卡口G204</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41</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市局终端41</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洋桥</w:t>
            </w:r>
            <w:r>
              <w:rPr>
                <w:rFonts w:hint="eastAsia"/>
                <w:color w:val="000000"/>
                <w:sz w:val="21"/>
                <w:szCs w:val="21"/>
              </w:rPr>
              <w:t xml:space="preserve">卡口</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42</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市局终端42</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消防大队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43</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市局终端43</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网络警察大队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44</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市局终端44</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经侦大队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45</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市局终端45</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治安大队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46</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市局终端46</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禁毒大队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47</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市局终端47</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内保大队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48</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市局终端48</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出入境管理大队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49</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市局终端49</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刑警大队</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50</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市局终端50</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长航派出所</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51</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市局终端51</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战训电教室</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52</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市局终端52</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太仓万达警务室</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53</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市局终端53</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太仓交警大队9楼</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54</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苏州联指视屏会议</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苏州联指视屏会议</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55</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省厅一键点调</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省厅一键点调</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56</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沙溪所专班</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沙溪所专班</w:t>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57</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备用</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r>
      <w:tr>
        <w:trPr>
          <w:trHeight w:val="270"/>
        </w:trPr>
        <w:tc>
          <w:tcPr>
            <w:shd w:val="clear" w:color="auto" w:fill="ffffff"/>
            <w:tcW w:w="14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58</w:t>
            </w:r>
            <w:r/>
          </w:p>
        </w:tc>
        <w:tc>
          <w:tcPr>
            <w:shd w:val="clear" w:color="auto" w:fill="ffffff"/>
            <w:tcW w:w="258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备用</w:t>
            </w:r>
            <w:r/>
          </w:p>
        </w:tc>
        <w:tc>
          <w:tcPr>
            <w:shd w:val="clear" w:color="auto" w:fill="ffffff"/>
            <w:tcW w:w="4416"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r>
    </w:tbl>
    <w:p>
      <w:pPr>
        <w:pStyle w:val="928"/>
        <w:ind w:firstLine="420"/>
        <w:spacing w:line="360" w:lineRule="auto"/>
        <w:rPr>
          <w:rFonts w:hint="eastAsia" w:cs="黑体"/>
          <w:color w:val="000000"/>
          <w:sz w:val="21"/>
          <w:szCs w:val="21"/>
        </w:rPr>
      </w:pPr>
      <w:r>
        <w:rPr>
          <w:rFonts w:hint="eastAsia"/>
          <w:color w:val="000000"/>
          <w:sz w:val="21"/>
          <w:szCs w:val="21"/>
        </w:rPr>
        <w:t xml:space="preserve">一键点调系统：</w:t>
      </w:r>
      <w:r>
        <w:rPr>
          <w:rFonts w:hint="eastAsia" w:cs="黑体"/>
          <w:color w:val="000000"/>
          <w:sz w:val="21"/>
          <w:szCs w:val="21"/>
        </w:rPr>
      </w:r>
      <w:r/>
    </w:p>
    <w:tbl>
      <w:tblPr>
        <w:tblW w:w="88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1"/>
        <w:gridCol w:w="3750"/>
        <w:gridCol w:w="3354"/>
      </w:tblGrid>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序号</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单位</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安装点位</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城中</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城西</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高新区</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沙溪</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浏河</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板桥</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陆渡</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双凤</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港区</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璜泾</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11</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金仓湖</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12</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科教新城</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13</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浏家港</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14</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金浪</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15</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岳王</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16</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海防</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17</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城厢中</w:t>
            </w:r>
            <w:r>
              <w:rPr>
                <w:rFonts w:hint="eastAsia"/>
                <w:color w:val="000000"/>
                <w:sz w:val="21"/>
                <w:szCs w:val="21"/>
              </w:rPr>
              <w:t xml:space="preserve">队</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18</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高新区中队</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19</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南郊中队</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20</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浏河中队</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21</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港区中队</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22</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璜泾中队</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23</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沙溪中队</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24</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双凤中队</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25</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万达警务工作站</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26</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月星家居警务工作站</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27</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大润发警务工作站</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28</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中心广场警务工作站</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29</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南郊公安检查站</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30</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华亭公安检查站</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31</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洋桥公安检查站</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综合指挥室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32</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太仓站警务室</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警务室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33</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太仓南站警务室</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警务室</w:t>
            </w:r>
            <w:r/>
          </w:p>
        </w:tc>
      </w:tr>
      <w:tr>
        <w:trPr>
          <w:trHeight w:val="397"/>
        </w:trPr>
        <w:tc>
          <w:tcPr>
            <w:tcW w:w="1711"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34</w:t>
            </w:r>
            <w:r/>
          </w:p>
        </w:tc>
        <w:tc>
          <w:tcPr>
            <w:tcW w:w="3750"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超警中心</w:t>
            </w:r>
            <w:r/>
          </w:p>
        </w:tc>
        <w:tc>
          <w:tcPr>
            <w:tcW w:w="335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警务中心4楼</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精密空调和UPS电源维保（半包）</w:t>
      </w:r>
      <w:r>
        <w:rPr>
          <w:rFonts w:ascii="宋体" w:hAnsi="宋体" w:eastAsia="宋体"/>
          <w:color w:val="000000"/>
          <w:sz w:val="21"/>
          <w:szCs w:val="21"/>
        </w:rPr>
      </w:r>
      <w:r/>
    </w:p>
    <w:tbl>
      <w:tblPr>
        <w:tblW w:w="9090"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00"/>
        <w:gridCol w:w="1080"/>
        <w:gridCol w:w="1080"/>
        <w:gridCol w:w="4650"/>
        <w:gridCol w:w="555"/>
        <w:gridCol w:w="465"/>
        <w:gridCol w:w="660"/>
      </w:tblGrid>
      <w:tr>
        <w:trPr>
          <w:trHeight w:val="330"/>
        </w:trPr>
        <w:tc>
          <w:tcPr>
            <w:tcW w:w="60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序号</w:t>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产品名称</w:t>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规格型号</w:t>
            </w:r>
            <w:r/>
          </w:p>
        </w:tc>
        <w:tc>
          <w:tcPr>
            <w:tcW w:w="465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服务说明</w:t>
            </w:r>
            <w:r/>
          </w:p>
        </w:tc>
        <w:tc>
          <w:tcPr>
            <w:tcW w:w="55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数量</w:t>
            </w:r>
            <w:r/>
          </w:p>
        </w:tc>
        <w:tc>
          <w:tcPr>
            <w:tcW w:w="4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单位</w:t>
            </w:r>
            <w:r/>
          </w:p>
        </w:tc>
        <w:tc>
          <w:tcPr>
            <w:shd w:val="clear" w:color="auto" w:fill="ffffff"/>
            <w:tcW w:w="66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品牌</w:t>
            </w:r>
            <w:r/>
          </w:p>
        </w:tc>
      </w:tr>
      <w:tr>
        <w:trPr>
          <w:trHeight w:val="490"/>
        </w:trPr>
        <w:tc>
          <w:tcPr>
            <w:gridSpan w:val="7"/>
            <w:shd w:val="clear" w:color="auto" w:fill="c0c0c0"/>
            <w:tcW w:w="9090" w:type="dxa"/>
            <w:vAlign w:val="center"/>
            <w:textDirection w:val="lrTb"/>
            <w:noWrap w:val="false"/>
          </w:tcPr>
          <w:p>
            <w:pPr>
              <w:pStyle w:val="928"/>
              <w:jc w:val="left"/>
              <w:widowControl/>
              <w:rPr>
                <w:color w:val="000000"/>
                <w:sz w:val="21"/>
                <w:szCs w:val="21"/>
              </w:rPr>
            </w:pPr>
            <w:r>
              <w:rPr>
                <w:rFonts w:hint="eastAsia" w:cs="宋体"/>
                <w:b/>
                <w:bCs/>
                <w:color w:val="000000"/>
                <w:sz w:val="21"/>
                <w:szCs w:val="21"/>
              </w:rPr>
              <w:t xml:space="preserve">一、科士达UPS设备维保报价（半包服务）</w:t>
            </w:r>
            <w:r>
              <w:rPr>
                <w:color w:val="000000"/>
                <w:sz w:val="21"/>
                <w:szCs w:val="21"/>
              </w:rPr>
            </w:r>
            <w:r/>
          </w:p>
        </w:tc>
      </w:tr>
      <w:tr>
        <w:trPr>
          <w:trHeight w:val="2310"/>
        </w:trPr>
        <w:tc>
          <w:tcPr>
            <w:tcW w:w="600" w:type="dxa"/>
            <w:vAlign w:val="center"/>
            <w:textDirection w:val="lrTb"/>
            <w:noWrap w:val="false"/>
          </w:tcPr>
          <w:p>
            <w:pPr>
              <w:pStyle w:val="928"/>
              <w:jc w:val="center"/>
              <w:widowControl/>
              <w:rPr>
                <w:rFonts w:cs="黑体"/>
                <w:color w:val="000000"/>
                <w:sz w:val="21"/>
                <w:szCs w:val="21"/>
              </w:rPr>
            </w:pPr>
            <w:r>
              <w:rPr>
                <w:rFonts w:hint="eastAsia"/>
                <w:color w:val="000000"/>
                <w:sz w:val="21"/>
                <w:szCs w:val="21"/>
              </w:rPr>
              <w:t xml:space="preserve">1</w:t>
            </w:r>
            <w:r>
              <w:rPr>
                <w:rFonts w:cs="黑体"/>
                <w:color w:val="000000"/>
                <w:sz w:val="21"/>
                <w:szCs w:val="21"/>
              </w:rPr>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UPS电源维保</w:t>
              <w:br w:type="textWrapping" w:clear="all"/>
              <w:t xml:space="preserve">（负一楼UPS间）</w:t>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YDC9110H</w:t>
              <w:br w:type="textWrapping" w:clear="all"/>
              <w:t xml:space="preserve">（主机容量：10KW)</w:t>
            </w:r>
            <w:r/>
          </w:p>
        </w:tc>
        <w:tc>
          <w:tcPr>
            <w:tcW w:w="4650" w:type="dxa"/>
            <w:vAlign w:val="center"/>
            <w:textDirection w:val="lrTb"/>
            <w:noWrap w:val="false"/>
          </w:tcPr>
          <w:p>
            <w:pPr>
              <w:pStyle w:val="928"/>
              <w:jc w:val="left"/>
              <w:spacing w:line="360" w:lineRule="auto"/>
              <w:widowControl/>
              <w:rPr>
                <w:rFonts w:hint="eastAsia" w:cs="宋体"/>
                <w:color w:val="000000"/>
                <w:sz w:val="21"/>
                <w:szCs w:val="21"/>
              </w:rPr>
            </w:pPr>
            <w:r>
              <w:rPr>
                <w:rFonts w:hint="eastAsia" w:cs="宋体"/>
                <w:color w:val="000000"/>
                <w:sz w:val="21"/>
                <w:szCs w:val="21"/>
              </w:rPr>
              <w:t xml:space="preserve">1、故障维修服务：工程师上门维修服务，故障现场解决。坏件需要收费维修。                                                                       2、响应时间：在接到通知（含电话通知）10分钟内响</w:t>
            </w:r>
            <w:r>
              <w:rPr>
                <w:rFonts w:hint="eastAsia" w:cs="宋体"/>
                <w:color w:val="000000"/>
                <w:sz w:val="21"/>
                <w:szCs w:val="21"/>
              </w:rPr>
              <w:t xml:space="preserve">应、4小时内到场进行检查，一年内免费应急响应维修服务。                                  3、季度巡检服务：1年四次上门巡检及运行状况报告，一年一次预防性维护。不含易耗品（不含外接蓄电池组）</w:t>
            </w:r>
            <w:r/>
          </w:p>
        </w:tc>
        <w:tc>
          <w:tcPr>
            <w:tcW w:w="55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c>
          <w:tcPr>
            <w:tcW w:w="4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66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科士达</w:t>
            </w:r>
            <w:r/>
          </w:p>
        </w:tc>
      </w:tr>
      <w:tr>
        <w:trPr>
          <w:trHeight w:val="2310"/>
        </w:trPr>
        <w:tc>
          <w:tcPr>
            <w:tcW w:w="600" w:type="dxa"/>
            <w:vAlign w:val="center"/>
            <w:textDirection w:val="lrTb"/>
            <w:noWrap w:val="false"/>
          </w:tcPr>
          <w:p>
            <w:pPr>
              <w:pStyle w:val="928"/>
              <w:jc w:val="center"/>
              <w:widowControl/>
              <w:rPr>
                <w:rFonts w:cs="黑体"/>
                <w:color w:val="000000"/>
                <w:sz w:val="21"/>
                <w:szCs w:val="21"/>
              </w:rPr>
            </w:pPr>
            <w:r>
              <w:rPr>
                <w:rFonts w:hint="eastAsia"/>
                <w:color w:val="000000"/>
                <w:sz w:val="21"/>
                <w:szCs w:val="21"/>
              </w:rPr>
              <w:t xml:space="preserve">2</w:t>
            </w:r>
            <w:r>
              <w:rPr>
                <w:rFonts w:cs="黑体"/>
                <w:color w:val="000000"/>
                <w:sz w:val="21"/>
                <w:szCs w:val="21"/>
              </w:rPr>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UPS电源维保</w:t>
              <w:br w:type="textWrapping" w:clear="all"/>
              <w:t xml:space="preserve">（主楼13FUPS间）</w:t>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YMK3300</w:t>
              <w:br w:type="textWrapping" w:clear="all"/>
              <w:t xml:space="preserve">（含3套40KVA功率模块)</w:t>
            </w:r>
            <w:r/>
          </w:p>
        </w:tc>
        <w:tc>
          <w:tcPr>
            <w:tcW w:w="4650" w:type="dxa"/>
            <w:vAlign w:val="center"/>
            <w:textDirection w:val="lrTb"/>
            <w:noWrap w:val="false"/>
          </w:tcPr>
          <w:p>
            <w:pPr>
              <w:pStyle w:val="928"/>
              <w:jc w:val="left"/>
              <w:spacing w:line="360" w:lineRule="auto"/>
              <w:widowControl/>
              <w:rPr>
                <w:rFonts w:hint="eastAsia" w:cs="宋体"/>
                <w:color w:val="000000"/>
                <w:sz w:val="21"/>
                <w:szCs w:val="21"/>
              </w:rPr>
            </w:pPr>
            <w:r>
              <w:rPr>
                <w:rFonts w:hint="eastAsia" w:cs="宋体"/>
                <w:color w:val="000000"/>
                <w:sz w:val="21"/>
                <w:szCs w:val="21"/>
              </w:rPr>
              <w:t xml:space="preserve">1、故障维修服务：工程师上门维修服务，故障现场解决。坏件需要收费维修。                                                                       2、响应时间：在接到通知（含电话通知）10分钟内响应、4小时内到场进行检查，一年内免费应急响应维修服务。                                  3、季度巡检服务：1年四次上门巡检及运行状况报告，一年一次预防性维护。不含易耗品（不含外接蓄电池组）</w:t>
            </w:r>
            <w:r/>
          </w:p>
        </w:tc>
        <w:tc>
          <w:tcPr>
            <w:tcW w:w="55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c>
          <w:tcPr>
            <w:tcW w:w="4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66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科士达</w:t>
            </w:r>
            <w:r/>
          </w:p>
        </w:tc>
      </w:tr>
      <w:tr>
        <w:trPr>
          <w:trHeight w:val="330"/>
        </w:trPr>
        <w:tc>
          <w:tcPr>
            <w:gridSpan w:val="7"/>
            <w:shd w:val="clear" w:color="auto" w:fill="c0c0c0"/>
            <w:tcW w:w="9090" w:type="dxa"/>
            <w:vAlign w:val="center"/>
            <w:textDirection w:val="lrTb"/>
            <w:noWrap w:val="false"/>
          </w:tcPr>
          <w:p>
            <w:pPr>
              <w:pStyle w:val="928"/>
              <w:jc w:val="left"/>
              <w:widowControl/>
              <w:rPr>
                <w:color w:val="000000"/>
                <w:sz w:val="21"/>
                <w:szCs w:val="21"/>
              </w:rPr>
            </w:pPr>
            <w:r>
              <w:rPr>
                <w:rFonts w:hint="eastAsia" w:cs="宋体"/>
                <w:b/>
                <w:bCs/>
                <w:color w:val="000000"/>
                <w:sz w:val="21"/>
                <w:szCs w:val="21"/>
              </w:rPr>
              <w:t xml:space="preserve">二、科士达精密空调设备维保报价（半包服务）</w:t>
            </w:r>
            <w:r>
              <w:rPr>
                <w:color w:val="000000"/>
                <w:sz w:val="21"/>
                <w:szCs w:val="21"/>
              </w:rPr>
            </w:r>
            <w:r/>
          </w:p>
        </w:tc>
      </w:tr>
      <w:tr>
        <w:trPr>
          <w:trHeight w:val="2640"/>
        </w:trPr>
        <w:tc>
          <w:tcPr>
            <w:tcW w:w="600" w:type="dxa"/>
            <w:vAlign w:val="center"/>
            <w:textDirection w:val="lrTb"/>
            <w:noWrap w:val="false"/>
          </w:tcPr>
          <w:p>
            <w:pPr>
              <w:pStyle w:val="928"/>
              <w:jc w:val="center"/>
              <w:widowControl/>
              <w:rPr>
                <w:rFonts w:cs="黑体"/>
                <w:color w:val="000000"/>
                <w:sz w:val="21"/>
                <w:szCs w:val="21"/>
              </w:rPr>
            </w:pPr>
            <w:r>
              <w:rPr>
                <w:rFonts w:hint="eastAsia"/>
                <w:color w:val="000000"/>
                <w:sz w:val="21"/>
                <w:szCs w:val="21"/>
              </w:rPr>
              <w:t xml:space="preserve">1</w:t>
            </w:r>
            <w:r>
              <w:rPr>
                <w:rFonts w:cs="黑体"/>
                <w:color w:val="000000"/>
                <w:sz w:val="21"/>
                <w:szCs w:val="21"/>
              </w:rPr>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精密空调维保</w:t>
              <w:br w:type="textWrapping" w:clear="all"/>
              <w:t xml:space="preserve">（主楼12F机房）</w:t>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MT060</w:t>
              <w:br w:type="textWrapping" w:clear="all"/>
              <w:t xml:space="preserve">（制冷量60KW)</w:t>
            </w:r>
            <w:r/>
          </w:p>
        </w:tc>
        <w:tc>
          <w:tcPr>
            <w:tcW w:w="4650" w:type="dxa"/>
            <w:vAlign w:val="center"/>
            <w:textDirection w:val="lrTb"/>
            <w:noWrap w:val="false"/>
          </w:tcPr>
          <w:p>
            <w:pPr>
              <w:pStyle w:val="928"/>
              <w:jc w:val="left"/>
              <w:spacing w:line="360" w:lineRule="auto"/>
              <w:widowControl/>
              <w:rPr>
                <w:rFonts w:hint="eastAsia" w:cs="宋体"/>
                <w:color w:val="000000"/>
                <w:sz w:val="21"/>
                <w:szCs w:val="21"/>
              </w:rPr>
            </w:pPr>
            <w:r>
              <w:rPr>
                <w:rFonts w:hint="eastAsia" w:cs="宋体"/>
                <w:color w:val="000000"/>
                <w:sz w:val="21"/>
                <w:szCs w:val="21"/>
              </w:rPr>
              <w:t xml:space="preserve">1、故障维修服务：工程师上门维修服务，故障现场解决。坏件需要收费维修，空</w:t>
            </w:r>
            <w:r>
              <w:rPr>
                <w:rFonts w:hint="eastAsia" w:cs="宋体"/>
                <w:color w:val="000000"/>
                <w:sz w:val="21"/>
                <w:szCs w:val="21"/>
              </w:rPr>
              <w:t xml:space="preserve">调易损件（过滤网）免费更换服务                                                                     2、响应时间：在接到通知（含电话通知）10分钟内响应、4小时内到场进行检查，一年内免费应急响应维修服务。                                  3、季度巡检服务：1年四次上门巡检及运行状况报告，一年一次预防性维护。 包含空调易损件更换服务（如过滤网）。</w:t>
            </w:r>
            <w:r/>
          </w:p>
        </w:tc>
        <w:tc>
          <w:tcPr>
            <w:tcW w:w="55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2</w:t>
            </w:r>
            <w:r/>
          </w:p>
        </w:tc>
        <w:tc>
          <w:tcPr>
            <w:tcW w:w="4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66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科士达</w:t>
            </w:r>
            <w:r/>
          </w:p>
        </w:tc>
      </w:tr>
      <w:tr>
        <w:trPr>
          <w:trHeight w:val="267"/>
        </w:trPr>
        <w:tc>
          <w:tcPr>
            <w:tcW w:w="600" w:type="dxa"/>
            <w:vAlign w:val="center"/>
            <w:textDirection w:val="lrTb"/>
            <w:noWrap w:val="false"/>
          </w:tcPr>
          <w:p>
            <w:pPr>
              <w:pStyle w:val="928"/>
              <w:jc w:val="center"/>
              <w:widowControl/>
              <w:rPr>
                <w:rFonts w:cs="黑体"/>
                <w:color w:val="000000"/>
                <w:sz w:val="21"/>
                <w:szCs w:val="21"/>
              </w:rPr>
            </w:pPr>
            <w:r>
              <w:rPr>
                <w:rFonts w:hint="eastAsia"/>
                <w:color w:val="000000"/>
                <w:sz w:val="21"/>
                <w:szCs w:val="21"/>
              </w:rPr>
              <w:t xml:space="preserve">2</w:t>
            </w:r>
            <w:r>
              <w:rPr>
                <w:rFonts w:cs="黑体"/>
                <w:color w:val="000000"/>
                <w:sz w:val="21"/>
                <w:szCs w:val="21"/>
              </w:rPr>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精密空调维保</w:t>
              <w:br w:type="textWrapping" w:clear="all"/>
              <w:t xml:space="preserve">（主楼13FUPS间）</w:t>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ST012F</w:t>
              <w:br w:type="textWrapping" w:clear="all"/>
              <w:t xml:space="preserve">（制冷量12.5KW)</w:t>
            </w:r>
            <w:r/>
          </w:p>
        </w:tc>
        <w:tc>
          <w:tcPr>
            <w:tcW w:w="4650" w:type="dxa"/>
            <w:vAlign w:val="center"/>
            <w:textDirection w:val="lrTb"/>
            <w:noWrap w:val="false"/>
          </w:tcPr>
          <w:p>
            <w:pPr>
              <w:pStyle w:val="928"/>
              <w:jc w:val="left"/>
              <w:spacing w:line="360" w:lineRule="auto"/>
              <w:widowControl/>
              <w:rPr>
                <w:rFonts w:hint="eastAsia" w:cs="宋体"/>
                <w:color w:val="000000"/>
                <w:sz w:val="21"/>
                <w:szCs w:val="21"/>
              </w:rPr>
            </w:pPr>
            <w:r>
              <w:rPr>
                <w:rFonts w:hint="eastAsia" w:cs="宋体"/>
                <w:color w:val="000000"/>
                <w:sz w:val="21"/>
                <w:szCs w:val="21"/>
              </w:rPr>
              <w:t xml:space="preserve">1、故障维修服务：工程师上门维修服务，故障现场解决。坏件需要收费维修，空调易损件（过滤网）免费更换服务                                                                     2、响应时间：在接到通知（含电话通知）10分钟内响应、4小时内到场进行检查，一年内免费应急响应维修服务。                                  3、季度巡检服务：1年四次上门巡检及运行状况报告，一年一次预防性</w:t>
            </w:r>
            <w:r>
              <w:rPr>
                <w:rFonts w:hint="eastAsia" w:cs="宋体"/>
                <w:color w:val="000000"/>
                <w:sz w:val="21"/>
                <w:szCs w:val="21"/>
              </w:rPr>
              <w:t xml:space="preserve">维护。 包含空调易损件更换服务（如过滤网）。</w:t>
            </w:r>
            <w:r/>
          </w:p>
        </w:tc>
        <w:tc>
          <w:tcPr>
            <w:tcW w:w="55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c>
          <w:tcPr>
            <w:tcW w:w="4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66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科士达</w:t>
            </w:r>
            <w:r/>
          </w:p>
        </w:tc>
      </w:tr>
      <w:tr>
        <w:trPr>
          <w:trHeight w:val="330"/>
        </w:trPr>
        <w:tc>
          <w:tcPr>
            <w:gridSpan w:val="7"/>
            <w:shd w:val="clear" w:color="auto" w:fill="c0c0c0"/>
            <w:tcW w:w="9090" w:type="dxa"/>
            <w:vAlign w:val="center"/>
            <w:textDirection w:val="lrTb"/>
            <w:noWrap w:val="false"/>
          </w:tcPr>
          <w:p>
            <w:pPr>
              <w:pStyle w:val="928"/>
              <w:jc w:val="left"/>
              <w:widowControl/>
              <w:rPr>
                <w:color w:val="000000"/>
                <w:sz w:val="21"/>
                <w:szCs w:val="21"/>
              </w:rPr>
            </w:pPr>
            <w:r>
              <w:rPr>
                <w:rFonts w:hint="eastAsia" w:cs="宋体"/>
                <w:b/>
                <w:bCs/>
                <w:color w:val="000000"/>
                <w:sz w:val="21"/>
                <w:szCs w:val="21"/>
              </w:rPr>
              <w:t xml:space="preserve">三、第三方空调设备维保报价（半包服务）</w:t>
            </w:r>
            <w:r>
              <w:rPr>
                <w:color w:val="000000"/>
                <w:sz w:val="21"/>
                <w:szCs w:val="21"/>
              </w:rPr>
            </w:r>
            <w:r/>
          </w:p>
        </w:tc>
      </w:tr>
      <w:tr>
        <w:trPr>
          <w:trHeight w:val="2640"/>
        </w:trPr>
        <w:tc>
          <w:tcPr>
            <w:tcW w:w="600" w:type="dxa"/>
            <w:vAlign w:val="center"/>
            <w:textDirection w:val="lrTb"/>
            <w:noWrap w:val="false"/>
          </w:tcPr>
          <w:p>
            <w:pPr>
              <w:pStyle w:val="928"/>
              <w:jc w:val="center"/>
              <w:widowControl/>
              <w:rPr>
                <w:rFonts w:cs="黑体"/>
                <w:color w:val="000000"/>
                <w:sz w:val="21"/>
                <w:szCs w:val="21"/>
              </w:rPr>
            </w:pPr>
            <w:r>
              <w:rPr>
                <w:rFonts w:hint="eastAsia"/>
                <w:color w:val="000000"/>
                <w:sz w:val="21"/>
                <w:szCs w:val="21"/>
              </w:rPr>
              <w:t xml:space="preserve">1</w:t>
            </w:r>
            <w:r>
              <w:rPr>
                <w:rFonts w:cs="黑体"/>
                <w:color w:val="000000"/>
                <w:sz w:val="21"/>
                <w:szCs w:val="21"/>
              </w:rPr>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挂壁式空调</w:t>
              <w:br w:type="textWrapping" w:clear="all"/>
              <w:t xml:space="preserve">（负一楼UPS间）</w:t>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1.5P壁挂式空调</w:t>
            </w:r>
            <w:r/>
          </w:p>
        </w:tc>
        <w:tc>
          <w:tcPr>
            <w:tcW w:w="4650" w:type="dxa"/>
            <w:vAlign w:val="center"/>
            <w:textDirection w:val="lrTb"/>
            <w:noWrap w:val="false"/>
          </w:tcPr>
          <w:p>
            <w:pPr>
              <w:pStyle w:val="928"/>
              <w:jc w:val="left"/>
              <w:spacing w:line="360" w:lineRule="auto"/>
              <w:widowControl/>
              <w:rPr>
                <w:rFonts w:hint="eastAsia" w:cs="宋体"/>
                <w:color w:val="000000"/>
                <w:sz w:val="21"/>
                <w:szCs w:val="21"/>
              </w:rPr>
            </w:pPr>
            <w:r>
              <w:rPr>
                <w:rFonts w:hint="eastAsia" w:cs="宋体"/>
                <w:color w:val="000000"/>
                <w:sz w:val="21"/>
                <w:szCs w:val="21"/>
              </w:rPr>
              <w:t xml:space="preserve">1、故障</w:t>
            </w:r>
            <w:r>
              <w:rPr>
                <w:rFonts w:hint="eastAsia" w:cs="宋体"/>
                <w:color w:val="000000"/>
                <w:sz w:val="21"/>
                <w:szCs w:val="21"/>
              </w:rPr>
              <w:t xml:space="preserve">维修服务：工程师上门维修服务，故障现场解决。坏件需要收费维修，空调易损件（过滤网）免费更换服务                                                                     2、响应时间：在接到通知（含电话通知）10分钟内响应、4小时内到场进行检查，一年内免费应急响应维修服务。                                  3、季度巡检服务：1年四次上门巡检及运行状况报告，一年一次预防性维护。 包含空调易损件更换服务（如过滤网）。</w:t>
            </w:r>
            <w:r/>
          </w:p>
        </w:tc>
        <w:tc>
          <w:tcPr>
            <w:tcW w:w="55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c>
          <w:tcPr>
            <w:tcW w:w="4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66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三菱</w:t>
            </w:r>
            <w:r/>
          </w:p>
        </w:tc>
      </w:tr>
      <w:tr>
        <w:trPr>
          <w:trHeight w:val="2640"/>
        </w:trPr>
        <w:tc>
          <w:tcPr>
            <w:tcW w:w="600" w:type="dxa"/>
            <w:vAlign w:val="center"/>
            <w:textDirection w:val="lrTb"/>
            <w:noWrap w:val="false"/>
          </w:tcPr>
          <w:p>
            <w:pPr>
              <w:pStyle w:val="928"/>
              <w:jc w:val="center"/>
              <w:widowControl/>
              <w:rPr>
                <w:rFonts w:cs="黑体"/>
                <w:color w:val="000000"/>
                <w:sz w:val="21"/>
                <w:szCs w:val="21"/>
              </w:rPr>
            </w:pPr>
            <w:r>
              <w:rPr>
                <w:rFonts w:hint="eastAsia"/>
                <w:color w:val="000000"/>
                <w:sz w:val="21"/>
                <w:szCs w:val="21"/>
              </w:rPr>
              <w:t xml:space="preserve">2</w:t>
            </w:r>
            <w:r>
              <w:rPr>
                <w:rFonts w:cs="黑体"/>
                <w:color w:val="000000"/>
                <w:sz w:val="21"/>
                <w:szCs w:val="21"/>
              </w:rPr>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柜式空调</w:t>
              <w:br w:type="textWrapping" w:clear="all"/>
              <w:t xml:space="preserve">（主楼12F机房）</w:t>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KFR-120LW</w:t>
            </w:r>
            <w:r/>
          </w:p>
        </w:tc>
        <w:tc>
          <w:tcPr>
            <w:tcW w:w="4650" w:type="dxa"/>
            <w:vAlign w:val="center"/>
            <w:textDirection w:val="lrTb"/>
            <w:noWrap w:val="false"/>
          </w:tcPr>
          <w:p>
            <w:pPr>
              <w:pStyle w:val="928"/>
              <w:jc w:val="left"/>
              <w:spacing w:line="360" w:lineRule="auto"/>
              <w:widowControl/>
              <w:rPr>
                <w:rFonts w:hint="eastAsia" w:cs="宋体"/>
                <w:color w:val="000000"/>
                <w:sz w:val="21"/>
                <w:szCs w:val="21"/>
              </w:rPr>
            </w:pPr>
            <w:r>
              <w:rPr>
                <w:rFonts w:hint="eastAsia" w:cs="宋体"/>
                <w:color w:val="000000"/>
                <w:sz w:val="21"/>
                <w:szCs w:val="21"/>
              </w:rPr>
              <w:t xml:space="preserve">1、故障维修服务：工程师上门维修服务，故障现场解决。坏件需要收费维修，空调易损件（过滤网）免费更换服务                                                                     2、响应时间：在接到通知（含电</w:t>
            </w:r>
            <w:r>
              <w:rPr>
                <w:rFonts w:hint="eastAsia" w:cs="宋体"/>
                <w:color w:val="000000"/>
                <w:sz w:val="21"/>
                <w:szCs w:val="21"/>
              </w:rPr>
              <w:t xml:space="preserve">话通知）10分钟内响应、4小时内到场进行检查，一年内免费应急响应维修服务。                                  3、季度巡检服务：1年四次上门巡检及运行状况报告，一年一次预防性维护。 包含空调易损件更换服务（如过滤网）。</w:t>
            </w:r>
            <w:r/>
          </w:p>
        </w:tc>
        <w:tc>
          <w:tcPr>
            <w:tcW w:w="55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3</w:t>
            </w:r>
            <w:r/>
          </w:p>
        </w:tc>
        <w:tc>
          <w:tcPr>
            <w:tcW w:w="4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66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格力</w:t>
            </w:r>
            <w:r/>
          </w:p>
        </w:tc>
      </w:tr>
      <w:tr>
        <w:trPr>
          <w:trHeight w:val="2640"/>
        </w:trPr>
        <w:tc>
          <w:tcPr>
            <w:tcW w:w="600" w:type="dxa"/>
            <w:vAlign w:val="center"/>
            <w:textDirection w:val="lrTb"/>
            <w:noWrap w:val="false"/>
          </w:tcPr>
          <w:p>
            <w:pPr>
              <w:pStyle w:val="928"/>
              <w:jc w:val="center"/>
              <w:widowControl/>
              <w:rPr>
                <w:rFonts w:cs="黑体"/>
                <w:color w:val="000000"/>
                <w:sz w:val="21"/>
                <w:szCs w:val="21"/>
              </w:rPr>
            </w:pPr>
            <w:r>
              <w:rPr>
                <w:rFonts w:hint="eastAsia"/>
                <w:color w:val="000000"/>
                <w:sz w:val="21"/>
                <w:szCs w:val="21"/>
              </w:rPr>
              <w:t xml:space="preserve">3</w:t>
            </w:r>
            <w:r>
              <w:rPr>
                <w:rFonts w:cs="黑体"/>
                <w:color w:val="000000"/>
                <w:sz w:val="21"/>
                <w:szCs w:val="21"/>
              </w:rPr>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柜式空调</w:t>
              <w:br w:type="textWrapping" w:clear="all"/>
              <w:t xml:space="preserve">（主楼13FUPS间）</w:t>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KFR-72LW</w:t>
            </w:r>
            <w:r/>
          </w:p>
        </w:tc>
        <w:tc>
          <w:tcPr>
            <w:tcW w:w="4650" w:type="dxa"/>
            <w:vAlign w:val="center"/>
            <w:textDirection w:val="lrTb"/>
            <w:noWrap w:val="false"/>
          </w:tcPr>
          <w:p>
            <w:pPr>
              <w:pStyle w:val="928"/>
              <w:jc w:val="left"/>
              <w:spacing w:line="360" w:lineRule="auto"/>
              <w:widowControl/>
              <w:rPr>
                <w:rFonts w:hint="eastAsia" w:cs="宋体"/>
                <w:color w:val="000000"/>
                <w:sz w:val="21"/>
                <w:szCs w:val="21"/>
              </w:rPr>
            </w:pPr>
            <w:r>
              <w:rPr>
                <w:rFonts w:hint="eastAsia" w:cs="宋体"/>
                <w:color w:val="000000"/>
                <w:sz w:val="21"/>
                <w:szCs w:val="21"/>
              </w:rPr>
              <w:t xml:space="preserve">1、故障</w:t>
            </w:r>
            <w:r>
              <w:rPr>
                <w:rFonts w:hint="eastAsia" w:cs="宋体"/>
                <w:color w:val="000000"/>
                <w:sz w:val="21"/>
                <w:szCs w:val="21"/>
              </w:rPr>
              <w:t xml:space="preserve">维修服务：工程师上门维修服务，故障现场解决。坏件需要收费维修，空调易损件（过滤网）免费更换服务                                                                     2、响应时间：在接到通知（含电话通知）10分钟内响应、4小时内到场进行检查，一年内免费应急响应维修服务。                                  3、季度巡检服务：1年四次上门巡检及运行状况报告，一年一次预防性维护。 包含空调易损件更换服务（如过滤网）。</w:t>
            </w:r>
            <w:r/>
          </w:p>
        </w:tc>
        <w:tc>
          <w:tcPr>
            <w:tcW w:w="55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c>
          <w:tcPr>
            <w:tcW w:w="4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66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格力</w:t>
            </w:r>
            <w:r/>
          </w:p>
        </w:tc>
      </w:tr>
      <w:tr>
        <w:trPr>
          <w:trHeight w:val="2640"/>
        </w:trPr>
        <w:tc>
          <w:tcPr>
            <w:tcW w:w="600" w:type="dxa"/>
            <w:vAlign w:val="center"/>
            <w:textDirection w:val="lrTb"/>
            <w:noWrap w:val="false"/>
          </w:tcPr>
          <w:p>
            <w:pPr>
              <w:pStyle w:val="928"/>
              <w:jc w:val="center"/>
              <w:widowControl/>
              <w:rPr>
                <w:rFonts w:cs="黑体"/>
                <w:color w:val="000000"/>
                <w:sz w:val="21"/>
                <w:szCs w:val="21"/>
              </w:rPr>
            </w:pPr>
            <w:r>
              <w:rPr>
                <w:rFonts w:hint="eastAsia"/>
                <w:color w:val="000000"/>
                <w:sz w:val="21"/>
                <w:szCs w:val="21"/>
              </w:rPr>
              <w:t xml:space="preserve">4</w:t>
            </w:r>
            <w:r>
              <w:rPr>
                <w:rFonts w:cs="黑体"/>
                <w:color w:val="000000"/>
                <w:sz w:val="21"/>
                <w:szCs w:val="21"/>
              </w:rPr>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挂壁式空调</w:t>
              <w:br w:type="textWrapping" w:clear="all"/>
              <w:t xml:space="preserve">（负一楼UPS间）</w:t>
            </w:r>
            <w:r/>
          </w:p>
        </w:tc>
        <w:tc>
          <w:tcPr>
            <w:tcW w:w="108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1.5P壁挂式空调</w:t>
            </w:r>
            <w:r/>
          </w:p>
        </w:tc>
        <w:tc>
          <w:tcPr>
            <w:tcW w:w="4650" w:type="dxa"/>
            <w:vAlign w:val="center"/>
            <w:textDirection w:val="lrTb"/>
            <w:noWrap w:val="false"/>
          </w:tcPr>
          <w:p>
            <w:pPr>
              <w:pStyle w:val="928"/>
              <w:jc w:val="left"/>
              <w:spacing w:line="360" w:lineRule="auto"/>
              <w:widowControl/>
              <w:rPr>
                <w:rFonts w:hint="eastAsia" w:cs="宋体"/>
                <w:color w:val="000000"/>
                <w:sz w:val="21"/>
                <w:szCs w:val="21"/>
              </w:rPr>
            </w:pPr>
            <w:r>
              <w:rPr>
                <w:rFonts w:hint="eastAsia" w:cs="宋体"/>
                <w:color w:val="000000"/>
                <w:sz w:val="21"/>
                <w:szCs w:val="21"/>
              </w:rPr>
              <w:t xml:space="preserve">1、故障维修服务：工程师上门维修服务，故障现场解决。坏件需要收费维修，空调易损件（过滤网）免费更换服务  </w:t>
            </w:r>
            <w:r>
              <w:rPr>
                <w:rFonts w:hint="eastAsia" w:cs="宋体"/>
                <w:color w:val="000000"/>
                <w:sz w:val="21"/>
                <w:szCs w:val="21"/>
              </w:rPr>
              <w:t xml:space="preserve">                                                                   2、响应时间：在接到通知（含电话通知）10分钟内响应、4小时内到场进行检查，一年内免费应急响应维修服务。                                  3、季度巡检服务：1年四次上门巡检及运行状况报告，一年一次预防性维护。 包含空调易损件更换服务（如过滤网）。</w:t>
            </w:r>
            <w:r/>
          </w:p>
        </w:tc>
        <w:tc>
          <w:tcPr>
            <w:tcW w:w="55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1</w:t>
            </w:r>
            <w:r/>
          </w:p>
        </w:tc>
        <w:tc>
          <w:tcPr>
            <w:tcW w:w="465"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台</w:t>
            </w:r>
            <w:r/>
          </w:p>
        </w:tc>
        <w:tc>
          <w:tcPr>
            <w:tcW w:w="660" w:type="dxa"/>
            <w:vAlign w:val="center"/>
            <w:textDirection w:val="lrTb"/>
            <w:noWrap w:val="false"/>
          </w:tcPr>
          <w:p>
            <w:pPr>
              <w:pStyle w:val="928"/>
              <w:jc w:val="center"/>
              <w:widowControl/>
              <w:rPr>
                <w:rFonts w:hint="eastAsia" w:cs="宋体"/>
                <w:color w:val="000000"/>
                <w:sz w:val="21"/>
                <w:szCs w:val="21"/>
              </w:rPr>
            </w:pPr>
            <w:r>
              <w:rPr>
                <w:rFonts w:hint="eastAsia" w:cs="宋体"/>
                <w:color w:val="000000"/>
                <w:sz w:val="21"/>
                <w:szCs w:val="21"/>
              </w:rPr>
              <w:t xml:space="preserve">格力</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对全市公安各级机关的弱电网络线路维护</w:t>
      </w:r>
      <w:r>
        <w:rPr>
          <w:rFonts w:ascii="宋体" w:hAnsi="宋体" w:eastAsia="宋体"/>
          <w:color w:val="000000"/>
          <w:sz w:val="21"/>
          <w:szCs w:val="21"/>
        </w:rPr>
      </w:r>
      <w:r/>
    </w:p>
    <w:p>
      <w:pPr>
        <w:pStyle w:val="1719"/>
        <w:ind w:firstLine="420"/>
        <w:spacing w:after="0" w:line="360" w:lineRule="auto"/>
        <w:rPr>
          <w:rFonts w:hint="eastAsia" w:ascii="宋体" w:hAnsi="宋体"/>
          <w:color w:val="000000"/>
          <w:sz w:val="21"/>
          <w:szCs w:val="21"/>
          <w:lang w:eastAsia="zh-CN"/>
        </w:rPr>
      </w:pPr>
      <w:r>
        <w:rPr>
          <w:rFonts w:hint="eastAsia" w:ascii="宋体" w:hAnsi="宋体" w:eastAsia="宋体" w:cs="宋体"/>
          <w:color w:val="000000"/>
          <w:sz w:val="21"/>
          <w:szCs w:val="21"/>
          <w:lang w:eastAsia="zh-CN"/>
        </w:rPr>
        <w:t xml:space="preserve">对公安局及下属各单位的各级机房弱电线路（光纤、网络等）一年维护服务：对使用年数超长不稳定的交换机进行更换（千兆交换机及多模双纤光模块），并对机房线路进行整理，各类网络使用不同颜色跳线，各类级联线路做好标签，确保机房线路整洁有序，消除一机两用、一机双网等违规外联安全隐患。对全市公安局及下属各单位的弱电网络的维护，对涉及视频专网和公安专网的网络变更、网络拉线、网络对接等工作都由乙方负责。</w:t>
      </w:r>
      <w:r>
        <w:rPr>
          <w:rFonts w:hint="eastAsia" w:ascii="宋体" w:hAnsi="宋体"/>
          <w:color w:val="000000"/>
          <w:sz w:val="21"/>
          <w:szCs w:val="21"/>
          <w:lang w:eastAsia="zh-CN"/>
        </w:rPr>
      </w:r>
      <w:r/>
    </w:p>
    <w:p>
      <w:pPr>
        <w:pStyle w:val="928"/>
        <w:ind w:firstLine="420"/>
        <w:spacing w:line="360" w:lineRule="auto"/>
        <w:rPr>
          <w:rFonts w:hint="eastAsia"/>
          <w:color w:val="000000"/>
          <w:sz w:val="21"/>
          <w:szCs w:val="21"/>
        </w:rPr>
      </w:pPr>
      <w:r>
        <w:rPr>
          <w:rFonts w:hint="eastAsia"/>
          <w:color w:val="000000"/>
          <w:sz w:val="21"/>
          <w:szCs w:val="21"/>
        </w:rPr>
        <w:t xml:space="preserve">主要包括：</w:t>
      </w:r>
      <w:r/>
    </w:p>
    <w:tbl>
      <w:tblPr>
        <w:tblW w:w="8322"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4505"/>
        <w:gridCol w:w="3817"/>
      </w:tblGrid>
      <w:tr>
        <w:trPr>
          <w:trHeight w:val="474"/>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太仓市公安局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局机关</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高新区派出所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板桥派出所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陆渡派出所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浏河派出所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浏家港派出所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港区派出所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w:t>
            </w:r>
            <w:r>
              <w:rPr>
                <w:rFonts w:hint="eastAsia"/>
                <w:color w:val="000000"/>
                <w:sz w:val="21"/>
                <w:szCs w:val="21"/>
              </w:rPr>
              <w:t xml:space="preserve">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璜泾派出所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金浪派出所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沙溪派出所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双凤派出所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金仓湖派出所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岳王派出所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城中派出所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城西派出所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科教新城派出所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海防派出所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水上派出所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公交派出所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派出所</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公交派出所太仓站警务室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公交派出所太仓南站警务室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万达广场警务室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中心广场警务室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大润发警务室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G15上海路高速警务室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月星家居警务室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警务中心</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局机关</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新市民中心</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局机关</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监视居住点</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派驻点</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新湖警务室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新塘警务室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鹿河警务室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人民医院警务室</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警务室</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车管所</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局机关</w:t>
            </w:r>
            <w:r/>
          </w:p>
        </w:tc>
      </w:tr>
      <w:tr>
        <w:trPr>
          <w:trHeight w:val="285"/>
        </w:trPr>
        <w:tc>
          <w:tcPr>
            <w:tcBorders>
              <w:top w:val="single" w:color="000000" w:sz="4" w:space="0"/>
              <w:left w:val="single" w:color="000000" w:sz="4" w:space="0"/>
              <w:bottom w:val="single" w:color="000000" w:sz="4" w:space="0"/>
              <w:right w:val="single" w:color="000000" w:sz="4" w:space="0"/>
            </w:tcBorders>
            <w:tcW w:w="4505"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反恐基地</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928"/>
              <w:ind w:firstLine="480"/>
              <w:jc w:val="center"/>
              <w:rPr>
                <w:rFonts w:hint="eastAsia"/>
                <w:color w:val="000000"/>
                <w:sz w:val="21"/>
                <w:szCs w:val="21"/>
              </w:rPr>
            </w:pPr>
            <w:r>
              <w:rPr>
                <w:rFonts w:hint="eastAsia"/>
                <w:color w:val="000000"/>
                <w:sz w:val="21"/>
                <w:szCs w:val="21"/>
              </w:rPr>
              <w:t xml:space="preserve">局机关</w:t>
            </w:r>
            <w:r/>
          </w:p>
        </w:tc>
      </w:tr>
    </w:tbl>
    <w:p>
      <w:pPr>
        <w:pStyle w:val="928"/>
        <w:contextualSpacing/>
        <w:ind w:firstLine="420"/>
        <w:spacing w:line="360" w:lineRule="auto"/>
        <w:rPr>
          <w:rFonts w:hint="eastAsia" w:cs="宋体"/>
          <w:bCs/>
          <w:color w:val="000000"/>
          <w:sz w:val="21"/>
          <w:szCs w:val="21"/>
          <w:lang w:bidi="en-US"/>
        </w:rPr>
      </w:pPr>
      <w:r>
        <w:rPr>
          <w:rFonts w:hint="eastAsia" w:cs="宋体"/>
          <w:bCs/>
          <w:color w:val="000000"/>
          <w:sz w:val="21"/>
          <w:szCs w:val="21"/>
          <w:lang w:bidi="en-US"/>
        </w:rPr>
        <w:t xml:space="preserve">对上述公安办公点的弱电网络的基础维护</w:t>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对全局各部门已经过保的后端设备，包括各类指挥大屏、拼接屏、小间距屏的维护及修复服务；对公安局各级机房的弱电系统及交换机、服务器、存储、硬盘、安全边界、防火墙、网闸等设备的一年维护</w:t>
      </w:r>
      <w:r>
        <w:rPr>
          <w:rFonts w:ascii="宋体" w:hAnsi="宋体" w:eastAsia="宋体"/>
          <w:color w:val="000000"/>
          <w:sz w:val="21"/>
          <w:szCs w:val="21"/>
        </w:rPr>
      </w:r>
      <w:r/>
    </w:p>
    <w:p>
      <w:pPr>
        <w:pStyle w:val="1719"/>
        <w:ind w:firstLine="420"/>
        <w:spacing w:after="0" w:line="360" w:lineRule="auto"/>
        <w:rPr>
          <w:rFonts w:hint="eastAsia" w:ascii="宋体" w:hAnsi="宋体"/>
          <w:color w:val="000000"/>
          <w:sz w:val="21"/>
          <w:szCs w:val="21"/>
          <w:lang w:eastAsia="zh-CN"/>
        </w:rPr>
      </w:pPr>
      <w:r>
        <w:rPr>
          <w:rFonts w:hint="eastAsia" w:ascii="宋体" w:hAnsi="宋体" w:eastAsia="宋体" w:cs="宋体"/>
          <w:color w:val="000000"/>
          <w:sz w:val="21"/>
          <w:szCs w:val="21"/>
          <w:lang w:eastAsia="zh-CN"/>
        </w:rPr>
        <w:t xml:space="preserve">对市局、警务中心、指挥中心、派出所、中队等超过质保期的机房交换机、服务器、存储、硬盘、防火墙、大屏</w:t>
      </w:r>
      <w:r>
        <w:rPr>
          <w:rFonts w:hint="eastAsia" w:ascii="宋体" w:hAnsi="宋体"/>
          <w:color w:val="000000"/>
          <w:sz w:val="21"/>
          <w:szCs w:val="21"/>
          <w:lang w:eastAsia="zh-CN"/>
        </w:rPr>
        <w:t xml:space="preserve">(</w:t>
      </w:r>
      <w:r>
        <w:rPr>
          <w:rFonts w:hint="eastAsia" w:ascii="宋体" w:hAnsi="宋体" w:eastAsia="宋体" w:cs="宋体"/>
          <w:color w:val="000000"/>
          <w:sz w:val="21"/>
          <w:szCs w:val="21"/>
          <w:lang w:eastAsia="zh-CN"/>
        </w:rPr>
        <w:t xml:space="preserve">指挥中心、警务中心、业务大队、</w:t>
      </w:r>
      <w:r>
        <w:rPr>
          <w:rFonts w:hint="eastAsia" w:ascii="宋体" w:hAnsi="宋体" w:eastAsia="宋体" w:cs="宋体"/>
          <w:color w:val="000000"/>
          <w:sz w:val="21"/>
          <w:szCs w:val="21"/>
          <w:lang w:eastAsia="zh-CN"/>
        </w:rPr>
        <w:t xml:space="preserve">派出所、中队及其他有关单位</w:t>
      </w:r>
      <w:r>
        <w:rPr>
          <w:rFonts w:hint="eastAsia" w:ascii="宋体" w:hAnsi="宋体"/>
          <w:color w:val="000000"/>
          <w:sz w:val="21"/>
          <w:szCs w:val="21"/>
          <w:lang w:eastAsia="zh-CN"/>
        </w:rPr>
        <w:t xml:space="preserve">)</w:t>
      </w:r>
      <w:r>
        <w:rPr>
          <w:rFonts w:hint="eastAsia" w:ascii="宋体" w:hAnsi="宋体" w:eastAsia="宋体" w:cs="宋体"/>
          <w:color w:val="000000"/>
          <w:sz w:val="21"/>
          <w:szCs w:val="21"/>
          <w:lang w:eastAsia="zh-CN"/>
        </w:rPr>
        <w:t xml:space="preserve">、电源等其他设备的一年维护及保养。其中对维保范围内超过质保期并已损坏的设备，中标方应当立即组织现场维修，无法当场修复的必须更换全新设备，全新更换设备免费保修期不少于</w:t>
      </w:r>
      <w:r>
        <w:rPr>
          <w:rFonts w:hint="eastAsia" w:ascii="宋体" w:hAnsi="宋体"/>
          <w:color w:val="000000"/>
          <w:sz w:val="21"/>
          <w:szCs w:val="21"/>
          <w:lang w:eastAsia="zh-CN"/>
        </w:rPr>
        <w:t xml:space="preserve">1</w:t>
      </w:r>
      <w:r>
        <w:rPr>
          <w:rFonts w:hint="eastAsia" w:ascii="宋体" w:hAnsi="宋体" w:eastAsia="宋体" w:cs="宋体"/>
          <w:color w:val="000000"/>
          <w:sz w:val="21"/>
          <w:szCs w:val="21"/>
          <w:lang w:eastAsia="zh-CN"/>
        </w:rPr>
        <w:t xml:space="preserve">年且性能型号不低于原设备。所需费用由中标方承担。</w:t>
      </w:r>
      <w:r>
        <w:rPr>
          <w:rFonts w:hint="eastAsia" w:ascii="宋体" w:hAnsi="宋体"/>
          <w:color w:val="000000"/>
          <w:sz w:val="21"/>
          <w:szCs w:val="21"/>
          <w:lang w:eastAsia="zh-CN"/>
        </w:rPr>
      </w:r>
      <w:r/>
    </w:p>
    <w:p>
      <w:pPr>
        <w:pStyle w:val="1719"/>
        <w:ind w:firstLine="420"/>
        <w:spacing w:after="0" w:line="360" w:lineRule="auto"/>
        <w:rPr>
          <w:rFonts w:hint="eastAsia" w:ascii="宋体" w:hAnsi="宋体"/>
          <w:color w:val="000000"/>
          <w:sz w:val="21"/>
          <w:szCs w:val="21"/>
          <w:lang w:eastAsia="zh-CN"/>
        </w:rPr>
      </w:pPr>
      <w:r>
        <w:rPr>
          <w:rFonts w:hint="eastAsia" w:ascii="宋体" w:hAnsi="宋体" w:eastAsia="宋体" w:cs="宋体"/>
          <w:color w:val="000000"/>
          <w:sz w:val="21"/>
          <w:szCs w:val="21"/>
          <w:lang w:eastAsia="zh-CN"/>
        </w:rPr>
        <w:t xml:space="preserve">主要设备如下：</w:t>
      </w:r>
      <w:r>
        <w:rPr>
          <w:rFonts w:hint="eastAsia" w:ascii="宋体" w:hAnsi="宋体"/>
          <w:color w:val="000000"/>
          <w:sz w:val="21"/>
          <w:szCs w:val="21"/>
          <w:lang w:eastAsia="zh-CN"/>
        </w:rPr>
      </w:r>
      <w:r/>
    </w:p>
    <w:p>
      <w:pPr>
        <w:pStyle w:val="1743"/>
        <w:ind w:firstLine="420"/>
        <w:spacing w:before="0" w:after="0" w:line="360" w:lineRule="auto"/>
        <w:rPr>
          <w:rFonts w:hint="eastAsia" w:ascii="宋体" w:hAnsi="宋体"/>
          <w:b w:val="0"/>
          <w:bCs w:val="0"/>
          <w:i w:val="0"/>
          <w:iCs w:val="0"/>
          <w:color w:val="000000"/>
          <w:sz w:val="21"/>
          <w:szCs w:val="21"/>
        </w:rPr>
      </w:pPr>
      <w:r>
        <w:rPr>
          <w:rFonts w:hint="eastAsia" w:ascii="宋体" w:hAnsi="宋体"/>
          <w:b w:val="0"/>
          <w:bCs w:val="0"/>
          <w:i w:val="0"/>
          <w:iCs w:val="0"/>
          <w:color w:val="000000"/>
          <w:sz w:val="21"/>
          <w:szCs w:val="21"/>
        </w:rPr>
        <w:t xml:space="preserve">1、市局中心设备：</w:t>
      </w:r>
      <w:r/>
    </w:p>
    <w:tbl>
      <w:tblPr>
        <w:tblW w:w="8861" w:type="dxa"/>
        <w:tblInd w:w="108" w:type="dxa"/>
        <w:tblLayout w:type="fixed"/>
        <w:tblCellMar>
          <w:left w:w="108" w:type="dxa"/>
          <w:top w:w="0" w:type="dxa"/>
          <w:right w:w="108" w:type="dxa"/>
          <w:bottom w:w="0" w:type="dxa"/>
        </w:tblCellMar>
        <w:tblLook w:val="04A0" w:firstRow="1" w:lastRow="0" w:firstColumn="1" w:lastColumn="0" w:noHBand="0" w:noVBand="1"/>
      </w:tblPr>
      <w:tblGrid>
        <w:gridCol w:w="969"/>
        <w:gridCol w:w="1712"/>
        <w:gridCol w:w="4338"/>
        <w:gridCol w:w="1038"/>
        <w:gridCol w:w="804"/>
      </w:tblGrid>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类别</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品牌型号</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单位</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b/>
                <w:bCs/>
                <w:color w:val="000000"/>
                <w:sz w:val="21"/>
                <w:szCs w:val="21"/>
              </w:rPr>
            </w:pPr>
            <w:r>
              <w:rPr>
                <w:rFonts w:hint="eastAsia"/>
                <w:b/>
                <w:bCs/>
                <w:color w:val="000000"/>
                <w:sz w:val="21"/>
                <w:szCs w:val="21"/>
              </w:rPr>
              <w:t xml:space="preserve">数量</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服务器</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DEL、海康、大华、华为等各类型号</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120</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UPS电源</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艾默生主设备nxr-160kva</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解码器</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海康</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核心交换机</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H3C</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汇聚交换机</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H3C</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28</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防火墙</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网御神州、360</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指挥大屏</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大华小间距</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大屏控制器</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大华</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视频综合平台</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大华、海康</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套</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网闸</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网御神州天网</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11</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光收发设备</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瑞斯康达</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对</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100</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12</w:t>
            </w:r>
            <w:r/>
          </w:p>
        </w:tc>
        <w:tc>
          <w:tcPr>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其他</w:t>
            </w:r>
            <w:r/>
          </w:p>
        </w:tc>
        <w:tc>
          <w:tcPr>
            <w:tcBorders>
              <w:top w:val="single" w:color="000000" w:sz="4" w:space="0"/>
              <w:left w:val="none" w:color="000000" w:sz="4" w:space="0"/>
              <w:bottom w:val="single" w:color="000000" w:sz="4" w:space="0"/>
              <w:right w:val="single" w:color="000000" w:sz="4" w:space="0"/>
            </w:tcBorders>
            <w:tcW w:w="43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硬盘、电源、网线、光纤等配套设备</w:t>
            </w:r>
            <w:r/>
          </w:p>
        </w:tc>
        <w:tc>
          <w:tcPr>
            <w:tcBorders>
              <w:top w:val="single" w:color="000000" w:sz="4" w:space="0"/>
              <w:left w:val="none" w:color="000000" w:sz="4" w:space="0"/>
              <w:bottom w:val="single" w:color="000000" w:sz="4" w:space="0"/>
              <w:right w:val="single" w:color="000000" w:sz="4" w:space="0"/>
            </w:tcBorders>
            <w:tcW w:w="103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块</w:t>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略</w:t>
            </w:r>
            <w:r/>
          </w:p>
        </w:tc>
      </w:tr>
    </w:tbl>
    <w:p>
      <w:pPr>
        <w:pStyle w:val="1743"/>
        <w:ind w:firstLine="420"/>
        <w:spacing w:before="0" w:after="0" w:line="360" w:lineRule="auto"/>
        <w:rPr>
          <w:rFonts w:hint="eastAsia" w:ascii="宋体" w:hAnsi="宋体"/>
          <w:b w:val="0"/>
          <w:bCs w:val="0"/>
          <w:i w:val="0"/>
          <w:iCs w:val="0"/>
          <w:color w:val="000000"/>
          <w:sz w:val="21"/>
          <w:szCs w:val="21"/>
        </w:rPr>
      </w:pPr>
      <w:r>
        <w:rPr>
          <w:rFonts w:hint="eastAsia" w:ascii="宋体" w:hAnsi="宋体"/>
          <w:b w:val="0"/>
          <w:bCs w:val="0"/>
          <w:i w:val="0"/>
          <w:iCs w:val="0"/>
          <w:color w:val="000000"/>
          <w:sz w:val="21"/>
          <w:szCs w:val="21"/>
        </w:rPr>
        <w:t xml:space="preserve">2、警务中心设备：</w:t>
      </w:r>
      <w:r/>
    </w:p>
    <w:tbl>
      <w:tblPr>
        <w:tblW w:w="8861" w:type="dxa"/>
        <w:tblInd w:w="108" w:type="dxa"/>
        <w:tblLayout w:type="fixed"/>
        <w:tblCellMar>
          <w:left w:w="108" w:type="dxa"/>
          <w:top w:w="0" w:type="dxa"/>
          <w:right w:w="108" w:type="dxa"/>
          <w:bottom w:w="0" w:type="dxa"/>
        </w:tblCellMar>
        <w:tblLook w:val="04A0" w:firstRow="1" w:lastRow="0" w:firstColumn="1" w:lastColumn="0" w:noHBand="0" w:noVBand="1"/>
      </w:tblPr>
      <w:tblGrid>
        <w:gridCol w:w="969"/>
        <w:gridCol w:w="2116"/>
        <w:gridCol w:w="3928"/>
        <w:gridCol w:w="1056"/>
        <w:gridCol w:w="792"/>
      </w:tblGrid>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21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类别</w:t>
            </w:r>
            <w:r/>
          </w:p>
        </w:tc>
        <w:tc>
          <w:tcPr>
            <w:tcBorders>
              <w:top w:val="single" w:color="000000" w:sz="4" w:space="0"/>
              <w:left w:val="none" w:color="000000" w:sz="4" w:space="0"/>
              <w:bottom w:val="single" w:color="000000" w:sz="4" w:space="0"/>
              <w:right w:val="single" w:color="000000" w:sz="4" w:space="0"/>
            </w:tcBorders>
            <w:tcW w:w="392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品牌型号</w:t>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单位</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数量</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21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服务器</w:t>
            </w:r>
            <w:r/>
          </w:p>
        </w:tc>
        <w:tc>
          <w:tcPr>
            <w:tcBorders>
              <w:top w:val="single" w:color="000000" w:sz="4" w:space="0"/>
              <w:left w:val="none" w:color="000000" w:sz="4" w:space="0"/>
              <w:bottom w:val="single" w:color="000000" w:sz="4" w:space="0"/>
              <w:right w:val="single" w:color="000000" w:sz="4" w:space="0"/>
            </w:tcBorders>
            <w:tcW w:w="392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DELL、HP等</w:t>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18</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21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存储</w:t>
            </w:r>
            <w:r/>
          </w:p>
        </w:tc>
        <w:tc>
          <w:tcPr>
            <w:tcBorders>
              <w:top w:val="single" w:color="000000" w:sz="4" w:space="0"/>
              <w:left w:val="none" w:color="000000" w:sz="4" w:space="0"/>
              <w:bottom w:val="single" w:color="000000" w:sz="4" w:space="0"/>
              <w:right w:val="single" w:color="000000" w:sz="4" w:space="0"/>
            </w:tcBorders>
            <w:tcW w:w="392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DELL、海康</w:t>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21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交换机</w:t>
            </w:r>
            <w:r/>
          </w:p>
        </w:tc>
        <w:tc>
          <w:tcPr>
            <w:tcBorders>
              <w:top w:val="single" w:color="000000" w:sz="4" w:space="0"/>
              <w:left w:val="none" w:color="000000" w:sz="4" w:space="0"/>
              <w:bottom w:val="single" w:color="000000" w:sz="4" w:space="0"/>
              <w:right w:val="single" w:color="000000" w:sz="4" w:space="0"/>
            </w:tcBorders>
            <w:tcW w:w="392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H3C等</w:t>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45</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21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防火墙</w:t>
            </w:r>
            <w:r/>
          </w:p>
        </w:tc>
        <w:tc>
          <w:tcPr>
            <w:tcBorders>
              <w:top w:val="single" w:color="000000" w:sz="4" w:space="0"/>
              <w:left w:val="none" w:color="000000" w:sz="4" w:space="0"/>
              <w:bottom w:val="single" w:color="000000" w:sz="4" w:space="0"/>
              <w:right w:val="single" w:color="000000" w:sz="4" w:space="0"/>
            </w:tcBorders>
            <w:tcW w:w="392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网御神州等</w:t>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21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光端机</w:t>
            </w:r>
            <w:r/>
          </w:p>
        </w:tc>
        <w:tc>
          <w:tcPr>
            <w:tcBorders>
              <w:top w:val="single" w:color="000000" w:sz="4" w:space="0"/>
              <w:left w:val="none" w:color="000000" w:sz="4" w:space="0"/>
              <w:bottom w:val="single" w:color="000000" w:sz="4" w:space="0"/>
              <w:right w:val="single" w:color="000000" w:sz="4" w:space="0"/>
            </w:tcBorders>
            <w:tcW w:w="392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华龙、瑞斯康达、航天大为等</w:t>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21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其他</w:t>
            </w:r>
            <w:r/>
          </w:p>
        </w:tc>
        <w:tc>
          <w:tcPr>
            <w:tcBorders>
              <w:top w:val="single" w:color="000000" w:sz="4" w:space="0"/>
              <w:left w:val="none" w:color="000000" w:sz="4" w:space="0"/>
              <w:bottom w:val="single" w:color="000000" w:sz="4" w:space="0"/>
              <w:right w:val="single" w:color="000000" w:sz="4" w:space="0"/>
            </w:tcBorders>
            <w:tcW w:w="3928"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硬盘等配套设备</w:t>
            </w:r>
            <w:r/>
          </w:p>
        </w:tc>
        <w:tc>
          <w:tcPr>
            <w:tcBorders>
              <w:top w:val="single" w:color="000000" w:sz="4" w:space="0"/>
              <w:left w:val="none" w:color="000000" w:sz="4" w:space="0"/>
              <w:bottom w:val="single" w:color="000000" w:sz="4" w:space="0"/>
              <w:right w:val="single" w:color="000000" w:sz="4" w:space="0"/>
            </w:tcBorders>
            <w:tcW w:w="105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块</w:t>
            </w:r>
            <w:r/>
          </w:p>
        </w:tc>
        <w:tc>
          <w:tcPr>
            <w:tcBorders>
              <w:top w:val="single" w:color="000000" w:sz="4" w:space="0"/>
              <w:left w:val="none" w:color="000000" w:sz="4" w:space="0"/>
              <w:bottom w:val="single" w:color="000000" w:sz="4" w:space="0"/>
              <w:right w:val="single" w:color="000000" w:sz="4" w:space="0"/>
            </w:tcBorders>
            <w:tcW w:w="792"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略</w:t>
            </w:r>
            <w:r/>
          </w:p>
        </w:tc>
      </w:tr>
    </w:tbl>
    <w:p>
      <w:pPr>
        <w:pStyle w:val="1743"/>
        <w:ind w:firstLine="420"/>
        <w:spacing w:before="0" w:after="0" w:line="360" w:lineRule="auto"/>
        <w:rPr>
          <w:rFonts w:hint="eastAsia" w:ascii="宋体" w:hAnsi="宋体"/>
          <w:b w:val="0"/>
          <w:bCs w:val="0"/>
          <w:i w:val="0"/>
          <w:iCs w:val="0"/>
          <w:color w:val="000000"/>
          <w:sz w:val="21"/>
          <w:szCs w:val="21"/>
        </w:rPr>
      </w:pPr>
      <w:r>
        <w:rPr>
          <w:rFonts w:hint="eastAsia" w:ascii="宋体" w:hAnsi="宋体"/>
          <w:b w:val="0"/>
          <w:bCs w:val="0"/>
          <w:i w:val="0"/>
          <w:iCs w:val="0"/>
          <w:color w:val="000000"/>
          <w:sz w:val="21"/>
          <w:szCs w:val="21"/>
        </w:rPr>
        <w:t xml:space="preserve">3、各部门中心设备：</w:t>
      </w:r>
      <w:r/>
    </w:p>
    <w:tbl>
      <w:tblPr>
        <w:tblW w:w="8849" w:type="dxa"/>
        <w:tblInd w:w="108" w:type="dxa"/>
        <w:tblLayout w:type="fixed"/>
        <w:tblCellMar>
          <w:left w:w="108" w:type="dxa"/>
          <w:top w:w="0" w:type="dxa"/>
          <w:right w:w="108" w:type="dxa"/>
          <w:bottom w:w="0" w:type="dxa"/>
        </w:tblCellMar>
        <w:tblLook w:val="04A0" w:firstRow="1" w:lastRow="0" w:firstColumn="1" w:lastColumn="0" w:noHBand="0" w:noVBand="1"/>
      </w:tblPr>
      <w:tblGrid>
        <w:gridCol w:w="969"/>
        <w:gridCol w:w="2016"/>
        <w:gridCol w:w="4034"/>
        <w:gridCol w:w="1086"/>
        <w:gridCol w:w="744"/>
      </w:tblGrid>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color w:val="000000"/>
                <w:sz w:val="21"/>
                <w:szCs w:val="21"/>
              </w:rPr>
            </w:pPr>
            <w:r>
              <w:rPr>
                <w:rFonts w:hint="eastAsia"/>
                <w:color w:val="000000"/>
                <w:sz w:val="21"/>
                <w:szCs w:val="21"/>
              </w:rPr>
              <w:t xml:space="preserve">序号</w:t>
            </w: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类别</w:t>
            </w:r>
            <w:r/>
          </w:p>
        </w:tc>
        <w:tc>
          <w:tcPr>
            <w:tcBorders>
              <w:top w:val="single" w:color="000000" w:sz="4" w:space="0"/>
              <w:left w:val="none" w:color="000000" w:sz="4" w:space="0"/>
              <w:bottom w:val="single" w:color="000000" w:sz="4" w:space="0"/>
              <w:right w:val="single" w:color="000000" w:sz="4" w:space="0"/>
            </w:tcBorders>
            <w:tcW w:w="403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品牌型号</w:t>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单位</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数量</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服务器</w:t>
            </w:r>
            <w:r/>
          </w:p>
        </w:tc>
        <w:tc>
          <w:tcPr>
            <w:tcBorders>
              <w:top w:val="single" w:color="000000" w:sz="4" w:space="0"/>
              <w:left w:val="none" w:color="000000" w:sz="4" w:space="0"/>
              <w:bottom w:val="single" w:color="000000" w:sz="4" w:space="0"/>
              <w:right w:val="single" w:color="000000" w:sz="4" w:space="0"/>
            </w:tcBorders>
            <w:tcW w:w="403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DEL、海康、大华、华为等各类型号</w:t>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50</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核心交换机</w:t>
            </w:r>
            <w:r/>
          </w:p>
        </w:tc>
        <w:tc>
          <w:tcPr>
            <w:tcBorders>
              <w:top w:val="single" w:color="000000" w:sz="4" w:space="0"/>
              <w:left w:val="none" w:color="000000" w:sz="4" w:space="0"/>
              <w:bottom w:val="single" w:color="000000" w:sz="4" w:space="0"/>
              <w:right w:val="single" w:color="000000" w:sz="4" w:space="0"/>
            </w:tcBorders>
            <w:tcW w:w="403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H3C、华为</w:t>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20</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汇聚交换机</w:t>
            </w:r>
            <w:r/>
          </w:p>
        </w:tc>
        <w:tc>
          <w:tcPr>
            <w:tcBorders>
              <w:top w:val="single" w:color="000000" w:sz="4" w:space="0"/>
              <w:left w:val="none" w:color="000000" w:sz="4" w:space="0"/>
              <w:bottom w:val="single" w:color="000000" w:sz="4" w:space="0"/>
              <w:right w:val="single" w:color="000000" w:sz="4" w:space="0"/>
            </w:tcBorders>
            <w:tcW w:w="403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H3C、华为、迪普</w:t>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98</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自安全交换机</w:t>
            </w:r>
            <w:r/>
          </w:p>
        </w:tc>
        <w:tc>
          <w:tcPr>
            <w:tcBorders>
              <w:top w:val="single" w:color="000000" w:sz="4" w:space="0"/>
              <w:left w:val="none" w:color="000000" w:sz="4" w:space="0"/>
              <w:bottom w:val="single" w:color="000000" w:sz="4" w:space="0"/>
              <w:right w:val="single" w:color="000000" w:sz="4" w:space="0"/>
            </w:tcBorders>
            <w:tcW w:w="403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迪普</w:t>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7</w:t>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电视墙及大屏</w:t>
            </w:r>
            <w:r/>
          </w:p>
        </w:tc>
        <w:tc>
          <w:tcPr>
            <w:tcBorders>
              <w:top w:val="single" w:color="000000" w:sz="4" w:space="0"/>
              <w:left w:val="none" w:color="000000" w:sz="4" w:space="0"/>
              <w:bottom w:val="single" w:color="000000" w:sz="4" w:space="0"/>
              <w:right w:val="single" w:color="000000" w:sz="4" w:space="0"/>
            </w:tcBorders>
            <w:tcW w:w="4034"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块</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168</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8</w:t>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解码器</w:t>
            </w:r>
            <w:r/>
          </w:p>
        </w:tc>
        <w:tc>
          <w:tcPr>
            <w:tcBorders>
              <w:top w:val="single" w:color="000000" w:sz="4" w:space="0"/>
              <w:left w:val="none" w:color="000000" w:sz="4" w:space="0"/>
              <w:bottom w:val="single" w:color="000000" w:sz="4" w:space="0"/>
              <w:right w:val="single" w:color="000000" w:sz="4" w:space="0"/>
            </w:tcBorders>
            <w:tcW w:w="4034" w:type="dxa"/>
            <w:vAlign w:val="center"/>
            <w:textDirection w:val="lrTb"/>
            <w:noWrap w:val="false"/>
          </w:tcPr>
          <w:p>
            <w:pPr>
              <w:pStyle w:val="928"/>
              <w:jc w:val="center"/>
              <w:rPr>
                <w:rFonts w:hint="eastAsia"/>
                <w:color w:val="000000"/>
                <w:sz w:val="21"/>
                <w:szCs w:val="21"/>
              </w:rPr>
            </w:pPr>
            <w:r>
              <w:rPr>
                <w:rFonts w:hint="eastAsia"/>
                <w:color w:val="000000"/>
                <w:sz w:val="21"/>
                <w:szCs w:val="21"/>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30</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9</w:t>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视频综合平台</w:t>
            </w:r>
            <w:r/>
          </w:p>
        </w:tc>
        <w:tc>
          <w:tcPr>
            <w:tcBorders>
              <w:top w:val="single" w:color="000000" w:sz="4" w:space="0"/>
              <w:left w:val="none" w:color="000000" w:sz="4" w:space="0"/>
              <w:bottom w:val="single" w:color="000000" w:sz="4" w:space="0"/>
              <w:right w:val="single" w:color="000000" w:sz="4" w:space="0"/>
            </w:tcBorders>
            <w:tcW w:w="403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大华、海康各一</w:t>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2</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10</w:t>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网闸</w:t>
            </w:r>
            <w:r/>
          </w:p>
        </w:tc>
        <w:tc>
          <w:tcPr>
            <w:tcBorders>
              <w:top w:val="single" w:color="000000" w:sz="4" w:space="0"/>
              <w:left w:val="none" w:color="000000" w:sz="4" w:space="0"/>
              <w:bottom w:val="single" w:color="000000" w:sz="4" w:space="0"/>
              <w:right w:val="single" w:color="000000" w:sz="4" w:space="0"/>
            </w:tcBorders>
            <w:tcW w:w="403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网御神州天网</w:t>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台</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4</w:t>
            </w:r>
            <w:r/>
          </w:p>
        </w:tc>
      </w:tr>
      <w:tr>
        <w:trPr/>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11</w:t>
            </w:r>
            <w:r/>
          </w:p>
        </w:tc>
        <w:tc>
          <w:tcPr>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其他</w:t>
            </w:r>
            <w:r/>
          </w:p>
        </w:tc>
        <w:tc>
          <w:tcPr>
            <w:tcBorders>
              <w:top w:val="single" w:color="000000" w:sz="4" w:space="0"/>
              <w:left w:val="none" w:color="000000" w:sz="4" w:space="0"/>
              <w:bottom w:val="single" w:color="000000" w:sz="4" w:space="0"/>
              <w:right w:val="single" w:color="000000" w:sz="4" w:space="0"/>
            </w:tcBorders>
            <w:tcW w:w="403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硬盘等配套设备</w:t>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块</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pStyle w:val="928"/>
              <w:jc w:val="center"/>
              <w:rPr>
                <w:rFonts w:hint="eastAsia"/>
                <w:color w:val="000000"/>
                <w:sz w:val="21"/>
                <w:szCs w:val="21"/>
              </w:rPr>
            </w:pPr>
            <w:r>
              <w:rPr>
                <w:rFonts w:hint="eastAsia"/>
                <w:color w:val="000000"/>
                <w:sz w:val="21"/>
                <w:szCs w:val="21"/>
              </w:rPr>
              <w:t xml:space="preserve">略</w:t>
            </w:r>
            <w:r/>
          </w:p>
        </w:tc>
      </w:tr>
    </w:tbl>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因应急安保、市政施工、道路重新规划、路面修补（损坏）、自然灾害等原因引起的设备采购、点位迁移及维护修复工作（含人工与材料且不限次数）：</w:t>
      </w:r>
      <w:r>
        <w:rPr>
          <w:rFonts w:ascii="宋体" w:hAnsi="宋体" w:eastAsia="宋体"/>
          <w:color w:val="000000"/>
          <w:sz w:val="21"/>
          <w:szCs w:val="21"/>
        </w:rPr>
      </w:r>
      <w:r/>
    </w:p>
    <w:p>
      <w:pPr>
        <w:pStyle w:val="928"/>
        <w:ind w:firstLine="420"/>
        <w:spacing w:line="360" w:lineRule="auto"/>
        <w:rPr>
          <w:rFonts w:hint="eastAsia"/>
          <w:color w:val="000000"/>
          <w:sz w:val="21"/>
          <w:szCs w:val="21"/>
        </w:rPr>
      </w:pPr>
      <w:r>
        <w:rPr>
          <w:rFonts w:hint="eastAsia"/>
          <w:color w:val="000000"/>
          <w:sz w:val="21"/>
          <w:szCs w:val="21"/>
        </w:rPr>
        <w:t xml:space="preserve">①全市所有高清抓拍点位（含交警）的线圈切割（包括导线、修补、切割等）。</w:t>
      </w:r>
      <w:r/>
    </w:p>
    <w:p>
      <w:pPr>
        <w:pStyle w:val="928"/>
        <w:ind w:firstLine="420"/>
        <w:spacing w:line="360" w:lineRule="auto"/>
        <w:rPr>
          <w:rFonts w:hint="eastAsia"/>
          <w:color w:val="000000"/>
          <w:sz w:val="21"/>
          <w:szCs w:val="21"/>
        </w:rPr>
      </w:pPr>
      <w:r>
        <w:rPr>
          <w:rFonts w:hint="eastAsia"/>
          <w:color w:val="000000"/>
          <w:sz w:val="21"/>
          <w:szCs w:val="21"/>
        </w:rPr>
        <w:t xml:space="preserve">②全市所有公安监控或抓拍点位的搬迁，包含地笼、基础、手井、光纤等安装调试等工作。</w:t>
      </w:r>
      <w:r/>
    </w:p>
    <w:p>
      <w:pPr>
        <w:pStyle w:val="928"/>
        <w:ind w:firstLine="420"/>
        <w:spacing w:line="360" w:lineRule="auto"/>
        <w:rPr>
          <w:rFonts w:hint="eastAsia"/>
          <w:color w:val="000000"/>
          <w:sz w:val="21"/>
          <w:szCs w:val="21"/>
        </w:rPr>
      </w:pPr>
      <w:r>
        <w:rPr>
          <w:rFonts w:hint="eastAsia"/>
          <w:color w:val="000000"/>
          <w:sz w:val="21"/>
          <w:szCs w:val="21"/>
        </w:rPr>
        <w:t xml:space="preserve">③全市所有公安监控或抓拍点位接电线路的改动修复，包括电源线延长、电源线被盗后的修复等工作。</w:t>
      </w:r>
      <w:r/>
    </w:p>
    <w:p>
      <w:pPr>
        <w:pStyle w:val="928"/>
        <w:ind w:firstLine="420"/>
        <w:spacing w:line="360" w:lineRule="auto"/>
        <w:rPr>
          <w:color w:val="000000"/>
          <w:sz w:val="21"/>
          <w:szCs w:val="21"/>
        </w:rPr>
      </w:pPr>
      <w:r>
        <w:rPr>
          <w:rFonts w:hint="eastAsia"/>
          <w:color w:val="000000"/>
          <w:sz w:val="21"/>
          <w:szCs w:val="21"/>
        </w:rPr>
        <w:t xml:space="preserve">④监控、抓拍点位相关设备遭撞击、雷击等事故被破坏的。由乙方先行修复，修复费用原则上先走保险理赔程序，若因各种原因无法理赔的，由乙方负责修复工</w:t>
      </w:r>
      <w:r>
        <w:rPr>
          <w:rFonts w:hint="eastAsia"/>
          <w:color w:val="000000"/>
          <w:sz w:val="21"/>
          <w:szCs w:val="21"/>
        </w:rPr>
        <w:t xml:space="preserve">作及费用。</w:t>
      </w:r>
      <w:r>
        <w:rPr>
          <w:color w:val="000000"/>
          <w:sz w:val="21"/>
          <w:szCs w:val="21"/>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ascii="宋体" w:hAnsi="宋体" w:eastAsia="宋体"/>
          <w:color w:val="000000"/>
          <w:sz w:val="21"/>
          <w:szCs w:val="21"/>
        </w:rPr>
        <w:t xml:space="preserve">防外联产品服务</w:t>
      </w:r>
      <w:r/>
    </w:p>
    <w:p>
      <w:pPr>
        <w:pStyle w:val="928"/>
        <w:ind w:firstLine="420"/>
        <w:spacing w:line="360" w:lineRule="auto"/>
        <w:rPr>
          <w:rFonts w:hint="eastAsia"/>
          <w:color w:val="000000"/>
          <w:sz w:val="21"/>
          <w:szCs w:val="21"/>
        </w:rPr>
      </w:pPr>
      <w:r>
        <w:rPr>
          <w:color w:val="000000"/>
          <w:sz w:val="21"/>
          <w:szCs w:val="21"/>
        </w:rPr>
        <w:t xml:space="preserve">对发现并阻止不同网络（公安内网、视频网、政务网等）之间串接行为的系统提供规划、设计、测试服务。</w:t>
      </w:r>
      <w:r>
        <w:rPr>
          <w:rFonts w:hint="eastAsia"/>
          <w:color w:val="000000"/>
          <w:sz w:val="21"/>
          <w:szCs w:val="21"/>
        </w:rPr>
      </w:r>
      <w:r/>
    </w:p>
    <w:p>
      <w:pPr>
        <w:pStyle w:val="929"/>
        <w:numPr>
          <w:ilvl w:val="0"/>
          <w:numId w:val="45"/>
        </w:numPr>
        <w:spacing w:before="0" w:after="0" w:line="360" w:lineRule="auto"/>
        <w:tabs>
          <w:tab w:val="left" w:pos="425" w:leader="none"/>
          <w:tab w:val="left" w:pos="432" w:leader="none"/>
        </w:tabs>
        <w:rPr>
          <w:color w:val="000000"/>
          <w:sz w:val="21"/>
          <w:szCs w:val="21"/>
        </w:rPr>
      </w:pPr>
      <w:r>
        <w:rPr>
          <w:rFonts w:hint="eastAsia"/>
          <w:color w:val="000000"/>
          <w:sz w:val="21"/>
          <w:szCs w:val="21"/>
        </w:rPr>
        <w:t xml:space="preserve">维护服务相关技术指标</w:t>
      </w:r>
      <w:r>
        <w:rPr>
          <w:color w:val="000000"/>
          <w:sz w:val="21"/>
          <w:szCs w:val="21"/>
        </w:rPr>
      </w:r>
      <w:r/>
    </w:p>
    <w:p>
      <w:pPr>
        <w:pStyle w:val="930"/>
        <w:numPr>
          <w:ilvl w:val="1"/>
          <w:numId w:val="45"/>
        </w:numPr>
        <w:spacing w:before="0" w:after="0" w:line="360" w:lineRule="auto"/>
        <w:tabs>
          <w:tab w:val="left" w:pos="567" w:leader="none"/>
          <w:tab w:val="left" w:pos="576" w:leader="none"/>
        </w:tabs>
        <w:rPr>
          <w:rFonts w:ascii="宋体" w:hAnsi="宋体" w:eastAsia="宋体"/>
          <w:color w:val="000000"/>
          <w:sz w:val="21"/>
          <w:szCs w:val="21"/>
        </w:rPr>
      </w:pPr>
      <w:r>
        <w:rPr>
          <w:rFonts w:hint="eastAsia" w:ascii="宋体" w:hAnsi="宋体" w:eastAsia="宋体"/>
          <w:color w:val="000000"/>
          <w:sz w:val="21"/>
          <w:szCs w:val="21"/>
        </w:rPr>
        <w:t xml:space="preserve">监控修复技术指标</w:t>
      </w:r>
      <w:r>
        <w:rPr>
          <w:rFonts w:ascii="宋体" w:hAnsi="宋体" w:eastAsia="宋体"/>
          <w:color w:val="000000"/>
          <w:sz w:val="21"/>
          <w:szCs w:val="21"/>
        </w:rPr>
      </w:r>
      <w:r/>
    </w:p>
    <w:p>
      <w:pPr>
        <w:pStyle w:val="928"/>
        <w:ind w:firstLine="420"/>
        <w:spacing w:line="360" w:lineRule="auto"/>
        <w:rPr>
          <w:rFonts w:hint="eastAsia"/>
          <w:color w:val="000000"/>
          <w:sz w:val="21"/>
          <w:szCs w:val="21"/>
        </w:rPr>
      </w:pPr>
      <w:r>
        <w:rPr>
          <w:rFonts w:hint="eastAsia"/>
          <w:color w:val="000000"/>
          <w:sz w:val="21"/>
          <w:szCs w:val="21"/>
        </w:rPr>
        <w:t xml:space="preserve">修复的监控点位必须实现录像能接入公安视频监控平台，能对接监控云存储系统，夜间画面清晰，具备结构化分析能力。 </w:t>
      </w:r>
      <w:r/>
    </w:p>
    <w:p>
      <w:pPr>
        <w:pStyle w:val="928"/>
        <w:ind w:firstLine="420"/>
        <w:spacing w:line="360" w:lineRule="auto"/>
        <w:rPr>
          <w:rFonts w:hint="eastAsia"/>
          <w:color w:val="000000"/>
          <w:sz w:val="21"/>
          <w:szCs w:val="21"/>
        </w:rPr>
      </w:pPr>
      <w:r>
        <w:rPr>
          <w:rFonts w:hint="eastAsia"/>
          <w:color w:val="000000"/>
          <w:sz w:val="21"/>
          <w:szCs w:val="21"/>
        </w:rPr>
        <w:t xml:space="preserve">3.1.1高清红外摄像机：</w:t>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分辨率2560 × 1440 @25 fps，在该分辨率下可输出实时图像</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内置1颗CPU、GPU、NPU于一体的芯片</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内置麦克风&amp;扬声器，喊话对讲全兼顾</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人/车目标分类，报警精准减打扰</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支持背光补偿，强光抑制，3D数字降噪，120 dB宽动态适应不同监控环境</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支持柔光灯补光，照射距离≥30 m</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补光灯灯杯采用双层透镜结构，外表平面为柔光层，采用复眼式微透镜阵列，具有六边形阵列纹路</w:t>
      </w:r>
      <w:r>
        <w:rPr>
          <w:rFonts w:hint="eastAsia"/>
          <w:color w:val="000000"/>
          <w:sz w:val="21"/>
          <w:szCs w:val="21"/>
        </w:rPr>
        <w:t xml:space="preserve">；</w:t>
      </w:r>
      <w:r>
        <w:rPr>
          <w:rFonts w:hint="eastAsia"/>
          <w:color w:val="000000"/>
          <w:sz w:val="21"/>
          <w:szCs w:val="21"/>
        </w:rPr>
        <w:t xml:space="preserve">下层束光层为鳞甲TIR透镜，内壁具有鳞甲阵列纹路</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补光灯开启后，灯光应为椭圆形形状，且补光灯均匀无波纹状、圆环状、麻点状、条纹状和不规则亮斑</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可通过IE浏览器或客户端开启白光补光</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具有日夜场景自适应功能，在白天和夜晚环境下，均可输出彩色图像，在夜晚自动开启补光灯条件下，夜晚图像清晰度应不低于白天图像清晰度的95%</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具</w:t>
      </w:r>
      <w:r>
        <w:rPr>
          <w:rFonts w:hint="eastAsia"/>
          <w:color w:val="000000"/>
          <w:sz w:val="21"/>
          <w:szCs w:val="21"/>
        </w:rPr>
        <w:t xml:space="preserve">有AI-ISP图像质量提升功能，在低照度环境下，可自动调节预览场景视频画面中人脸、人体、车辆等目标及预览场景视频画面的区域曝光、亮度、色彩饱和度、对比度、锐度等</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可通过IE浏览器设置码流套餐为画质优先、均衡模式、存储优先及自定义4种类型</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在大模型的加持下，对人、机动车等高价值目标进行解析，通过ROI分割技术，分离前景目标与背景区域，前景采用常规编码保障细节完整，背景实施高效压缩降低存储占用，兼顾画质与效率</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主码流：H.265/H.264，支持超级智能编码，子码流：H.265/H.264/MJPEG，第三码流：H.265/H.264</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支持客户端或浏览器恢复出厂设置</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在2560x1440@25fps下，码率设置为2Mbps，清晰度不小于1400TVL</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支持H.264、H.265、MJPEG视频编码格式，且具有High Profile编码能力</w:t>
      </w:r>
      <w:r>
        <w:rPr>
          <w:rFonts w:hint="eastAsia"/>
          <w:color w:val="000000"/>
          <w:sz w:val="21"/>
          <w:szCs w:val="21"/>
        </w:rPr>
        <w:t xml:space="preserve">。</w:t>
      </w:r>
      <w:r>
        <w:rPr>
          <w:rFonts w:hint="eastAsia"/>
          <w:color w:val="000000"/>
          <w:sz w:val="21"/>
          <w:szCs w:val="21"/>
        </w:rPr>
      </w:r>
      <w:r/>
    </w:p>
    <w:p>
      <w:pPr>
        <w:pStyle w:val="1490"/>
        <w:numPr>
          <w:ilvl w:val="0"/>
          <w:numId w:val="73"/>
        </w:numPr>
        <w:spacing w:line="360" w:lineRule="auto"/>
        <w:rPr>
          <w:rFonts w:hint="eastAsia"/>
          <w:color w:val="000000"/>
          <w:sz w:val="21"/>
          <w:szCs w:val="21"/>
        </w:rPr>
      </w:pPr>
      <w:r>
        <w:rPr>
          <w:rFonts w:hint="eastAsia"/>
          <w:color w:val="000000"/>
          <w:sz w:val="21"/>
          <w:szCs w:val="21"/>
        </w:rPr>
        <w:t xml:space="preserve">最低照度：彩色：0.0005 Lux</w:t>
      </w:r>
      <w:r>
        <w:rPr>
          <w:rFonts w:hint="eastAsia"/>
          <w:color w:val="000000"/>
          <w:sz w:val="21"/>
          <w:szCs w:val="21"/>
        </w:rPr>
        <w:t xml:space="preserve">。</w:t>
      </w:r>
      <w:r>
        <w:rPr>
          <w:rFonts w:hint="eastAsia"/>
          <w:color w:val="000000"/>
          <w:sz w:val="21"/>
          <w:szCs w:val="21"/>
        </w:rPr>
      </w:r>
      <w:r/>
    </w:p>
    <w:p>
      <w:pPr>
        <w:pStyle w:val="1490"/>
        <w:numPr>
          <w:ilvl w:val="0"/>
          <w:numId w:val="73"/>
        </w:numPr>
        <w:spacing w:before="0" w:beforeAutospacing="0" w:after="0" w:afterAutospacing="0" w:line="360" w:lineRule="auto"/>
        <w:rPr>
          <w:rFonts w:hint="eastAsia"/>
          <w:color w:val="000000"/>
          <w:sz w:val="21"/>
          <w:szCs w:val="21"/>
        </w:rPr>
      </w:pPr>
      <w:r>
        <w:rPr>
          <w:rFonts w:hint="eastAsia"/>
          <w:color w:val="000000"/>
          <w:sz w:val="21"/>
          <w:szCs w:val="21"/>
        </w:rPr>
        <w:t xml:space="preserve">支持DC12V或POE供电</w:t>
      </w:r>
      <w:r>
        <w:rPr>
          <w:rFonts w:hint="eastAsia"/>
          <w:color w:val="000000"/>
          <w:sz w:val="21"/>
          <w:szCs w:val="21"/>
        </w:rPr>
        <w:t xml:space="preserve">。</w:t>
      </w:r>
      <w:r>
        <w:rPr>
          <w:rFonts w:hint="eastAsia"/>
          <w:color w:val="000000"/>
          <w:sz w:val="21"/>
          <w:szCs w:val="21"/>
        </w:rPr>
      </w:r>
      <w:r/>
    </w:p>
    <w:p>
      <w:pPr>
        <w:pStyle w:val="928"/>
        <w:ind w:firstLine="420"/>
        <w:spacing w:line="360" w:lineRule="auto"/>
        <w:rPr>
          <w:rFonts w:hint="eastAsia"/>
          <w:color w:val="000000"/>
        </w:rPr>
      </w:pPr>
      <w:r>
        <w:rPr>
          <w:rFonts w:hint="eastAsia"/>
          <w:color w:val="000000"/>
          <w:sz w:val="21"/>
          <w:szCs w:val="21"/>
        </w:rPr>
        <w:t xml:space="preserve">3.1.2抓拍修复技术指标</w:t>
      </w:r>
      <w:r>
        <w:rPr>
          <w:rFonts w:hint="eastAsia"/>
          <w:color w:val="000000"/>
        </w:rPr>
      </w:r>
      <w:r/>
    </w:p>
    <w:p>
      <w:pPr>
        <w:pStyle w:val="1490"/>
        <w:numPr>
          <w:ilvl w:val="0"/>
          <w:numId w:val="74"/>
        </w:numPr>
        <w:spacing w:before="0" w:beforeAutospacing="0" w:after="0" w:afterAutospacing="0" w:line="360" w:lineRule="auto"/>
        <w:rPr>
          <w:color w:val="000000"/>
          <w:sz w:val="21"/>
          <w:szCs w:val="21"/>
        </w:rPr>
      </w:pPr>
      <w:r>
        <w:rPr>
          <w:rFonts w:hint="eastAsia"/>
          <w:color w:val="000000"/>
          <w:sz w:val="21"/>
          <w:szCs w:val="21"/>
        </w:rPr>
        <w:t xml:space="preserve">修复要求所有车道全天候过车捕获率大于等于99%，车牌识别率大于等于99%,并能清晰捕获驾驶员和副驾驶人脸。</w:t>
      </w:r>
      <w:r>
        <w:rPr>
          <w:color w:val="000000"/>
          <w:sz w:val="21"/>
          <w:szCs w:val="21"/>
        </w:rPr>
      </w:r>
      <w:r/>
    </w:p>
    <w:p>
      <w:pPr>
        <w:pStyle w:val="1490"/>
        <w:numPr>
          <w:ilvl w:val="0"/>
          <w:numId w:val="74"/>
        </w:numPr>
        <w:spacing w:before="0" w:beforeAutospacing="0" w:after="0" w:afterAutospacing="0" w:line="360" w:lineRule="auto"/>
        <w:rPr>
          <w:color w:val="000000"/>
          <w:sz w:val="21"/>
          <w:szCs w:val="21"/>
        </w:rPr>
      </w:pPr>
      <w:r>
        <w:rPr>
          <w:rFonts w:hint="eastAsia"/>
          <w:color w:val="000000"/>
          <w:sz w:val="21"/>
          <w:szCs w:val="21"/>
        </w:rPr>
        <w:t xml:space="preserve">抓拍主机必须与公安车辆抓拍平台，公安车辆云存储平台，公安</w:t>
      </w:r>
      <w:r>
        <w:rPr>
          <w:rFonts w:hint="eastAsia"/>
          <w:color w:val="000000"/>
          <w:sz w:val="21"/>
          <w:szCs w:val="21"/>
        </w:rPr>
        <w:t xml:space="preserve">车辆大数据平台，交警违章平台的实现实时无缝对接，点位实现测速功能并通过相关标定，相关的技术问题和费用由中标单位承担。</w:t>
      </w:r>
      <w:r>
        <w:rPr>
          <w:color w:val="000000"/>
          <w:sz w:val="21"/>
          <w:szCs w:val="21"/>
        </w:rPr>
      </w:r>
      <w:r/>
    </w:p>
    <w:p>
      <w:pPr>
        <w:pStyle w:val="1490"/>
        <w:numPr>
          <w:ilvl w:val="0"/>
          <w:numId w:val="74"/>
        </w:numPr>
        <w:spacing w:before="0" w:beforeAutospacing="0" w:after="0" w:afterAutospacing="0" w:line="360" w:lineRule="auto"/>
        <w:rPr>
          <w:rFonts w:hint="eastAsia"/>
          <w:color w:val="000000"/>
          <w:sz w:val="21"/>
          <w:szCs w:val="21"/>
        </w:rPr>
      </w:pPr>
      <w:r>
        <w:rPr>
          <w:rFonts w:hint="eastAsia"/>
          <w:color w:val="000000"/>
          <w:sz w:val="21"/>
          <w:szCs w:val="21"/>
        </w:rPr>
        <w:t xml:space="preserve">点位优先采用借用原来杆件施工，没有杆件或者借杆效果无法满足要求的，乙方应负责重新建设基础、立杆、接电、基础、跳线等工程并承担相应费用。</w:t>
      </w:r>
      <w:r/>
    </w:p>
    <w:p>
      <w:pPr>
        <w:pStyle w:val="928"/>
        <w:ind w:firstLine="420"/>
        <w:spacing w:line="360" w:lineRule="auto"/>
        <w:rPr>
          <w:rFonts w:hint="eastAsia"/>
          <w:color w:val="000000"/>
          <w:sz w:val="21"/>
          <w:szCs w:val="21"/>
        </w:rPr>
      </w:pPr>
      <w:r>
        <w:rPr>
          <w:rFonts w:hint="eastAsia"/>
          <w:color w:val="000000"/>
          <w:sz w:val="21"/>
          <w:szCs w:val="21"/>
        </w:rPr>
        <w:t xml:space="preserve">3.1.3抓拍相机指标：</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传感器类型：</w:t>
      </w:r>
      <w:r>
        <w:rPr>
          <w:color w:val="000000"/>
          <w:sz w:val="21"/>
          <w:szCs w:val="21"/>
        </w:rPr>
        <w:t xml:space="preserve">≥</w:t>
      </w:r>
      <w:r>
        <w:rPr>
          <w:rFonts w:hint="eastAsia"/>
          <w:color w:val="000000"/>
          <w:sz w:val="21"/>
          <w:szCs w:val="21"/>
        </w:rPr>
        <w:t xml:space="preserve">1英寸全局曝光CMOS</w:t>
      </w:r>
      <w:r/>
    </w:p>
    <w:p>
      <w:pPr>
        <w:pStyle w:val="928"/>
        <w:numPr>
          <w:ilvl w:val="0"/>
          <w:numId w:val="75"/>
        </w:numPr>
        <w:spacing w:line="360" w:lineRule="auto"/>
        <w:rPr>
          <w:color w:val="000000"/>
          <w:sz w:val="21"/>
          <w:szCs w:val="21"/>
        </w:rPr>
      </w:pPr>
      <w:r>
        <w:rPr>
          <w:rFonts w:hint="eastAsia"/>
          <w:color w:val="000000"/>
          <w:sz w:val="21"/>
          <w:szCs w:val="21"/>
        </w:rPr>
        <w:t xml:space="preserve">分辨率</w:t>
      </w:r>
      <w:r>
        <w:rPr>
          <w:color w:val="000000"/>
          <w:sz w:val="21"/>
          <w:szCs w:val="21"/>
        </w:rPr>
        <w:t xml:space="preserve">≥</w:t>
      </w:r>
      <w:r>
        <w:rPr>
          <w:rFonts w:hint="eastAsia"/>
          <w:color w:val="000000"/>
          <w:sz w:val="21"/>
          <w:szCs w:val="21"/>
        </w:rPr>
        <w:t xml:space="preserve">4096(H)×2160(V)</w:t>
      </w:r>
      <w:r>
        <w:rPr>
          <w:color w:val="000000"/>
          <w:sz w:val="21"/>
          <w:szCs w:val="21"/>
        </w:rPr>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帧率</w:t>
      </w:r>
      <w:r>
        <w:rPr>
          <w:color w:val="000000"/>
          <w:sz w:val="21"/>
          <w:szCs w:val="21"/>
        </w:rPr>
        <w:t xml:space="preserve">≥</w:t>
      </w:r>
      <w:r>
        <w:rPr>
          <w:rFonts w:hint="eastAsia"/>
          <w:color w:val="000000"/>
          <w:sz w:val="21"/>
          <w:szCs w:val="21"/>
        </w:rPr>
        <w:t xml:space="preserve">25fps</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接口协议：ISAPI ,GB28181</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内部组件：防尘、防水面板，LED补光灯</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视频压缩标准：H.264/H.265/MJPEG</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输出图片格式：JPEG</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接口：≥4个RS-485接口, ≥1个RS-232接口；</w:t>
      </w:r>
      <w:r>
        <w:rPr>
          <w:color w:val="000000"/>
          <w:sz w:val="21"/>
          <w:szCs w:val="21"/>
        </w:rPr>
        <w:t xml:space="preserve">≥</w:t>
      </w:r>
      <w:r>
        <w:rPr>
          <w:rFonts w:hint="eastAsia"/>
          <w:color w:val="000000"/>
          <w:sz w:val="21"/>
          <w:szCs w:val="21"/>
        </w:rPr>
        <w:t xml:space="preserve">2个RJ45 10M/100M/1000M自适应以太网口</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电源同步：</w:t>
      </w:r>
      <w:r>
        <w:rPr>
          <w:color w:val="000000"/>
          <w:sz w:val="21"/>
          <w:szCs w:val="21"/>
        </w:rPr>
        <w:t xml:space="preserve">≥</w:t>
      </w:r>
      <w:r>
        <w:rPr>
          <w:rFonts w:hint="eastAsia"/>
          <w:color w:val="000000"/>
          <w:sz w:val="21"/>
          <w:szCs w:val="21"/>
        </w:rPr>
        <w:t xml:space="preserve">1路SYNC信号灯电源同步输入</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触发输出：</w:t>
      </w:r>
      <w:r>
        <w:rPr>
          <w:color w:val="000000"/>
          <w:sz w:val="21"/>
          <w:szCs w:val="21"/>
        </w:rPr>
        <w:t xml:space="preserve">≥</w:t>
      </w:r>
      <w:r>
        <w:rPr>
          <w:rFonts w:hint="eastAsia"/>
          <w:color w:val="000000"/>
          <w:sz w:val="21"/>
          <w:szCs w:val="21"/>
        </w:rPr>
        <w:t xml:space="preserve">7路补光灯同步输出控制</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智能功能：目标检测：机动车抓拍，车辆捕获率</w:t>
      </w:r>
      <w:r>
        <w:rPr>
          <w:color w:val="000000"/>
          <w:sz w:val="21"/>
          <w:szCs w:val="21"/>
        </w:rPr>
        <w:t xml:space="preserve">≥</w:t>
      </w:r>
      <w:r>
        <w:rPr>
          <w:rFonts w:hint="eastAsia"/>
          <w:color w:val="000000"/>
          <w:sz w:val="21"/>
          <w:szCs w:val="21"/>
        </w:rPr>
        <w:t xml:space="preserve">99%（线圈）车辆捕获率</w:t>
      </w:r>
      <w:r>
        <w:rPr>
          <w:color w:val="000000"/>
          <w:sz w:val="21"/>
          <w:szCs w:val="21"/>
        </w:rPr>
        <w:t xml:space="preserve">≥</w:t>
      </w:r>
      <w:r>
        <w:rPr>
          <w:rFonts w:hint="eastAsia"/>
          <w:color w:val="000000"/>
          <w:sz w:val="21"/>
          <w:szCs w:val="21"/>
        </w:rPr>
        <w:t xml:space="preserve">99%（视频），非机动抓拍，行人抓拍。违章检测：超速、压线、逆行、禁止大货车等违法行为。车辆特征检测：车牌识别、车型识别、车身颜色识别、违章检测、车辆品牌等特征检测</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存储：支持TF卡口（</w:t>
      </w:r>
      <w:r>
        <w:rPr>
          <w:color w:val="000000"/>
          <w:sz w:val="21"/>
          <w:szCs w:val="21"/>
        </w:rPr>
        <w:t xml:space="preserve">≥</w:t>
      </w:r>
      <w:r>
        <w:rPr>
          <w:rFonts w:hint="eastAsia"/>
          <w:color w:val="000000"/>
          <w:sz w:val="21"/>
          <w:szCs w:val="21"/>
        </w:rPr>
        <w:t xml:space="preserve">64G）</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防护等级: ≥IP65</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白天使</w:t>
      </w:r>
      <w:r>
        <w:rPr>
          <w:rFonts w:hint="eastAsia"/>
          <w:color w:val="000000"/>
          <w:sz w:val="21"/>
          <w:szCs w:val="21"/>
        </w:rPr>
        <w:t xml:space="preserve">用闪光灯补光，夜晚仅使用LED频闪灯补光，抓拍图片可看清司乘人员人脸，并能够用于后端人脸比对；</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设备可识别351种机动车品牌标志，白天识别准确率</w:t>
      </w:r>
      <w:r>
        <w:rPr>
          <w:color w:val="000000"/>
          <w:sz w:val="21"/>
          <w:szCs w:val="21"/>
        </w:rPr>
        <w:t xml:space="preserve">≥</w:t>
      </w:r>
      <w:r>
        <w:rPr>
          <w:rFonts w:hint="eastAsia"/>
          <w:color w:val="000000"/>
          <w:sz w:val="21"/>
          <w:szCs w:val="21"/>
        </w:rPr>
        <w:t xml:space="preserve">99%，夜晚识别准确率</w:t>
      </w:r>
      <w:r>
        <w:rPr>
          <w:color w:val="000000"/>
          <w:sz w:val="21"/>
          <w:szCs w:val="21"/>
        </w:rPr>
        <w:t xml:space="preserve">≥</w:t>
      </w:r>
      <w:r>
        <w:rPr>
          <w:rFonts w:hint="eastAsia"/>
          <w:color w:val="000000"/>
          <w:sz w:val="21"/>
          <w:szCs w:val="21"/>
        </w:rPr>
        <w:t xml:space="preserve">99%。</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开启混合抓拍模式后，设备支持正面/侧面/背面行人（包括成年人和儿童）的抓拍；支持对骑自行车、骑三轮车、骑电动车、踩平衡车、骑车带人等非机动车的抓拍；支持对轿车、客车、面包车、货车、卡车、摩托车等机动车的抓拍</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支持车辆子品牌识别功能，通过车头可识别7100种，通过车尾可识别3800种，全天识别准确率不低于99%</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支持识别43种车型，</w:t>
      </w:r>
      <w:r>
        <w:rPr>
          <w:rFonts w:hint="eastAsia"/>
          <w:color w:val="000000"/>
          <w:sz w:val="21"/>
          <w:szCs w:val="21"/>
        </w:rPr>
        <w:t xml:space="preserve">包括轻型普通货车、轻型厢式货车、轻型平板货车、微型轿车、小型轿车、小型客车、小型越野客车、小型面包车、中型罐式货车、中型仓栅式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w:t>
      </w:r>
      <w:r>
        <w:rPr>
          <w:rFonts w:hint="eastAsia"/>
          <w:color w:val="000000"/>
          <w:sz w:val="21"/>
          <w:szCs w:val="21"/>
        </w:rPr>
        <w:t xml:space="preserve">车、轮式平地机械，轮式挖掘机械，轮式装载机械，普通二轮摩托车，轻便侧三轮摩托车，轻便正三轮载货摩托车，轻便正三轮载客摩托车</w:t>
      </w:r>
      <w:r/>
    </w:p>
    <w:p>
      <w:pPr>
        <w:pStyle w:val="928"/>
        <w:numPr>
          <w:ilvl w:val="0"/>
          <w:numId w:val="75"/>
        </w:numPr>
        <w:spacing w:line="360" w:lineRule="auto"/>
        <w:rPr>
          <w:rFonts w:hint="eastAsia"/>
          <w:color w:val="000000"/>
          <w:sz w:val="21"/>
          <w:szCs w:val="21"/>
        </w:rPr>
      </w:pPr>
      <w:r>
        <w:rPr>
          <w:rFonts w:hint="eastAsia"/>
          <w:color w:val="000000"/>
          <w:sz w:val="21"/>
          <w:szCs w:val="21"/>
        </w:rPr>
        <w:t xml:space="preserve">支持对机动车、非机动车、行人等混合目标进行检测，样机能同时检测不少于100个混合的静态目标并对这些目标进行绿框跟踪、优选、抓拍及属性分析</w:t>
      </w:r>
      <w:r/>
    </w:p>
    <w:p>
      <w:pPr>
        <w:pStyle w:val="928"/>
        <w:ind w:firstLine="420"/>
        <w:spacing w:line="360" w:lineRule="auto"/>
        <w:rPr>
          <w:rFonts w:hint="eastAsia"/>
          <w:color w:val="000000"/>
          <w:sz w:val="21"/>
          <w:szCs w:val="21"/>
        </w:rPr>
      </w:pPr>
      <w:r>
        <w:rPr>
          <w:rFonts w:hint="eastAsia"/>
          <w:color w:val="000000"/>
          <w:sz w:val="21"/>
          <w:szCs w:val="21"/>
        </w:rPr>
        <w:t xml:space="preserve">3.1.4人脸识别修复标准</w:t>
      </w:r>
      <w:r/>
    </w:p>
    <w:tbl>
      <w:tblPr>
        <w:tblW w:w="9180" w:type="dxa"/>
        <w:tblInd w:w="108" w:type="dxa"/>
        <w:tblLayout w:type="fixed"/>
        <w:tblCellMar>
          <w:left w:w="108" w:type="dxa"/>
          <w:top w:w="0" w:type="dxa"/>
          <w:right w:w="108" w:type="dxa"/>
          <w:bottom w:w="0" w:type="dxa"/>
        </w:tblCellMar>
        <w:tblLook w:val="04A0" w:firstRow="1" w:lastRow="0" w:firstColumn="1" w:lastColumn="0" w:noHBand="0" w:noVBand="1"/>
      </w:tblPr>
      <w:tblGrid>
        <w:gridCol w:w="817"/>
        <w:gridCol w:w="1668"/>
        <w:gridCol w:w="6695"/>
      </w:tblGrid>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基本参数</w:t>
            </w:r>
            <w:r/>
          </w:p>
        </w:tc>
        <w:tc>
          <w:tcPr>
            <w:tcBorders>
              <w:top w:val="single" w:color="000000" w:sz="4" w:space="0"/>
              <w:left w:val="none" w:color="000000" w:sz="4" w:space="0"/>
              <w:bottom w:val="single" w:color="000000" w:sz="4" w:space="0"/>
              <w:right w:val="single" w:color="000000" w:sz="4" w:space="0"/>
            </w:tcBorders>
            <w:tcW w:w="6695" w:type="dxa"/>
            <w:vAlign w:val="center"/>
            <w:textDirection w:val="lrTb"/>
            <w:noWrap w:val="false"/>
          </w:tcPr>
          <w:p>
            <w:pPr>
              <w:pStyle w:val="1490"/>
              <w:jc w:val="center"/>
              <w:spacing w:line="360" w:lineRule="auto"/>
              <w:rPr>
                <w:rFonts w:hint="eastAsia"/>
                <w:b/>
                <w:bCs/>
                <w:color w:val="000000"/>
                <w:sz w:val="21"/>
                <w:szCs w:val="21"/>
              </w:rPr>
            </w:pPr>
            <w:r>
              <w:rPr>
                <w:rFonts w:hint="eastAsia"/>
                <w:color w:val="000000"/>
                <w:sz w:val="21"/>
                <w:szCs w:val="21"/>
              </w:rPr>
              <w:t xml:space="preserve">参数要求</w:t>
            </w:r>
            <w:r>
              <w:rPr>
                <w:rFonts w:hint="eastAsia"/>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机与镜头</w:t>
            </w:r>
            <w:r/>
          </w:p>
        </w:tc>
        <w:tc>
          <w:tcPr>
            <w:tcBorders>
              <w:top w:val="single" w:color="000000" w:sz="4" w:space="0"/>
              <w:left w:val="none" w:color="000000" w:sz="4" w:space="0"/>
              <w:bottom w:val="single" w:color="000000" w:sz="4" w:space="0"/>
              <w:right w:val="single" w:color="000000" w:sz="4" w:space="0"/>
            </w:tcBorders>
            <w:tcW w:w="6695" w:type="dxa"/>
            <w:vAlign w:val="top"/>
            <w:textDirection w:val="lrTb"/>
            <w:noWrap w:val="false"/>
          </w:tcPr>
          <w:p>
            <w:pPr>
              <w:pStyle w:val="1490"/>
              <w:spacing w:line="360" w:lineRule="auto"/>
              <w:rPr>
                <w:rFonts w:hint="eastAsia"/>
                <w:b/>
                <w:bCs/>
                <w:color w:val="000000"/>
                <w:sz w:val="21"/>
                <w:szCs w:val="21"/>
              </w:rPr>
            </w:pPr>
            <w:r>
              <w:rPr>
                <w:rFonts w:hint="eastAsia"/>
                <w:color w:val="000000"/>
                <w:sz w:val="21"/>
                <w:szCs w:val="21"/>
              </w:rPr>
              <w:t xml:space="preserve">相机不低于400万像素，不少于25帧/秒，快门小于1/100，宽动态、高灵敏、具有人脸优选功能；镜头畸变率不大于1%，最大光圈不小于F=1.4</w:t>
            </w:r>
            <w:r>
              <w:rPr>
                <w:rFonts w:hint="eastAsia"/>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捕获</w:t>
            </w:r>
            <w:r/>
          </w:p>
        </w:tc>
        <w:tc>
          <w:tcPr>
            <w:tcBorders>
              <w:top w:val="single" w:color="000000" w:sz="4" w:space="0"/>
              <w:left w:val="none" w:color="000000" w:sz="4" w:space="0"/>
              <w:bottom w:val="single" w:color="000000" w:sz="4" w:space="0"/>
              <w:right w:val="single" w:color="000000" w:sz="4" w:space="0"/>
            </w:tcBorders>
            <w:tcW w:w="6695" w:type="dxa"/>
            <w:vAlign w:val="top"/>
            <w:textDirection w:val="lrTb"/>
            <w:noWrap w:val="false"/>
          </w:tcPr>
          <w:p>
            <w:pPr>
              <w:pStyle w:val="1490"/>
              <w:spacing w:line="360" w:lineRule="auto"/>
              <w:rPr>
                <w:rFonts w:hint="eastAsia"/>
                <w:b/>
                <w:bCs/>
                <w:color w:val="000000"/>
                <w:sz w:val="21"/>
                <w:szCs w:val="21"/>
              </w:rPr>
            </w:pPr>
            <w:r>
              <w:rPr>
                <w:rFonts w:hint="eastAsia"/>
                <w:color w:val="000000"/>
                <w:sz w:val="21"/>
                <w:szCs w:val="21"/>
              </w:rPr>
              <w:t xml:space="preserve">多人场景下，视频流捕获不少于20人，照片流捕获不少于16人，平均捕获率不低于95%</w:t>
            </w:r>
            <w:r>
              <w:rPr>
                <w:rFonts w:hint="eastAsia"/>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光照</w:t>
            </w:r>
            <w:r/>
          </w:p>
        </w:tc>
        <w:tc>
          <w:tcPr>
            <w:tcBorders>
              <w:top w:val="single" w:color="000000" w:sz="4" w:space="0"/>
              <w:left w:val="none" w:color="000000" w:sz="4" w:space="0"/>
              <w:bottom w:val="single" w:color="000000" w:sz="4" w:space="0"/>
              <w:right w:val="single" w:color="000000" w:sz="4" w:space="0"/>
            </w:tcBorders>
            <w:tcW w:w="6695" w:type="dxa"/>
            <w:vAlign w:val="top"/>
            <w:textDirection w:val="lrTb"/>
            <w:noWrap w:val="false"/>
          </w:tcPr>
          <w:p>
            <w:pPr>
              <w:pStyle w:val="1490"/>
              <w:spacing w:line="360" w:lineRule="auto"/>
              <w:rPr>
                <w:rFonts w:hint="eastAsia"/>
                <w:b/>
                <w:bCs/>
                <w:color w:val="000000"/>
                <w:sz w:val="21"/>
                <w:szCs w:val="21"/>
              </w:rPr>
            </w:pPr>
            <w:r>
              <w:rPr>
                <w:rFonts w:hint="eastAsia"/>
                <w:color w:val="000000"/>
                <w:sz w:val="21"/>
                <w:szCs w:val="21"/>
              </w:rPr>
              <w:t xml:space="preserve">识别区域正面不低于100lux，左右侧面光强差不得超过一倍，背光不得超过正面两倍</w:t>
            </w:r>
            <w:r>
              <w:rPr>
                <w:rFonts w:hint="eastAsia"/>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安装及环境</w:t>
            </w:r>
            <w:r/>
          </w:p>
        </w:tc>
        <w:tc>
          <w:tcPr>
            <w:tcBorders>
              <w:top w:val="single" w:color="000000" w:sz="4" w:space="0"/>
              <w:left w:val="none" w:color="000000" w:sz="4" w:space="0"/>
              <w:bottom w:val="single" w:color="000000" w:sz="4" w:space="0"/>
              <w:right w:val="single" w:color="000000" w:sz="4" w:space="0"/>
            </w:tcBorders>
            <w:tcW w:w="6695" w:type="dxa"/>
            <w:vAlign w:val="top"/>
            <w:textDirection w:val="lrTb"/>
            <w:noWrap w:val="false"/>
          </w:tcPr>
          <w:p>
            <w:pPr>
              <w:pStyle w:val="1490"/>
              <w:spacing w:line="360" w:lineRule="auto"/>
              <w:rPr>
                <w:rFonts w:hint="eastAsia"/>
                <w:b/>
                <w:bCs/>
                <w:color w:val="000000"/>
                <w:sz w:val="21"/>
                <w:szCs w:val="21"/>
              </w:rPr>
            </w:pPr>
            <w:r>
              <w:rPr>
                <w:rFonts w:hint="eastAsia"/>
                <w:color w:val="000000"/>
                <w:sz w:val="21"/>
                <w:szCs w:val="21"/>
              </w:rPr>
              <w:t xml:space="preserve">满足GB50348、GA/T922.2等技术指标及采集规范公式要求</w:t>
            </w:r>
            <w:r>
              <w:rPr>
                <w:rFonts w:hint="eastAsia"/>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图片效果</w:t>
            </w:r>
            <w:r/>
          </w:p>
        </w:tc>
        <w:tc>
          <w:tcPr>
            <w:tcBorders>
              <w:top w:val="single" w:color="000000" w:sz="4" w:space="0"/>
              <w:left w:val="none" w:color="000000" w:sz="4" w:space="0"/>
              <w:bottom w:val="single" w:color="000000" w:sz="4" w:space="0"/>
              <w:right w:val="single" w:color="000000" w:sz="4" w:space="0"/>
            </w:tcBorders>
            <w:tcW w:w="6695" w:type="dxa"/>
            <w:vAlign w:val="top"/>
            <w:textDirection w:val="lrTb"/>
            <w:noWrap w:val="false"/>
          </w:tcPr>
          <w:p>
            <w:pPr>
              <w:pStyle w:val="1490"/>
              <w:spacing w:line="360" w:lineRule="auto"/>
              <w:rPr>
                <w:rFonts w:hint="eastAsia"/>
                <w:b/>
                <w:bCs/>
                <w:color w:val="000000"/>
                <w:sz w:val="21"/>
                <w:szCs w:val="21"/>
              </w:rPr>
            </w:pPr>
            <w:r>
              <w:rPr>
                <w:rFonts w:hint="eastAsia"/>
                <w:color w:val="000000"/>
                <w:sz w:val="21"/>
                <w:szCs w:val="21"/>
              </w:rPr>
              <w:t xml:space="preserve">两眼间距50像素以上，分辨率不小于100dpi</w:t>
            </w:r>
            <w:r>
              <w:rPr>
                <w:rFonts w:hint="eastAsia"/>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角度</w:t>
            </w:r>
            <w:r/>
          </w:p>
        </w:tc>
        <w:tc>
          <w:tcPr>
            <w:tcBorders>
              <w:top w:val="single" w:color="000000" w:sz="4" w:space="0"/>
              <w:left w:val="none" w:color="000000" w:sz="4" w:space="0"/>
              <w:bottom w:val="single" w:color="000000" w:sz="4" w:space="0"/>
              <w:right w:val="single" w:color="000000" w:sz="4" w:space="0"/>
            </w:tcBorders>
            <w:tcW w:w="6695" w:type="dxa"/>
            <w:vAlign w:val="top"/>
            <w:textDirection w:val="lrTb"/>
            <w:noWrap w:val="false"/>
          </w:tcPr>
          <w:p>
            <w:pPr>
              <w:pStyle w:val="1490"/>
              <w:spacing w:line="360" w:lineRule="auto"/>
              <w:rPr>
                <w:rFonts w:hint="eastAsia"/>
                <w:b/>
                <w:bCs/>
                <w:color w:val="000000"/>
                <w:sz w:val="21"/>
                <w:szCs w:val="21"/>
              </w:rPr>
            </w:pPr>
            <w:r>
              <w:rPr>
                <w:rFonts w:hint="eastAsia"/>
                <w:color w:val="000000"/>
                <w:sz w:val="21"/>
                <w:szCs w:val="21"/>
              </w:rPr>
              <w:t xml:space="preserve">水平转动角不超过15°，俯仰角不超过10°，倾斜角不超过20°</w:t>
            </w:r>
            <w:r>
              <w:rPr>
                <w:rFonts w:hint="eastAsia"/>
                <w:b/>
                <w:bCs/>
                <w:color w:val="000000"/>
                <w:sz w:val="21"/>
                <w:szCs w:val="21"/>
              </w:rPr>
            </w:r>
            <w:r/>
          </w:p>
        </w:tc>
      </w:tr>
      <w:tr>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7</w:t>
            </w:r>
            <w:r/>
          </w:p>
        </w:tc>
        <w:tc>
          <w:tcPr>
            <w:tcBorders>
              <w:top w:val="single" w:color="000000" w:sz="4" w:space="0"/>
              <w:left w:val="none" w:color="000000" w:sz="4" w:space="0"/>
              <w:bottom w:val="single" w:color="000000" w:sz="4" w:space="0"/>
              <w:right w:val="single" w:color="000000" w:sz="4" w:space="0"/>
            </w:tcBorders>
            <w:tcW w:w="1668" w:type="dxa"/>
            <w:vAlign w:val="center"/>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清晰度</w:t>
            </w:r>
            <w:r/>
          </w:p>
        </w:tc>
        <w:tc>
          <w:tcPr>
            <w:tcBorders>
              <w:top w:val="single" w:color="000000" w:sz="4" w:space="0"/>
              <w:left w:val="none" w:color="000000" w:sz="4" w:space="0"/>
              <w:bottom w:val="single" w:color="000000" w:sz="4" w:space="0"/>
              <w:right w:val="single" w:color="000000" w:sz="4" w:space="0"/>
            </w:tcBorders>
            <w:tcW w:w="6695" w:type="dxa"/>
            <w:vAlign w:val="top"/>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人脸清晰、无阴阳脸、无明显拖尾、抖动、运动模糊</w:t>
            </w:r>
            <w:r/>
          </w:p>
        </w:tc>
      </w:tr>
    </w:tbl>
    <w:p>
      <w:pPr>
        <w:pStyle w:val="1490"/>
        <w:ind w:firstLine="420"/>
        <w:spacing w:before="0" w:beforeAutospacing="0" w:after="0" w:afterAutospacing="0" w:line="360" w:lineRule="auto"/>
        <w:rPr>
          <w:rFonts w:hint="eastAsia" w:cs="Calibri"/>
          <w:color w:val="000000"/>
          <w:sz w:val="21"/>
          <w:szCs w:val="21"/>
        </w:rPr>
      </w:pPr>
      <w:r>
        <w:rPr>
          <w:rFonts w:hint="eastAsia"/>
          <w:color w:val="000000"/>
          <w:sz w:val="21"/>
          <w:szCs w:val="21"/>
        </w:rPr>
        <w:t xml:space="preserve">各人像抓拍机产生的抓拍图片流先汇聚在一起，再向苏州市局以确定的接入及</w:t>
      </w:r>
      <w:r>
        <w:rPr>
          <w:rFonts w:hint="eastAsia"/>
          <w:color w:val="000000"/>
          <w:sz w:val="21"/>
          <w:szCs w:val="21"/>
        </w:rPr>
        <w:t xml:space="preserve">传送标准进行数据同步上传。传送的图片流应具备并不少于如下信息：摄像头ID、抓拍时时间戳、抓拍人脸图片的base64字符串、人体图片的base64字符串、背景图片的base64字符串、背景图片压缩图的base64字符串。抓拍图片流需符合公安部的1400视图库标准，并向市局指定的位置传送。</w:t>
      </w:r>
      <w:r>
        <w:rPr>
          <w:rFonts w:hint="eastAsia" w:cs="Calibri"/>
          <w:color w:val="000000"/>
          <w:sz w:val="21"/>
          <w:szCs w:val="21"/>
        </w:rPr>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苏州市局接入云1400视图库接入标准：一、图片格式要求支持存储、管理JPEG、JPEG 2000、BMP、PNG、TIF（TIFF）格式的图像资源；二、图片类型要求前端摄像机抓拍图片数据上传包括抓拍人脸小图上传、人体图片上传、抓拍背景照片上传、压缩过的抓拍背景照片上传，上传过程中人脸照片与背景照片一一对应。其中，人脸照片大小要求在20K-50K，压缩过的背景照大小要求在120K-150K。</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3.1.5人像卡口相机技术指标：</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采用双舱一体化设计，由双镜头相机与高性能GPU模块组成，实现全结构化数据精准采集，具备多场景数据融合分析能力，实现全方位态势感知</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支持智能资源模式切换：全结构化、人脸抓拍、人脸比对、道路监控、Smart事件</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补光灯类型: 混合补光（支持白光模式和混光模式），750 nm + 暖白光</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最大图像尺寸: 通道1不</w:t>
      </w:r>
      <w:r>
        <w:rPr>
          <w:rFonts w:hint="eastAsia"/>
          <w:color w:val="000000"/>
          <w:sz w:val="21"/>
          <w:szCs w:val="21"/>
        </w:rPr>
        <w:t xml:space="preserve">小于2688 × 1520；通道2不小于2688 × 1520</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音频: 2个内置麦克风，2路输入（Line in）；1个内置扬声器，1路输出（Line out）</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支持亮度异常、清晰度异常、花屏、雪花、偏色、画面冻结、增益失衡、画面抖动、条纹干扰、信号丢失、视频遮挡、光晕、紫边等故障报警功能。</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支持检出两眼瞳距20像素点以上的人脸图片。</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支持侧脸过滤功能，可过滤上下、左右角度达到预设值的人脸。</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支持数据感知功能，可同时支持10路客户端和5路web端事件布防，设备在布防时间段内主动上传感知数据，断网重连后，报警信息与报警图片可继续上传。</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支持通过IE浏览器设置登录超时时间，当登录后无操作时长达到设置阈值后，设备自动退出并重新进入登录界面。</w:t>
      </w:r>
      <w:r/>
    </w:p>
    <w:p>
      <w:pPr>
        <w:pStyle w:val="1490"/>
        <w:numPr>
          <w:ilvl w:val="0"/>
          <w:numId w:val="76"/>
        </w:numPr>
        <w:spacing w:before="0" w:beforeAutospacing="0" w:after="0" w:afterAutospacing="0" w:line="360" w:lineRule="auto"/>
        <w:rPr>
          <w:rFonts w:hint="eastAsia"/>
          <w:color w:val="000000"/>
          <w:sz w:val="21"/>
          <w:szCs w:val="21"/>
        </w:rPr>
      </w:pPr>
      <w:r>
        <w:rPr>
          <w:rFonts w:hint="eastAsia"/>
          <w:color w:val="000000"/>
          <w:sz w:val="21"/>
          <w:szCs w:val="21"/>
        </w:rPr>
        <w:t xml:space="preserve">设备具有耀光抑制功能，耀光区域≤1%。</w:t>
      </w:r>
      <w:r/>
    </w:p>
    <w:p>
      <w:pPr>
        <w:pStyle w:val="930"/>
        <w:numPr>
          <w:ilvl w:val="1"/>
          <w:numId w:val="45"/>
        </w:numPr>
        <w:spacing w:before="0" w:after="0" w:line="360" w:lineRule="auto"/>
        <w:tabs>
          <w:tab w:val="left" w:pos="567" w:leader="none"/>
          <w:tab w:val="left" w:pos="576" w:leader="none"/>
        </w:tabs>
        <w:rPr>
          <w:rFonts w:hint="eastAsia" w:ascii="宋体" w:hAnsi="宋体" w:eastAsia="宋体"/>
          <w:color w:val="000000"/>
          <w:sz w:val="21"/>
          <w:szCs w:val="21"/>
        </w:rPr>
      </w:pPr>
      <w:r>
        <w:rPr>
          <w:rFonts w:hint="eastAsia" w:ascii="宋体" w:hAnsi="宋体" w:eastAsia="宋体"/>
          <w:color w:val="000000"/>
          <w:sz w:val="21"/>
          <w:szCs w:val="21"/>
        </w:rPr>
        <w:t xml:space="preserve">存储及交换机技术指标：</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3.2.1交换机：</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固定端口48*10/100/1000Base-T以太网端口</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4*100/1000 Base-X SFP</w:t>
      </w:r>
      <w:r>
        <w:rPr>
          <w:rFonts w:hint="eastAsia"/>
          <w:color w:val="000000"/>
          <w:sz w:val="21"/>
          <w:szCs w:val="21"/>
        </w:rPr>
        <w:t xml:space="preserve">光口</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电口属性    支持半双工、全双工、自协商工作模式</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支持MDI/MDI-X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以太网功能    支持LLDP</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静态MAC配置</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支持MAC地址学习数目限制(MAC地址深度最大支持16K)</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支持端口镜像和流镜像功能</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支持端口聚合(聚合组端口最大8个端口)</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支持端口隔离</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支持STP/RSTP/MSTP</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支持IEEE 802.3ad（动态链路聚合）、静态端口聚合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VLAN    支持802.1Q (最大4K个VLAN)</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支持基于协议的VLAN</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支持基于IP子网的VLAN</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支持基于MAC的VLAN</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支持GUEST VLAN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IP路由    支持静态路由、RIP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DHCP    支持DHCP Relay</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支持DHCP Client</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支持DHCP Snooping</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支持DHCP Snooping Option82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组播    支持IGMP V1/V2/V3 Snooping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QoS    支持Diff-Serv QoS</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支持WRR/HQ-WRR等队列调度机制</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支持802.1p、DSCP优先级映射</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支持对端口双向速率限制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ACL    • 支持二层、三层、四层ACL</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支持IPv4、IPv6 A</w:t>
      </w:r>
      <w:r>
        <w:rPr>
          <w:rFonts w:hint="eastAsia"/>
          <w:color w:val="000000"/>
          <w:sz w:val="21"/>
          <w:szCs w:val="21"/>
        </w:rPr>
        <w:t xml:space="preserve">CL</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支持VLAN ACL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IPv6    支持IPv6静态路由、双协议栈</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支持DHCPv6 Client、DHCPv6 Snooping</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支持ND、PMTU</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支持IPv6 Ping、IPv6 Telnet、IPv6 SSHv2、IPv6域名解析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可靠性    支持热补丁功能，可在线进行补丁升级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安全性    支持用户分级管理和口令保护</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支持SSHv2，为用户登录提供安全加密通道</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支持SSL，保障数据传输安全</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支持可控IP地址的FTP登录和口令机制</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支持防止ARP、未知组播报文、广播报文、未知单播报文、TTL=1报文、协议报文等攻击功能</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支持防Dos攻击</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支持MAC地址限制</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支持IP＋MAC+PORT+VLAN绑定功能</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支持IEEE 802.1x</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支持SAVI 源地址有效性验证</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支持Radius、支持HWTACACS</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支持安全网管SNMPv3</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支持广播报文抑制</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支持CPU防攻击  </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系统管理    支持Console/AUX Modem/Telnet/SSH2.0 命令行配置</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支持FTP、TFTP、Xmodem、SFTP文件上下载管理</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支持SNMP V1/V2c/V3</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支持NTP时钟</w:t>
      </w:r>
      <w:r/>
    </w:p>
    <w:p>
      <w:pPr>
        <w:pStyle w:val="1490"/>
        <w:numPr>
          <w:ilvl w:val="0"/>
          <w:numId w:val="77"/>
        </w:numPr>
        <w:spacing w:before="0" w:beforeAutospacing="0" w:after="0" w:afterAutospacing="0" w:line="360" w:lineRule="auto"/>
        <w:rPr>
          <w:rFonts w:hint="eastAsia"/>
          <w:color w:val="000000"/>
          <w:sz w:val="21"/>
          <w:szCs w:val="21"/>
        </w:rPr>
      </w:pPr>
      <w:r>
        <w:rPr>
          <w:rFonts w:hint="eastAsia"/>
          <w:color w:val="000000"/>
          <w:sz w:val="21"/>
          <w:szCs w:val="21"/>
        </w:rPr>
        <w:t xml:space="preserve">支持系统工作</w:t>
      </w:r>
      <w:r>
        <w:rPr>
          <w:rFonts w:hint="eastAsia"/>
          <w:color w:val="000000"/>
          <w:sz w:val="21"/>
          <w:szCs w:val="21"/>
        </w:rPr>
        <w:t xml:space="preserve">日志；</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3.2.2录像机：</w:t>
      </w:r>
      <w:r/>
    </w:p>
    <w:p>
      <w:pPr>
        <w:pStyle w:val="1490"/>
        <w:numPr>
          <w:ilvl w:val="0"/>
          <w:numId w:val="78"/>
        </w:numPr>
        <w:spacing w:before="0" w:beforeAutospacing="0" w:after="0" w:afterAutospacing="0" w:line="360" w:lineRule="auto"/>
        <w:rPr>
          <w:color w:val="000000"/>
          <w:sz w:val="21"/>
          <w:szCs w:val="21"/>
        </w:rPr>
      </w:pPr>
      <w:r>
        <w:rPr>
          <w:rFonts w:hint="eastAsia"/>
          <w:color w:val="000000"/>
          <w:sz w:val="21"/>
          <w:szCs w:val="21"/>
        </w:rPr>
        <w:t xml:space="preserve">3U标准机架式IP存储，DSP+ARM架构，嵌入式软硬件设计；</w:t>
      </w:r>
      <w:r>
        <w:rPr>
          <w:color w:val="000000"/>
          <w:sz w:val="21"/>
          <w:szCs w:val="21"/>
        </w:rPr>
      </w:r>
      <w:r/>
    </w:p>
    <w:p>
      <w:pPr>
        <w:pStyle w:val="1490"/>
        <w:numPr>
          <w:ilvl w:val="0"/>
          <w:numId w:val="78"/>
        </w:numPr>
        <w:spacing w:before="0" w:beforeAutospacing="0" w:after="0" w:afterAutospacing="0" w:line="360" w:lineRule="auto"/>
        <w:rPr>
          <w:color w:val="000000"/>
          <w:sz w:val="21"/>
          <w:szCs w:val="21"/>
        </w:rPr>
      </w:pPr>
      <w:r>
        <w:rPr>
          <w:rFonts w:hint="eastAsia"/>
          <w:color w:val="000000"/>
          <w:sz w:val="21"/>
          <w:szCs w:val="21"/>
        </w:rPr>
        <w:t xml:space="preserve">支持64路高清，320M带宽网络视频接入；</w:t>
      </w:r>
      <w:r>
        <w:rPr>
          <w:color w:val="000000"/>
          <w:sz w:val="21"/>
          <w:szCs w:val="21"/>
        </w:rPr>
      </w:r>
      <w:r/>
    </w:p>
    <w:p>
      <w:pPr>
        <w:pStyle w:val="1490"/>
        <w:numPr>
          <w:ilvl w:val="0"/>
          <w:numId w:val="78"/>
        </w:numPr>
        <w:spacing w:before="0" w:beforeAutospacing="0" w:after="0" w:afterAutospacing="0" w:line="360" w:lineRule="auto"/>
        <w:rPr>
          <w:color w:val="000000"/>
          <w:sz w:val="21"/>
          <w:szCs w:val="21"/>
        </w:rPr>
      </w:pPr>
      <w:r>
        <w:rPr>
          <w:rFonts w:hint="eastAsia"/>
          <w:color w:val="000000"/>
          <w:sz w:val="21"/>
          <w:szCs w:val="21"/>
        </w:rPr>
        <w:t xml:space="preserve">支持16个SATA盘位；</w:t>
      </w:r>
      <w:r>
        <w:rPr>
          <w:color w:val="000000"/>
          <w:sz w:val="21"/>
          <w:szCs w:val="21"/>
        </w:rPr>
      </w:r>
      <w:r/>
    </w:p>
    <w:p>
      <w:pPr>
        <w:pStyle w:val="1490"/>
        <w:numPr>
          <w:ilvl w:val="0"/>
          <w:numId w:val="78"/>
        </w:numPr>
        <w:spacing w:before="0" w:beforeAutospacing="0" w:after="0" w:afterAutospacing="0" w:line="360" w:lineRule="auto"/>
        <w:rPr>
          <w:color w:val="000000"/>
          <w:sz w:val="21"/>
          <w:szCs w:val="21"/>
        </w:rPr>
      </w:pPr>
      <w:r>
        <w:rPr>
          <w:rFonts w:hint="eastAsia"/>
          <w:color w:val="000000"/>
          <w:sz w:val="21"/>
          <w:szCs w:val="21"/>
        </w:rPr>
        <w:t xml:space="preserve">支持RAID 0、1、5、6、10多种RAID模式及全局热备，多重保护数据安全；</w:t>
      </w:r>
      <w:r>
        <w:rPr>
          <w:color w:val="000000"/>
          <w:sz w:val="21"/>
          <w:szCs w:val="21"/>
        </w:rPr>
      </w:r>
      <w:r/>
    </w:p>
    <w:p>
      <w:pPr>
        <w:pStyle w:val="1490"/>
        <w:numPr>
          <w:ilvl w:val="0"/>
          <w:numId w:val="78"/>
        </w:numPr>
        <w:spacing w:before="0" w:beforeAutospacing="0" w:after="0" w:afterAutospacing="0" w:line="360" w:lineRule="auto"/>
        <w:rPr>
          <w:color w:val="000000"/>
          <w:sz w:val="21"/>
          <w:szCs w:val="21"/>
        </w:rPr>
      </w:pPr>
      <w:r>
        <w:rPr>
          <w:rFonts w:hint="eastAsia"/>
          <w:color w:val="000000"/>
          <w:sz w:val="21"/>
          <w:szCs w:val="21"/>
        </w:rPr>
        <w:t xml:space="preserve">支持4K分辨率接入和解码输出；</w:t>
      </w:r>
      <w:r>
        <w:rPr>
          <w:color w:val="000000"/>
          <w:sz w:val="21"/>
          <w:szCs w:val="21"/>
        </w:rPr>
      </w:r>
      <w:r/>
    </w:p>
    <w:p>
      <w:pPr>
        <w:pStyle w:val="1490"/>
        <w:numPr>
          <w:ilvl w:val="0"/>
          <w:numId w:val="78"/>
        </w:numPr>
        <w:spacing w:before="0" w:beforeAutospacing="0" w:after="0" w:afterAutospacing="0" w:line="360" w:lineRule="auto"/>
        <w:rPr>
          <w:color w:val="000000"/>
          <w:sz w:val="21"/>
          <w:szCs w:val="21"/>
        </w:rPr>
      </w:pPr>
      <w:r>
        <w:rPr>
          <w:rFonts w:hint="eastAsia"/>
          <w:color w:val="000000"/>
          <w:sz w:val="21"/>
          <w:szCs w:val="21"/>
        </w:rPr>
        <w:t xml:space="preserve">支持H.265、H.264编码前端自适应接入；</w:t>
      </w:r>
      <w:r>
        <w:rPr>
          <w:color w:val="000000"/>
          <w:sz w:val="21"/>
          <w:szCs w:val="21"/>
        </w:rPr>
      </w:r>
      <w:r/>
    </w:p>
    <w:p>
      <w:pPr>
        <w:pStyle w:val="1490"/>
        <w:numPr>
          <w:ilvl w:val="0"/>
          <w:numId w:val="78"/>
        </w:numPr>
        <w:spacing w:before="0" w:beforeAutospacing="0" w:after="0" w:afterAutospacing="0" w:line="360" w:lineRule="auto"/>
        <w:rPr>
          <w:color w:val="000000"/>
          <w:sz w:val="21"/>
          <w:szCs w:val="21"/>
        </w:rPr>
      </w:pPr>
      <w:r>
        <w:rPr>
          <w:rFonts w:hint="eastAsia"/>
          <w:color w:val="000000"/>
          <w:sz w:val="21"/>
          <w:szCs w:val="21"/>
        </w:rPr>
        <w:t xml:space="preserve">支持关键视频添加标签和加锁保护、整机热备、断网续传、SMART 2.0等功能；</w:t>
      </w:r>
      <w:r>
        <w:rPr>
          <w:color w:val="000000"/>
          <w:sz w:val="21"/>
          <w:szCs w:val="21"/>
        </w:rPr>
      </w:r>
      <w:r/>
    </w:p>
    <w:p>
      <w:pPr>
        <w:pStyle w:val="1490"/>
        <w:numPr>
          <w:ilvl w:val="0"/>
          <w:numId w:val="78"/>
        </w:numPr>
        <w:spacing w:before="0" w:beforeAutospacing="0" w:after="0" w:afterAutospacing="0" w:line="360" w:lineRule="auto"/>
        <w:rPr>
          <w:rFonts w:hint="eastAsia"/>
          <w:color w:val="000000"/>
          <w:sz w:val="21"/>
          <w:szCs w:val="21"/>
        </w:rPr>
      </w:pPr>
      <w:r>
        <w:rPr>
          <w:rFonts w:hint="eastAsia"/>
          <w:color w:val="000000"/>
          <w:sz w:val="21"/>
          <w:szCs w:val="21"/>
        </w:rPr>
        <w:t xml:space="preserve">2个千兆以太网口，充分满足网络预览、回放以及备份应用。</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3.2.3硬盘：</w:t>
      </w:r>
      <w:r/>
    </w:p>
    <w:p>
      <w:pPr>
        <w:pStyle w:val="1490"/>
        <w:ind w:firstLine="420"/>
        <w:spacing w:before="0" w:beforeAutospacing="0" w:after="0" w:afterAutospacing="0" w:line="360" w:lineRule="auto"/>
        <w:rPr>
          <w:color w:val="000000"/>
          <w:sz w:val="21"/>
          <w:szCs w:val="21"/>
        </w:rPr>
      </w:pPr>
      <w:r>
        <w:rPr>
          <w:rFonts w:hint="eastAsia"/>
          <w:color w:val="000000"/>
          <w:sz w:val="21"/>
          <w:szCs w:val="21"/>
        </w:rPr>
        <w:t xml:space="preserve">对应硬盘录像机专用监控级硬盘、服务器专用企业级硬盘，根据服务器选择支持接口，容量根据实际情况选择。</w:t>
      </w:r>
      <w:r>
        <w:rPr>
          <w:color w:val="000000"/>
          <w:sz w:val="21"/>
          <w:szCs w:val="21"/>
        </w:rPr>
      </w:r>
      <w:r/>
    </w:p>
    <w:p>
      <w:pPr>
        <w:pStyle w:val="930"/>
        <w:numPr>
          <w:ilvl w:val="1"/>
          <w:numId w:val="45"/>
        </w:numPr>
        <w:spacing w:before="0" w:after="0" w:line="360" w:lineRule="auto"/>
        <w:tabs>
          <w:tab w:val="left" w:pos="567" w:leader="none"/>
          <w:tab w:val="left" w:pos="576" w:leader="none"/>
        </w:tabs>
        <w:rPr>
          <w:rFonts w:hint="eastAsia" w:ascii="宋体" w:hAnsi="宋体" w:eastAsia="宋体"/>
          <w:color w:val="000000"/>
          <w:sz w:val="21"/>
          <w:szCs w:val="21"/>
        </w:rPr>
      </w:pPr>
      <w:r>
        <w:rPr>
          <w:rFonts w:hint="eastAsia" w:ascii="宋体" w:hAnsi="宋体" w:eastAsia="宋体"/>
          <w:color w:val="000000"/>
          <w:sz w:val="21"/>
          <w:szCs w:val="21"/>
        </w:rPr>
        <w:t xml:space="preserve">监控平台服务技术指标：</w:t>
      </w:r>
      <w:r/>
    </w:p>
    <w:p>
      <w:pPr>
        <w:pStyle w:val="928"/>
        <w:ind w:firstLine="420"/>
        <w:spacing w:line="360" w:lineRule="auto"/>
        <w:rPr>
          <w:rFonts w:hint="eastAsia"/>
          <w:color w:val="000000"/>
          <w:sz w:val="21"/>
          <w:szCs w:val="21"/>
        </w:rPr>
      </w:pPr>
      <w:r>
        <w:rPr>
          <w:rFonts w:hint="eastAsia"/>
          <w:color w:val="000000"/>
          <w:sz w:val="21"/>
          <w:szCs w:val="21"/>
        </w:rPr>
        <w:t xml:space="preserve">系统支持用户名密码及PKI登录方式，用户首次登陆或重置密码后登陆需强制修改密码，支持密码输入自动隐藏明文功能</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应用支持以标签页方式嵌入显示在门户中，最多支持打开20个标签页；支持刷新、关闭当前标签页，同时支持快速关闭当前标签页左侧或右侧所有应用、关闭除了当前应用外所有应用、以及关闭所有已打开的应用</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支持下载系统默认初始化上传好的客户端、批量配置工具、插件助手、Chrome浏览器等工具安装包；</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支持将创建的分组分享给其他</w:t>
      </w:r>
      <w:r>
        <w:rPr>
          <w:rFonts w:hint="eastAsia"/>
          <w:color w:val="000000"/>
          <w:sz w:val="21"/>
          <w:szCs w:val="21"/>
        </w:rPr>
        <w:t xml:space="preserve">用户并支持统计收藏夹被分享的用户数；支持查看其他用户共享的收藏夹分组，并支持查看分享人及分享时间</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支持切换查看基础目录及业务目录，资源以资源树形式展示，点击可查看下层资源及点位</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支持点位周边搜索，在地图上自由选择当前等点位周边点位，并支持对所选点位进行预览、回放、收藏、定位到资源树及查看属性</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支持录像分段回放功能，可以将录像文件等分成多个片段同时回放，通过分割点的图像差异，快速确定回放关键录像时段</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支持针对一段录像进行标签标注</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支持查看基础目录及自定义的业务目录树下，监控点、卡口、探针、报警设备、报警输入/输出、移动探针、车载、单兵、无人机等类型资源，同时支持资源的地图展示，提供时空一体化的指挥与作战能力</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支持基于路网数据计算出合理的最短路径</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针对系统点位进行算法调度配置及视频结构化处理，包括人脸识别、人体识别、车辆识别及活动目标识别。支持根据任务名称、算法类型（人脸识别、人体识别、车辆识别、活动目标）、算法厂商、算法版本、点位等信息创建在线录像解析任务</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查询结果中支持展示目标对象的关联信息，包括同步采集信息及与目标对象具有关联关系的对象信息</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当使用后端比对进行黑名单布控时，支持设置下发名单库为白名单从而</w:t>
      </w:r>
      <w:r>
        <w:rPr>
          <w:rFonts w:hint="eastAsia"/>
          <w:color w:val="000000"/>
          <w:sz w:val="21"/>
          <w:szCs w:val="21"/>
        </w:rPr>
        <w:t xml:space="preserve">实现白名单布控</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支持针对所选区域下的监控点状态、录像巡检状态、视频诊断状态及点播状态进行一键巡检，并展示异常状态及在线状态数据，同时支持巡检数据导出，同时支持依照所选区域及其子区域的巡检得分排名</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支持监控点取流链路诊断，支持图形化展示监控取流链路诊断结果，并显示错误信息以及错误解决建议，同时支持展示设备最近告警信息及监控点最近告警信息</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支持通过GB/T 28181-2016、Onvif、厂商SDK、808部标整合前端各类监控资源，针对编码设备进行统一管理、配置、编辑及同步，编码设备添加支持单IP添加、IP段添加、单编号添加及编号段添加等多种方式，支持手动或自动读取满足GB/T 28181-2016协议的设备的通道名称和通道编号的功能，同时支持批量导入导出编码设备，支持编码设备能力集校准功能</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支持名单库级联共享，支持将本级名单库下发至下级域，并支持查看下发状态</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支持拓扑可视化展示物联资源联网下，本级域及上下级点位资源共享情况，支持查看各级资源共享详情、信令服务详情以及媒体服务详情，支持物联资源检索、共享，网关配置、外语配置、转码配置等设置</w:t>
      </w:r>
      <w:r/>
    </w:p>
    <w:p>
      <w:pPr>
        <w:pStyle w:val="928"/>
        <w:numPr>
          <w:ilvl w:val="0"/>
          <w:numId w:val="79"/>
        </w:numPr>
        <w:ind w:left="0" w:firstLine="420"/>
        <w:spacing w:line="360" w:lineRule="auto"/>
        <w:rPr>
          <w:rFonts w:hint="eastAsia"/>
          <w:color w:val="000000"/>
          <w:sz w:val="21"/>
          <w:szCs w:val="21"/>
        </w:rPr>
      </w:pPr>
      <w:r>
        <w:rPr>
          <w:rFonts w:hint="eastAsia"/>
          <w:color w:val="000000"/>
          <w:sz w:val="21"/>
          <w:szCs w:val="21"/>
        </w:rPr>
        <w:t xml:space="preserve">软件满足GB/T28181-2016公共安全视频监控联网系统信息传输、交</w:t>
      </w:r>
      <w:r>
        <w:rPr>
          <w:rFonts w:hint="eastAsia"/>
          <w:color w:val="000000"/>
          <w:sz w:val="21"/>
          <w:szCs w:val="21"/>
        </w:rPr>
        <w:t xml:space="preserve">换、控制技术要求</w:t>
      </w:r>
      <w:r/>
    </w:p>
    <w:p>
      <w:pPr>
        <w:pStyle w:val="929"/>
        <w:numPr>
          <w:ilvl w:val="0"/>
          <w:numId w:val="45"/>
        </w:numPr>
        <w:spacing w:before="0" w:after="0" w:line="360" w:lineRule="auto"/>
        <w:tabs>
          <w:tab w:val="left" w:pos="425" w:leader="none"/>
          <w:tab w:val="left" w:pos="432" w:leader="none"/>
        </w:tabs>
        <w:rPr>
          <w:color w:val="000000"/>
          <w:sz w:val="21"/>
          <w:szCs w:val="21"/>
        </w:rPr>
      </w:pPr>
      <w:r>
        <w:rPr>
          <w:rFonts w:hint="eastAsia"/>
          <w:color w:val="000000"/>
          <w:sz w:val="21"/>
          <w:szCs w:val="21"/>
        </w:rPr>
        <w:t xml:space="preserve">维护具体内容</w:t>
      </w:r>
      <w:r>
        <w:rPr>
          <w:color w:val="000000"/>
          <w:sz w:val="21"/>
          <w:szCs w:val="21"/>
        </w:rPr>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前后端设备的现场清洁保养和维护</w:t>
      </w:r>
      <w:r/>
    </w:p>
    <w:tbl>
      <w:tblPr>
        <w:tblW w:w="903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70"/>
        <w:gridCol w:w="4603"/>
        <w:gridCol w:w="1757"/>
      </w:tblGrid>
      <w:tr>
        <w:trPr>
          <w:trHeight w:val="467"/>
        </w:trPr>
        <w:tc>
          <w:tcPr>
            <w:tcW w:w="2670" w:type="dxa"/>
            <w:vAlign w:val="bottom"/>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设备名称</w:t>
            </w:r>
            <w:r/>
          </w:p>
        </w:tc>
        <w:tc>
          <w:tcPr>
            <w:tcW w:w="4603" w:type="dxa"/>
            <w:vAlign w:val="bottom"/>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清洁内容</w:t>
            </w:r>
            <w:r/>
          </w:p>
        </w:tc>
        <w:tc>
          <w:tcPr>
            <w:tcW w:w="1757" w:type="dxa"/>
            <w:vAlign w:val="bottom"/>
            <w:textDirection w:val="lrTb"/>
            <w:noWrap w:val="false"/>
          </w:tcPr>
          <w:p>
            <w:pPr>
              <w:pStyle w:val="1490"/>
              <w:jc w:val="center"/>
              <w:spacing w:line="360" w:lineRule="auto"/>
              <w:rPr>
                <w:rFonts w:hint="eastAsia"/>
                <w:color w:val="000000"/>
                <w:sz w:val="21"/>
                <w:szCs w:val="21"/>
              </w:rPr>
            </w:pPr>
            <w:r>
              <w:rPr>
                <w:rFonts w:hint="eastAsia"/>
                <w:color w:val="000000"/>
                <w:sz w:val="21"/>
                <w:szCs w:val="21"/>
              </w:rPr>
              <w:t xml:space="preserve">清洁周期</w:t>
            </w:r>
            <w:r/>
          </w:p>
        </w:tc>
      </w:tr>
      <w:tr>
        <w:trPr>
          <w:cantSplit/>
          <w:trHeight w:val="610"/>
        </w:trPr>
        <w:tc>
          <w:tcPr>
            <w:tcW w:w="2670" w:type="dxa"/>
            <w:vAlign w:val="center"/>
            <w:vMerge w:val="restart"/>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社会治安监控系统和卡口监控系统前端设备</w:t>
            </w:r>
            <w:r/>
          </w:p>
        </w:tc>
        <w:tc>
          <w:tcPr>
            <w:tcW w:w="4603" w:type="dxa"/>
            <w:vAlign w:val="center"/>
            <w:vMerge w:val="restart"/>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摄像机护罩、镜头的清洁除尘及故障检查；</w:t>
              <w:br w:type="textWrapping" w:clear="all"/>
              <w:t xml:space="preserve">前端控制箱内的清洁除尘及故障检查；</w:t>
              <w:br w:type="textWrapping" w:clear="all"/>
              <w:t xml:space="preserve">光端机的保养、清洁及故障检查；</w:t>
              <w:br w:type="textWrapping" w:clear="all"/>
              <w:t xml:space="preserve">检测器的保养，清洁及故障检查。</w:t>
            </w:r>
            <w:r/>
          </w:p>
        </w:tc>
        <w:tc>
          <w:tcPr>
            <w:tcW w:w="1757" w:type="dxa"/>
            <w:vAlign w:val="center"/>
            <w:vMerge w:val="restart"/>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1次/季度</w:t>
            </w:r>
            <w:r/>
          </w:p>
        </w:tc>
      </w:tr>
      <w:tr>
        <w:trPr>
          <w:cantSplit/>
          <w:trHeight w:val="610"/>
        </w:trPr>
        <w:tc>
          <w:tcPr>
            <w:tcW w:w="2670" w:type="dxa"/>
            <w:vAlign w:val="center"/>
            <w:vMerge w:val="restart"/>
            <w:textDirection w:val="lrTb"/>
            <w:noWrap w:val="false"/>
          </w:tcPr>
          <w:p>
            <w:pPr>
              <w:pStyle w:val="1490"/>
              <w:spacing w:line="360" w:lineRule="auto"/>
              <w:rPr>
                <w:rFonts w:cs="Calibri"/>
                <w:color w:val="000000"/>
                <w:sz w:val="21"/>
                <w:szCs w:val="21"/>
              </w:rPr>
            </w:pPr>
            <w:r>
              <w:rPr>
                <w:rFonts w:hint="eastAsia"/>
                <w:color w:val="000000"/>
                <w:sz w:val="21"/>
                <w:szCs w:val="21"/>
              </w:rPr>
              <w:t xml:space="preserve">社会治安监控系统各个监控中心设备</w:t>
            </w:r>
            <w:r>
              <w:rPr>
                <w:rFonts w:cs="Calibri"/>
                <w:color w:val="000000"/>
                <w:sz w:val="21"/>
                <w:szCs w:val="21"/>
              </w:rPr>
            </w:r>
            <w:r/>
          </w:p>
        </w:tc>
        <w:tc>
          <w:tcPr>
            <w:tcW w:w="4603" w:type="dxa"/>
            <w:vAlign w:val="center"/>
            <w:vMerge w:val="restart"/>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硬盘录像机的保养、清洁及故障检查；</w:t>
              <w:br w:type="textWrapping" w:clear="all"/>
              <w:t xml:space="preserve">矩阵及控制键盘的保养、清洁及故障检查；</w:t>
              <w:br w:type="textWrapping" w:clear="all"/>
              <w:t xml:space="preserve">显示设备的保养、清洁及故障检查；</w:t>
              <w:br w:type="textWrapping" w:clear="all"/>
              <w:t xml:space="preserve">机柜及机柜内其他设备的保养、清洁及故障检查。</w:t>
            </w:r>
            <w:r/>
          </w:p>
        </w:tc>
        <w:tc>
          <w:tcPr>
            <w:tcW w:w="1757" w:type="dxa"/>
            <w:vAlign w:val="center"/>
            <w:vMerge w:val="restart"/>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1次/季度</w:t>
            </w:r>
            <w:r/>
          </w:p>
        </w:tc>
      </w:tr>
      <w:tr>
        <w:trPr>
          <w:cantSplit/>
          <w:trHeight w:val="610"/>
        </w:trPr>
        <w:tc>
          <w:tcPr>
            <w:tcW w:w="2670" w:type="dxa"/>
            <w:vAlign w:val="center"/>
            <w:vMerge w:val="restart"/>
            <w:textDirection w:val="lrTb"/>
            <w:noWrap w:val="false"/>
          </w:tcPr>
          <w:p>
            <w:pPr>
              <w:pStyle w:val="1490"/>
              <w:spacing w:line="360" w:lineRule="auto"/>
              <w:rPr>
                <w:rFonts w:cs="Calibri"/>
                <w:color w:val="000000"/>
                <w:sz w:val="21"/>
                <w:szCs w:val="21"/>
              </w:rPr>
            </w:pPr>
            <w:r>
              <w:rPr>
                <w:rFonts w:hint="eastAsia"/>
                <w:color w:val="000000"/>
                <w:sz w:val="21"/>
                <w:szCs w:val="21"/>
              </w:rPr>
              <w:t xml:space="preserve">卡口机房设备</w:t>
            </w:r>
            <w:r>
              <w:rPr>
                <w:rFonts w:cs="Calibri"/>
                <w:color w:val="000000"/>
                <w:sz w:val="21"/>
                <w:szCs w:val="21"/>
              </w:rPr>
            </w:r>
            <w:r/>
          </w:p>
        </w:tc>
        <w:tc>
          <w:tcPr>
            <w:tcW w:w="4603" w:type="dxa"/>
            <w:vAlign w:val="center"/>
            <w:vMerge w:val="restart"/>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工控机的保养、清洁及故障检查；</w:t>
              <w:br w:type="textWrapping" w:clear="all"/>
              <w:t xml:space="preserve">控制柜的保养、清洁及故障检查；</w:t>
            </w:r>
            <w:r/>
          </w:p>
        </w:tc>
        <w:tc>
          <w:tcPr>
            <w:tcW w:w="1757" w:type="dxa"/>
            <w:vAlign w:val="center"/>
            <w:vMerge w:val="restart"/>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1次/季度</w:t>
            </w:r>
            <w:r/>
          </w:p>
        </w:tc>
      </w:tr>
      <w:tr>
        <w:trPr>
          <w:cantSplit/>
          <w:trHeight w:val="610"/>
        </w:trPr>
        <w:tc>
          <w:tcPr>
            <w:tcW w:w="2670" w:type="dxa"/>
            <w:vAlign w:val="center"/>
            <w:vMerge w:val="restart"/>
            <w:textDirection w:val="lrTb"/>
            <w:noWrap w:val="false"/>
          </w:tcPr>
          <w:p>
            <w:pPr>
              <w:pStyle w:val="1490"/>
              <w:spacing w:line="360" w:lineRule="auto"/>
              <w:rPr>
                <w:rFonts w:cs="Calibri"/>
                <w:color w:val="000000"/>
                <w:sz w:val="21"/>
                <w:szCs w:val="21"/>
              </w:rPr>
            </w:pPr>
            <w:r>
              <w:rPr>
                <w:rFonts w:hint="eastAsia"/>
                <w:color w:val="000000"/>
                <w:sz w:val="21"/>
                <w:szCs w:val="21"/>
              </w:rPr>
              <w:t xml:space="preserve">中心设备</w:t>
            </w:r>
            <w:r>
              <w:rPr>
                <w:rFonts w:cs="Calibri"/>
                <w:color w:val="000000"/>
                <w:sz w:val="21"/>
                <w:szCs w:val="21"/>
              </w:rPr>
            </w:r>
            <w:r/>
          </w:p>
        </w:tc>
        <w:tc>
          <w:tcPr>
            <w:tcW w:w="4603" w:type="dxa"/>
            <w:vAlign w:val="center"/>
            <w:vMerge w:val="restart"/>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机架除尘、工控机、服务器、显示设备屏幕的保养、清洁及故障检查；</w:t>
              <w:br w:type="textWrapping" w:clear="all"/>
              <w:t xml:space="preserve">控制柜的保养、清洁及故障检查；</w:t>
            </w:r>
            <w:r/>
          </w:p>
        </w:tc>
        <w:tc>
          <w:tcPr>
            <w:tcW w:w="1757" w:type="dxa"/>
            <w:vAlign w:val="center"/>
            <w:vMerge w:val="restart"/>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1次/季度</w:t>
            </w:r>
            <w:r/>
          </w:p>
        </w:tc>
      </w:tr>
      <w:tr>
        <w:trPr>
          <w:trHeight w:val="437"/>
        </w:trPr>
        <w:tc>
          <w:tcPr>
            <w:tcW w:w="2670" w:type="dxa"/>
            <w:vAlign w:val="center"/>
            <w:textDirection w:val="lrTb"/>
            <w:noWrap w:val="false"/>
          </w:tcPr>
          <w:p>
            <w:pPr>
              <w:pStyle w:val="1490"/>
              <w:spacing w:line="360" w:lineRule="auto"/>
              <w:rPr>
                <w:rFonts w:cs="Calibri"/>
                <w:color w:val="000000"/>
                <w:sz w:val="21"/>
                <w:szCs w:val="21"/>
              </w:rPr>
            </w:pPr>
            <w:r>
              <w:rPr>
                <w:rFonts w:hint="eastAsia"/>
                <w:color w:val="000000"/>
                <w:sz w:val="21"/>
                <w:szCs w:val="21"/>
              </w:rPr>
              <w:t xml:space="preserve">路段高清抓拍摄像机、电子警察设备</w:t>
            </w:r>
            <w:r>
              <w:rPr>
                <w:rFonts w:cs="Calibri"/>
                <w:color w:val="000000"/>
                <w:sz w:val="21"/>
                <w:szCs w:val="21"/>
              </w:rPr>
            </w:r>
            <w:r/>
          </w:p>
        </w:tc>
        <w:tc>
          <w:tcPr>
            <w:tcW w:w="4603" w:type="dxa"/>
            <w:vAlign w:val="center"/>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摄像机护罩、镜头的清洁除尘及故障检查</w:t>
            </w:r>
            <w:r/>
          </w:p>
        </w:tc>
        <w:tc>
          <w:tcPr>
            <w:tcW w:w="1757" w:type="dxa"/>
            <w:vAlign w:val="center"/>
            <w:textDirection w:val="lrTb"/>
            <w:noWrap w:val="false"/>
          </w:tcPr>
          <w:p>
            <w:pPr>
              <w:pStyle w:val="1490"/>
              <w:spacing w:line="360" w:lineRule="auto"/>
              <w:rPr>
                <w:rFonts w:hint="eastAsia"/>
                <w:color w:val="000000"/>
                <w:sz w:val="21"/>
                <w:szCs w:val="21"/>
              </w:rPr>
            </w:pPr>
            <w:r>
              <w:rPr>
                <w:rFonts w:hint="eastAsia"/>
                <w:color w:val="000000"/>
                <w:sz w:val="21"/>
                <w:szCs w:val="21"/>
              </w:rPr>
              <w:t xml:space="preserve">1次/季度</w:t>
            </w:r>
            <w:r/>
          </w:p>
        </w:tc>
      </w:tr>
    </w:tbl>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系统中线路损坏的修复</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包括电源线、视频线、控制线、网线、光纤线等的损坏，以及通讯井的保养和损坏修复，对于因市政工程、拆迁等因素造成线路损坏的，由客户方负责协调，中标方配合进行修复；对于传输光纤</w:t>
      </w:r>
      <w:r>
        <w:rPr>
          <w:rFonts w:hint="eastAsia"/>
          <w:color w:val="000000"/>
          <w:sz w:val="21"/>
          <w:szCs w:val="21"/>
        </w:rPr>
        <w:t xml:space="preserve">问题，中标方根据光纤标号和联系电话联系运行商，运行商负责修复。如运行商修复有问题的由客户方负责协调。</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系统主要设备元器件的损坏维护</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1）对矩阵及键盘、硬盘录像机、显示设备、摄像机（工业相机），检测器、光端机、工控机、服务器、防火墙、网闸等所有设备提供检测和故障检修，一旦出现设备（除人为故意损坏和不可抗拒因素外）损坏情况可以修复的由中标方及时修复，无法修复的，由中标方提供新设备并负责安装调试工作，使系统恢复正常运行。维修费和购置费已包含在项目中。</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2）对摄像机电源、视频头、视频跳线、尾纤等其他辅助设备提供全面的维护和检修，不能修理的进行更换，保证系统正常运行。维修费和购置费已包含在项目中。</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3)地感线圈、车检器、导线等检测设备、设施的全面的维护和检修，不能修理的进行更换，保证系统正常运行。维修费和购置费已包含在项目中。</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对超过质保期并已损坏的监控及其配套设备、机房服务器及配套进行更新替换。</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对公安局机房交换机、光模块、光收发器、服务器、存储、硬盘、防火墙、指挥中心大屏等其他设备的一年维护，其中对维保范围内超过质保期并已损坏的设备，中标方应当立即组织现场维修，无法当场修复的必须更换全新设备，全新更换设备免费保修期</w:t>
      </w:r>
      <w:r>
        <w:rPr>
          <w:rFonts w:hint="eastAsia" w:ascii="宋体" w:hAnsi="宋体" w:eastAsia="宋体"/>
          <w:b w:val="0"/>
          <w:bCs/>
          <w:color w:val="000000"/>
          <w:sz w:val="21"/>
          <w:szCs w:val="21"/>
        </w:rPr>
        <w:t xml:space="preserve">为一年且性能型号不低于原设备。维修费和购置费包含在报价中。</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对市局、警务中心、指挥中心超过质保期并已损坏的服务器的故障维护。</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包含对所有服务器及配套设备的巡检、保养、维护，包括相关数据库的维护。</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因应急安保、市政施工、道路重新规划、路面修补（损坏）等原因引起的设备采购及维护修复工作（含全市所有高清抓拍点位及治安监控）。对于紧急安保事件，由甲方提出方案，由乙方提供必要的技防设备和安装施工调试。</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因公安实际工作变化原因需要迁移、改造的监控及抓拍点位及其他相关维护工作，由乙方承担基础施工和相关人工费用。</w:t>
      </w:r>
      <w:r/>
    </w:p>
    <w:p>
      <w:pPr>
        <w:pStyle w:val="929"/>
        <w:numPr>
          <w:ilvl w:val="0"/>
          <w:numId w:val="45"/>
        </w:numPr>
        <w:spacing w:before="0" w:after="0" w:line="360" w:lineRule="auto"/>
        <w:tabs>
          <w:tab w:val="left" w:pos="425" w:leader="none"/>
          <w:tab w:val="left" w:pos="432" w:leader="none"/>
        </w:tabs>
        <w:rPr>
          <w:color w:val="000000"/>
          <w:sz w:val="21"/>
          <w:szCs w:val="21"/>
        </w:rPr>
      </w:pPr>
      <w:r>
        <w:rPr>
          <w:rFonts w:hint="eastAsia"/>
          <w:color w:val="000000"/>
          <w:sz w:val="21"/>
          <w:szCs w:val="21"/>
        </w:rPr>
        <w:t xml:space="preserve">维护工作要求</w:t>
      </w:r>
      <w:r>
        <w:rPr>
          <w:color w:val="000000"/>
          <w:sz w:val="21"/>
          <w:szCs w:val="21"/>
        </w:rPr>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维护队伍的人员要求</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为保证面向全市范围维护质量和效率，对维护队伍的人员和设备做以下要求（基础维护人员和专业驻场维护人员可兼任）：</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所有本项目的维护人员必须签订相关保密责任书，所有人员通过公安机关安全审查后方可上岗。</w:t>
      </w:r>
      <w:r/>
    </w:p>
    <w:tbl>
      <w:tblPr>
        <w:tblW w:w="89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3"/>
        <w:gridCol w:w="1356"/>
        <w:gridCol w:w="2076"/>
        <w:gridCol w:w="804"/>
        <w:gridCol w:w="2319"/>
        <w:gridCol w:w="1843"/>
      </w:tblGrid>
      <w:tr>
        <w:trPr>
          <w:trHeight w:val="90"/>
        </w:trPr>
        <w:tc>
          <w:tcPr>
            <w:tcW w:w="533" w:type="dxa"/>
            <w:vAlign w:val="center"/>
            <w:textDirection w:val="lrTb"/>
            <w:noWrap w:val="false"/>
          </w:tcPr>
          <w:p>
            <w:pPr>
              <w:pStyle w:val="928"/>
              <w:jc w:val="center"/>
              <w:spacing w:after="200"/>
              <w:widowControl/>
              <w:rPr>
                <w:rFonts w:hint="eastAsia" w:cs="宋体"/>
                <w:color w:val="000000"/>
                <w:sz w:val="21"/>
                <w:szCs w:val="21"/>
                <w:lang w:eastAsia="en-US"/>
              </w:rPr>
            </w:pPr>
            <w:r>
              <w:rPr>
                <w:rFonts w:hint="eastAsia" w:cs="宋体"/>
                <w:color w:val="000000"/>
                <w:sz w:val="21"/>
                <w:szCs w:val="21"/>
                <w:lang w:eastAsia="en-US"/>
              </w:rPr>
              <w:t xml:space="preserve">序</w:t>
            </w:r>
            <w:r/>
          </w:p>
        </w:tc>
        <w:tc>
          <w:tcPr>
            <w:tcW w:w="1356" w:type="dxa"/>
            <w:vAlign w:val="center"/>
            <w:textDirection w:val="lrTb"/>
            <w:noWrap w:val="false"/>
          </w:tcPr>
          <w:p>
            <w:pPr>
              <w:pStyle w:val="928"/>
              <w:jc w:val="center"/>
              <w:spacing w:after="200"/>
              <w:widowControl/>
              <w:rPr>
                <w:rFonts w:hint="eastAsia" w:cs="宋体"/>
                <w:color w:val="000000"/>
                <w:sz w:val="21"/>
                <w:szCs w:val="21"/>
                <w:lang w:eastAsia="en-US"/>
              </w:rPr>
            </w:pPr>
            <w:r>
              <w:rPr>
                <w:rFonts w:hint="eastAsia" w:cs="宋体"/>
                <w:color w:val="000000"/>
                <w:sz w:val="21"/>
                <w:szCs w:val="21"/>
                <w:lang w:eastAsia="en-US"/>
              </w:rPr>
              <w:t xml:space="preserve">人员/设备</w:t>
            </w:r>
            <w:r/>
          </w:p>
        </w:tc>
        <w:tc>
          <w:tcPr>
            <w:tcW w:w="2076" w:type="dxa"/>
            <w:vAlign w:val="center"/>
            <w:textDirection w:val="lrTb"/>
            <w:noWrap w:val="false"/>
          </w:tcPr>
          <w:p>
            <w:pPr>
              <w:pStyle w:val="928"/>
              <w:jc w:val="center"/>
              <w:spacing w:after="200"/>
              <w:widowControl/>
              <w:rPr>
                <w:rFonts w:hint="eastAsia" w:cs="宋体"/>
                <w:color w:val="000000"/>
                <w:sz w:val="21"/>
                <w:szCs w:val="21"/>
                <w:lang w:eastAsia="en-US"/>
              </w:rPr>
            </w:pPr>
            <w:r>
              <w:rPr>
                <w:rFonts w:hint="eastAsia" w:cs="宋体"/>
                <w:color w:val="000000"/>
                <w:sz w:val="21"/>
                <w:szCs w:val="21"/>
                <w:lang w:eastAsia="en-US"/>
              </w:rPr>
              <w:t xml:space="preserve">服务内容</w:t>
            </w:r>
            <w:r/>
          </w:p>
        </w:tc>
        <w:tc>
          <w:tcPr>
            <w:tcW w:w="804" w:type="dxa"/>
            <w:vAlign w:val="center"/>
            <w:textDirection w:val="lrTb"/>
            <w:noWrap w:val="false"/>
          </w:tcPr>
          <w:p>
            <w:pPr>
              <w:pStyle w:val="928"/>
              <w:jc w:val="center"/>
              <w:spacing w:after="200"/>
              <w:widowControl/>
              <w:rPr>
                <w:rFonts w:hint="eastAsia" w:cs="宋体"/>
                <w:color w:val="000000"/>
                <w:sz w:val="21"/>
                <w:szCs w:val="21"/>
                <w:lang w:eastAsia="en-US"/>
              </w:rPr>
            </w:pPr>
            <w:r>
              <w:rPr>
                <w:rFonts w:hint="eastAsia" w:cs="宋体"/>
                <w:color w:val="000000"/>
                <w:sz w:val="21"/>
                <w:szCs w:val="21"/>
                <w:lang w:eastAsia="en-US"/>
              </w:rPr>
              <w:t xml:space="preserve">数量</w:t>
            </w:r>
            <w:r/>
          </w:p>
        </w:tc>
        <w:tc>
          <w:tcPr>
            <w:tcW w:w="2319" w:type="dxa"/>
            <w:vAlign w:val="center"/>
            <w:textDirection w:val="lrTb"/>
            <w:noWrap w:val="false"/>
          </w:tcPr>
          <w:p>
            <w:pPr>
              <w:pStyle w:val="928"/>
              <w:jc w:val="center"/>
              <w:spacing w:after="200"/>
              <w:widowControl/>
              <w:rPr>
                <w:rFonts w:hint="eastAsia" w:cs="宋体"/>
                <w:color w:val="000000"/>
                <w:sz w:val="21"/>
                <w:szCs w:val="21"/>
                <w:lang w:eastAsia="en-US"/>
              </w:rPr>
            </w:pPr>
            <w:r>
              <w:rPr>
                <w:rFonts w:hint="eastAsia" w:cs="宋体"/>
                <w:color w:val="000000"/>
                <w:sz w:val="21"/>
                <w:szCs w:val="21"/>
                <w:lang w:eastAsia="en-US"/>
              </w:rPr>
              <w:t xml:space="preserve">服务要求</w:t>
            </w:r>
            <w:r/>
          </w:p>
        </w:tc>
        <w:tc>
          <w:tcPr>
            <w:tcW w:w="1843" w:type="dxa"/>
            <w:vAlign w:val="center"/>
            <w:textDirection w:val="lrTb"/>
            <w:noWrap w:val="false"/>
          </w:tcPr>
          <w:p>
            <w:pPr>
              <w:pStyle w:val="928"/>
              <w:jc w:val="center"/>
              <w:spacing w:after="200"/>
              <w:widowControl/>
              <w:rPr>
                <w:rFonts w:hint="eastAsia" w:cs="宋体"/>
                <w:color w:val="000000"/>
                <w:sz w:val="21"/>
                <w:szCs w:val="21"/>
                <w:lang w:eastAsia="en-US"/>
              </w:rPr>
            </w:pPr>
            <w:r>
              <w:rPr>
                <w:rFonts w:hint="eastAsia" w:cs="宋体"/>
                <w:color w:val="000000"/>
                <w:sz w:val="21"/>
                <w:szCs w:val="21"/>
                <w:lang w:eastAsia="en-US"/>
              </w:rPr>
              <w:t xml:space="preserve">备注</w:t>
            </w:r>
            <w:r/>
          </w:p>
        </w:tc>
      </w:tr>
      <w:tr>
        <w:trPr>
          <w:trHeight w:val="90"/>
        </w:trPr>
        <w:tc>
          <w:tcPr>
            <w:tcW w:w="533"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1</w:t>
            </w:r>
            <w:r>
              <w:rPr>
                <w:rFonts w:hint="eastAsia" w:cs="宋体"/>
                <w:color w:val="000000"/>
                <w:sz w:val="21"/>
                <w:szCs w:val="21"/>
                <w:lang w:eastAsia="en-US"/>
              </w:rPr>
            </w:r>
            <w:r/>
          </w:p>
        </w:tc>
        <w:tc>
          <w:tcPr>
            <w:tcW w:w="135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专业驻场服务人员</w:t>
            </w:r>
            <w:r/>
          </w:p>
        </w:tc>
        <w:tc>
          <w:tcPr>
            <w:tcW w:w="2076" w:type="dxa"/>
            <w:vAlign w:val="center"/>
            <w:textDirection w:val="lrTb"/>
            <w:noWrap w:val="false"/>
          </w:tcPr>
          <w:p>
            <w:pPr>
              <w:pStyle w:val="928"/>
              <w:jc w:val="left"/>
              <w:spacing w:after="200"/>
              <w:widowControl/>
              <w:rPr>
                <w:rFonts w:hint="eastAsia" w:cs="宋体"/>
                <w:color w:val="000000"/>
                <w:sz w:val="21"/>
                <w:szCs w:val="21"/>
              </w:rPr>
            </w:pPr>
            <w:r>
              <w:rPr>
                <w:rFonts w:hint="eastAsia"/>
                <w:color w:val="000000"/>
                <w:sz w:val="21"/>
                <w:szCs w:val="21"/>
              </w:rPr>
              <w:t xml:space="preserve">雪亮工程接入云对接维护服务</w:t>
            </w:r>
            <w:r>
              <w:rPr>
                <w:rFonts w:hint="eastAsia" w:cs="宋体"/>
                <w:color w:val="000000"/>
                <w:sz w:val="21"/>
                <w:szCs w:val="21"/>
              </w:rPr>
            </w:r>
            <w:r/>
          </w:p>
        </w:tc>
        <w:tc>
          <w:tcPr>
            <w:tcW w:w="804"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1人</w:t>
            </w:r>
            <w:r>
              <w:rPr>
                <w:rFonts w:hint="eastAsia" w:cs="宋体"/>
                <w:color w:val="000000"/>
                <w:sz w:val="21"/>
                <w:szCs w:val="21"/>
                <w:lang w:eastAsia="en-US"/>
              </w:rPr>
            </w:r>
            <w:r/>
          </w:p>
        </w:tc>
        <w:tc>
          <w:tcPr>
            <w:tcW w:w="2319"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7*24小时响应服务</w:t>
            </w:r>
            <w:r/>
          </w:p>
        </w:tc>
        <w:tc>
          <w:tcPr>
            <w:tcW w:w="1843"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强制驻场；实质响应条款；</w:t>
            </w:r>
            <w:r/>
          </w:p>
        </w:tc>
      </w:tr>
      <w:tr>
        <w:trPr>
          <w:trHeight w:val="90"/>
        </w:trPr>
        <w:tc>
          <w:tcPr>
            <w:tcW w:w="533"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2</w:t>
            </w:r>
            <w:r>
              <w:rPr>
                <w:rFonts w:hint="eastAsia" w:cs="宋体"/>
                <w:color w:val="000000"/>
                <w:sz w:val="21"/>
                <w:szCs w:val="21"/>
                <w:lang w:eastAsia="en-US"/>
              </w:rPr>
            </w:r>
            <w:r/>
          </w:p>
        </w:tc>
        <w:tc>
          <w:tcPr>
            <w:tcW w:w="1356"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专业驻场服务人员</w:t>
            </w:r>
            <w:r>
              <w:rPr>
                <w:rFonts w:hint="eastAsia" w:cs="宋体"/>
                <w:color w:val="000000"/>
                <w:sz w:val="21"/>
                <w:szCs w:val="21"/>
                <w:lang w:eastAsia="en-US"/>
              </w:rPr>
            </w:r>
            <w:r/>
          </w:p>
        </w:tc>
        <w:tc>
          <w:tcPr>
            <w:tcW w:w="207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社会面监控平台管理服务</w:t>
            </w:r>
            <w:r/>
          </w:p>
        </w:tc>
        <w:tc>
          <w:tcPr>
            <w:tcW w:w="804"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1人</w:t>
            </w:r>
            <w:r/>
          </w:p>
        </w:tc>
        <w:tc>
          <w:tcPr>
            <w:tcW w:w="2319"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7*24小时响应服务</w:t>
            </w:r>
            <w:r/>
          </w:p>
        </w:tc>
        <w:tc>
          <w:tcPr>
            <w:tcW w:w="1843" w:type="dxa"/>
            <w:vAlign w:val="top"/>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强制驻场；实质响应条款；</w:t>
            </w:r>
            <w:r/>
          </w:p>
        </w:tc>
      </w:tr>
      <w:tr>
        <w:trPr>
          <w:trHeight w:val="90"/>
        </w:trPr>
        <w:tc>
          <w:tcPr>
            <w:tcW w:w="533"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3</w:t>
            </w:r>
            <w:r>
              <w:rPr>
                <w:rFonts w:hint="eastAsia" w:cs="宋体"/>
                <w:color w:val="000000"/>
                <w:sz w:val="21"/>
                <w:szCs w:val="21"/>
                <w:lang w:eastAsia="en-US"/>
              </w:rPr>
            </w:r>
            <w:r/>
          </w:p>
        </w:tc>
        <w:tc>
          <w:tcPr>
            <w:tcW w:w="1356"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专业驻场服务人员</w:t>
            </w:r>
            <w:r>
              <w:rPr>
                <w:rFonts w:hint="eastAsia" w:cs="宋体"/>
                <w:color w:val="000000"/>
                <w:sz w:val="21"/>
                <w:szCs w:val="21"/>
                <w:lang w:eastAsia="en-US"/>
              </w:rPr>
            </w:r>
            <w:r/>
          </w:p>
        </w:tc>
        <w:tc>
          <w:tcPr>
            <w:tcW w:w="207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海康监控平</w:t>
            </w:r>
            <w:r>
              <w:rPr>
                <w:rFonts w:hint="eastAsia" w:cs="宋体"/>
                <w:color w:val="000000"/>
                <w:sz w:val="21"/>
                <w:szCs w:val="21"/>
              </w:rPr>
              <w:t xml:space="preserve">台管理及运维服务</w:t>
            </w:r>
            <w:r/>
          </w:p>
        </w:tc>
        <w:tc>
          <w:tcPr>
            <w:tcW w:w="804"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1人</w:t>
            </w:r>
            <w:r/>
          </w:p>
        </w:tc>
        <w:tc>
          <w:tcPr>
            <w:tcW w:w="2319"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7*24小时响应服务，有重要活动需现场值守</w:t>
            </w:r>
            <w:r/>
          </w:p>
        </w:tc>
        <w:tc>
          <w:tcPr>
            <w:tcW w:w="1843" w:type="dxa"/>
            <w:vAlign w:val="top"/>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强制驻场；实质响应条款；</w:t>
            </w:r>
            <w:r/>
          </w:p>
        </w:tc>
      </w:tr>
      <w:tr>
        <w:trPr>
          <w:trHeight w:val="446"/>
        </w:trPr>
        <w:tc>
          <w:tcPr>
            <w:tcW w:w="533"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4</w:t>
            </w:r>
            <w:r>
              <w:rPr>
                <w:rFonts w:hint="eastAsia" w:cs="宋体"/>
                <w:color w:val="000000"/>
                <w:sz w:val="21"/>
                <w:szCs w:val="21"/>
                <w:lang w:eastAsia="en-US"/>
              </w:rPr>
            </w:r>
            <w:r/>
          </w:p>
        </w:tc>
        <w:tc>
          <w:tcPr>
            <w:tcW w:w="1356"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专业驻场服务人员</w:t>
            </w:r>
            <w:r>
              <w:rPr>
                <w:rFonts w:hint="eastAsia" w:cs="宋体"/>
                <w:color w:val="000000"/>
                <w:sz w:val="21"/>
                <w:szCs w:val="21"/>
                <w:lang w:eastAsia="en-US"/>
              </w:rPr>
            </w:r>
            <w:r/>
          </w:p>
        </w:tc>
        <w:tc>
          <w:tcPr>
            <w:tcW w:w="2076"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雪亮工程相关服务</w:t>
            </w:r>
            <w:r/>
          </w:p>
        </w:tc>
        <w:tc>
          <w:tcPr>
            <w:tcW w:w="804"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2人</w:t>
            </w:r>
            <w:r/>
          </w:p>
        </w:tc>
        <w:tc>
          <w:tcPr>
            <w:tcW w:w="2319"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7*24小时响应服务</w:t>
            </w:r>
            <w:r/>
          </w:p>
        </w:tc>
        <w:tc>
          <w:tcPr>
            <w:tcW w:w="1843" w:type="dxa"/>
            <w:vAlign w:val="top"/>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强制驻场；实质响应条款；</w:t>
            </w:r>
            <w:r/>
          </w:p>
        </w:tc>
      </w:tr>
      <w:tr>
        <w:trPr>
          <w:trHeight w:val="446"/>
        </w:trPr>
        <w:tc>
          <w:tcPr>
            <w:tcW w:w="533"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5</w:t>
            </w:r>
            <w:r/>
          </w:p>
        </w:tc>
        <w:tc>
          <w:tcPr>
            <w:tcW w:w="135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专业驻场服务人员</w:t>
            </w:r>
            <w:r/>
          </w:p>
        </w:tc>
        <w:tc>
          <w:tcPr>
            <w:tcW w:w="207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扬帆数据中心运维服务</w:t>
            </w:r>
            <w:r/>
          </w:p>
        </w:tc>
        <w:tc>
          <w:tcPr>
            <w:tcW w:w="804"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2人</w:t>
            </w:r>
            <w:r/>
          </w:p>
        </w:tc>
        <w:tc>
          <w:tcPr>
            <w:tcW w:w="2319"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7*24小时响应服务</w:t>
            </w:r>
            <w:r/>
          </w:p>
        </w:tc>
        <w:tc>
          <w:tcPr>
            <w:tcW w:w="1843" w:type="dxa"/>
            <w:vAlign w:val="center"/>
            <w:textDirection w:val="lrTb"/>
            <w:noWrap w:val="false"/>
          </w:tcPr>
          <w:p>
            <w:pPr>
              <w:pStyle w:val="928"/>
              <w:spacing w:after="200"/>
              <w:widowControl/>
              <w:rPr>
                <w:rFonts w:hint="eastAsia" w:cs="宋体"/>
                <w:color w:val="000000"/>
                <w:sz w:val="21"/>
                <w:szCs w:val="21"/>
              </w:rPr>
            </w:pPr>
            <w:r>
              <w:rPr>
                <w:rFonts w:hint="eastAsia" w:cs="宋体"/>
                <w:color w:val="000000"/>
                <w:sz w:val="21"/>
                <w:szCs w:val="21"/>
              </w:rPr>
              <w:t xml:space="preserve">强制驻场；实质响应条款；</w:t>
            </w:r>
            <w:r/>
          </w:p>
        </w:tc>
      </w:tr>
      <w:tr>
        <w:trPr>
          <w:trHeight w:val="446"/>
        </w:trPr>
        <w:tc>
          <w:tcPr>
            <w:tcW w:w="533"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6</w:t>
            </w:r>
            <w:r/>
          </w:p>
        </w:tc>
        <w:tc>
          <w:tcPr>
            <w:tcW w:w="135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专业驻场服务人员</w:t>
            </w:r>
            <w:r/>
          </w:p>
        </w:tc>
        <w:tc>
          <w:tcPr>
            <w:tcW w:w="207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lang w:eastAsia="en-US"/>
              </w:rPr>
              <w:t xml:space="preserve">视频会议服务</w:t>
            </w:r>
            <w:r>
              <w:rPr>
                <w:rFonts w:hint="eastAsia" w:cs="宋体"/>
                <w:color w:val="000000"/>
                <w:sz w:val="21"/>
                <w:szCs w:val="21"/>
              </w:rPr>
            </w:r>
            <w:r/>
          </w:p>
        </w:tc>
        <w:tc>
          <w:tcPr>
            <w:tcW w:w="804"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lang w:eastAsia="en-US"/>
              </w:rPr>
              <w:t xml:space="preserve">1人</w:t>
            </w:r>
            <w:r>
              <w:rPr>
                <w:rFonts w:hint="eastAsia" w:cs="宋体"/>
                <w:color w:val="000000"/>
                <w:sz w:val="21"/>
                <w:szCs w:val="21"/>
              </w:rPr>
            </w:r>
            <w:r/>
          </w:p>
        </w:tc>
        <w:tc>
          <w:tcPr>
            <w:tcW w:w="2319"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7*24小时响应服务并参与值班</w:t>
            </w:r>
            <w:r/>
          </w:p>
        </w:tc>
        <w:tc>
          <w:tcPr>
            <w:tcW w:w="1843" w:type="dxa"/>
            <w:vAlign w:val="top"/>
            <w:textDirection w:val="lrTb"/>
            <w:noWrap w:val="false"/>
          </w:tcPr>
          <w:p>
            <w:pPr>
              <w:pStyle w:val="928"/>
              <w:spacing w:after="200"/>
              <w:widowControl/>
              <w:rPr>
                <w:rFonts w:hint="eastAsia" w:cs="宋体"/>
                <w:color w:val="000000"/>
                <w:sz w:val="21"/>
                <w:szCs w:val="21"/>
              </w:rPr>
            </w:pPr>
            <w:r>
              <w:rPr>
                <w:rFonts w:hint="eastAsia" w:cs="宋体"/>
                <w:color w:val="000000"/>
                <w:sz w:val="21"/>
                <w:szCs w:val="21"/>
              </w:rPr>
              <w:t xml:space="preserve">强制驻场；实质响应条款；</w:t>
            </w:r>
            <w:r/>
          </w:p>
        </w:tc>
      </w:tr>
      <w:tr>
        <w:trPr>
          <w:trHeight w:val="90"/>
        </w:trPr>
        <w:tc>
          <w:tcPr>
            <w:tcW w:w="533"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7</w:t>
            </w:r>
            <w:r/>
          </w:p>
        </w:tc>
        <w:tc>
          <w:tcPr>
            <w:tcW w:w="1356"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项目经理</w:t>
            </w:r>
            <w:r/>
          </w:p>
        </w:tc>
        <w:tc>
          <w:tcPr>
            <w:tcW w:w="207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负责对内外场全部运维项目的管理</w:t>
            </w:r>
            <w:r/>
          </w:p>
        </w:tc>
        <w:tc>
          <w:tcPr>
            <w:tcW w:w="804"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1人</w:t>
            </w:r>
            <w:r/>
          </w:p>
        </w:tc>
        <w:tc>
          <w:tcPr>
            <w:tcW w:w="2319"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7*24小时响应服务</w:t>
            </w:r>
            <w:r/>
          </w:p>
        </w:tc>
        <w:tc>
          <w:tcPr>
            <w:tcW w:w="1843" w:type="dxa"/>
            <w:vAlign w:val="center"/>
            <w:textDirection w:val="lrTb"/>
            <w:noWrap w:val="false"/>
          </w:tcPr>
          <w:p>
            <w:pPr>
              <w:pStyle w:val="928"/>
              <w:jc w:val="center"/>
              <w:spacing w:after="200"/>
              <w:widowControl/>
              <w:rPr>
                <w:rFonts w:hint="eastAsia" w:cs="宋体"/>
                <w:color w:val="000000"/>
                <w:sz w:val="21"/>
                <w:szCs w:val="21"/>
              </w:rPr>
            </w:pPr>
            <w:r>
              <w:rPr>
                <w:rFonts w:hint="eastAsia" w:cs="宋体"/>
                <w:color w:val="000000"/>
                <w:sz w:val="21"/>
                <w:szCs w:val="21"/>
              </w:rPr>
              <w:t xml:space="preserve">实质响应条款；</w:t>
            </w:r>
            <w:r/>
          </w:p>
        </w:tc>
      </w:tr>
      <w:tr>
        <w:trPr>
          <w:trHeight w:val="90"/>
        </w:trPr>
        <w:tc>
          <w:tcPr>
            <w:tcW w:w="533"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8</w:t>
            </w:r>
            <w:r/>
          </w:p>
        </w:tc>
        <w:tc>
          <w:tcPr>
            <w:tcW w:w="135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基础维护人员</w:t>
            </w:r>
            <w:r/>
          </w:p>
        </w:tc>
        <w:tc>
          <w:tcPr>
            <w:tcW w:w="207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负责内外场信息化设备及监控技防设施维护，高低压作业，高处作业等</w:t>
            </w:r>
            <w:r/>
          </w:p>
        </w:tc>
        <w:tc>
          <w:tcPr>
            <w:tcW w:w="804"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2</w:t>
            </w:r>
            <w:r>
              <w:rPr>
                <w:rFonts w:hint="eastAsia" w:cs="宋体"/>
                <w:color w:val="000000"/>
                <w:sz w:val="21"/>
                <w:szCs w:val="21"/>
                <w:lang w:eastAsia="en-US"/>
              </w:rPr>
              <w:t xml:space="preserve">人</w:t>
            </w:r>
            <w:r/>
          </w:p>
        </w:tc>
        <w:tc>
          <w:tcPr>
            <w:tcW w:w="2319"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7*24小时响应服务</w:t>
            </w:r>
            <w:r/>
          </w:p>
        </w:tc>
        <w:tc>
          <w:tcPr>
            <w:tcW w:w="1843" w:type="dxa"/>
            <w:vAlign w:val="center"/>
            <w:textDirection w:val="lrTb"/>
            <w:noWrap w:val="false"/>
          </w:tcPr>
          <w:p>
            <w:pPr>
              <w:pStyle w:val="928"/>
              <w:jc w:val="center"/>
              <w:spacing w:after="200"/>
              <w:widowControl/>
              <w:rPr>
                <w:rFonts w:hint="eastAsia" w:cs="宋体"/>
                <w:color w:val="000000"/>
                <w:sz w:val="21"/>
                <w:szCs w:val="21"/>
              </w:rPr>
            </w:pPr>
            <w:r>
              <w:rPr>
                <w:rFonts w:hint="eastAsia" w:cs="宋体"/>
                <w:color w:val="000000"/>
                <w:sz w:val="21"/>
                <w:szCs w:val="21"/>
              </w:rPr>
              <w:t xml:space="preserve">实质响应条款；</w:t>
            </w:r>
            <w:r/>
          </w:p>
        </w:tc>
      </w:tr>
      <w:tr>
        <w:trPr>
          <w:trHeight w:val="90"/>
        </w:trPr>
        <w:tc>
          <w:tcPr>
            <w:tcW w:w="533"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9</w:t>
            </w:r>
            <w:r/>
          </w:p>
        </w:tc>
        <w:tc>
          <w:tcPr>
            <w:tcW w:w="1356"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应急队伍人员</w:t>
            </w:r>
            <w:r>
              <w:rPr>
                <w:rFonts w:hint="eastAsia" w:cs="宋体"/>
                <w:color w:val="000000"/>
                <w:sz w:val="21"/>
                <w:szCs w:val="21"/>
                <w:lang w:eastAsia="en-US"/>
              </w:rPr>
            </w:r>
            <w:r/>
          </w:p>
        </w:tc>
        <w:tc>
          <w:tcPr>
            <w:tcW w:w="207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负责内外场信息化设备及监控技防设施维护，高低压作业，高处作业等</w:t>
            </w:r>
            <w:r/>
          </w:p>
        </w:tc>
        <w:tc>
          <w:tcPr>
            <w:tcW w:w="804"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若干</w:t>
            </w:r>
            <w:r/>
          </w:p>
        </w:tc>
        <w:tc>
          <w:tcPr>
            <w:tcW w:w="2319"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lang w:eastAsia="en-US"/>
              </w:rPr>
              <w:t xml:space="preserve">7*24小时响应服务</w:t>
            </w:r>
            <w:r>
              <w:rPr>
                <w:rFonts w:hint="eastAsia" w:cs="宋体"/>
                <w:color w:val="000000"/>
                <w:sz w:val="21"/>
                <w:szCs w:val="21"/>
              </w:rPr>
            </w:r>
            <w:r/>
          </w:p>
        </w:tc>
        <w:tc>
          <w:tcPr>
            <w:tcW w:w="1843" w:type="dxa"/>
            <w:vAlign w:val="center"/>
            <w:textDirection w:val="lrTb"/>
            <w:noWrap w:val="false"/>
          </w:tcPr>
          <w:p>
            <w:pPr>
              <w:pStyle w:val="928"/>
              <w:jc w:val="center"/>
              <w:spacing w:after="200"/>
              <w:widowControl/>
              <w:rPr>
                <w:rFonts w:hint="eastAsia" w:cs="宋体"/>
                <w:color w:val="000000"/>
                <w:sz w:val="21"/>
                <w:szCs w:val="21"/>
              </w:rPr>
            </w:pPr>
            <w:r>
              <w:rPr>
                <w:rFonts w:hint="eastAsia" w:cs="宋体"/>
                <w:color w:val="000000"/>
                <w:sz w:val="21"/>
                <w:szCs w:val="21"/>
              </w:rPr>
              <w:t xml:space="preserve">非实质响应条款；</w:t>
            </w:r>
            <w:r/>
          </w:p>
        </w:tc>
      </w:tr>
      <w:tr>
        <w:trPr>
          <w:trHeight w:val="453"/>
        </w:trPr>
        <w:tc>
          <w:tcPr>
            <w:tcW w:w="533"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10</w:t>
            </w:r>
            <w:r/>
          </w:p>
        </w:tc>
        <w:tc>
          <w:tcPr>
            <w:tcW w:w="135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基础</w:t>
            </w:r>
            <w:r>
              <w:rPr>
                <w:rFonts w:hint="eastAsia" w:cs="宋体"/>
                <w:color w:val="000000"/>
                <w:sz w:val="21"/>
                <w:szCs w:val="21"/>
                <w:lang w:eastAsia="en-US"/>
              </w:rPr>
              <w:t xml:space="preserve">维修车辆</w:t>
            </w:r>
            <w:r>
              <w:rPr>
                <w:rFonts w:hint="eastAsia" w:cs="宋体"/>
                <w:color w:val="000000"/>
                <w:sz w:val="21"/>
                <w:szCs w:val="21"/>
              </w:rPr>
            </w:r>
            <w:r/>
          </w:p>
        </w:tc>
        <w:tc>
          <w:tcPr>
            <w:tcW w:w="207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进行技防维修，须登高作业。</w:t>
            </w:r>
            <w:r/>
          </w:p>
        </w:tc>
        <w:tc>
          <w:tcPr>
            <w:tcW w:w="804"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rPr>
              <w:t xml:space="preserve">1辆</w:t>
            </w:r>
            <w:r>
              <w:rPr>
                <w:rFonts w:hint="eastAsia" w:cs="宋体"/>
                <w:color w:val="000000"/>
                <w:sz w:val="21"/>
                <w:szCs w:val="21"/>
                <w:lang w:eastAsia="en-US"/>
              </w:rPr>
            </w:r>
            <w:r/>
          </w:p>
        </w:tc>
        <w:tc>
          <w:tcPr>
            <w:tcW w:w="2319" w:type="dxa"/>
            <w:vAlign w:val="center"/>
            <w:textDirection w:val="lrTb"/>
            <w:noWrap w:val="false"/>
          </w:tcPr>
          <w:p>
            <w:pPr>
              <w:pStyle w:val="928"/>
              <w:jc w:val="left"/>
              <w:spacing w:after="200"/>
              <w:widowControl/>
              <w:rPr>
                <w:rFonts w:hint="eastAsia" w:cs="宋体"/>
                <w:color w:val="000000"/>
                <w:sz w:val="21"/>
                <w:szCs w:val="21"/>
                <w:lang w:eastAsia="en-US"/>
              </w:rPr>
            </w:pPr>
            <w:r>
              <w:rPr>
                <w:rFonts w:hint="eastAsia" w:cs="宋体"/>
                <w:color w:val="000000"/>
                <w:sz w:val="21"/>
                <w:szCs w:val="21"/>
                <w:lang w:eastAsia="en-US"/>
              </w:rPr>
              <w:t xml:space="preserve">7*24小时响应服务 </w:t>
            </w:r>
            <w:r/>
          </w:p>
        </w:tc>
        <w:tc>
          <w:tcPr>
            <w:tcW w:w="1843" w:type="dxa"/>
            <w:vAlign w:val="center"/>
            <w:textDirection w:val="lrTb"/>
            <w:noWrap w:val="false"/>
          </w:tcPr>
          <w:p>
            <w:pPr>
              <w:pStyle w:val="928"/>
              <w:jc w:val="center"/>
              <w:spacing w:after="200"/>
              <w:widowControl/>
              <w:rPr>
                <w:rFonts w:hint="eastAsia" w:cs="宋体"/>
                <w:color w:val="000000"/>
                <w:sz w:val="21"/>
                <w:szCs w:val="21"/>
              </w:rPr>
            </w:pPr>
            <w:r>
              <w:rPr>
                <w:rFonts w:hint="eastAsia" w:cs="宋体"/>
                <w:color w:val="000000"/>
                <w:sz w:val="21"/>
                <w:szCs w:val="21"/>
              </w:rPr>
              <w:t xml:space="preserve">实质响应条款；</w:t>
            </w:r>
            <w:r/>
          </w:p>
        </w:tc>
      </w:tr>
      <w:tr>
        <w:trPr>
          <w:trHeight w:val="453"/>
        </w:trPr>
        <w:tc>
          <w:tcPr>
            <w:tcW w:w="533" w:type="dxa"/>
            <w:vAlign w:val="center"/>
            <w:textDirection w:val="lrTb"/>
            <w:noWrap w:val="false"/>
          </w:tcPr>
          <w:p>
            <w:pPr>
              <w:pStyle w:val="928"/>
              <w:jc w:val="left"/>
              <w:spacing w:after="200"/>
              <w:widowControl/>
              <w:rPr>
                <w:rFonts w:hint="eastAsia"/>
                <w:color w:val="000000"/>
                <w:sz w:val="21"/>
                <w:szCs w:val="21"/>
              </w:rPr>
            </w:pPr>
            <w:r>
              <w:rPr>
                <w:color w:val="000000"/>
                <w:sz w:val="21"/>
                <w:szCs w:val="21"/>
              </w:rPr>
              <w:t xml:space="preserve">1</w:t>
            </w:r>
            <w:r>
              <w:rPr>
                <w:rFonts w:hint="eastAsia"/>
                <w:color w:val="000000"/>
                <w:sz w:val="21"/>
                <w:szCs w:val="21"/>
              </w:rPr>
              <w:t xml:space="preserve">1</w:t>
            </w:r>
            <w:r/>
          </w:p>
        </w:tc>
        <w:tc>
          <w:tcPr>
            <w:tcW w:w="135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应急队伍</w:t>
            </w:r>
            <w:r>
              <w:rPr>
                <w:rFonts w:hint="eastAsia" w:cs="宋体"/>
                <w:color w:val="000000"/>
                <w:sz w:val="21"/>
                <w:szCs w:val="21"/>
                <w:lang w:eastAsia="en-US"/>
              </w:rPr>
              <w:t xml:space="preserve">车辆</w:t>
            </w:r>
            <w:r>
              <w:rPr>
                <w:rFonts w:hint="eastAsia" w:cs="宋体"/>
                <w:color w:val="000000"/>
                <w:sz w:val="21"/>
                <w:szCs w:val="21"/>
              </w:rPr>
            </w:r>
            <w:r/>
          </w:p>
        </w:tc>
        <w:tc>
          <w:tcPr>
            <w:tcW w:w="2076"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进行技防维修或登高作业等维修工作</w:t>
            </w:r>
            <w:r/>
          </w:p>
        </w:tc>
        <w:tc>
          <w:tcPr>
            <w:tcW w:w="804"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rPr>
              <w:t xml:space="preserve">若干</w:t>
            </w:r>
            <w:r/>
          </w:p>
        </w:tc>
        <w:tc>
          <w:tcPr>
            <w:tcW w:w="2319" w:type="dxa"/>
            <w:vAlign w:val="center"/>
            <w:textDirection w:val="lrTb"/>
            <w:noWrap w:val="false"/>
          </w:tcPr>
          <w:p>
            <w:pPr>
              <w:pStyle w:val="928"/>
              <w:jc w:val="left"/>
              <w:spacing w:after="200"/>
              <w:widowControl/>
              <w:rPr>
                <w:rFonts w:hint="eastAsia" w:cs="宋体"/>
                <w:color w:val="000000"/>
                <w:sz w:val="21"/>
                <w:szCs w:val="21"/>
              </w:rPr>
            </w:pPr>
            <w:r>
              <w:rPr>
                <w:rFonts w:hint="eastAsia" w:cs="宋体"/>
                <w:color w:val="000000"/>
                <w:sz w:val="21"/>
                <w:szCs w:val="21"/>
                <w:lang w:eastAsia="en-US"/>
              </w:rPr>
              <w:t xml:space="preserve">7*24小时响应服务</w:t>
            </w:r>
            <w:r>
              <w:rPr>
                <w:rFonts w:hint="eastAsia" w:cs="宋体"/>
                <w:color w:val="000000"/>
                <w:sz w:val="21"/>
                <w:szCs w:val="21"/>
              </w:rPr>
            </w:r>
            <w:r/>
          </w:p>
        </w:tc>
        <w:tc>
          <w:tcPr>
            <w:tcW w:w="1843" w:type="dxa"/>
            <w:vAlign w:val="center"/>
            <w:textDirection w:val="lrTb"/>
            <w:noWrap w:val="false"/>
          </w:tcPr>
          <w:p>
            <w:pPr>
              <w:pStyle w:val="928"/>
              <w:jc w:val="center"/>
              <w:spacing w:after="200"/>
              <w:widowControl/>
              <w:rPr>
                <w:rFonts w:hint="eastAsia" w:cs="宋体"/>
                <w:color w:val="000000"/>
                <w:sz w:val="21"/>
                <w:szCs w:val="21"/>
              </w:rPr>
            </w:pPr>
            <w:r>
              <w:rPr>
                <w:rFonts w:hint="eastAsia" w:cs="宋体"/>
                <w:color w:val="000000"/>
                <w:sz w:val="21"/>
                <w:szCs w:val="21"/>
              </w:rPr>
              <w:t xml:space="preserve">非实质响应条款；</w:t>
            </w:r>
            <w:r/>
          </w:p>
        </w:tc>
      </w:tr>
      <w:tr>
        <w:trPr>
          <w:trHeight w:val="969"/>
        </w:trPr>
        <w:tc>
          <w:tcPr>
            <w:gridSpan w:val="6"/>
            <w:tcW w:w="8931" w:type="dxa"/>
            <w:vAlign w:val="center"/>
            <w:textDirection w:val="lrTb"/>
            <w:noWrap w:val="false"/>
          </w:tcPr>
          <w:p>
            <w:pPr>
              <w:pStyle w:val="928"/>
              <w:ind w:firstLine="482"/>
              <w:jc w:val="left"/>
              <w:spacing w:line="360" w:lineRule="auto"/>
              <w:widowControl/>
              <w:rPr>
                <w:rFonts w:hint="eastAsia" w:cs="宋体"/>
                <w:color w:val="000000"/>
                <w:sz w:val="21"/>
                <w:szCs w:val="21"/>
              </w:rPr>
              <w:pBdr>
                <w:top w:val="none" w:color="000000" w:sz="0" w:space="0"/>
                <w:left w:val="none" w:color="000000" w:sz="0" w:space="0"/>
                <w:bottom w:val="none" w:color="000000" w:sz="0" w:space="0"/>
                <w:right w:val="none" w:color="000000" w:sz="0" w:space="0"/>
              </w:pBdr>
            </w:pPr>
            <w:r>
              <w:rPr>
                <w:rFonts w:hint="eastAsia" w:cs="宋体"/>
                <w:color w:val="000000"/>
                <w:sz w:val="21"/>
                <w:szCs w:val="21"/>
              </w:rPr>
              <w:t xml:space="preserve">1.因项目特殊性，投标供应商在投标文件中提供服务承诺书，承诺中标后按照招标文件要求</w:t>
            </w:r>
            <w:r>
              <w:rPr>
                <w:rFonts w:hint="eastAsia" w:cs="宋体"/>
                <w:color w:val="000000"/>
                <w:sz w:val="21"/>
                <w:szCs w:val="21"/>
              </w:rPr>
              <w:t xml:space="preserve">配备专业驻场服务人员（8人），中标后提供单位和人员对应表，派驻现场前由公安机关核验对应公安信息化企业合作单位和人员资质以及其他安全问题。</w:t>
            </w:r>
            <w:r>
              <w:rPr>
                <w:rFonts w:hint="eastAsia" w:cs="宋体"/>
                <w:b/>
                <w:bCs/>
                <w:color w:val="000000"/>
                <w:sz w:val="21"/>
                <w:szCs w:val="21"/>
              </w:rPr>
              <w:t xml:space="preserve">服务承诺书，格式自拟，不提供视为未响应。</w:t>
            </w:r>
            <w:r>
              <w:rPr>
                <w:rFonts w:hint="eastAsia" w:cs="宋体"/>
                <w:color w:val="000000"/>
                <w:sz w:val="21"/>
                <w:szCs w:val="21"/>
              </w:rPr>
            </w:r>
            <w:r/>
          </w:p>
          <w:p>
            <w:pPr>
              <w:pStyle w:val="928"/>
              <w:ind w:firstLine="482"/>
              <w:jc w:val="left"/>
              <w:spacing w:line="360" w:lineRule="auto"/>
              <w:widowControl/>
              <w:rPr>
                <w:rFonts w:hint="eastAsia"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cs="宋体"/>
                <w:color w:val="000000"/>
                <w:sz w:val="21"/>
                <w:szCs w:val="21"/>
              </w:rPr>
              <w:t xml:space="preserve">2.所有本项目的专业驻场服务人员、项目经理、基础维护人员和其他承诺驻场人员必须签订相关保密责任书，所有人员通过公安机关安全审查后方可上岗。</w:t>
            </w:r>
            <w:r>
              <w:rPr>
                <w:rFonts w:hint="eastAsia" w:cs="宋体"/>
                <w:b/>
                <w:bCs/>
                <w:color w:val="000000"/>
                <w:sz w:val="21"/>
                <w:szCs w:val="21"/>
              </w:rPr>
              <w:t xml:space="preserve">投标单位需要在标书中提供承诺书，格式自拟，不提供视为未响应。</w:t>
            </w:r>
            <w:r/>
          </w:p>
          <w:p>
            <w:pPr>
              <w:pStyle w:val="928"/>
              <w:ind w:firstLine="482"/>
              <w:jc w:val="left"/>
              <w:spacing w:line="360" w:lineRule="auto"/>
              <w:widowControl/>
              <w:rPr>
                <w:rFonts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cs="宋体"/>
                <w:color w:val="000000"/>
                <w:sz w:val="21"/>
                <w:szCs w:val="21"/>
              </w:rPr>
              <w:t xml:space="preserve">3.项目经理和基础维护人员需提供由投标人或投标人下属分支机构缴纳的开标前三个月社保证明复印件，基础维护人员须满足电工作业人员一位（高压、低压皆可）和高处作业人员一位（持证人员可重复计算），须提供有效期内相关作业证件复印件加盖单位公章。</w:t>
            </w:r>
            <w:r>
              <w:rPr>
                <w:rFonts w:hint="eastAsia" w:cs="宋体"/>
                <w:b/>
                <w:bCs/>
                <w:color w:val="000000"/>
                <w:sz w:val="21"/>
                <w:szCs w:val="21"/>
              </w:rPr>
              <w:t xml:space="preserve">不提供视为未响应。</w:t>
            </w:r>
            <w:r>
              <w:rPr>
                <w:rFonts w:cs="宋体"/>
                <w:b/>
                <w:bCs/>
                <w:color w:val="000000"/>
                <w:sz w:val="21"/>
                <w:szCs w:val="21"/>
              </w:rPr>
            </w:r>
            <w:r/>
          </w:p>
          <w:p>
            <w:pPr>
              <w:pStyle w:val="928"/>
              <w:ind w:firstLine="482"/>
              <w:jc w:val="left"/>
              <w:spacing w:line="360" w:lineRule="auto"/>
              <w:widowControl/>
              <w:rPr>
                <w:rFonts w:hint="eastAsia" w:cs="宋体"/>
                <w:b/>
                <w:bCs/>
                <w:color w:val="000000"/>
                <w:sz w:val="21"/>
                <w:szCs w:val="21"/>
              </w:rPr>
              <w:pBdr>
                <w:top w:val="none" w:color="000000" w:sz="0" w:space="0"/>
                <w:left w:val="none" w:color="000000" w:sz="0" w:space="0"/>
                <w:bottom w:val="none" w:color="000000" w:sz="0" w:space="0"/>
                <w:right w:val="none" w:color="000000" w:sz="0" w:space="0"/>
              </w:pBdr>
            </w:pPr>
            <w:r>
              <w:rPr>
                <w:rFonts w:hint="eastAsia" w:cs="宋体"/>
                <w:b/>
                <w:bCs/>
                <w:color w:val="000000"/>
                <w:sz w:val="21"/>
                <w:szCs w:val="21"/>
              </w:rPr>
              <w:t xml:space="preserve">4.</w:t>
            </w:r>
            <w:r>
              <w:rPr>
                <w:rFonts w:cs="宋体"/>
                <w:b/>
                <w:bCs/>
                <w:color w:val="000000"/>
                <w:sz w:val="21"/>
                <w:szCs w:val="21"/>
              </w:rPr>
              <w:t xml:space="preserve">本项目专门面向中小企业采购，</w:t>
            </w:r>
            <w:r>
              <w:rPr>
                <w:rFonts w:hint="eastAsia" w:cs="宋体"/>
                <w:b/>
                <w:bCs/>
                <w:color w:val="000000"/>
                <w:sz w:val="21"/>
                <w:szCs w:val="21"/>
              </w:rPr>
              <w:t xml:space="preserve">所有</w:t>
            </w:r>
            <w:r>
              <w:rPr>
                <w:rFonts w:cs="宋体"/>
                <w:b/>
                <w:bCs/>
                <w:color w:val="000000"/>
                <w:sz w:val="21"/>
                <w:szCs w:val="21"/>
              </w:rPr>
              <w:t xml:space="preserve">服务人员应当是具备《劳动合同》的或者承诺中标后聘请签订《劳动合同》的服务人员参与本项目</w:t>
            </w:r>
            <w:r>
              <w:rPr>
                <w:rFonts w:hint="eastAsia" w:cs="宋体"/>
                <w:b/>
                <w:bCs/>
                <w:color w:val="000000"/>
                <w:sz w:val="21"/>
                <w:szCs w:val="21"/>
              </w:rPr>
              <w:t xml:space="preserve">。（实质性响应条款）</w:t>
            </w:r>
            <w:r/>
          </w:p>
          <w:p>
            <w:pPr>
              <w:pStyle w:val="928"/>
              <w:ind w:firstLine="482"/>
              <w:jc w:val="left"/>
              <w:spacing w:line="360" w:lineRule="auto"/>
              <w:widowControl/>
              <w:rPr>
                <w:rFonts w:hint="eastAsia" w:cs="宋体"/>
                <w:color w:val="000000"/>
                <w:sz w:val="21"/>
                <w:szCs w:val="21"/>
              </w:rPr>
              <w:pBdr>
                <w:top w:val="none" w:color="000000" w:sz="0" w:space="0"/>
                <w:left w:val="none" w:color="000000" w:sz="0" w:space="0"/>
                <w:bottom w:val="none" w:color="000000" w:sz="0" w:space="0"/>
                <w:right w:val="none" w:color="000000" w:sz="0" w:space="0"/>
              </w:pBdr>
            </w:pPr>
            <w:r>
              <w:rPr>
                <w:rFonts w:hint="eastAsia" w:cs="宋体"/>
                <w:color w:val="000000"/>
                <w:sz w:val="21"/>
                <w:szCs w:val="21"/>
              </w:rPr>
              <w:t xml:space="preserve">5</w:t>
            </w:r>
            <w:r>
              <w:rPr>
                <w:rFonts w:cs="宋体"/>
                <w:color w:val="000000"/>
                <w:sz w:val="21"/>
                <w:szCs w:val="21"/>
              </w:rPr>
              <w:t xml:space="preserve">.</w:t>
            </w:r>
            <w:r>
              <w:rPr>
                <w:rFonts w:hint="eastAsia" w:cs="宋体"/>
                <w:color w:val="000000"/>
                <w:sz w:val="21"/>
                <w:szCs w:val="21"/>
              </w:rPr>
              <w:t xml:space="preserve">需提供基础维修车辆（需带自动升降设备满足登高作业要求）的行驶证复印件(车辆所属单位应与投标单位或其分支机构一致)或有效期内正规租赁合同。</w:t>
            </w:r>
            <w:r/>
          </w:p>
        </w:tc>
      </w:tr>
    </w:tbl>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维护单位应制定维护计划，落实维护各个环节，落实好维护范围内所有设备的维护、保养和运行维护工作，保证设备机</w:t>
      </w:r>
      <w:r>
        <w:rPr>
          <w:rFonts w:hint="eastAsia" w:ascii="宋体" w:hAnsi="宋体" w:eastAsia="宋体"/>
          <w:b w:val="0"/>
          <w:bCs/>
          <w:color w:val="000000"/>
          <w:sz w:val="21"/>
          <w:szCs w:val="21"/>
        </w:rPr>
        <w:t xml:space="preserve">械性能良好、电气特性符合标准要求、设备运行正常、稳定，数据及时准确，技术资料、原始记录齐全。维护人员应相对固定，</w:t>
      </w:r>
      <w:r>
        <w:rPr>
          <w:rFonts w:hint="eastAsia" w:ascii="宋体" w:hAnsi="宋体" w:eastAsia="宋体" w:cs="宋体"/>
          <w:b w:val="0"/>
          <w:bCs/>
          <w:color w:val="000000"/>
          <w:sz w:val="21"/>
          <w:szCs w:val="21"/>
        </w:rPr>
        <w:t xml:space="preserve">有变动需要及时报备审查，</w:t>
      </w:r>
      <w:r>
        <w:rPr>
          <w:rFonts w:hint="eastAsia" w:ascii="宋体" w:hAnsi="宋体" w:eastAsia="宋体"/>
          <w:b w:val="0"/>
          <w:bCs/>
          <w:color w:val="000000"/>
          <w:sz w:val="21"/>
          <w:szCs w:val="21"/>
        </w:rPr>
        <w:t xml:space="preserve">且24小时有人值守，认真填写值班日志，并做到维护人员在故障突发时随叫随到。</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在日常维护中要做好维护记录，并每月一次向太仓市公安局上报维护情况表；对于更换设备，必须通过甲方确认，双方签署设备更换确认单，在实际的维护工作中，系统设备更换维护的数量按实结算，乙方提供采购价格明细表，并每月提交主管单位公示。</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当有故障发生时，维护单位必须立即采取措施排除故障，不得以任何理由拖延、推诿和隐瞒。每个前端监控点或抓拍卡口设备年度所发生的不可用时间不得大于15 天（光纤问题由运行商确认后除外）。高清抓拍维护应当包括相应的闪光灯、补光灯的调试维护，确保过车抓拍率达到99%，车牌识别率达到99%，且能较清晰捕捉车辆前排人员脸部特征和衣着特征，无法达到的必须及时修复，所需要的额外费用由中标单位承担。</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甲方有特殊需要时，维护单位必须随叫随到，未经许可，必须在4个小时内到达现场，一般故障要在12小时内解决。</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维护单位必须建立健全企业维护技术资料：</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5.6.1妥善保管各种图纸、说明书和有关资料，集中存放，</w:t>
      </w:r>
      <w:r>
        <w:rPr>
          <w:rFonts w:hint="eastAsia"/>
          <w:color w:val="000000"/>
          <w:sz w:val="21"/>
          <w:szCs w:val="21"/>
        </w:rPr>
        <w:t xml:space="preserve">由专人定期整理。设备调拨时有关资料应随机转移，不得扣留或抽取插页。</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5.6.2按行业规范采购一定数量的备件备品，对不能修复的设备进行更换，确保设备正常运行。建立企业定期维护记录表及维护日志，妥善保存启用、停用、大修、故障及重要测试数据。</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5.6.3各种记录在当月工作完成后要及时整理。每年的作业计划、报表和记录要装订成册，标识明确。</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5.6.4各种维护报表、值班记录，要妥善保存。中标方提供服务项目组组成人员名单、常规服务、维护档案、服务建议等；</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维保服务要求：</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如发生一般故障，在采购方发出通知后，中标方应于12小时内响应，并进行现场维修，24小时内修复故障。出现严重故障或大部分故障导致严重影响甲方工作的，中标方应2小时内到达现场，并及时修复故障。若发生重大安保、维稳、重要案事件，应甲方要求，中标方应中标方应2小时内到达现场，并进行必要的安装、修复等维护服务。</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当设备及其承载的系统发生故障，用户方向中标单位提出故障响应请求后，若故障导致系统不能运行中标单位应在24小时内恢复系统；若故障不影响系统运行则中标单位应在48小时内恢复系统；若故障是由于电力供应或光缆引起的故障，则对中标单位响应时间从电力供应或光缆修复后开</w:t>
      </w:r>
      <w:r>
        <w:rPr>
          <w:rFonts w:hint="eastAsia"/>
          <w:color w:val="000000"/>
          <w:sz w:val="21"/>
          <w:szCs w:val="21"/>
        </w:rPr>
        <w:t xml:space="preserve">始计算。中标方应承担因操作失误等造成故障扩大、数据损坏、误操作等的赔偿和安全责任。</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因客观因素无法解决的，应设有专门的维修备用机，万一出现不能当场排除的硬件故障时（线路故障、道路改造除外）,用不低于故障机配置的周转机供用户使用。</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系统硬件设备的完好率</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系统硬件设备的完好率是指社会治安监控和抓拍卡口治安监控在系统平台正常运行的状态下，系统前端设备保持正常运行状态所占的比例。主要用来考核前端监控点及卡点监控的正常运行状态。本标书中要求太仓市社会治安监控系统</w:t>
      </w:r>
      <w:r>
        <w:rPr>
          <w:rFonts w:hint="eastAsia" w:cs="Calibri"/>
          <w:color w:val="000000"/>
          <w:sz w:val="21"/>
          <w:szCs w:val="21"/>
        </w:rPr>
        <w:t xml:space="preserve">、人像系统</w:t>
      </w:r>
      <w:r>
        <w:rPr>
          <w:rFonts w:hint="eastAsia"/>
          <w:color w:val="000000"/>
          <w:sz w:val="21"/>
          <w:szCs w:val="21"/>
        </w:rPr>
        <w:t xml:space="preserve">和抓拍卡口监控系统的设备完好率达到98%及以上。</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系统的维护质量和服务满意度</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系统的维护质量和服务满意度是指甲方对中标方所做的关于太仓市社会治安监控系统和抓拍卡口监控系统维护工作的质量评价和和服务满意度的评价。系统的维护质量和服务满意度分为不满意、基本满意、满意和非常满意四个等次。本标书中要求太仓市社会治安监控系统和抓拍卡口监控系统的维护质量和服务满意度达到基本满意以上，若满意度为不满意的，在下一年不得参与太仓市公安局治安监控维护工作。</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系统配件的质量</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系统所维修的配件必须是同型号的，如因备件原因无法更换原型号的，必须选用比原型号的性能指标高，功能更完</w:t>
      </w:r>
      <w:r>
        <w:rPr>
          <w:rFonts w:hint="eastAsia"/>
          <w:color w:val="000000"/>
          <w:sz w:val="21"/>
          <w:szCs w:val="21"/>
        </w:rPr>
        <w:t xml:space="preserve">善的产品替代。改型替代前须向甲方报备。新更换产品保修1年以上。</w:t>
      </w:r>
      <w:r/>
    </w:p>
    <w:p>
      <w:pPr>
        <w:pStyle w:val="929"/>
        <w:numPr>
          <w:ilvl w:val="0"/>
          <w:numId w:val="45"/>
        </w:numPr>
        <w:spacing w:before="0" w:after="0" w:line="360" w:lineRule="auto"/>
        <w:tabs>
          <w:tab w:val="left" w:pos="425" w:leader="none"/>
          <w:tab w:val="left" w:pos="432" w:leader="none"/>
        </w:tabs>
        <w:rPr>
          <w:color w:val="000000"/>
          <w:sz w:val="21"/>
          <w:szCs w:val="21"/>
        </w:rPr>
      </w:pPr>
      <w:r>
        <w:rPr>
          <w:rFonts w:hint="eastAsia"/>
          <w:color w:val="000000"/>
          <w:sz w:val="21"/>
          <w:szCs w:val="21"/>
        </w:rPr>
        <w:t xml:space="preserve">考核指标</w:t>
      </w:r>
      <w:r>
        <w:rPr>
          <w:color w:val="000000"/>
          <w:sz w:val="21"/>
          <w:szCs w:val="21"/>
        </w:rPr>
      </w:r>
      <w:r/>
    </w:p>
    <w:p>
      <w:pPr>
        <w:pStyle w:val="930"/>
        <w:numPr>
          <w:ilvl w:val="1"/>
          <w:numId w:val="45"/>
        </w:numPr>
        <w:spacing w:before="0" w:after="0" w:line="360" w:lineRule="auto"/>
        <w:tabs>
          <w:tab w:val="left" w:pos="567" w:leader="none"/>
          <w:tab w:val="left" w:pos="576" w:leader="none"/>
        </w:tabs>
        <w:rPr>
          <w:rFonts w:ascii="宋体" w:hAnsi="宋体" w:eastAsia="宋体"/>
          <w:b w:val="0"/>
          <w:bCs/>
          <w:color w:val="000000"/>
          <w:sz w:val="21"/>
          <w:szCs w:val="21"/>
        </w:rPr>
      </w:pPr>
      <w:r>
        <w:rPr>
          <w:rFonts w:hint="eastAsia" w:ascii="宋体" w:hAnsi="宋体" w:eastAsia="宋体"/>
          <w:b w:val="0"/>
          <w:bCs/>
          <w:color w:val="000000"/>
          <w:sz w:val="21"/>
          <w:szCs w:val="21"/>
        </w:rPr>
        <w:t xml:space="preserve">考核依据</w:t>
      </w:r>
      <w:r>
        <w:rPr>
          <w:rFonts w:ascii="宋体" w:hAnsi="宋体" w:eastAsia="宋体"/>
          <w:b w:val="0"/>
          <w:bCs/>
          <w:color w:val="000000"/>
          <w:sz w:val="21"/>
          <w:szCs w:val="21"/>
        </w:rPr>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A、系统故障管理应当有文字或者网站记录，必须对故障发生的时间、故障情况、处理措施、维护人员等进行详实记录。</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B、中标方维护工程师每次的故障处理，必须由系统使用方值班人员与维护工程师双方签字确认。</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C、维护方必须每月提供一份截至本月末时监控故障点的汇总报表，该报表作为考核的依据。</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D、系统的正常维护需遵守中标方投标时的维护响应及处理承诺。</w:t>
      </w:r>
      <w:r/>
    </w:p>
    <w:p>
      <w:pPr>
        <w:pStyle w:val="930"/>
        <w:numPr>
          <w:ilvl w:val="1"/>
          <w:numId w:val="45"/>
        </w:numPr>
        <w:spacing w:before="0" w:after="0" w:line="360" w:lineRule="auto"/>
        <w:tabs>
          <w:tab w:val="left" w:pos="567" w:leader="none"/>
          <w:tab w:val="left" w:pos="576" w:leader="none"/>
        </w:tabs>
        <w:rPr>
          <w:rFonts w:hint="eastAsia" w:ascii="宋体" w:hAnsi="宋体" w:eastAsia="宋体"/>
          <w:b w:val="0"/>
          <w:bCs/>
          <w:color w:val="000000"/>
          <w:sz w:val="21"/>
          <w:szCs w:val="21"/>
        </w:rPr>
      </w:pPr>
      <w:r>
        <w:rPr>
          <w:rFonts w:hint="eastAsia" w:ascii="宋体" w:hAnsi="宋体" w:eastAsia="宋体"/>
          <w:b w:val="0"/>
          <w:bCs/>
          <w:color w:val="000000"/>
          <w:sz w:val="21"/>
          <w:szCs w:val="21"/>
        </w:rPr>
        <w:t xml:space="preserve">绩效考核方式</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对报修后未在规定时间内及时修复的故障（不可抗力因素除外），甲方将抄告维护单位，从抄告之日起计算，单次故障每超时一天，扣除维护费用2000元作为违约惩罚。抄告累计达到365天次的，甲方有权废除维保合同及全部产品，重新采购。中标单位需要退回已收取费用，所有损失由中标单位承担。</w:t>
      </w:r>
      <w:r/>
    </w:p>
    <w:p>
      <w:pPr>
        <w:pStyle w:val="1490"/>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对维护项目中规定时间完成的建设维护任务，将按照合同约定处理。</w:t>
      </w:r>
      <w:r/>
    </w:p>
    <w:p>
      <w:pPr>
        <w:pStyle w:val="928"/>
        <w:contextualSpacing/>
        <w:ind w:firstLine="422"/>
        <w:spacing w:line="360" w:lineRule="auto"/>
        <w:rPr>
          <w:rFonts w:cs="宋体"/>
          <w:b/>
          <w:color w:val="000000"/>
          <w:sz w:val="21"/>
          <w:szCs w:val="21"/>
        </w:rPr>
      </w:pPr>
      <w:r>
        <w:rPr>
          <w:rFonts w:hint="eastAsia" w:cs="宋体"/>
          <w:b/>
          <w:color w:val="000000"/>
          <w:sz w:val="21"/>
          <w:szCs w:val="21"/>
        </w:rPr>
        <w:t xml:space="preserve">（五）验收</w:t>
      </w:r>
      <w:r>
        <w:rPr>
          <w:rFonts w:cs="宋体"/>
          <w:b/>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lang w:bidi="en-US"/>
        </w:rPr>
        <w:t xml:space="preserve">1、验收组织方式：本项目由采购人组织相关人员进行考核验收</w:t>
      </w:r>
      <w:r>
        <w:rPr>
          <w:rFonts w:hint="eastAsia" w:cs="宋体"/>
          <w:bCs/>
          <w:color w:val="000000"/>
          <w:sz w:val="21"/>
          <w:szCs w:val="21"/>
        </w:rPr>
        <w:t xml:space="preserve">。</w:t>
      </w:r>
      <w:r/>
    </w:p>
    <w:p>
      <w:pPr>
        <w:pStyle w:val="928"/>
        <w:contextualSpacing/>
        <w:ind w:firstLine="420"/>
        <w:spacing w:line="360" w:lineRule="auto"/>
        <w:rPr>
          <w:rFonts w:cs="宋体"/>
          <w:bCs/>
          <w:color w:val="000000"/>
          <w:sz w:val="21"/>
          <w:szCs w:val="21"/>
          <w:lang w:bidi="en-US"/>
        </w:rPr>
      </w:pPr>
      <w:r>
        <w:rPr>
          <w:rFonts w:hint="eastAsia" w:cs="宋体"/>
          <w:bCs/>
          <w:color w:val="000000"/>
          <w:sz w:val="21"/>
          <w:szCs w:val="21"/>
        </w:rPr>
        <w:t xml:space="preserve">2、</w:t>
      </w:r>
      <w:r>
        <w:rPr>
          <w:rFonts w:hint="eastAsia" w:cs="宋体"/>
          <w:bCs/>
          <w:color w:val="000000"/>
          <w:sz w:val="21"/>
          <w:szCs w:val="21"/>
          <w:lang w:bidi="en-US"/>
        </w:rPr>
        <w:t xml:space="preserve">履约验收时间：</w:t>
      </w:r>
      <w:r>
        <w:rPr>
          <w:rFonts w:hint="eastAsia" w:cs="宋体"/>
          <w:color w:val="000000"/>
          <w:sz w:val="21"/>
          <w:szCs w:val="21"/>
        </w:rPr>
        <w:t xml:space="preserve">维护期限及免费保修期届满验收一次，</w:t>
      </w:r>
      <w:r>
        <w:rPr>
          <w:rFonts w:hint="eastAsia" w:cs="宋体"/>
          <w:bCs/>
          <w:color w:val="000000"/>
          <w:sz w:val="21"/>
          <w:szCs w:val="21"/>
          <w:lang w:bidi="en-US"/>
        </w:rPr>
        <w:t xml:space="preserve">采购人</w:t>
      </w:r>
      <w:r>
        <w:rPr>
          <w:rFonts w:cs="宋体"/>
          <w:bCs/>
          <w:color w:val="000000"/>
          <w:sz w:val="21"/>
          <w:szCs w:val="21"/>
          <w:lang w:bidi="en-US"/>
        </w:rPr>
        <w:t xml:space="preserve">向供应商发出《政府采购履约验收通知单》（附件1）</w:t>
      </w:r>
      <w:r>
        <w:rPr>
          <w:rFonts w:hint="eastAsia" w:cs="宋体"/>
          <w:bCs/>
          <w:color w:val="000000"/>
          <w:sz w:val="21"/>
          <w:szCs w:val="21"/>
          <w:lang w:bidi="en-US"/>
        </w:rPr>
        <w:t xml:space="preserve">，验收完成后</w:t>
      </w:r>
      <w:r>
        <w:rPr>
          <w:rFonts w:cs="宋体"/>
          <w:bCs/>
          <w:color w:val="000000"/>
          <w:sz w:val="21"/>
          <w:szCs w:val="21"/>
          <w:lang w:bidi="en-US"/>
        </w:rPr>
        <w:t xml:space="preserve">形成</w:t>
      </w:r>
      <w:r>
        <w:rPr>
          <w:rFonts w:hint="eastAsia" w:cs="宋体"/>
          <w:bCs/>
          <w:color w:val="000000"/>
          <w:sz w:val="21"/>
          <w:szCs w:val="21"/>
          <w:lang w:bidi="en-US"/>
        </w:rPr>
        <w:t xml:space="preserve">《</w:t>
      </w:r>
      <w:r>
        <w:rPr>
          <w:rFonts w:cs="宋体"/>
          <w:bCs/>
          <w:color w:val="000000"/>
          <w:sz w:val="21"/>
          <w:szCs w:val="21"/>
          <w:lang w:bidi="en-US"/>
        </w:rPr>
        <w:t xml:space="preserve">政府采购履约验收书</w:t>
      </w:r>
      <w:r>
        <w:rPr>
          <w:rFonts w:hint="eastAsia" w:cs="宋体"/>
          <w:bCs/>
          <w:color w:val="000000"/>
          <w:sz w:val="21"/>
          <w:szCs w:val="21"/>
          <w:lang w:bidi="en-US"/>
        </w:rPr>
        <w:t xml:space="preserve">》</w:t>
      </w:r>
      <w:r>
        <w:rPr>
          <w:rFonts w:cs="宋体"/>
          <w:bCs/>
          <w:color w:val="000000"/>
          <w:sz w:val="21"/>
          <w:szCs w:val="21"/>
          <w:lang w:bidi="en-US"/>
        </w:rPr>
        <w:t xml:space="preserve">（附件</w:t>
      </w:r>
      <w:r>
        <w:rPr>
          <w:rFonts w:hint="eastAsia" w:cs="宋体"/>
          <w:bCs/>
          <w:color w:val="000000"/>
          <w:sz w:val="21"/>
          <w:szCs w:val="21"/>
          <w:lang w:bidi="en-US"/>
        </w:rPr>
        <w:t xml:space="preserve">2</w:t>
      </w:r>
      <w:r>
        <w:rPr>
          <w:rFonts w:cs="宋体"/>
          <w:bCs/>
          <w:color w:val="000000"/>
          <w:sz w:val="21"/>
          <w:szCs w:val="21"/>
          <w:lang w:bidi="en-US"/>
        </w:rPr>
        <w:t xml:space="preserve">）</w:t>
      </w:r>
      <w:r>
        <w:rPr>
          <w:rFonts w:hint="eastAsia" w:cs="宋体"/>
          <w:bCs/>
          <w:color w:val="000000"/>
          <w:sz w:val="21"/>
          <w:szCs w:val="21"/>
          <w:lang w:bidi="en-US"/>
        </w:rPr>
        <w:t xml:space="preserve">。</w:t>
      </w:r>
      <w:r>
        <w:rPr>
          <w:rFonts w:cs="宋体"/>
          <w:bCs/>
          <w:color w:val="000000"/>
          <w:sz w:val="21"/>
          <w:szCs w:val="21"/>
          <w:lang w:bidi="en-US"/>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3、</w:t>
      </w:r>
      <w:r>
        <w:rPr>
          <w:rFonts w:hint="eastAsia" w:cs="宋体"/>
          <w:bCs/>
          <w:color w:val="000000"/>
          <w:sz w:val="21"/>
          <w:szCs w:val="21"/>
          <w:lang w:bidi="en-US"/>
        </w:rPr>
        <w:t xml:space="preserve">履约验收的内容及</w:t>
      </w:r>
      <w:r>
        <w:rPr>
          <w:rFonts w:hint="eastAsia" w:cs="宋体"/>
          <w:bCs/>
          <w:color w:val="000000"/>
          <w:sz w:val="21"/>
          <w:szCs w:val="21"/>
          <w:lang w:bidi="en-US"/>
        </w:rPr>
        <w:t xml:space="preserve">标准：</w:t>
      </w:r>
      <w:r>
        <w:rPr>
          <w:rFonts w:hint="eastAsia" w:cs="宋体"/>
          <w:bCs/>
          <w:color w:val="000000"/>
          <w:sz w:val="21"/>
          <w:szCs w:val="21"/>
        </w:rPr>
        <w:t xml:space="preserve">根据招标文件、中标单位的投标文件、双方签订的合同文件及其附件、国家的相关规定。</w:t>
      </w:r>
      <w:r/>
    </w:p>
    <w:p>
      <w:pPr>
        <w:pStyle w:val="928"/>
        <w:contextualSpacing/>
        <w:ind w:firstLine="422"/>
        <w:spacing w:line="360" w:lineRule="auto"/>
        <w:rPr>
          <w:rFonts w:hint="eastAsia" w:cs="宋体"/>
          <w:b/>
          <w:color w:val="000000"/>
          <w:sz w:val="21"/>
          <w:szCs w:val="21"/>
        </w:rPr>
      </w:pPr>
      <w:r>
        <w:rPr>
          <w:rFonts w:hint="eastAsia" w:cs="宋体"/>
          <w:b/>
          <w:color w:val="000000"/>
          <w:sz w:val="21"/>
          <w:szCs w:val="21"/>
        </w:rPr>
        <w:t xml:space="preserve">（六）综合说明</w:t>
      </w:r>
      <w:bookmarkEnd w:id="10"/>
      <w:r>
        <w:rPr>
          <w:rFonts w:hint="eastAsia" w:cs="宋体"/>
          <w:b/>
          <w:color w:val="000000"/>
          <w:sz w:val="21"/>
          <w:szCs w:val="21"/>
        </w:rPr>
      </w:r>
      <w:r/>
    </w:p>
    <w:p>
      <w:pPr>
        <w:pStyle w:val="928"/>
        <w:contextualSpacing/>
        <w:ind w:firstLine="420"/>
        <w:spacing w:line="360" w:lineRule="auto"/>
        <w:rPr>
          <w:color w:val="000000"/>
          <w:sz w:val="21"/>
          <w:szCs w:val="21"/>
        </w:rPr>
      </w:pPr>
      <w:r>
        <w:rPr>
          <w:rFonts w:hint="eastAsia"/>
          <w:color w:val="000000"/>
          <w:sz w:val="21"/>
          <w:szCs w:val="21"/>
        </w:rPr>
        <w:t xml:space="preserve">1、中标人对服务缺陷不予更正，招标人有权另请其他单位更正，所发生的费用在合同金额中扣除，不够扣除的还需补足。</w:t>
      </w:r>
      <w:r>
        <w:rPr>
          <w:color w:val="000000"/>
          <w:sz w:val="21"/>
          <w:szCs w:val="21"/>
        </w:rPr>
      </w:r>
      <w:r/>
    </w:p>
    <w:p>
      <w:pPr>
        <w:pStyle w:val="928"/>
        <w:contextualSpacing/>
        <w:ind w:firstLine="420"/>
        <w:spacing w:line="360" w:lineRule="auto"/>
        <w:rPr>
          <w:rFonts w:hint="eastAsia"/>
          <w:color w:val="000000"/>
          <w:sz w:val="21"/>
          <w:szCs w:val="21"/>
        </w:rPr>
      </w:pPr>
      <w:r>
        <w:rPr>
          <w:rFonts w:hint="eastAsia"/>
          <w:color w:val="000000"/>
          <w:sz w:val="21"/>
          <w:szCs w:val="21"/>
        </w:rPr>
        <w:t xml:space="preserve">2、系统维保目标及总体要求</w:t>
      </w:r>
      <w:r/>
    </w:p>
    <w:p>
      <w:pPr>
        <w:pStyle w:val="928"/>
        <w:contextualSpacing/>
        <w:ind w:firstLine="420"/>
        <w:spacing w:line="360" w:lineRule="auto"/>
        <w:rPr>
          <w:rFonts w:hint="eastAsia"/>
          <w:color w:val="000000"/>
          <w:sz w:val="21"/>
          <w:szCs w:val="21"/>
        </w:rPr>
      </w:pPr>
      <w:r>
        <w:rPr>
          <w:rFonts w:hint="eastAsia"/>
          <w:color w:val="000000"/>
          <w:sz w:val="21"/>
          <w:szCs w:val="21"/>
        </w:rPr>
        <w:t xml:space="preserve">2.1中标单位需保证采购单位规定的维保范围内的各</w:t>
      </w:r>
      <w:r>
        <w:rPr>
          <w:rFonts w:hint="eastAsia" w:cs="Calibri"/>
          <w:color w:val="000000"/>
          <w:sz w:val="21"/>
          <w:szCs w:val="21"/>
        </w:rPr>
        <w:t xml:space="preserve">信息化系统软件系统及其配套硬件设备</w:t>
      </w:r>
      <w:r>
        <w:rPr>
          <w:rFonts w:hint="eastAsia"/>
          <w:color w:val="000000"/>
          <w:sz w:val="21"/>
          <w:szCs w:val="21"/>
        </w:rPr>
        <w:t xml:space="preserve">7*24</w:t>
      </w:r>
      <w:r>
        <w:rPr>
          <w:rFonts w:hint="eastAsia" w:cs="Calibri"/>
          <w:color w:val="000000"/>
          <w:sz w:val="21"/>
          <w:szCs w:val="21"/>
        </w:rPr>
        <w:t xml:space="preserve">小时持续稳定运行，7*</w:t>
      </w:r>
      <w:r>
        <w:rPr>
          <w:rFonts w:cs="Calibri"/>
          <w:color w:val="000000"/>
          <w:sz w:val="21"/>
          <w:szCs w:val="21"/>
        </w:rPr>
        <w:t xml:space="preserve">24</w:t>
      </w:r>
      <w:r>
        <w:rPr>
          <w:rFonts w:hint="eastAsia" w:cs="Calibri"/>
          <w:color w:val="000000"/>
          <w:sz w:val="21"/>
          <w:szCs w:val="21"/>
        </w:rPr>
        <w:t xml:space="preserve">小时不间断远程支持，对重大节点，如有必要的需要现场维护维护和驻场服务</w:t>
      </w:r>
      <w:r>
        <w:rPr>
          <w:rFonts w:hint="eastAsia"/>
          <w:color w:val="000000"/>
          <w:sz w:val="21"/>
          <w:szCs w:val="21"/>
        </w:rPr>
        <w:t xml:space="preserve">。</w:t>
      </w:r>
      <w:r/>
    </w:p>
    <w:p>
      <w:pPr>
        <w:pStyle w:val="928"/>
        <w:contextualSpacing/>
        <w:ind w:firstLine="420"/>
        <w:spacing w:line="360" w:lineRule="auto"/>
        <w:rPr>
          <w:rFonts w:hint="eastAsia"/>
          <w:color w:val="000000"/>
          <w:sz w:val="21"/>
          <w:szCs w:val="21"/>
        </w:rPr>
      </w:pPr>
      <w:r>
        <w:rPr>
          <w:rFonts w:hint="eastAsia"/>
          <w:color w:val="000000"/>
          <w:sz w:val="21"/>
          <w:szCs w:val="21"/>
        </w:rPr>
        <w:t xml:space="preserve">2.2中标单位必须对涉及公安业务的程序、数据及相关信息等进行保密，不得擅自拷贝、传播、向他人透露。</w:t>
      </w:r>
      <w:r/>
    </w:p>
    <w:p>
      <w:pPr>
        <w:pStyle w:val="928"/>
        <w:contextualSpacing/>
        <w:ind w:firstLine="420"/>
        <w:spacing w:line="360" w:lineRule="auto"/>
        <w:rPr>
          <w:rFonts w:hint="eastAsia"/>
          <w:color w:val="000000"/>
          <w:sz w:val="21"/>
          <w:szCs w:val="21"/>
        </w:rPr>
      </w:pPr>
      <w:r>
        <w:rPr>
          <w:rFonts w:hint="eastAsia"/>
          <w:color w:val="000000"/>
          <w:sz w:val="21"/>
          <w:szCs w:val="21"/>
        </w:rPr>
        <w:t xml:space="preserve">2.3中标单位应制定详细、合理、科学的维修保养方案及实施措施，针对维保设备实际运行情况，提供人员及技术保障、备品备件。</w:t>
      </w:r>
      <w:r/>
    </w:p>
    <w:p>
      <w:pPr>
        <w:pStyle w:val="928"/>
        <w:contextualSpacing/>
        <w:ind w:firstLine="420"/>
        <w:spacing w:line="360" w:lineRule="auto"/>
        <w:rPr>
          <w:b/>
          <w:bCs/>
          <w:color w:val="000000"/>
        </w:rPr>
      </w:pPr>
      <w:r>
        <w:rPr>
          <w:rFonts w:hint="eastAsia"/>
          <w:color w:val="000000"/>
          <w:sz w:val="21"/>
          <w:szCs w:val="21"/>
        </w:rPr>
        <w:t xml:space="preserve">2.4 投标单位投标文件中的技术需求响应和设备响应必须完全真实，若有违反，采购人有权废除本次招标合同，退回所有产品，重新采购，中标单位需要退回所收款项，造成的损失由中标人自行承担，并承担相应后果，甲方保留追究中标方法律责任的权利。</w:t>
      </w:r>
      <w:r>
        <w:rPr>
          <w:b/>
          <w:bCs/>
          <w:color w:val="000000"/>
        </w:rPr>
      </w:r>
      <w:r/>
    </w:p>
    <w:p>
      <w:pPr>
        <w:pStyle w:val="928"/>
        <w:contextualSpacing/>
        <w:ind w:firstLine="420"/>
        <w:spacing w:line="360" w:lineRule="auto"/>
        <w:rPr>
          <w:color w:val="000000"/>
          <w:sz w:val="21"/>
          <w:szCs w:val="21"/>
        </w:rPr>
      </w:pPr>
      <w:r>
        <w:rPr>
          <w:rFonts w:hint="eastAsia"/>
          <w:color w:val="000000"/>
          <w:sz w:val="21"/>
          <w:szCs w:val="21"/>
        </w:rPr>
        <w:t xml:space="preserve">3、中标人有责任配合招标人接受上级领导部门的监督、检查，提供必须的资料。</w:t>
      </w:r>
      <w:r>
        <w:rPr>
          <w:color w:val="000000"/>
          <w:sz w:val="21"/>
          <w:szCs w:val="21"/>
        </w:rPr>
      </w:r>
      <w:r/>
    </w:p>
    <w:p>
      <w:pPr>
        <w:pStyle w:val="928"/>
        <w:contextualSpacing/>
        <w:ind w:firstLine="420"/>
        <w:spacing w:line="360" w:lineRule="auto"/>
        <w:rPr>
          <w:color w:val="000000"/>
          <w:sz w:val="21"/>
          <w:szCs w:val="21"/>
        </w:rPr>
      </w:pPr>
      <w:r>
        <w:rPr>
          <w:rFonts w:hint="eastAsia"/>
          <w:color w:val="000000"/>
          <w:sz w:val="21"/>
          <w:szCs w:val="21"/>
        </w:rPr>
        <w:t xml:space="preserve">4、中标人须严格按照国家和政府规定给所有的员工缴纳各种社会保险（包括养</w:t>
      </w:r>
      <w:r>
        <w:rPr>
          <w:rFonts w:hint="eastAsia"/>
          <w:color w:val="000000"/>
          <w:sz w:val="21"/>
          <w:szCs w:val="21"/>
        </w:rPr>
        <w:t xml:space="preserve">老、医疗、工伤、生育险、失业保险等）。负责其招聘员工的一切工资、福利；如发生工伤、疾病乃至死亡的一切责任及费用由中标人全部负责；应严格遵守国家有关的法律、法规及行业标准，否则招标人有权终止合同。</w:t>
      </w:r>
      <w:r>
        <w:rPr>
          <w:color w:val="000000"/>
          <w:sz w:val="21"/>
          <w:szCs w:val="21"/>
        </w:rPr>
      </w:r>
      <w:r/>
    </w:p>
    <w:p>
      <w:pPr>
        <w:pStyle w:val="928"/>
        <w:contextualSpacing/>
        <w:ind w:firstLine="420"/>
        <w:spacing w:line="360" w:lineRule="auto"/>
        <w:rPr>
          <w:rFonts w:cs="宋体"/>
          <w:color w:val="000000"/>
          <w:sz w:val="21"/>
          <w:szCs w:val="21"/>
        </w:rPr>
      </w:pPr>
      <w:r>
        <w:rPr>
          <w:rFonts w:cs="宋体"/>
          <w:color w:val="000000"/>
          <w:sz w:val="21"/>
          <w:szCs w:val="21"/>
        </w:rPr>
        <w:t xml:space="preserve">5</w:t>
      </w:r>
      <w:r>
        <w:rPr>
          <w:rFonts w:hint="eastAsia" w:cs="宋体"/>
          <w:color w:val="000000"/>
          <w:sz w:val="21"/>
          <w:szCs w:val="21"/>
        </w:rPr>
        <w:t xml:space="preserve">、招标人不接受投标人任何因遗漏报价而发生的费用追加，因投标人违反《劳动法》等法律法规而造成招标人的连带责任和损失全部由中标人承担。</w:t>
      </w:r>
      <w:r>
        <w:rPr>
          <w:rFonts w:cs="宋体"/>
          <w:color w:val="000000"/>
          <w:sz w:val="21"/>
          <w:szCs w:val="21"/>
        </w:rPr>
      </w:r>
      <w:r/>
    </w:p>
    <w:p>
      <w:pPr>
        <w:pStyle w:val="928"/>
        <w:ind w:firstLine="420"/>
        <w:spacing w:line="360" w:lineRule="auto"/>
        <w:rPr>
          <w:color w:val="000000"/>
          <w:sz w:val="21"/>
          <w:szCs w:val="21"/>
        </w:rPr>
      </w:pPr>
      <w:r>
        <w:rPr>
          <w:rFonts w:hint="eastAsia" w:cs="宋体"/>
          <w:color w:val="000000"/>
          <w:sz w:val="21"/>
          <w:szCs w:val="21"/>
        </w:rPr>
        <w:t xml:space="preserve">6、报价方式：应包括完成本项工作所需的一切费用，包括但不限于系统维护维修、设备维护维修、检测、调试、应急支撑、验收、售后、保险、人员、交通、食宿、加班等工作所发生的全部费用以及投标人企业利润、税金和政策性文件规定及合同包含的所有风险、责任等各项应有费用。</w:t>
      </w: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7、中标后，项目组人员配备应按投标文件中承诺的实施，不经采购单位同意，不得更换。</w:t>
      </w:r>
      <w:r>
        <w:rPr>
          <w:color w:val="000000"/>
          <w:sz w:val="21"/>
          <w:szCs w:val="21"/>
        </w:rPr>
      </w:r>
      <w:r/>
    </w:p>
    <w:p>
      <w:pPr>
        <w:pStyle w:val="928"/>
        <w:contextualSpacing/>
        <w:ind w:firstLine="420"/>
        <w:spacing w:line="360" w:lineRule="auto"/>
        <w:tabs>
          <w:tab w:val="left" w:pos="424" w:leader="none"/>
        </w:tabs>
        <w:rPr>
          <w:rFonts w:cs="宋体"/>
          <w:color w:val="000000"/>
          <w:sz w:val="21"/>
          <w:szCs w:val="21"/>
        </w:rPr>
      </w:pPr>
      <w:r>
        <w:rPr>
          <w:rFonts w:hint="eastAsia" w:cs="宋体"/>
          <w:color w:val="000000"/>
          <w:sz w:val="21"/>
          <w:szCs w:val="21"/>
        </w:rPr>
        <w:t xml:space="preserve">8、付款步骤：</w:t>
      </w:r>
      <w:r>
        <w:rPr>
          <w:rFonts w:hint="eastAsia"/>
          <w:color w:val="000000"/>
          <w:sz w:val="21"/>
          <w:szCs w:val="21"/>
        </w:rPr>
        <w:t xml:space="preserve">合同签订生效后两个月内支付人民币贰佰陆拾万元整（小写：￥2600000.00）；维护期限及免费保修期届满并经验收合格后两个月内根据考核结果支付剩余款项。具体时间以财政资金下达情况为准。</w:t>
      </w:r>
      <w:r>
        <w:rPr>
          <w:rFonts w:cs="宋体"/>
          <w:color w:val="000000"/>
          <w:sz w:val="21"/>
          <w:szCs w:val="21"/>
        </w:rPr>
      </w:r>
      <w:r/>
    </w:p>
    <w:p>
      <w:pPr>
        <w:pStyle w:val="928"/>
        <w:contextualSpacing/>
        <w:ind w:firstLine="420"/>
        <w:spacing w:line="360" w:lineRule="auto"/>
        <w:rPr>
          <w:rFonts w:cs="宋体"/>
          <w:color w:val="000000"/>
          <w:sz w:val="21"/>
          <w:szCs w:val="21"/>
        </w:rPr>
      </w:pPr>
      <w:r>
        <w:rPr>
          <w:rFonts w:hint="eastAsia" w:cs="宋体"/>
          <w:bCs/>
          <w:color w:val="000000"/>
          <w:sz w:val="21"/>
          <w:szCs w:val="21"/>
        </w:rPr>
        <w:t xml:space="preserve">9、投标单位须具备独立完成本项目的能力，具有较强售后服务能力。因此各投标人可在投标前自行进行调研，了解项目情况及详细需求，但投标单位不得因此使招标单位承担有</w:t>
      </w:r>
      <w:r>
        <w:rPr>
          <w:rFonts w:hint="eastAsia" w:cs="宋体"/>
          <w:bCs/>
          <w:color w:val="000000"/>
          <w:sz w:val="21"/>
          <w:szCs w:val="21"/>
        </w:rPr>
        <w:t xml:space="preserve">关的责任和蒙受损失。投标单位应承担前期调研的责任和风险。投标单位中标后，不得以不了解项目情况及详细需求为理由而向采购单位提出任何索赔的要求，对此采购单位不再承担任何责任。</w:t>
      </w:r>
      <w:r>
        <w:rPr>
          <w:rFonts w:cs="宋体"/>
          <w:color w:val="000000"/>
          <w:sz w:val="21"/>
          <w:szCs w:val="21"/>
        </w:rPr>
      </w:r>
      <w:r/>
    </w:p>
    <w:p>
      <w:pPr>
        <w:pStyle w:val="928"/>
        <w:contextualSpacing/>
        <w:ind w:firstLine="420"/>
        <w:spacing w:line="360" w:lineRule="auto"/>
        <w:rPr>
          <w:rFonts w:hint="eastAsia" w:cs="宋体"/>
          <w:bCs/>
          <w:color w:val="000000"/>
          <w:sz w:val="21"/>
          <w:szCs w:val="21"/>
        </w:rPr>
      </w:pPr>
      <w:r>
        <w:rPr>
          <w:rFonts w:hint="eastAsia" w:cs="宋体"/>
          <w:bCs/>
          <w:color w:val="000000"/>
          <w:sz w:val="21"/>
          <w:szCs w:val="21"/>
        </w:rPr>
        <w:t xml:space="preserve">10、合同履行期限：</w:t>
      </w:r>
      <w:r>
        <w:rPr>
          <w:rFonts w:hint="eastAsia" w:cs="宋体"/>
          <w:color w:val="000000"/>
          <w:sz w:val="21"/>
        </w:rPr>
        <w:t xml:space="preserve">一年。</w:t>
      </w:r>
      <w:r>
        <w:rPr>
          <w:rFonts w:hint="eastAsia" w:cs="宋体"/>
          <w:bCs/>
          <w:color w:val="000000"/>
          <w:sz w:val="21"/>
          <w:szCs w:val="21"/>
        </w:rPr>
      </w:r>
      <w:r/>
    </w:p>
    <w:p>
      <w:pPr>
        <w:pStyle w:val="928"/>
        <w:contextualSpacing/>
        <w:ind w:firstLine="420"/>
        <w:spacing w:line="360" w:lineRule="auto"/>
        <w:rPr>
          <w:rFonts w:cs="宋体"/>
          <w:color w:val="000000"/>
          <w:sz w:val="21"/>
          <w:szCs w:val="21"/>
          <w:lang w:val="zh-CN"/>
        </w:rPr>
      </w:pPr>
      <w:r>
        <w:rPr>
          <w:rFonts w:hint="eastAsia" w:cs="宋体"/>
          <w:bCs/>
          <w:color w:val="000000"/>
          <w:sz w:val="21"/>
          <w:szCs w:val="21"/>
        </w:rPr>
        <w:t xml:space="preserve">11、</w:t>
      </w:r>
      <w:r>
        <w:rPr>
          <w:rFonts w:cs="宋体"/>
          <w:bCs/>
          <w:color w:val="000000"/>
          <w:sz w:val="21"/>
          <w:szCs w:val="21"/>
        </w:rPr>
        <w:t xml:space="preserve">凡涉及采购公告的补充说明和修改，均以江苏省政府采购网、苏州市政府采购网发布的补充通知为准</w:t>
      </w:r>
      <w:r>
        <w:rPr>
          <w:rFonts w:hint="eastAsia" w:cs="宋体"/>
          <w:bCs/>
          <w:color w:val="000000"/>
          <w:sz w:val="21"/>
          <w:szCs w:val="21"/>
        </w:rPr>
        <w:t xml:space="preserve">。</w:t>
      </w:r>
      <w:r>
        <w:rPr>
          <w:rFonts w:cs="宋体"/>
          <w:color w:val="000000"/>
          <w:sz w:val="21"/>
          <w:szCs w:val="21"/>
          <w:lang w:val="zh-CN"/>
        </w:rPr>
      </w:r>
      <w:r/>
    </w:p>
    <w:p>
      <w:pPr>
        <w:pStyle w:val="928"/>
        <w:contextualSpacing/>
        <w:spacing w:line="360" w:lineRule="auto"/>
        <w:rPr>
          <w:rFonts w:hint="eastAsia" w:cs="宋体"/>
          <w:bCs/>
          <w:color w:val="000000"/>
          <w:sz w:val="21"/>
          <w:szCs w:val="21"/>
        </w:rPr>
      </w:pPr>
      <w:r>
        <w:rPr>
          <w:rFonts w:hint="eastAsia" w:cs="宋体"/>
          <w:bCs/>
          <w:color w:val="000000"/>
          <w:sz w:val="21"/>
          <w:szCs w:val="21"/>
        </w:rPr>
        <w:t xml:space="preserve">六、政府政策</w:t>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（一）节能产品和环境标志产品</w:t>
      </w:r>
      <w:r>
        <w:rPr>
          <w:rFonts w:cs="宋体"/>
          <w:color w:val="000000"/>
          <w:sz w:val="21"/>
          <w:szCs w:val="21"/>
        </w:rPr>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根据《关于调整优化节能产品、环境标志产品政府采购执行机制的通知》（财库〔</w:t>
      </w:r>
      <w:r>
        <w:rPr>
          <w:rFonts w:cs="宋体"/>
          <w:color w:val="000000"/>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（二）中小企业相关政策</w:t>
      </w:r>
      <w:r>
        <w:rPr>
          <w:rFonts w:cs="宋体"/>
          <w:color w:val="000000"/>
          <w:sz w:val="21"/>
          <w:szCs w:val="21"/>
        </w:rPr>
      </w:r>
      <w:r/>
    </w:p>
    <w:p>
      <w:pPr>
        <w:pStyle w:val="928"/>
        <w:contextualSpacing/>
        <w:ind w:firstLine="420"/>
        <w:spacing w:line="360" w:lineRule="auto"/>
        <w:rPr>
          <w:rFonts w:cs="宋体"/>
          <w:color w:val="000000"/>
          <w:sz w:val="21"/>
          <w:szCs w:val="21"/>
        </w:rPr>
      </w:pPr>
      <w:r>
        <w:rPr>
          <w:rFonts w:cs="宋体"/>
          <w:color w:val="000000"/>
          <w:sz w:val="21"/>
          <w:szCs w:val="21"/>
        </w:rPr>
        <w:t xml:space="preserve">1、本项目专门面向中小企业采购，执行以下相关政策：</w:t>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根据《政府采购促进中小企业发展管理办法》（财库〔</w:t>
      </w:r>
      <w:r>
        <w:rPr>
          <w:rFonts w:cs="宋体"/>
          <w:color w:val="000000"/>
          <w:sz w:val="21"/>
          <w:szCs w:val="21"/>
        </w:rPr>
        <w:t xml:space="preserve">2020〕46号）有关规定，投标人应当提供中小企业声明函或残疾人福利性单位声明函或省级以上监狱管理局、戒毒管理局（含新疆生产建设兵团）出具的属于监狱企业的证明文件,否</w:t>
      </w:r>
      <w:r>
        <w:rPr>
          <w:rFonts w:cs="宋体"/>
          <w:color w:val="000000"/>
          <w:sz w:val="21"/>
          <w:szCs w:val="21"/>
        </w:rPr>
        <w:t xml:space="preserve">则视为投标无效。</w:t>
      </w:r>
      <w:r/>
    </w:p>
    <w:p>
      <w:pPr>
        <w:pStyle w:val="928"/>
        <w:contextualSpacing/>
        <w:ind w:firstLine="420"/>
        <w:spacing w:line="360" w:lineRule="auto"/>
        <w:rPr>
          <w:rFonts w:cs="宋体"/>
          <w:color w:val="000000"/>
          <w:sz w:val="21"/>
          <w:szCs w:val="21"/>
        </w:rPr>
      </w:pPr>
      <w:r>
        <w:rPr>
          <w:rFonts w:cs="宋体"/>
          <w:color w:val="000000"/>
          <w:sz w:val="21"/>
          <w:szCs w:val="21"/>
        </w:rPr>
        <w:t xml:space="preserve">1.1中小企业划分：</w:t>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1）符合中小企业划分标准的个体工商户，在政府采购活动中视同中小企业。</w:t>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2）中小企业划分标准详见“工信部联企业〔2011〕300号通知”</w:t>
      </w:r>
      <w:r/>
    </w:p>
    <w:p>
      <w:pPr>
        <w:pStyle w:val="928"/>
        <w:contextualSpacing/>
        <w:ind w:firstLine="420"/>
        <w:spacing w:line="360" w:lineRule="auto"/>
        <w:rPr>
          <w:rFonts w:cs="宋体"/>
          <w:color w:val="000000"/>
          <w:sz w:val="21"/>
          <w:szCs w:val="21"/>
        </w:rPr>
      </w:pPr>
      <w:r>
        <w:rPr>
          <w:rFonts w:cs="宋体"/>
          <w:color w:val="000000"/>
          <w:sz w:val="21"/>
          <w:szCs w:val="21"/>
        </w:rPr>
        <w:t xml:space="preserve">1.2残疾人福利性单位政策：</w:t>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根据《关于促进残疾人就业政府采购政策的通知》（财库〔</w:t>
      </w:r>
      <w:r>
        <w:rPr>
          <w:rFonts w:cs="宋体"/>
          <w:color w:val="000000"/>
          <w:sz w:val="21"/>
          <w:szCs w:val="21"/>
        </w:rPr>
        <w:t xml:space="preserve">2017〕141号）规定，投标人若为残疾人福利性单位的，提供残疾人福利性单位声明函的，视同小微型企业。残疾人福利性单位属于小微型企业的，不重复认定。</w:t>
      </w:r>
      <w:r/>
    </w:p>
    <w:p>
      <w:pPr>
        <w:pStyle w:val="928"/>
        <w:contextualSpacing/>
        <w:ind w:firstLine="420"/>
        <w:spacing w:line="360" w:lineRule="auto"/>
        <w:rPr>
          <w:rFonts w:cs="宋体"/>
          <w:color w:val="000000"/>
          <w:sz w:val="21"/>
          <w:szCs w:val="21"/>
        </w:rPr>
      </w:pPr>
      <w:r>
        <w:rPr>
          <w:rFonts w:cs="宋体"/>
          <w:color w:val="000000"/>
          <w:sz w:val="21"/>
          <w:szCs w:val="21"/>
        </w:rPr>
        <w:t xml:space="preserve">1.3监狱企业发展政策：</w:t>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根据《关于政府采购支持监狱企业发展有关问题的通知》（财库〔</w:t>
      </w:r>
      <w:r>
        <w:rPr>
          <w:rFonts w:cs="宋体"/>
          <w:color w:val="000000"/>
          <w:sz w:val="21"/>
          <w:szCs w:val="21"/>
        </w:rPr>
        <w:t xml:space="preserve">2014〕68号）规定，投标人若为监狱企业的，提供省级以上监狱管理局、戒毒管理局（含新疆生产建设兵团）出具的属于监狱企业的证明文件的，视同小微型企业。</w:t>
      </w:r>
      <w:r/>
    </w:p>
    <w:p>
      <w:pPr>
        <w:pStyle w:val="928"/>
        <w:contextualSpacing/>
        <w:ind w:firstLine="420"/>
        <w:spacing w:line="360" w:lineRule="auto"/>
        <w:rPr>
          <w:rFonts w:cs="宋体"/>
          <w:color w:val="000000"/>
          <w:sz w:val="21"/>
          <w:szCs w:val="21"/>
        </w:rPr>
      </w:pPr>
      <w:r>
        <w:rPr>
          <w:rFonts w:cs="宋体"/>
          <w:color w:val="000000"/>
          <w:sz w:val="21"/>
          <w:szCs w:val="21"/>
        </w:rPr>
        <w:t xml:space="preserve">1.4、中标、成交供应商享受规定的中小企业扶持政策的，其声明函及相关证明材料应当随中标、成交结果同时公告，接受社会监督。</w:t>
      </w:r>
      <w:r/>
    </w:p>
    <w:p>
      <w:pPr>
        <w:pStyle w:val="928"/>
        <w:contextualSpacing/>
        <w:ind w:firstLine="420"/>
        <w:spacing w:line="360" w:lineRule="auto"/>
        <w:rPr>
          <w:rFonts w:cs="宋体"/>
          <w:color w:val="000000"/>
          <w:sz w:val="21"/>
          <w:szCs w:val="21"/>
        </w:rPr>
      </w:pPr>
      <w:r>
        <w:rPr>
          <w:rFonts w:cs="宋体"/>
          <w:color w:val="000000"/>
          <w:sz w:val="21"/>
          <w:szCs w:val="21"/>
        </w:rPr>
        <w:t xml:space="preserve">1.5、专门面向中小企业采购的项目，不再执行价格评审优惠的扶持政策。</w:t>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（三）</w:t>
      </w:r>
      <w:r>
        <w:rPr>
          <w:rFonts w:cs="宋体"/>
          <w:color w:val="000000"/>
          <w:sz w:val="21"/>
        </w:rPr>
        <w:t xml:space="preserve">根据政府采购法及相关法规，以及《国务院关于建立完善守信联合激励和失信联合惩戒制度加快推进社会诚信建设的指导意见》（国发〔2016〕33号）《财政部关于在政府采购活动中查询及使用信</w:t>
      </w:r>
      <w:r>
        <w:rPr>
          <w:rFonts w:cs="宋体"/>
          <w:color w:val="000000"/>
          <w:sz w:val="21"/>
        </w:rPr>
        <w:t xml:space="preserve">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rPr>
        <w:t xml:space="preserve">。</w:t>
      </w:r>
      <w:r>
        <w:rPr>
          <w:rFonts w:cs="宋体"/>
          <w:color w:val="000000"/>
          <w:sz w:val="21"/>
          <w:szCs w:val="21"/>
        </w:rPr>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1）查询时间：响应文件递交截止时间后。</w:t>
      </w:r>
      <w:r/>
    </w:p>
    <w:p>
      <w:pPr>
        <w:pStyle w:val="928"/>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2）查询渠道：</w:t>
      </w:r>
      <w:r>
        <w:rPr>
          <w:color w:val="000000"/>
          <w:sz w:val="21"/>
          <w:szCs w:val="21"/>
        </w:rPr>
        <w:t xml:space="preserve">通过“信用中国”网站、中国政府采购网等渠道查询相关主体信用记录</w:t>
      </w:r>
      <w:r>
        <w:rPr>
          <w:rFonts w:cs="宋体"/>
          <w:color w:val="000000"/>
          <w:sz w:val="21"/>
          <w:szCs w:val="21"/>
        </w:rPr>
        <w:t xml:space="preserve">。</w:t>
      </w:r>
      <w:r/>
    </w:p>
    <w:p>
      <w:pPr>
        <w:pStyle w:val="928"/>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pStyle w:val="928"/>
        <w:ind w:firstLine="420"/>
        <w:spacing w:line="360" w:lineRule="auto"/>
        <w:rPr>
          <w:rFonts w:cs="宋体"/>
          <w:color w:val="000000"/>
          <w:sz w:val="21"/>
          <w:szCs w:val="21"/>
        </w:rPr>
      </w:pPr>
      <w:r>
        <w:rPr>
          <w:rFonts w:hint="eastAsia" w:cs="宋体"/>
          <w:color w:val="000000"/>
          <w:sz w:val="21"/>
          <w:szCs w:val="21"/>
        </w:rPr>
        <w:t xml:space="preserve">（4）信用记录使用规则：评审小组在对供应商进行资格性审查时，应根据查询结果对供应商的不良信用记录逐项甄别确认。</w:t>
      </w:r>
      <w:r>
        <w:rPr>
          <w:rFonts w:cs="宋体"/>
          <w:color w:val="000000"/>
          <w:sz w:val="21"/>
          <w:szCs w:val="21"/>
        </w:rPr>
      </w:r>
      <w:r/>
    </w:p>
    <w:p>
      <w:pPr>
        <w:pStyle w:val="928"/>
        <w:contextualSpacing/>
        <w:ind w:firstLine="420"/>
        <w:spacing w:line="360" w:lineRule="auto"/>
        <w:rPr>
          <w:rFonts w:cs="宋体"/>
          <w:color w:val="000000"/>
          <w:sz w:val="21"/>
          <w:szCs w:val="21"/>
          <w:lang w:val="zh-CN"/>
        </w:rPr>
      </w:pPr>
      <w:r>
        <w:rPr>
          <w:rFonts w:hint="eastAsia" w:cs="宋体"/>
          <w:color w:val="000000"/>
          <w:sz w:val="21"/>
          <w:szCs w:val="21"/>
          <w:lang w:val="zh-CN"/>
        </w:rPr>
        <w:br w:type="page" w:clear="all"/>
        <w:t xml:space="preserve">附件1：</w:t>
      </w:r>
      <w:r>
        <w:rPr>
          <w:rFonts w:cs="宋体"/>
          <w:color w:val="000000"/>
          <w:sz w:val="21"/>
          <w:szCs w:val="21"/>
          <w:lang w:val="zh-CN"/>
        </w:rPr>
      </w:r>
      <w:r/>
    </w:p>
    <w:p>
      <w:pPr>
        <w:pStyle w:val="928"/>
        <w:jc w:val="center"/>
        <w:spacing w:before="104" w:line="185" w:lineRule="auto"/>
        <w:rPr>
          <w:rFonts w:hint="eastAsia" w:ascii="微软雅黑" w:hAnsi="微软雅黑" w:eastAsia="微软雅黑" w:cs="微软雅黑"/>
          <w:color w:val="000000"/>
          <w:spacing w:val="19"/>
          <w:sz w:val="36"/>
          <w:szCs w:val="36"/>
        </w:rPr>
      </w:pPr>
      <w:r>
        <w:rPr>
          <w:rFonts w:ascii="微软雅黑" w:hAnsi="微软雅黑" w:eastAsia="微软雅黑" w:cs="微软雅黑"/>
          <w:color w:val="000000"/>
          <w:spacing w:val="19"/>
          <w:sz w:val="36"/>
          <w:szCs w:val="36"/>
        </w:rPr>
        <w:t xml:space="preserve">政府采购履约验收通知单（样本）</w:t>
      </w:r>
      <w:r>
        <w:rPr>
          <w:rFonts w:hint="eastAsia" w:ascii="微软雅黑" w:hAnsi="微软雅黑" w:eastAsia="微软雅黑" w:cs="微软雅黑"/>
          <w:color w:val="000000"/>
          <w:spacing w:val="19"/>
          <w:sz w:val="36"/>
          <w:szCs w:val="36"/>
        </w:rPr>
      </w:r>
      <w:r/>
    </w:p>
    <w:p>
      <w:pPr>
        <w:pStyle w:val="928"/>
        <w:ind w:left="85"/>
        <w:spacing w:before="216" w:line="214" w:lineRule="auto"/>
        <w:rPr>
          <w:rFonts w:hint="eastAsia" w:cs="宋体"/>
          <w:color w:val="000000"/>
          <w:sz w:val="23"/>
          <w:szCs w:val="23"/>
        </w:rPr>
      </w:pPr>
      <w:r>
        <w:rPr>
          <w:rFonts w:cs="宋体"/>
          <w:color w:val="000000"/>
          <w:spacing w:val="9"/>
          <w:sz w:val="23"/>
          <w:szCs w:val="23"/>
        </w:rPr>
        <w:t xml:space="preserve">供应商：</w:t>
      </w:r>
      <w:r>
        <w:rPr>
          <w:rFonts w:hint="eastAsia" w:cs="宋体"/>
          <w:color w:val="000000"/>
          <w:sz w:val="23"/>
          <w:szCs w:val="23"/>
        </w:rPr>
      </w:r>
      <w:r/>
    </w:p>
    <w:p>
      <w:pPr>
        <w:pStyle w:val="928"/>
        <w:spacing w:line="44" w:lineRule="exact"/>
        <w:rPr>
          <w:rFonts w:ascii="Times New Roman" w:hAnsi="Times New Roman"/>
          <w:color w:val="000000"/>
          <w:sz w:val="21"/>
        </w:rPr>
      </w:pPr>
      <w:r>
        <w:rPr>
          <w:rFonts w:ascii="Times New Roman" w:hAnsi="Times New Roman"/>
          <w:color w:val="000000"/>
          <w:sz w:val="21"/>
        </w:rPr>
      </w:r>
      <w:r/>
    </w:p>
    <w:tbl>
      <w:tblPr>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928"/>
              <w:ind w:left="961"/>
              <w:spacing w:before="249" w:line="212" w:lineRule="auto"/>
              <w:rPr>
                <w:rFonts w:hint="eastAsia" w:ascii="黑体" w:hAnsi="黑体" w:eastAsia="黑体" w:cs="黑体"/>
                <w:color w:val="000000"/>
                <w:sz w:val="23"/>
                <w:szCs w:val="23"/>
              </w:rPr>
            </w:pPr>
            <w:r>
              <w:rPr>
                <w:rFonts w:ascii="黑体" w:hAnsi="黑体" w:eastAsia="黑体" w:cs="黑体"/>
                <w:color w:val="000000"/>
                <w:spacing w:val="2"/>
                <w:sz w:val="23"/>
                <w:szCs w:val="23"/>
              </w:rPr>
              <w:t xml:space="preserve">采购人</w:t>
            </w:r>
            <w:r>
              <w:rPr>
                <w:rFonts w:hint="eastAsia" w:ascii="黑体" w:hAnsi="黑体" w:eastAsia="黑体" w:cs="黑体"/>
                <w:color w:val="000000"/>
                <w:sz w:val="23"/>
                <w:szCs w:val="23"/>
              </w:rPr>
            </w:r>
            <w:r/>
          </w:p>
        </w:tc>
        <w:tc>
          <w:tcPr>
            <w:gridSpan w:val="3"/>
            <w:tcW w:w="6708"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0"/>
        </w:trPr>
        <w:tc>
          <w:tcPr>
            <w:tcW w:w="2610" w:type="dxa"/>
            <w:vAlign w:val="top"/>
            <w:textDirection w:val="lrTb"/>
            <w:noWrap w:val="false"/>
          </w:tcPr>
          <w:p>
            <w:pPr>
              <w:pStyle w:val="928"/>
              <w:ind w:left="841"/>
              <w:spacing w:before="249" w:line="211" w:lineRule="auto"/>
              <w:rPr>
                <w:rFonts w:hint="eastAsia" w:ascii="黑体" w:hAnsi="黑体" w:eastAsia="黑体" w:cs="黑体"/>
                <w:color w:val="000000"/>
                <w:sz w:val="23"/>
                <w:szCs w:val="23"/>
              </w:rPr>
            </w:pPr>
            <w:r>
              <w:rPr>
                <w:rFonts w:ascii="黑体" w:hAnsi="黑体" w:eastAsia="黑体" w:cs="黑体"/>
                <w:color w:val="000000"/>
                <w:spacing w:val="2"/>
                <w:sz w:val="23"/>
                <w:szCs w:val="23"/>
              </w:rPr>
              <w:t xml:space="preserve">项目名称</w:t>
            </w:r>
            <w:r>
              <w:rPr>
                <w:rFonts w:hint="eastAsia" w:ascii="黑体" w:hAnsi="黑体" w:eastAsia="黑体" w:cs="黑体"/>
                <w:color w:val="000000"/>
                <w:sz w:val="23"/>
                <w:szCs w:val="23"/>
              </w:rPr>
            </w:r>
            <w:r/>
          </w:p>
        </w:tc>
        <w:tc>
          <w:tcPr>
            <w:gridSpan w:val="3"/>
            <w:tcW w:w="6708"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59"/>
        </w:trPr>
        <w:tc>
          <w:tcPr>
            <w:tcW w:w="2610" w:type="dxa"/>
            <w:vAlign w:val="top"/>
            <w:textDirection w:val="lrTb"/>
            <w:noWrap w:val="false"/>
          </w:tcPr>
          <w:p>
            <w:pPr>
              <w:pStyle w:val="928"/>
              <w:ind w:left="841"/>
              <w:spacing w:before="247" w:line="213" w:lineRule="auto"/>
              <w:rPr>
                <w:rFonts w:hint="eastAsia" w:ascii="黑体" w:hAnsi="黑体" w:eastAsia="黑体" w:cs="黑体"/>
                <w:color w:val="000000"/>
                <w:sz w:val="23"/>
                <w:szCs w:val="23"/>
              </w:rPr>
            </w:pPr>
            <w:r>
              <w:rPr>
                <w:rFonts w:ascii="黑体" w:hAnsi="黑体" w:eastAsia="黑体" w:cs="黑体"/>
                <w:color w:val="000000"/>
                <w:spacing w:val="2"/>
                <w:sz w:val="23"/>
                <w:szCs w:val="23"/>
              </w:rPr>
              <w:t xml:space="preserve">合同名称</w:t>
            </w:r>
            <w:r>
              <w:rPr>
                <w:rFonts w:hint="eastAsia" w:ascii="黑体" w:hAnsi="黑体" w:eastAsia="黑体" w:cs="黑体"/>
                <w:color w:val="000000"/>
                <w:sz w:val="23"/>
                <w:szCs w:val="23"/>
              </w:rPr>
            </w:r>
            <w:r/>
          </w:p>
        </w:tc>
        <w:tc>
          <w:tcPr>
            <w:gridSpan w:val="3"/>
            <w:tcW w:w="6708"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0"/>
        </w:trPr>
        <w:tc>
          <w:tcPr>
            <w:tcW w:w="2610" w:type="dxa"/>
            <w:vAlign w:val="top"/>
            <w:textDirection w:val="lrTb"/>
            <w:noWrap w:val="false"/>
          </w:tcPr>
          <w:p>
            <w:pPr>
              <w:pStyle w:val="928"/>
              <w:ind w:left="841"/>
              <w:spacing w:before="247" w:line="212" w:lineRule="auto"/>
              <w:rPr>
                <w:rFonts w:hint="eastAsia" w:ascii="黑体" w:hAnsi="黑体" w:eastAsia="黑体" w:cs="黑体"/>
                <w:color w:val="000000"/>
                <w:sz w:val="23"/>
                <w:szCs w:val="23"/>
              </w:rPr>
            </w:pPr>
            <w:r>
              <w:rPr>
                <w:rFonts w:ascii="黑体" w:hAnsi="黑体" w:eastAsia="黑体" w:cs="黑体"/>
                <w:color w:val="000000"/>
                <w:spacing w:val="2"/>
                <w:sz w:val="23"/>
                <w:szCs w:val="23"/>
              </w:rPr>
              <w:t xml:space="preserve">合同编号</w:t>
            </w:r>
            <w:r>
              <w:rPr>
                <w:rFonts w:hint="eastAsia" w:ascii="黑体" w:hAnsi="黑体" w:eastAsia="黑体" w:cs="黑体"/>
                <w:color w:val="000000"/>
                <w:sz w:val="23"/>
                <w:szCs w:val="23"/>
              </w:rPr>
            </w:r>
            <w:r/>
          </w:p>
        </w:tc>
        <w:tc>
          <w:tcPr>
            <w:tcW w:w="1961"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139" w:type="dxa"/>
            <w:vAlign w:val="top"/>
            <w:textDirection w:val="lrTb"/>
            <w:noWrap w:val="false"/>
          </w:tcPr>
          <w:p>
            <w:pPr>
              <w:pStyle w:val="928"/>
              <w:ind w:left="607"/>
              <w:spacing w:before="247" w:line="213" w:lineRule="auto"/>
              <w:rPr>
                <w:rFonts w:hint="eastAsia" w:ascii="黑体" w:hAnsi="黑体" w:eastAsia="黑体" w:cs="黑体"/>
                <w:color w:val="000000"/>
                <w:sz w:val="23"/>
                <w:szCs w:val="23"/>
              </w:rPr>
            </w:pPr>
            <w:r>
              <w:rPr>
                <w:rFonts w:ascii="黑体" w:hAnsi="黑体" w:eastAsia="黑体" w:cs="黑体"/>
                <w:color w:val="000000"/>
                <w:spacing w:val="2"/>
                <w:sz w:val="23"/>
                <w:szCs w:val="23"/>
              </w:rPr>
              <w:t xml:space="preserve">合同金额</w:t>
            </w:r>
            <w:r>
              <w:rPr>
                <w:rFonts w:hint="eastAsia" w:ascii="黑体" w:hAnsi="黑体" w:eastAsia="黑体" w:cs="黑体"/>
                <w:color w:val="000000"/>
                <w:sz w:val="23"/>
                <w:szCs w:val="23"/>
              </w:rPr>
            </w:r>
            <w:r/>
          </w:p>
        </w:tc>
        <w:tc>
          <w:tcPr>
            <w:tcW w:w="2608"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59"/>
        </w:trPr>
        <w:tc>
          <w:tcPr>
            <w:tcW w:w="2610" w:type="dxa"/>
            <w:vAlign w:val="top"/>
            <w:textDirection w:val="lrTb"/>
            <w:noWrap w:val="false"/>
          </w:tcPr>
          <w:p>
            <w:pPr>
              <w:pStyle w:val="928"/>
              <w:ind w:left="841"/>
              <w:spacing w:before="248" w:line="212" w:lineRule="auto"/>
              <w:rPr>
                <w:rFonts w:hint="eastAsia" w:ascii="黑体" w:hAnsi="黑体" w:eastAsia="黑体" w:cs="黑体"/>
                <w:color w:val="000000"/>
                <w:sz w:val="23"/>
                <w:szCs w:val="23"/>
              </w:rPr>
            </w:pPr>
            <w:r>
              <w:rPr>
                <w:rFonts w:ascii="黑体" w:hAnsi="黑体" w:eastAsia="黑体" w:cs="黑体"/>
                <w:color w:val="000000"/>
                <w:spacing w:val="4"/>
                <w:sz w:val="23"/>
                <w:szCs w:val="23"/>
              </w:rPr>
              <w:t xml:space="preserve">验收时间</w:t>
            </w:r>
            <w:r>
              <w:rPr>
                <w:rFonts w:hint="eastAsia" w:ascii="黑体" w:hAnsi="黑体" w:eastAsia="黑体" w:cs="黑体"/>
                <w:color w:val="000000"/>
                <w:sz w:val="23"/>
                <w:szCs w:val="23"/>
              </w:rPr>
            </w:r>
            <w:r/>
          </w:p>
        </w:tc>
        <w:tc>
          <w:tcPr>
            <w:tcW w:w="1961"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139" w:type="dxa"/>
            <w:vAlign w:val="top"/>
            <w:textDirection w:val="lrTb"/>
            <w:noWrap w:val="false"/>
          </w:tcPr>
          <w:p>
            <w:pPr>
              <w:pStyle w:val="928"/>
              <w:ind w:left="607"/>
              <w:spacing w:before="248" w:line="213" w:lineRule="auto"/>
              <w:rPr>
                <w:rFonts w:hint="eastAsia" w:ascii="黑体" w:hAnsi="黑体" w:eastAsia="黑体" w:cs="黑体"/>
                <w:color w:val="000000"/>
                <w:sz w:val="23"/>
                <w:szCs w:val="23"/>
              </w:rPr>
            </w:pPr>
            <w:r>
              <w:rPr>
                <w:rFonts w:ascii="黑体" w:hAnsi="黑体" w:eastAsia="黑体" w:cs="黑体"/>
                <w:color w:val="000000"/>
                <w:spacing w:val="4"/>
                <w:sz w:val="23"/>
                <w:szCs w:val="23"/>
              </w:rPr>
              <w:t xml:space="preserve">验收地点</w:t>
            </w:r>
            <w:r>
              <w:rPr>
                <w:rFonts w:hint="eastAsia" w:ascii="黑体" w:hAnsi="黑体" w:eastAsia="黑体" w:cs="黑体"/>
                <w:color w:val="000000"/>
                <w:sz w:val="23"/>
                <w:szCs w:val="23"/>
              </w:rPr>
            </w:r>
            <w:r/>
          </w:p>
        </w:tc>
        <w:tc>
          <w:tcPr>
            <w:tcW w:w="2608"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0"/>
        </w:trPr>
        <w:tc>
          <w:tcPr>
            <w:tcW w:w="2610" w:type="dxa"/>
            <w:vAlign w:val="top"/>
            <w:textDirection w:val="lrTb"/>
            <w:noWrap w:val="false"/>
          </w:tcPr>
          <w:p>
            <w:pPr>
              <w:pStyle w:val="928"/>
              <w:ind w:left="960"/>
              <w:spacing w:before="248" w:line="213" w:lineRule="auto"/>
              <w:rPr>
                <w:rFonts w:hint="eastAsia" w:ascii="黑体" w:hAnsi="黑体" w:eastAsia="黑体" w:cs="黑体"/>
                <w:color w:val="000000"/>
                <w:sz w:val="23"/>
                <w:szCs w:val="23"/>
              </w:rPr>
            </w:pPr>
            <w:r>
              <w:rPr>
                <w:rFonts w:ascii="黑体" w:hAnsi="黑体" w:eastAsia="黑体" w:cs="黑体"/>
                <w:color w:val="000000"/>
                <w:spacing w:val="1"/>
                <w:sz w:val="23"/>
                <w:szCs w:val="23"/>
              </w:rPr>
              <w:t xml:space="preserve">联系人</w:t>
            </w:r>
            <w:r>
              <w:rPr>
                <w:rFonts w:hint="eastAsia" w:ascii="黑体" w:hAnsi="黑体" w:eastAsia="黑体" w:cs="黑体"/>
                <w:color w:val="000000"/>
                <w:sz w:val="23"/>
                <w:szCs w:val="23"/>
              </w:rPr>
            </w:r>
            <w:r/>
          </w:p>
        </w:tc>
        <w:tc>
          <w:tcPr>
            <w:tcW w:w="1961"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139" w:type="dxa"/>
            <w:vAlign w:val="top"/>
            <w:textDirection w:val="lrTb"/>
            <w:noWrap w:val="false"/>
          </w:tcPr>
          <w:p>
            <w:pPr>
              <w:pStyle w:val="928"/>
              <w:ind w:left="605"/>
              <w:spacing w:before="248" w:line="213" w:lineRule="auto"/>
              <w:rPr>
                <w:rFonts w:hint="eastAsia" w:ascii="黑体" w:hAnsi="黑体" w:eastAsia="黑体" w:cs="黑体"/>
                <w:color w:val="000000"/>
                <w:sz w:val="23"/>
                <w:szCs w:val="23"/>
              </w:rPr>
            </w:pPr>
            <w:r>
              <w:rPr>
                <w:rFonts w:ascii="黑体" w:hAnsi="黑体" w:eastAsia="黑体" w:cs="黑体"/>
                <w:color w:val="000000"/>
                <w:spacing w:val="3"/>
                <w:sz w:val="23"/>
                <w:szCs w:val="23"/>
              </w:rPr>
              <w:t xml:space="preserve">联系电话</w:t>
            </w:r>
            <w:r>
              <w:rPr>
                <w:rFonts w:hint="eastAsia" w:ascii="黑体" w:hAnsi="黑体" w:eastAsia="黑体" w:cs="黑体"/>
                <w:color w:val="000000"/>
                <w:sz w:val="23"/>
                <w:szCs w:val="23"/>
              </w:rPr>
            </w:r>
            <w:r/>
          </w:p>
        </w:tc>
        <w:tc>
          <w:tcPr>
            <w:tcW w:w="2608"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0"/>
        </w:trPr>
        <w:tc>
          <w:tcPr>
            <w:gridSpan w:val="4"/>
            <w:tcW w:w="9318" w:type="dxa"/>
            <w:vAlign w:val="top"/>
            <w:textDirection w:val="lrTb"/>
            <w:noWrap w:val="false"/>
          </w:tcPr>
          <w:p>
            <w:pPr>
              <w:pStyle w:val="928"/>
              <w:ind w:left="3353"/>
              <w:spacing w:before="250" w:line="212" w:lineRule="auto"/>
              <w:rPr>
                <w:rFonts w:hint="eastAsia" w:ascii="黑体" w:hAnsi="黑体" w:eastAsia="黑体" w:cs="黑体"/>
                <w:color w:val="000000"/>
                <w:sz w:val="23"/>
                <w:szCs w:val="23"/>
              </w:rPr>
            </w:pPr>
            <w:r>
              <w:rPr>
                <w:rFonts w:ascii="黑体" w:hAnsi="黑体" w:eastAsia="黑体" w:cs="黑体"/>
                <w:color w:val="000000"/>
                <w:spacing w:val="7"/>
                <w:sz w:val="23"/>
                <w:szCs w:val="23"/>
              </w:rPr>
              <w:t xml:space="preserve">履约验收方案及工作要求</w:t>
            </w:r>
            <w:r>
              <w:rPr>
                <w:rFonts w:hint="eastAsia" w:ascii="黑体" w:hAnsi="黑体" w:eastAsia="黑体" w:cs="黑体"/>
                <w:color w:val="000000"/>
                <w:sz w:val="23"/>
                <w:szCs w:val="23"/>
              </w:rPr>
            </w:r>
            <w:r/>
          </w:p>
        </w:tc>
      </w:tr>
      <w:tr>
        <w:trPr>
          <w:trHeight w:val="7569"/>
        </w:trPr>
        <w:tc>
          <w:tcPr>
            <w:gridSpan w:val="4"/>
            <w:tcW w:w="9318" w:type="dxa"/>
            <w:vAlign w:val="top"/>
            <w:textDirection w:val="lrTb"/>
            <w:noWrap w:val="false"/>
          </w:tcPr>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2"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42" w:lineRule="auto"/>
              <w:rPr>
                <w:rFonts w:ascii="Arial" w:hAnsi="Arial" w:eastAsia="Arial" w:cs="Arial"/>
                <w:color w:val="000000"/>
                <w:sz w:val="21"/>
                <w:szCs w:val="21"/>
              </w:rPr>
            </w:pPr>
            <w:r>
              <w:rPr>
                <w:rFonts w:ascii="Arial" w:hAnsi="Arial" w:eastAsia="Arial" w:cs="Arial"/>
                <w:color w:val="000000"/>
                <w:sz w:val="21"/>
                <w:szCs w:val="21"/>
              </w:rPr>
            </w:r>
            <w:r/>
          </w:p>
          <w:p>
            <w:pPr>
              <w:pStyle w:val="928"/>
              <w:ind w:right="2893" w:firstLine="4720"/>
              <w:spacing w:before="75" w:line="507" w:lineRule="auto"/>
              <w:rPr>
                <w:rFonts w:hint="eastAsia" w:ascii="黑体" w:hAnsi="黑体" w:eastAsia="黑体" w:cs="黑体"/>
                <w:color w:val="000000"/>
                <w:spacing w:val="3"/>
                <w:sz w:val="23"/>
                <w:szCs w:val="23"/>
              </w:rPr>
            </w:pPr>
            <w:r>
              <w:rPr>
                <w:rFonts w:ascii="黑体" w:hAnsi="黑体" w:eastAsia="黑体" w:cs="黑体"/>
                <w:color w:val="000000"/>
                <w:spacing w:val="3"/>
                <w:sz w:val="23"/>
                <w:szCs w:val="23"/>
              </w:rPr>
              <w:t xml:space="preserve">单位公章</w:t>
            </w:r>
            <w:r>
              <w:rPr>
                <w:rFonts w:hint="eastAsia" w:ascii="黑体" w:hAnsi="黑体" w:eastAsia="黑体" w:cs="黑体"/>
                <w:color w:val="000000"/>
                <w:spacing w:val="3"/>
                <w:sz w:val="23"/>
                <w:szCs w:val="23"/>
              </w:rPr>
            </w:r>
            <w:r/>
          </w:p>
          <w:p>
            <w:pPr>
              <w:pStyle w:val="928"/>
              <w:ind w:right="2893" w:firstLine="4600"/>
              <w:spacing w:before="75" w:line="507" w:lineRule="auto"/>
              <w:rPr>
                <w:rFonts w:hint="eastAsia" w:ascii="黑体" w:hAnsi="黑体" w:eastAsia="黑体" w:cs="黑体"/>
                <w:color w:val="000000"/>
                <w:sz w:val="23"/>
                <w:szCs w:val="23"/>
              </w:rPr>
            </w:pPr>
            <w:r>
              <w:rPr>
                <w:rFonts w:ascii="黑体" w:hAnsi="黑体" w:eastAsia="黑体" w:cs="黑体"/>
                <w:color w:val="000000"/>
                <w:sz w:val="23"/>
                <w:szCs w:val="23"/>
              </w:rPr>
              <w:t xml:space="preserve">  </w:t>
            </w:r>
            <w:r>
              <w:rPr>
                <w:rFonts w:ascii="黑体" w:hAnsi="黑体" w:eastAsia="黑体" w:cs="黑体"/>
                <w:color w:val="000000"/>
                <w:spacing w:val="-16"/>
                <w:sz w:val="23"/>
                <w:szCs w:val="23"/>
              </w:rPr>
              <w:t xml:space="preserve">年</w:t>
            </w:r>
            <w:r>
              <w:rPr>
                <w:rFonts w:ascii="黑体" w:hAnsi="黑体" w:eastAsia="黑体" w:cs="黑体"/>
                <w:color w:val="000000"/>
                <w:spacing w:val="18"/>
                <w:sz w:val="23"/>
                <w:szCs w:val="23"/>
              </w:rPr>
              <w:t xml:space="preserve"> </w:t>
            </w:r>
            <w:r>
              <w:rPr>
                <w:rFonts w:ascii="黑体" w:hAnsi="黑体" w:eastAsia="黑体" w:cs="黑体"/>
                <w:color w:val="000000"/>
                <w:spacing w:val="-16"/>
                <w:sz w:val="23"/>
                <w:szCs w:val="23"/>
              </w:rPr>
              <w:t xml:space="preserve">月</w:t>
            </w:r>
            <w:r>
              <w:rPr>
                <w:rFonts w:ascii="黑体" w:hAnsi="黑体" w:eastAsia="黑体" w:cs="黑体"/>
                <w:color w:val="000000"/>
                <w:spacing w:val="12"/>
                <w:sz w:val="23"/>
                <w:szCs w:val="23"/>
              </w:rPr>
              <w:t xml:space="preserve">  </w:t>
            </w:r>
            <w:r>
              <w:rPr>
                <w:rFonts w:ascii="黑体" w:hAnsi="黑体" w:eastAsia="黑体" w:cs="黑体"/>
                <w:color w:val="000000"/>
                <w:spacing w:val="-16"/>
                <w:sz w:val="23"/>
                <w:szCs w:val="23"/>
              </w:rPr>
              <w:t xml:space="preserve">日</w:t>
            </w:r>
            <w:r>
              <w:rPr>
                <w:rFonts w:hint="eastAsia" w:ascii="黑体" w:hAnsi="黑体" w:eastAsia="黑体" w:cs="黑体"/>
                <w:color w:val="000000"/>
                <w:sz w:val="23"/>
                <w:szCs w:val="23"/>
              </w:rPr>
            </w:r>
            <w:r/>
          </w:p>
        </w:tc>
      </w:tr>
    </w:tbl>
    <w:p>
      <w:pPr>
        <w:pStyle w:val="928"/>
        <w:spacing w:before="240" w:after="60"/>
        <w:rPr>
          <w:rFonts w:hint="eastAsia"/>
          <w:b/>
          <w:bCs/>
          <w:color w:val="000000"/>
          <w:sz w:val="28"/>
          <w:szCs w:val="28"/>
        </w:rPr>
        <w:sectPr>
          <w:footerReference w:type="default" r:id="rId9"/>
          <w:footerReference w:type="even" r:id="rId10"/>
          <w:footerReference w:type="first" r:id="rId11"/>
          <w:footnotePr/>
          <w:endnotePr/>
          <w:type w:val="nextPage"/>
          <w:pgSz w:w="11906" w:h="16838" w:orient="portrait"/>
          <w:pgMar w:top="1418" w:right="1134" w:bottom="1134" w:left="1418" w:header="624" w:footer="510" w:gutter="113"/>
          <w:pgNumType w:start="1"/>
          <w:cols w:num="1" w:sep="0" w:space="720" w:equalWidth="1"/>
          <w:docGrid w:linePitch="360"/>
          <w:titlePg/>
        </w:sectPr>
        <w:outlineLvl w:val="0"/>
      </w:pPr>
      <w:r>
        <w:rPr>
          <w:rFonts w:hint="eastAsia"/>
          <w:b/>
          <w:bCs/>
          <w:color w:val="000000"/>
          <w:sz w:val="28"/>
          <w:szCs w:val="28"/>
        </w:rPr>
      </w:r>
      <w:r/>
    </w:p>
    <w:p>
      <w:pPr>
        <w:pStyle w:val="928"/>
        <w:contextualSpacing/>
        <w:ind w:firstLine="420"/>
        <w:spacing w:line="360" w:lineRule="auto"/>
        <w:rPr>
          <w:rFonts w:hint="eastAsia" w:cs="宋体"/>
          <w:color w:val="000000"/>
          <w:sz w:val="21"/>
          <w:szCs w:val="21"/>
          <w:lang w:val="zh-CN"/>
        </w:rPr>
      </w:pPr>
      <w:r>
        <w:rPr>
          <w:rFonts w:cs="宋体"/>
          <w:color w:val="000000"/>
          <w:sz w:val="21"/>
          <w:szCs w:val="21"/>
          <w:lang w:val="zh-CN"/>
        </w:rPr>
        <w:t xml:space="preserve">附件</w:t>
      </w:r>
      <w:r>
        <w:rPr>
          <w:rFonts w:hint="eastAsia" w:cs="宋体"/>
          <w:color w:val="000000"/>
          <w:sz w:val="21"/>
          <w:szCs w:val="21"/>
          <w:lang w:val="zh-CN"/>
        </w:rPr>
        <w:t xml:space="preserve">2</w:t>
      </w:r>
      <w:r/>
    </w:p>
    <w:p>
      <w:pPr>
        <w:pStyle w:val="928"/>
        <w:ind w:left="3812"/>
        <w:spacing w:before="104" w:line="185" w:lineRule="auto"/>
        <w:rPr>
          <w:rFonts w:hint="eastAsia" w:ascii="微软雅黑" w:hAnsi="微软雅黑" w:eastAsia="微软雅黑" w:cs="微软雅黑"/>
          <w:color w:val="000000"/>
          <w:sz w:val="36"/>
          <w:szCs w:val="36"/>
        </w:rPr>
      </w:pPr>
      <w:r>
        <w:rPr>
          <w:rFonts w:ascii="微软雅黑" w:hAnsi="微软雅黑" w:eastAsia="微软雅黑" w:cs="微软雅黑"/>
          <w:color w:val="000000"/>
          <w:spacing w:val="19"/>
          <w:sz w:val="36"/>
          <w:szCs w:val="36"/>
        </w:rPr>
        <w:t xml:space="preserve">政府采购履约验收书参考样本(服务类)</w:t>
      </w:r>
      <w:r>
        <w:rPr>
          <w:rFonts w:hint="eastAsia" w:ascii="微软雅黑" w:hAnsi="微软雅黑" w:eastAsia="微软雅黑" w:cs="微软雅黑"/>
          <w:color w:val="000000"/>
          <w:sz w:val="36"/>
          <w:szCs w:val="36"/>
        </w:rPr>
      </w:r>
      <w:r/>
    </w:p>
    <w:tbl>
      <w:tblPr>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pStyle w:val="928"/>
              <w:ind w:left="543"/>
              <w:spacing w:before="298" w:line="207" w:lineRule="auto"/>
              <w:rPr>
                <w:rFonts w:hint="eastAsia" w:cs="宋体"/>
                <w:color w:val="000000"/>
                <w:sz w:val="18"/>
                <w:szCs w:val="18"/>
              </w:rPr>
            </w:pPr>
            <w:r>
              <w:rPr>
                <w:rFonts w:cs="宋体"/>
                <w:color w:val="000000"/>
                <w:spacing w:val="-3"/>
                <w:sz w:val="18"/>
                <w:szCs w:val="18"/>
              </w:rPr>
              <w:t xml:space="preserve">采购人</w:t>
            </w:r>
            <w:r>
              <w:rPr>
                <w:rFonts w:hint="eastAsia" w:cs="宋体"/>
                <w:color w:val="000000"/>
                <w:sz w:val="18"/>
                <w:szCs w:val="18"/>
              </w:rPr>
            </w:r>
            <w:r/>
          </w:p>
        </w:tc>
        <w:tc>
          <w:tcPr>
            <w:tcW w:w="1714"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816" w:type="dxa"/>
            <w:vAlign w:val="top"/>
            <w:textDirection w:val="lrTb"/>
            <w:noWrap w:val="false"/>
          </w:tcPr>
          <w:p>
            <w:pPr>
              <w:pStyle w:val="928"/>
              <w:ind w:left="553"/>
              <w:spacing w:before="298" w:line="208" w:lineRule="auto"/>
              <w:rPr>
                <w:rFonts w:hint="eastAsia" w:cs="宋体"/>
                <w:color w:val="000000"/>
                <w:sz w:val="18"/>
                <w:szCs w:val="18"/>
              </w:rPr>
            </w:pPr>
            <w:r>
              <w:rPr>
                <w:rFonts w:cs="宋体"/>
                <w:color w:val="000000"/>
                <w:spacing w:val="-3"/>
                <w:sz w:val="18"/>
                <w:szCs w:val="18"/>
              </w:rPr>
              <w:t xml:space="preserve">项目名称</w:t>
            </w:r>
            <w:r>
              <w:rPr>
                <w:rFonts w:hint="eastAsia" w:cs="宋体"/>
                <w:color w:val="000000"/>
                <w:sz w:val="18"/>
                <w:szCs w:val="18"/>
              </w:rPr>
            </w:r>
            <w:r/>
          </w:p>
        </w:tc>
        <w:tc>
          <w:tcPr>
            <w:tcW w:w="2476"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W w:w="3987" w:type="dxa"/>
            <w:vAlign w:val="top"/>
            <w:textDirection w:val="lrTb"/>
            <w:noWrap w:val="false"/>
          </w:tcPr>
          <w:p>
            <w:pPr>
              <w:pStyle w:val="928"/>
              <w:ind w:left="1640"/>
              <w:spacing w:before="298" w:line="207" w:lineRule="auto"/>
              <w:rPr>
                <w:rFonts w:hint="eastAsia" w:cs="宋体"/>
                <w:color w:val="000000"/>
                <w:sz w:val="18"/>
                <w:szCs w:val="18"/>
              </w:rPr>
            </w:pPr>
            <w:r>
              <w:rPr>
                <w:rFonts w:cs="宋体"/>
                <w:color w:val="000000"/>
                <w:spacing w:val="-2"/>
                <w:sz w:val="18"/>
                <w:szCs w:val="18"/>
              </w:rPr>
              <w:t xml:space="preserve">合同名称</w:t>
            </w:r>
            <w:r>
              <w:rPr>
                <w:rFonts w:hint="eastAsia" w:cs="宋体"/>
                <w:color w:val="000000"/>
                <w:sz w:val="18"/>
                <w:szCs w:val="18"/>
              </w:rPr>
            </w:r>
            <w:r/>
          </w:p>
        </w:tc>
        <w:tc>
          <w:tcPr>
            <w:tcW w:w="2556"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64"/>
        </w:trPr>
        <w:tc>
          <w:tcPr>
            <w:tcW w:w="1625" w:type="dxa"/>
            <w:vAlign w:val="top"/>
            <w:textDirection w:val="lrTb"/>
            <w:noWrap w:val="false"/>
          </w:tcPr>
          <w:p>
            <w:pPr>
              <w:pStyle w:val="928"/>
              <w:ind w:left="544"/>
              <w:spacing w:before="298" w:line="207" w:lineRule="auto"/>
              <w:rPr>
                <w:rFonts w:hint="eastAsia" w:cs="宋体"/>
                <w:color w:val="000000"/>
                <w:sz w:val="18"/>
                <w:szCs w:val="18"/>
              </w:rPr>
            </w:pPr>
            <w:r>
              <w:rPr>
                <w:rFonts w:cs="宋体"/>
                <w:color w:val="000000"/>
                <w:spacing w:val="-3"/>
                <w:sz w:val="18"/>
                <w:szCs w:val="18"/>
              </w:rPr>
              <w:t xml:space="preserve">供</w:t>
            </w:r>
            <w:r>
              <w:rPr>
                <w:rFonts w:cs="宋体"/>
                <w:color w:val="000000"/>
                <w:spacing w:val="-3"/>
                <w:sz w:val="18"/>
                <w:szCs w:val="18"/>
              </w:rPr>
              <w:t xml:space="preserve">应商</w:t>
            </w:r>
            <w:r>
              <w:rPr>
                <w:rFonts w:hint="eastAsia" w:cs="宋体"/>
                <w:color w:val="000000"/>
                <w:sz w:val="18"/>
                <w:szCs w:val="18"/>
              </w:rPr>
            </w:r>
            <w:r/>
          </w:p>
        </w:tc>
        <w:tc>
          <w:tcPr>
            <w:tcW w:w="1714"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816" w:type="dxa"/>
            <w:vAlign w:val="top"/>
            <w:textDirection w:val="lrTb"/>
            <w:noWrap w:val="false"/>
          </w:tcPr>
          <w:p>
            <w:pPr>
              <w:pStyle w:val="928"/>
              <w:ind w:left="285"/>
              <w:spacing w:before="298" w:line="207" w:lineRule="auto"/>
              <w:rPr>
                <w:rFonts w:hint="eastAsia" w:cs="宋体"/>
                <w:color w:val="000000"/>
                <w:sz w:val="18"/>
                <w:szCs w:val="18"/>
              </w:rPr>
            </w:pPr>
            <w:r>
              <w:rPr>
                <w:rFonts w:cs="宋体"/>
                <w:color w:val="000000"/>
                <w:spacing w:val="-2"/>
                <w:sz w:val="18"/>
                <w:szCs w:val="18"/>
              </w:rPr>
              <w:t xml:space="preserve">项目及合同编号</w:t>
            </w:r>
            <w:r>
              <w:rPr>
                <w:rFonts w:hint="eastAsia" w:cs="宋体"/>
                <w:color w:val="000000"/>
                <w:sz w:val="18"/>
                <w:szCs w:val="18"/>
              </w:rPr>
            </w:r>
            <w:r/>
          </w:p>
        </w:tc>
        <w:tc>
          <w:tcPr>
            <w:tcW w:w="2476"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W w:w="3987" w:type="dxa"/>
            <w:vAlign w:val="top"/>
            <w:textDirection w:val="lrTb"/>
            <w:noWrap w:val="false"/>
          </w:tcPr>
          <w:p>
            <w:pPr>
              <w:pStyle w:val="928"/>
              <w:ind w:left="1640"/>
              <w:spacing w:before="298" w:line="208" w:lineRule="auto"/>
              <w:rPr>
                <w:rFonts w:hint="eastAsia" w:cs="宋体"/>
                <w:color w:val="000000"/>
                <w:sz w:val="18"/>
                <w:szCs w:val="18"/>
              </w:rPr>
            </w:pPr>
            <w:r>
              <w:rPr>
                <w:rFonts w:cs="宋体"/>
                <w:color w:val="000000"/>
                <w:spacing w:val="-2"/>
                <w:sz w:val="18"/>
                <w:szCs w:val="18"/>
              </w:rPr>
              <w:t xml:space="preserve">合同金额</w:t>
            </w:r>
            <w:r>
              <w:rPr>
                <w:rFonts w:hint="eastAsia" w:cs="宋体"/>
                <w:color w:val="000000"/>
                <w:sz w:val="18"/>
                <w:szCs w:val="18"/>
              </w:rPr>
            </w:r>
            <w:r/>
          </w:p>
        </w:tc>
        <w:tc>
          <w:tcPr>
            <w:tcW w:w="2556"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59"/>
        </w:trPr>
        <w:tc>
          <w:tcPr>
            <w:tcW w:w="1625" w:type="dxa"/>
            <w:vAlign w:val="top"/>
            <w:textDirection w:val="lrTb"/>
            <w:noWrap w:val="false"/>
          </w:tcPr>
          <w:p>
            <w:pPr>
              <w:pStyle w:val="928"/>
              <w:ind w:left="186"/>
              <w:spacing w:before="267" w:line="240" w:lineRule="exact"/>
              <w:rPr>
                <w:rFonts w:hint="eastAsia" w:cs="宋体"/>
                <w:color w:val="000000"/>
                <w:sz w:val="18"/>
                <w:szCs w:val="18"/>
              </w:rPr>
            </w:pPr>
            <w:r>
              <w:rPr>
                <w:rFonts w:cs="宋体"/>
                <w:color w:val="000000"/>
                <w:spacing w:val="-2"/>
                <w:position w:val="1"/>
                <w:sz w:val="18"/>
                <w:szCs w:val="18"/>
              </w:rPr>
              <w:t xml:space="preserve">分期（段）验收</w:t>
            </w:r>
            <w:r>
              <w:rPr>
                <w:rFonts w:hint="eastAsia" w:cs="宋体"/>
                <w:color w:val="000000"/>
                <w:sz w:val="18"/>
                <w:szCs w:val="18"/>
              </w:rPr>
            </w:r>
            <w:r/>
          </w:p>
        </w:tc>
        <w:tc>
          <w:tcPr>
            <w:tcW w:w="1714" w:type="dxa"/>
            <w:vAlign w:val="top"/>
            <w:textDirection w:val="lrTb"/>
            <w:noWrap w:val="false"/>
          </w:tcPr>
          <w:p>
            <w:pPr>
              <w:pStyle w:val="928"/>
              <w:ind w:left="367"/>
              <w:spacing w:before="267" w:line="240" w:lineRule="exact"/>
              <w:rPr>
                <w:rFonts w:hint="eastAsia" w:cs="宋体"/>
                <w:color w:val="000000"/>
                <w:sz w:val="18"/>
                <w:szCs w:val="18"/>
              </w:rPr>
            </w:pPr>
            <w:r>
              <w:rPr>
                <w:rFonts w:cs="宋体"/>
                <w:color w:val="000000"/>
                <w:spacing w:val="-6"/>
                <w:position w:val="1"/>
                <w:sz w:val="18"/>
                <w:szCs w:val="18"/>
              </w:rPr>
              <w:t xml:space="preserve">是□</w:t>
            </w:r>
            <w:r>
              <w:rPr>
                <w:rFonts w:cs="宋体"/>
                <w:color w:val="000000"/>
                <w:spacing w:val="4"/>
                <w:position w:val="1"/>
                <w:sz w:val="18"/>
                <w:szCs w:val="18"/>
              </w:rPr>
              <w:t xml:space="preserve">   </w:t>
            </w:r>
            <w:r>
              <w:rPr>
                <w:rFonts w:cs="宋体"/>
                <w:color w:val="000000"/>
                <w:spacing w:val="-6"/>
                <w:position w:val="1"/>
                <w:sz w:val="18"/>
                <w:szCs w:val="18"/>
              </w:rPr>
              <w:t xml:space="preserve">否□</w:t>
            </w:r>
            <w:r>
              <w:rPr>
                <w:rFonts w:hint="eastAsia" w:cs="宋体"/>
                <w:color w:val="000000"/>
                <w:sz w:val="18"/>
                <w:szCs w:val="18"/>
              </w:rPr>
            </w:r>
            <w:r/>
          </w:p>
        </w:tc>
        <w:tc>
          <w:tcPr>
            <w:tcW w:w="1816" w:type="dxa"/>
            <w:vAlign w:val="top"/>
            <w:textDirection w:val="lrTb"/>
            <w:noWrap w:val="false"/>
          </w:tcPr>
          <w:p>
            <w:pPr>
              <w:pStyle w:val="928"/>
              <w:ind w:left="284"/>
              <w:spacing w:before="267" w:line="240" w:lineRule="exact"/>
              <w:rPr>
                <w:rFonts w:hint="eastAsia" w:cs="宋体"/>
                <w:color w:val="000000"/>
                <w:sz w:val="18"/>
                <w:szCs w:val="18"/>
              </w:rPr>
            </w:pPr>
            <w:r>
              <w:rPr>
                <w:rFonts w:cs="宋体"/>
                <w:color w:val="000000"/>
                <w:spacing w:val="-2"/>
                <w:position w:val="1"/>
                <w:sz w:val="18"/>
                <w:szCs w:val="18"/>
              </w:rPr>
              <w:t xml:space="preserve">分期（段）情况</w:t>
            </w:r>
            <w:r>
              <w:rPr>
                <w:rFonts w:hint="eastAsia" w:cs="宋体"/>
                <w:color w:val="000000"/>
                <w:sz w:val="18"/>
                <w:szCs w:val="18"/>
              </w:rPr>
            </w:r>
            <w:r/>
          </w:p>
        </w:tc>
        <w:tc>
          <w:tcPr>
            <w:gridSpan w:val="4"/>
            <w:tcW w:w="9019" w:type="dxa"/>
            <w:vAlign w:val="top"/>
            <w:textDirection w:val="lrTb"/>
            <w:noWrap w:val="false"/>
          </w:tcPr>
          <w:p>
            <w:pPr>
              <w:pStyle w:val="928"/>
              <w:ind w:left="2804"/>
              <w:spacing w:before="267" w:line="240" w:lineRule="exact"/>
              <w:rPr>
                <w:rFonts w:hint="eastAsia" w:cs="宋体"/>
                <w:color w:val="000000"/>
                <w:sz w:val="18"/>
                <w:szCs w:val="18"/>
              </w:rPr>
            </w:pPr>
            <w:r>
              <w:rPr>
                <w:rFonts w:cs="宋体"/>
                <w:color w:val="000000"/>
                <w:spacing w:val="-1"/>
                <w:position w:val="1"/>
                <w:sz w:val="18"/>
                <w:szCs w:val="18"/>
              </w:rPr>
              <w:t xml:space="preserve">共分   期（段</w:t>
            </w:r>
            <w:r>
              <w:rPr>
                <w:rFonts w:cs="宋体"/>
                <w:color w:val="000000"/>
                <w:spacing w:val="6"/>
                <w:position w:val="1"/>
                <w:sz w:val="18"/>
                <w:szCs w:val="18"/>
              </w:rPr>
              <w:t xml:space="preserve">），</w:t>
            </w:r>
            <w:r>
              <w:rPr>
                <w:rFonts w:cs="宋体"/>
                <w:color w:val="000000"/>
                <w:spacing w:val="-1"/>
                <w:position w:val="1"/>
                <w:sz w:val="18"/>
                <w:szCs w:val="18"/>
              </w:rPr>
              <w:t xml:space="preserve">此为第   期（段）验收</w:t>
            </w:r>
            <w:r>
              <w:rPr>
                <w:rFonts w:hint="eastAsia" w:cs="宋体"/>
                <w:color w:val="000000"/>
                <w:sz w:val="18"/>
                <w:szCs w:val="18"/>
              </w:rPr>
            </w:r>
            <w:r/>
          </w:p>
        </w:tc>
      </w:tr>
      <w:tr>
        <w:trPr>
          <w:trHeight w:val="1679"/>
        </w:trPr>
        <w:tc>
          <w:tcPr>
            <w:tcW w:w="1625" w:type="dxa"/>
            <w:vAlign w:val="top"/>
            <w:textDirection w:val="lrTb"/>
            <w:noWrap w:val="false"/>
          </w:tcPr>
          <w:p>
            <w:pPr>
              <w:pStyle w:val="928"/>
              <w:spacing w:line="264"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64"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65" w:lineRule="auto"/>
              <w:rPr>
                <w:rFonts w:ascii="Arial" w:hAnsi="Arial" w:eastAsia="Arial" w:cs="Arial"/>
                <w:color w:val="000000"/>
                <w:sz w:val="21"/>
                <w:szCs w:val="21"/>
              </w:rPr>
            </w:pPr>
            <w:r>
              <w:rPr>
                <w:rFonts w:ascii="Arial" w:hAnsi="Arial" w:eastAsia="Arial" w:cs="Arial"/>
                <w:color w:val="000000"/>
                <w:sz w:val="21"/>
                <w:szCs w:val="21"/>
              </w:rPr>
            </w:r>
            <w:r/>
          </w:p>
          <w:p>
            <w:pPr>
              <w:pStyle w:val="928"/>
              <w:ind w:left="454"/>
              <w:spacing w:before="58" w:line="208" w:lineRule="auto"/>
              <w:rPr>
                <w:rFonts w:hint="eastAsia" w:cs="宋体"/>
                <w:color w:val="000000"/>
                <w:sz w:val="18"/>
                <w:szCs w:val="18"/>
              </w:rPr>
            </w:pPr>
            <w:r>
              <w:rPr>
                <w:rFonts w:cs="宋体"/>
                <w:color w:val="000000"/>
                <w:spacing w:val="-2"/>
                <w:sz w:val="18"/>
                <w:szCs w:val="18"/>
              </w:rPr>
              <w:t xml:space="preserve">验收时间</w:t>
            </w:r>
            <w:r>
              <w:rPr>
                <w:rFonts w:hint="eastAsia" w:cs="宋体"/>
                <w:color w:val="000000"/>
                <w:sz w:val="18"/>
                <w:szCs w:val="18"/>
              </w:rPr>
            </w:r>
            <w:r/>
          </w:p>
        </w:tc>
        <w:tc>
          <w:tcPr>
            <w:tcW w:w="1714"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816" w:type="dxa"/>
            <w:vAlign w:val="top"/>
            <w:textDirection w:val="lrTb"/>
            <w:noWrap w:val="false"/>
          </w:tcPr>
          <w:p>
            <w:pPr>
              <w:pStyle w:val="928"/>
              <w:spacing w:line="264"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spacing w:line="264"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spacing w:line="265"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ind w:left="550"/>
              <w:spacing w:before="58" w:line="208" w:lineRule="auto"/>
              <w:rPr>
                <w:rFonts w:hint="eastAsia" w:cs="宋体"/>
                <w:color w:val="000000"/>
                <w:sz w:val="18"/>
                <w:szCs w:val="18"/>
              </w:rPr>
            </w:pPr>
            <w:r>
              <w:rPr>
                <w:rFonts w:cs="宋体"/>
                <w:color w:val="000000"/>
                <w:spacing w:val="-2"/>
                <w:sz w:val="18"/>
                <w:szCs w:val="18"/>
              </w:rPr>
              <w:t xml:space="preserve">验收地点</w:t>
            </w:r>
            <w:r>
              <w:rPr>
                <w:rFonts w:hint="eastAsia" w:cs="宋体"/>
                <w:color w:val="000000"/>
                <w:sz w:val="18"/>
                <w:szCs w:val="18"/>
              </w:rPr>
            </w:r>
            <w:r/>
          </w:p>
        </w:tc>
        <w:tc>
          <w:tcPr>
            <w:tcW w:w="2476"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gridSpan w:val="2"/>
            <w:tcW w:w="3987" w:type="dxa"/>
            <w:vAlign w:val="top"/>
            <w:textDirection w:val="lrTb"/>
            <w:noWrap w:val="false"/>
          </w:tcPr>
          <w:p>
            <w:pPr>
              <w:pStyle w:val="928"/>
              <w:spacing w:line="264"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spacing w:line="264"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spacing w:line="265"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ind w:left="1459"/>
              <w:spacing w:before="59" w:line="208" w:lineRule="auto"/>
              <w:rPr>
                <w:rFonts w:hint="eastAsia" w:cs="宋体"/>
                <w:color w:val="000000"/>
                <w:sz w:val="18"/>
                <w:szCs w:val="18"/>
              </w:rPr>
            </w:pPr>
            <w:r>
              <w:rPr>
                <w:rFonts w:cs="宋体"/>
                <w:color w:val="000000"/>
                <w:spacing w:val="-2"/>
                <w:sz w:val="18"/>
                <w:szCs w:val="18"/>
              </w:rPr>
              <w:t xml:space="preserve">验收组织形式</w:t>
            </w:r>
            <w:r>
              <w:rPr>
                <w:rFonts w:hint="eastAsia" w:cs="宋体"/>
                <w:color w:val="000000"/>
                <w:sz w:val="18"/>
                <w:szCs w:val="18"/>
              </w:rPr>
            </w:r>
            <w:r/>
          </w:p>
        </w:tc>
        <w:tc>
          <w:tcPr>
            <w:tcW w:w="2556" w:type="dxa"/>
            <w:vAlign w:val="top"/>
            <w:textDirection w:val="lrTb"/>
            <w:noWrap w:val="false"/>
          </w:tcPr>
          <w:p>
            <w:pPr>
              <w:pStyle w:val="928"/>
              <w:ind w:left="673"/>
              <w:spacing w:before="267" w:line="239" w:lineRule="exact"/>
              <w:rPr>
                <w:rFonts w:hint="eastAsia" w:cs="宋体"/>
                <w:color w:val="000000"/>
                <w:sz w:val="18"/>
                <w:szCs w:val="18"/>
              </w:rPr>
            </w:pPr>
            <w:r>
              <w:rPr>
                <w:rFonts w:cs="宋体"/>
                <w:color w:val="000000"/>
                <w:spacing w:val="-4"/>
                <w:position w:val="1"/>
                <w:sz w:val="18"/>
                <w:szCs w:val="18"/>
              </w:rPr>
              <w:t xml:space="preserve">□自行简易验收</w:t>
            </w:r>
            <w:r>
              <w:rPr>
                <w:rFonts w:hint="eastAsia" w:cs="宋体"/>
                <w:color w:val="000000"/>
                <w:sz w:val="18"/>
                <w:szCs w:val="18"/>
              </w:rPr>
            </w:r>
            <w:r/>
          </w:p>
          <w:p>
            <w:pPr>
              <w:pStyle w:val="928"/>
              <w:spacing w:line="260" w:lineRule="auto"/>
              <w:rPr>
                <w:rFonts w:ascii="Arial" w:hAnsi="Arial" w:eastAsia="Arial" w:cs="Arial"/>
                <w:color w:val="000000"/>
                <w:sz w:val="21"/>
                <w:szCs w:val="21"/>
              </w:rPr>
            </w:pPr>
            <w:r>
              <w:rPr>
                <w:rFonts w:ascii="Arial" w:hAnsi="Arial" w:eastAsia="Arial" w:cs="Arial"/>
                <w:color w:val="000000"/>
                <w:sz w:val="21"/>
                <w:szCs w:val="21"/>
              </w:rPr>
            </w:r>
            <w:r/>
          </w:p>
          <w:p>
            <w:pPr>
              <w:pStyle w:val="928"/>
              <w:ind w:left="673"/>
              <w:spacing w:before="58" w:line="240" w:lineRule="exact"/>
              <w:rPr>
                <w:rFonts w:hint="eastAsia" w:cs="宋体"/>
                <w:color w:val="000000"/>
                <w:sz w:val="18"/>
                <w:szCs w:val="18"/>
              </w:rPr>
            </w:pPr>
            <w:r>
              <w:rPr>
                <w:rFonts w:cs="宋体"/>
                <w:color w:val="000000"/>
                <w:spacing w:val="-4"/>
                <w:position w:val="1"/>
                <w:sz w:val="18"/>
                <w:szCs w:val="18"/>
              </w:rPr>
              <w:t xml:space="preserve">□验收小组验收</w:t>
            </w:r>
            <w:r>
              <w:rPr>
                <w:rFonts w:hint="eastAsia" w:cs="宋体"/>
                <w:color w:val="000000"/>
                <w:sz w:val="18"/>
                <w:szCs w:val="18"/>
              </w:rPr>
            </w:r>
            <w:r/>
          </w:p>
          <w:p>
            <w:pPr>
              <w:pStyle w:val="928"/>
              <w:spacing w:line="262" w:lineRule="auto"/>
              <w:rPr>
                <w:rFonts w:ascii="Arial" w:hAnsi="Arial" w:eastAsia="Arial" w:cs="Arial"/>
                <w:color w:val="000000"/>
                <w:sz w:val="21"/>
                <w:szCs w:val="21"/>
              </w:rPr>
            </w:pPr>
            <w:r>
              <w:rPr>
                <w:rFonts w:ascii="Arial" w:hAnsi="Arial" w:eastAsia="Arial" w:cs="Arial"/>
                <w:color w:val="000000"/>
                <w:sz w:val="21"/>
                <w:szCs w:val="21"/>
              </w:rPr>
            </w:r>
            <w:r/>
          </w:p>
          <w:p>
            <w:pPr>
              <w:pStyle w:val="928"/>
              <w:ind w:left="582"/>
              <w:spacing w:before="58" w:line="239" w:lineRule="exact"/>
              <w:rPr>
                <w:rFonts w:hint="eastAsia" w:cs="宋体"/>
                <w:color w:val="000000"/>
                <w:sz w:val="18"/>
                <w:szCs w:val="18"/>
              </w:rPr>
            </w:pPr>
            <w:r>
              <w:rPr>
                <w:rFonts w:cs="宋体"/>
                <w:color w:val="000000"/>
                <w:spacing w:val="-3"/>
                <w:position w:val="1"/>
                <w:sz w:val="18"/>
                <w:szCs w:val="18"/>
              </w:rPr>
              <w:t xml:space="preserve">□采购代理机构验收</w:t>
            </w:r>
            <w:r>
              <w:rPr>
                <w:rFonts w:hint="eastAsia" w:cs="宋体"/>
                <w:color w:val="000000"/>
                <w:sz w:val="18"/>
                <w:szCs w:val="18"/>
              </w:rPr>
            </w:r>
            <w:r/>
          </w:p>
        </w:tc>
      </w:tr>
      <w:tr>
        <w:trPr>
          <w:cantSplit/>
          <w:trHeight w:val="560"/>
        </w:trPr>
        <w:tc>
          <w:tcPr>
            <w:tcW w:w="1625" w:type="dxa"/>
            <w:vAlign w:val="top"/>
            <w:vMerge w:val="restart"/>
            <w:textDirection w:val="lrTb"/>
            <w:noWrap w:val="false"/>
          </w:tcPr>
          <w:p>
            <w:pPr>
              <w:pStyle w:val="928"/>
              <w:spacing w:line="265"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spacing w:line="265"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spacing w:line="266"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ind w:left="454"/>
              <w:spacing w:before="58" w:line="208" w:lineRule="auto"/>
              <w:rPr>
                <w:rFonts w:hint="eastAsia" w:cs="宋体"/>
                <w:color w:val="000000"/>
                <w:sz w:val="18"/>
                <w:szCs w:val="18"/>
              </w:rPr>
            </w:pPr>
            <w:r>
              <w:rPr>
                <w:rFonts w:cs="宋体"/>
                <w:color w:val="000000"/>
                <w:spacing w:val="-2"/>
                <w:sz w:val="18"/>
                <w:szCs w:val="18"/>
              </w:rPr>
              <w:t xml:space="preserve">验收内容</w:t>
            </w:r>
            <w:r>
              <w:rPr>
                <w:rFonts w:hint="eastAsia" w:cs="宋体"/>
                <w:color w:val="000000"/>
                <w:sz w:val="18"/>
                <w:szCs w:val="18"/>
              </w:rPr>
            </w:r>
            <w:r/>
          </w:p>
        </w:tc>
        <w:tc>
          <w:tcPr>
            <w:tcW w:w="1714" w:type="dxa"/>
            <w:vAlign w:val="top"/>
            <w:textDirection w:val="lrTb"/>
            <w:noWrap w:val="false"/>
          </w:tcPr>
          <w:p>
            <w:pPr>
              <w:pStyle w:val="928"/>
              <w:ind w:left="498"/>
              <w:spacing w:before="298" w:line="208" w:lineRule="auto"/>
              <w:rPr>
                <w:rFonts w:hint="eastAsia" w:cs="宋体"/>
                <w:color w:val="000000"/>
                <w:sz w:val="18"/>
                <w:szCs w:val="18"/>
              </w:rPr>
            </w:pPr>
            <w:r>
              <w:rPr>
                <w:rFonts w:cs="宋体"/>
                <w:color w:val="000000"/>
                <w:spacing w:val="-2"/>
                <w:sz w:val="18"/>
                <w:szCs w:val="18"/>
              </w:rPr>
              <w:t xml:space="preserve">服务质量</w:t>
            </w:r>
            <w:r>
              <w:rPr>
                <w:rFonts w:hint="eastAsia" w:cs="宋体"/>
                <w:color w:val="000000"/>
                <w:sz w:val="18"/>
                <w:szCs w:val="18"/>
              </w:rPr>
            </w:r>
            <w:r/>
          </w:p>
        </w:tc>
        <w:tc>
          <w:tcPr>
            <w:tcW w:w="1816" w:type="dxa"/>
            <w:vAlign w:val="top"/>
            <w:textDirection w:val="lrTb"/>
            <w:noWrap w:val="false"/>
          </w:tcPr>
          <w:p>
            <w:pPr>
              <w:pStyle w:val="928"/>
              <w:ind w:left="551"/>
              <w:spacing w:before="298" w:line="208" w:lineRule="auto"/>
              <w:rPr>
                <w:rFonts w:hint="eastAsia" w:cs="宋体"/>
                <w:color w:val="000000"/>
                <w:sz w:val="18"/>
                <w:szCs w:val="18"/>
              </w:rPr>
            </w:pPr>
            <w:r>
              <w:rPr>
                <w:rFonts w:cs="宋体"/>
                <w:color w:val="000000"/>
                <w:spacing w:val="-2"/>
                <w:sz w:val="18"/>
                <w:szCs w:val="18"/>
              </w:rPr>
              <w:t xml:space="preserve">服务进度</w:t>
            </w:r>
            <w:r>
              <w:rPr>
                <w:rFonts w:hint="eastAsia" w:cs="宋体"/>
                <w:color w:val="000000"/>
                <w:sz w:val="18"/>
                <w:szCs w:val="18"/>
              </w:rPr>
            </w:r>
            <w:r/>
          </w:p>
        </w:tc>
        <w:tc>
          <w:tcPr>
            <w:tcW w:w="2476" w:type="dxa"/>
            <w:vAlign w:val="top"/>
            <w:textDirection w:val="lrTb"/>
            <w:noWrap w:val="false"/>
          </w:tcPr>
          <w:p>
            <w:pPr>
              <w:pStyle w:val="928"/>
              <w:ind w:left="387"/>
              <w:spacing w:before="298" w:line="207" w:lineRule="auto"/>
              <w:rPr>
                <w:rFonts w:hint="eastAsia" w:cs="宋体"/>
                <w:color w:val="000000"/>
                <w:sz w:val="18"/>
                <w:szCs w:val="18"/>
              </w:rPr>
            </w:pPr>
            <w:r>
              <w:rPr>
                <w:rFonts w:cs="宋体"/>
                <w:color w:val="000000"/>
                <w:spacing w:val="-1"/>
                <w:sz w:val="18"/>
                <w:szCs w:val="18"/>
              </w:rPr>
              <w:t xml:space="preserve">人员、设备 配备情况</w:t>
            </w:r>
            <w:r>
              <w:rPr>
                <w:rFonts w:hint="eastAsia" w:cs="宋体"/>
                <w:color w:val="000000"/>
                <w:sz w:val="18"/>
                <w:szCs w:val="18"/>
              </w:rPr>
            </w:r>
            <w:r/>
          </w:p>
        </w:tc>
        <w:tc>
          <w:tcPr>
            <w:tcW w:w="1705" w:type="dxa"/>
            <w:vAlign w:val="top"/>
            <w:textDirection w:val="lrTb"/>
            <w:noWrap w:val="false"/>
          </w:tcPr>
          <w:p>
            <w:pPr>
              <w:pStyle w:val="928"/>
              <w:ind w:left="231"/>
              <w:spacing w:before="297" w:line="209" w:lineRule="auto"/>
              <w:rPr>
                <w:rFonts w:hint="eastAsia" w:cs="宋体"/>
                <w:color w:val="000000"/>
                <w:sz w:val="18"/>
                <w:szCs w:val="18"/>
              </w:rPr>
            </w:pPr>
            <w:r>
              <w:rPr>
                <w:rFonts w:cs="宋体"/>
                <w:color w:val="000000"/>
                <w:spacing w:val="-2"/>
                <w:sz w:val="18"/>
                <w:szCs w:val="18"/>
              </w:rPr>
              <w:t xml:space="preserve">行业、安全标准</w:t>
            </w:r>
            <w:r>
              <w:rPr>
                <w:rFonts w:hint="eastAsia" w:cs="宋体"/>
                <w:color w:val="000000"/>
                <w:sz w:val="18"/>
                <w:szCs w:val="18"/>
              </w:rPr>
            </w:r>
            <w:r/>
          </w:p>
        </w:tc>
        <w:tc>
          <w:tcPr>
            <w:tcW w:w="2282" w:type="dxa"/>
            <w:vAlign w:val="top"/>
            <w:textDirection w:val="lrTb"/>
            <w:noWrap w:val="false"/>
          </w:tcPr>
          <w:p>
            <w:pPr>
              <w:pStyle w:val="928"/>
              <w:ind w:left="340"/>
              <w:spacing w:before="298" w:line="208" w:lineRule="auto"/>
              <w:rPr>
                <w:rFonts w:hint="eastAsia" w:cs="宋体"/>
                <w:color w:val="000000"/>
                <w:sz w:val="18"/>
                <w:szCs w:val="18"/>
              </w:rPr>
            </w:pPr>
            <w:r>
              <w:rPr>
                <w:rFonts w:cs="宋体"/>
                <w:color w:val="000000"/>
                <w:spacing w:val="-2"/>
                <w:sz w:val="18"/>
                <w:szCs w:val="18"/>
              </w:rPr>
              <w:t xml:space="preserve">项目需求、服务承诺</w:t>
            </w:r>
            <w:r>
              <w:rPr>
                <w:rFonts w:hint="eastAsia" w:cs="宋体"/>
                <w:color w:val="000000"/>
                <w:sz w:val="18"/>
                <w:szCs w:val="18"/>
              </w:rPr>
            </w:r>
            <w:r/>
          </w:p>
        </w:tc>
        <w:tc>
          <w:tcPr>
            <w:tcW w:w="2556" w:type="dxa"/>
            <w:vAlign w:val="top"/>
            <w:textDirection w:val="lrTb"/>
            <w:noWrap w:val="false"/>
          </w:tcPr>
          <w:p>
            <w:pPr>
              <w:pStyle w:val="928"/>
              <w:ind w:left="159"/>
              <w:spacing w:before="299" w:line="208" w:lineRule="auto"/>
              <w:rPr>
                <w:rFonts w:hint="eastAsia" w:cs="宋体"/>
                <w:color w:val="000000"/>
                <w:sz w:val="18"/>
                <w:szCs w:val="18"/>
              </w:rPr>
            </w:pPr>
            <w:r>
              <w:rPr>
                <w:rFonts w:cs="宋体"/>
                <w:color w:val="000000"/>
                <w:spacing w:val="-1"/>
                <w:sz w:val="18"/>
                <w:szCs w:val="18"/>
              </w:rPr>
              <w:t xml:space="preserve">合同履约时间、 地点、方式</w:t>
            </w:r>
            <w:r>
              <w:rPr>
                <w:rFonts w:hint="eastAsia" w:cs="宋体"/>
                <w:color w:val="000000"/>
                <w:sz w:val="18"/>
                <w:szCs w:val="18"/>
              </w:rPr>
            </w:r>
            <w:r/>
          </w:p>
        </w:tc>
      </w:tr>
      <w:tr>
        <w:trPr>
          <w:cantSplit/>
          <w:trHeight w:val="1119"/>
        </w:trPr>
        <w:tc>
          <w:tcPr>
            <w:tcW w:w="1625" w:type="dxa"/>
            <w:vAlign w:val="top"/>
            <w:vMerge w:val="continue"/>
            <w:textDirection w:val="lrTb"/>
            <w:noWrap w:val="false"/>
          </w:tcPr>
          <w:p>
            <w:pPr>
              <w:pStyle w:val="928"/>
              <w:rPr>
                <w:rFonts w:ascii="Arial" w:hAnsi="Arial" w:eastAsia="Arial" w:cs="Arial"/>
                <w:color w:val="000000"/>
                <w:sz w:val="21"/>
                <w:szCs w:val="21"/>
              </w:rPr>
            </w:pPr>
            <w:r>
              <w:rPr>
                <w:rFonts w:ascii="Arial" w:hAnsi="Arial" w:eastAsia="Arial" w:cs="Arial"/>
                <w:color w:val="000000"/>
                <w:sz w:val="21"/>
                <w:szCs w:val="21"/>
              </w:rPr>
            </w:r>
            <w:r/>
          </w:p>
        </w:tc>
        <w:tc>
          <w:tcPr>
            <w:tcW w:w="1714" w:type="dxa"/>
            <w:vAlign w:val="top"/>
            <w:textDirection w:val="lrTb"/>
            <w:noWrap w:val="false"/>
          </w:tcPr>
          <w:p>
            <w:pPr>
              <w:pStyle w:val="928"/>
              <w:ind w:left="501" w:right="497" w:hanging="2"/>
              <w:spacing w:before="270" w:line="430" w:lineRule="auto"/>
              <w:rPr>
                <w:rFonts w:hint="eastAsia" w:cs="宋体"/>
                <w:color w:val="000000"/>
                <w:sz w:val="18"/>
                <w:szCs w:val="18"/>
              </w:rPr>
            </w:pPr>
            <w:r>
              <w:rPr>
                <w:rFonts w:cs="宋体"/>
                <w:color w:val="000000"/>
                <w:spacing w:val="-5"/>
                <w:sz w:val="18"/>
                <w:szCs w:val="18"/>
              </w:rPr>
              <w:t xml:space="preserve">合</w:t>
            </w:r>
            <w:r>
              <w:rPr>
                <w:rFonts w:cs="宋体"/>
                <w:color w:val="000000"/>
                <w:spacing w:val="3"/>
                <w:sz w:val="18"/>
                <w:szCs w:val="18"/>
              </w:rPr>
              <w:t xml:space="preserve">  </w:t>
            </w:r>
            <w:r>
              <w:rPr>
                <w:rFonts w:cs="宋体"/>
                <w:color w:val="000000"/>
                <w:spacing w:val="-5"/>
                <w:sz w:val="18"/>
                <w:szCs w:val="18"/>
              </w:rPr>
              <w:t xml:space="preserve">格□</w:t>
            </w:r>
            <w:r>
              <w:rPr>
                <w:rFonts w:cs="宋体"/>
                <w:color w:val="000000"/>
                <w:sz w:val="18"/>
                <w:szCs w:val="18"/>
              </w:rPr>
              <w:t xml:space="preserve"> </w:t>
            </w:r>
            <w:r>
              <w:rPr>
                <w:rFonts w:cs="宋体"/>
                <w:color w:val="000000"/>
                <w:spacing w:val="-3"/>
                <w:sz w:val="18"/>
                <w:szCs w:val="18"/>
              </w:rPr>
              <w:t xml:space="preserve">不合格□</w:t>
            </w:r>
            <w:r>
              <w:rPr>
                <w:rFonts w:hint="eastAsia" w:cs="宋体"/>
                <w:color w:val="000000"/>
                <w:sz w:val="18"/>
                <w:szCs w:val="18"/>
              </w:rPr>
            </w:r>
            <w:r/>
          </w:p>
        </w:tc>
        <w:tc>
          <w:tcPr>
            <w:tcW w:w="1816" w:type="dxa"/>
            <w:vAlign w:val="top"/>
            <w:textDirection w:val="lrTb"/>
            <w:noWrap w:val="false"/>
          </w:tcPr>
          <w:p>
            <w:pPr>
              <w:pStyle w:val="928"/>
              <w:ind w:left="553" w:right="547" w:hanging="1"/>
              <w:spacing w:before="270" w:line="430" w:lineRule="auto"/>
              <w:rPr>
                <w:rFonts w:hint="eastAsia" w:cs="宋体"/>
                <w:color w:val="000000"/>
                <w:sz w:val="18"/>
                <w:szCs w:val="18"/>
              </w:rPr>
            </w:pPr>
            <w:r>
              <w:rPr>
                <w:rFonts w:cs="宋体"/>
                <w:color w:val="000000"/>
                <w:spacing w:val="-8"/>
                <w:sz w:val="18"/>
                <w:szCs w:val="18"/>
              </w:rPr>
              <w:t xml:space="preserve">按</w:t>
            </w:r>
            <w:r>
              <w:rPr>
                <w:rFonts w:cs="宋体"/>
                <w:color w:val="000000"/>
                <w:spacing w:val="7"/>
                <w:sz w:val="18"/>
                <w:szCs w:val="18"/>
              </w:rPr>
              <w:t xml:space="preserve">  </w:t>
            </w:r>
            <w:r>
              <w:rPr>
                <w:rFonts w:cs="宋体"/>
                <w:color w:val="000000"/>
                <w:spacing w:val="-8"/>
                <w:sz w:val="18"/>
                <w:szCs w:val="18"/>
              </w:rPr>
              <w:t xml:space="preserve">时□</w:t>
            </w:r>
            <w:r>
              <w:rPr>
                <w:rFonts w:cs="宋体"/>
                <w:color w:val="000000"/>
                <w:sz w:val="18"/>
                <w:szCs w:val="18"/>
              </w:rPr>
              <w:t xml:space="preserve"> </w:t>
            </w:r>
            <w:r>
              <w:rPr>
                <w:rFonts w:cs="宋体"/>
                <w:color w:val="000000"/>
                <w:spacing w:val="-3"/>
                <w:sz w:val="18"/>
                <w:szCs w:val="18"/>
              </w:rPr>
              <w:t xml:space="preserve">不按时□</w:t>
            </w:r>
            <w:r>
              <w:rPr>
                <w:rFonts w:hint="eastAsia" w:cs="宋体"/>
                <w:color w:val="000000"/>
                <w:sz w:val="18"/>
                <w:szCs w:val="18"/>
              </w:rPr>
            </w:r>
            <w:r/>
          </w:p>
        </w:tc>
        <w:tc>
          <w:tcPr>
            <w:tcW w:w="2476" w:type="dxa"/>
            <w:vAlign w:val="top"/>
            <w:textDirection w:val="lrTb"/>
            <w:noWrap w:val="false"/>
          </w:tcPr>
          <w:p>
            <w:pPr>
              <w:pStyle w:val="928"/>
              <w:ind w:left="885" w:right="875" w:hanging="2"/>
              <w:spacing w:before="270" w:line="430" w:lineRule="auto"/>
              <w:rPr>
                <w:rFonts w:hint="eastAsia" w:cs="宋体"/>
                <w:color w:val="000000"/>
                <w:sz w:val="18"/>
                <w:szCs w:val="18"/>
              </w:rPr>
            </w:pPr>
            <w:r>
              <w:rPr>
                <w:rFonts w:cs="宋体"/>
                <w:color w:val="000000"/>
                <w:spacing w:val="-5"/>
                <w:sz w:val="18"/>
                <w:szCs w:val="18"/>
              </w:rPr>
              <w:t xml:space="preserve">合</w:t>
            </w:r>
            <w:r>
              <w:rPr>
                <w:rFonts w:cs="宋体"/>
                <w:color w:val="000000"/>
                <w:spacing w:val="3"/>
                <w:sz w:val="18"/>
                <w:szCs w:val="18"/>
              </w:rPr>
              <w:t xml:space="preserve">  </w:t>
            </w:r>
            <w:r>
              <w:rPr>
                <w:rFonts w:cs="宋体"/>
                <w:color w:val="000000"/>
                <w:spacing w:val="-5"/>
                <w:sz w:val="18"/>
                <w:szCs w:val="18"/>
              </w:rPr>
              <w:t xml:space="preserve">格□</w:t>
            </w:r>
            <w:r>
              <w:rPr>
                <w:rFonts w:cs="宋体"/>
                <w:color w:val="000000"/>
                <w:sz w:val="18"/>
                <w:szCs w:val="18"/>
              </w:rPr>
              <w:t xml:space="preserve"> </w:t>
            </w:r>
            <w:r>
              <w:rPr>
                <w:rFonts w:cs="宋体"/>
                <w:color w:val="000000"/>
                <w:spacing w:val="-3"/>
                <w:sz w:val="18"/>
                <w:szCs w:val="18"/>
              </w:rPr>
              <w:t xml:space="preserve">不合格□</w:t>
            </w:r>
            <w:r>
              <w:rPr>
                <w:rFonts w:hint="eastAsia" w:cs="宋体"/>
                <w:color w:val="000000"/>
                <w:sz w:val="18"/>
                <w:szCs w:val="18"/>
              </w:rPr>
            </w:r>
            <w:r/>
          </w:p>
        </w:tc>
        <w:tc>
          <w:tcPr>
            <w:tcW w:w="1705" w:type="dxa"/>
            <w:vAlign w:val="top"/>
            <w:textDirection w:val="lrTb"/>
            <w:noWrap w:val="false"/>
          </w:tcPr>
          <w:p>
            <w:pPr>
              <w:pStyle w:val="928"/>
              <w:ind w:left="500" w:right="489" w:hanging="2"/>
              <w:spacing w:before="270" w:line="430" w:lineRule="auto"/>
              <w:rPr>
                <w:rFonts w:hint="eastAsia" w:cs="宋体"/>
                <w:color w:val="000000"/>
                <w:sz w:val="18"/>
                <w:szCs w:val="18"/>
              </w:rPr>
            </w:pPr>
            <w:r>
              <w:rPr>
                <w:rFonts w:cs="宋体"/>
                <w:color w:val="000000"/>
                <w:spacing w:val="-5"/>
                <w:sz w:val="18"/>
                <w:szCs w:val="18"/>
              </w:rPr>
              <w:t xml:space="preserve">合</w:t>
            </w:r>
            <w:r>
              <w:rPr>
                <w:rFonts w:cs="宋体"/>
                <w:color w:val="000000"/>
                <w:spacing w:val="3"/>
                <w:sz w:val="18"/>
                <w:szCs w:val="18"/>
              </w:rPr>
              <w:t xml:space="preserve">  </w:t>
            </w:r>
            <w:r>
              <w:rPr>
                <w:rFonts w:cs="宋体"/>
                <w:color w:val="000000"/>
                <w:spacing w:val="-5"/>
                <w:sz w:val="18"/>
                <w:szCs w:val="18"/>
              </w:rPr>
              <w:t xml:space="preserve">格□</w:t>
            </w:r>
            <w:r>
              <w:rPr>
                <w:rFonts w:cs="宋体"/>
                <w:color w:val="000000"/>
                <w:sz w:val="18"/>
                <w:szCs w:val="18"/>
              </w:rPr>
              <w:t xml:space="preserve"> </w:t>
            </w:r>
            <w:r>
              <w:rPr>
                <w:rFonts w:cs="宋体"/>
                <w:color w:val="000000"/>
                <w:spacing w:val="-3"/>
                <w:sz w:val="18"/>
                <w:szCs w:val="18"/>
              </w:rPr>
              <w:t xml:space="preserve">不合格□</w:t>
            </w:r>
            <w:r>
              <w:rPr>
                <w:rFonts w:hint="eastAsia" w:cs="宋体"/>
                <w:color w:val="000000"/>
                <w:sz w:val="18"/>
                <w:szCs w:val="18"/>
              </w:rPr>
            </w:r>
            <w:r/>
          </w:p>
        </w:tc>
        <w:tc>
          <w:tcPr>
            <w:tcW w:w="2282" w:type="dxa"/>
            <w:vAlign w:val="top"/>
            <w:textDirection w:val="lrTb"/>
            <w:noWrap w:val="false"/>
          </w:tcPr>
          <w:p>
            <w:pPr>
              <w:pStyle w:val="928"/>
              <w:ind w:left="789" w:right="777" w:hanging="2"/>
              <w:spacing w:before="270" w:line="430" w:lineRule="auto"/>
              <w:rPr>
                <w:rFonts w:hint="eastAsia" w:cs="宋体"/>
                <w:color w:val="000000"/>
                <w:sz w:val="18"/>
                <w:szCs w:val="18"/>
              </w:rPr>
            </w:pPr>
            <w:r>
              <w:rPr>
                <w:rFonts w:cs="宋体"/>
                <w:color w:val="000000"/>
                <w:spacing w:val="-5"/>
                <w:sz w:val="18"/>
                <w:szCs w:val="18"/>
              </w:rPr>
              <w:t xml:space="preserve">合</w:t>
            </w:r>
            <w:r>
              <w:rPr>
                <w:rFonts w:cs="宋体"/>
                <w:color w:val="000000"/>
                <w:spacing w:val="3"/>
                <w:sz w:val="18"/>
                <w:szCs w:val="18"/>
              </w:rPr>
              <w:t xml:space="preserve">  </w:t>
            </w:r>
            <w:r>
              <w:rPr>
                <w:rFonts w:cs="宋体"/>
                <w:color w:val="000000"/>
                <w:spacing w:val="-5"/>
                <w:sz w:val="18"/>
                <w:szCs w:val="18"/>
              </w:rPr>
              <w:t xml:space="preserve">格□</w:t>
            </w:r>
            <w:r>
              <w:rPr>
                <w:rFonts w:cs="宋体"/>
                <w:color w:val="000000"/>
                <w:sz w:val="18"/>
                <w:szCs w:val="18"/>
              </w:rPr>
              <w:t xml:space="preserve"> </w:t>
            </w:r>
            <w:r>
              <w:rPr>
                <w:rFonts w:cs="宋体"/>
                <w:color w:val="000000"/>
                <w:spacing w:val="-3"/>
                <w:sz w:val="18"/>
                <w:szCs w:val="18"/>
              </w:rPr>
              <w:t xml:space="preserve">不合格□</w:t>
            </w:r>
            <w:r>
              <w:rPr>
                <w:rFonts w:hint="eastAsia" w:cs="宋体"/>
                <w:color w:val="000000"/>
                <w:sz w:val="18"/>
                <w:szCs w:val="18"/>
              </w:rPr>
            </w:r>
            <w:r/>
          </w:p>
        </w:tc>
        <w:tc>
          <w:tcPr>
            <w:tcW w:w="2556" w:type="dxa"/>
            <w:vAlign w:val="top"/>
            <w:textDirection w:val="lrTb"/>
            <w:noWrap w:val="false"/>
          </w:tcPr>
          <w:p>
            <w:pPr>
              <w:pStyle w:val="928"/>
              <w:ind w:left="926" w:right="914" w:hanging="2"/>
              <w:spacing w:before="270" w:line="430" w:lineRule="auto"/>
              <w:rPr>
                <w:rFonts w:hint="eastAsia" w:cs="宋体"/>
                <w:color w:val="000000"/>
                <w:sz w:val="18"/>
                <w:szCs w:val="18"/>
              </w:rPr>
            </w:pPr>
            <w:r>
              <w:rPr>
                <w:rFonts w:cs="宋体"/>
                <w:color w:val="000000"/>
                <w:spacing w:val="-5"/>
                <w:sz w:val="18"/>
                <w:szCs w:val="18"/>
              </w:rPr>
              <w:t xml:space="preserve">合</w:t>
            </w:r>
            <w:r>
              <w:rPr>
                <w:rFonts w:cs="宋体"/>
                <w:color w:val="000000"/>
                <w:spacing w:val="3"/>
                <w:sz w:val="18"/>
                <w:szCs w:val="18"/>
              </w:rPr>
              <w:t xml:space="preserve">  </w:t>
            </w:r>
            <w:r>
              <w:rPr>
                <w:rFonts w:cs="宋体"/>
                <w:color w:val="000000"/>
                <w:spacing w:val="-5"/>
                <w:sz w:val="18"/>
                <w:szCs w:val="18"/>
              </w:rPr>
              <w:t xml:space="preserve">格□</w:t>
            </w:r>
            <w:r>
              <w:rPr>
                <w:rFonts w:cs="宋体"/>
                <w:color w:val="000000"/>
                <w:sz w:val="18"/>
                <w:szCs w:val="18"/>
              </w:rPr>
              <w:t xml:space="preserve"> </w:t>
            </w:r>
            <w:r>
              <w:rPr>
                <w:rFonts w:cs="宋体"/>
                <w:color w:val="000000"/>
                <w:spacing w:val="-3"/>
                <w:sz w:val="18"/>
                <w:szCs w:val="18"/>
              </w:rPr>
              <w:t xml:space="preserve">不合格□</w:t>
            </w:r>
            <w:r>
              <w:rPr>
                <w:rFonts w:hint="eastAsia" w:cs="宋体"/>
                <w:color w:val="000000"/>
                <w:sz w:val="18"/>
                <w:szCs w:val="18"/>
              </w:rPr>
            </w:r>
            <w:r/>
          </w:p>
        </w:tc>
      </w:tr>
      <w:tr>
        <w:trPr>
          <w:trHeight w:val="1119"/>
        </w:trPr>
        <w:tc>
          <w:tcPr>
            <w:tcW w:w="1625" w:type="dxa"/>
            <w:vAlign w:val="top"/>
            <w:textDirection w:val="lrTb"/>
            <w:noWrap w:val="false"/>
          </w:tcPr>
          <w:p>
            <w:pPr>
              <w:pStyle w:val="928"/>
              <w:ind w:left="185"/>
              <w:spacing w:before="299" w:line="208" w:lineRule="auto"/>
              <w:rPr>
                <w:rFonts w:hint="eastAsia" w:cs="宋体"/>
                <w:color w:val="000000"/>
                <w:sz w:val="18"/>
                <w:szCs w:val="18"/>
              </w:rPr>
            </w:pPr>
            <w:r>
              <w:rPr>
                <w:rFonts w:cs="宋体"/>
                <w:color w:val="000000"/>
                <w:spacing w:val="-2"/>
                <w:sz w:val="18"/>
                <w:szCs w:val="18"/>
              </w:rPr>
              <w:t xml:space="preserve">专业检测机构情</w:t>
            </w:r>
            <w:r>
              <w:rPr>
                <w:rFonts w:hint="eastAsia" w:cs="宋体"/>
                <w:color w:val="000000"/>
                <w:sz w:val="18"/>
                <w:szCs w:val="18"/>
              </w:rPr>
            </w:r>
            <w:r/>
          </w:p>
          <w:p>
            <w:pPr>
              <w:pStyle w:val="928"/>
              <w:spacing w:line="298" w:lineRule="auto"/>
              <w:rPr>
                <w:rFonts w:ascii="Arial" w:hAnsi="Arial" w:eastAsia="Arial" w:cs="Arial"/>
                <w:color w:val="000000"/>
                <w:sz w:val="21"/>
                <w:szCs w:val="21"/>
              </w:rPr>
            </w:pPr>
            <w:r>
              <w:rPr>
                <w:rFonts w:ascii="Arial" w:hAnsi="Arial" w:eastAsia="Arial" w:cs="Arial"/>
                <w:color w:val="000000"/>
                <w:sz w:val="21"/>
                <w:szCs w:val="21"/>
              </w:rPr>
            </w:r>
            <w:r/>
          </w:p>
          <w:p>
            <w:pPr>
              <w:pStyle w:val="928"/>
              <w:ind w:left="545"/>
              <w:spacing w:before="59" w:line="207" w:lineRule="auto"/>
              <w:rPr>
                <w:rFonts w:hint="eastAsia" w:cs="宋体"/>
                <w:color w:val="000000"/>
                <w:sz w:val="18"/>
                <w:szCs w:val="18"/>
              </w:rPr>
            </w:pPr>
            <w:r>
              <w:rPr>
                <w:rFonts w:cs="宋体"/>
                <w:color w:val="000000"/>
                <w:spacing w:val="-3"/>
                <w:sz w:val="18"/>
                <w:szCs w:val="18"/>
              </w:rPr>
              <w:t xml:space="preserve">况说明</w:t>
            </w:r>
            <w:r>
              <w:rPr>
                <w:rFonts w:hint="eastAsia" w:cs="宋体"/>
                <w:color w:val="000000"/>
                <w:sz w:val="18"/>
                <w:szCs w:val="18"/>
              </w:rPr>
            </w:r>
            <w:r/>
          </w:p>
        </w:tc>
        <w:tc>
          <w:tcPr>
            <w:gridSpan w:val="6"/>
            <w:tcW w:w="12549" w:type="dxa"/>
            <w:vAlign w:val="top"/>
            <w:textDirection w:val="lrTb"/>
            <w:noWrap w:val="false"/>
          </w:tcPr>
          <w:p>
            <w:pPr>
              <w:pStyle w:val="928"/>
              <w:rPr>
                <w:rFonts w:ascii="Arial" w:hAnsi="Arial" w:eastAsia="Arial" w:cs="Arial"/>
                <w:color w:val="000000"/>
                <w:sz w:val="21"/>
                <w:szCs w:val="21"/>
              </w:rPr>
            </w:pPr>
            <w:r>
              <w:rPr>
                <w:rFonts w:ascii="Arial" w:hAnsi="Arial" w:eastAsia="Arial" w:cs="Arial"/>
                <w:color w:val="000000"/>
                <w:sz w:val="21"/>
                <w:szCs w:val="21"/>
              </w:rPr>
            </w:r>
            <w:r/>
          </w:p>
        </w:tc>
      </w:tr>
      <w:tr>
        <w:trPr>
          <w:trHeight w:val="1120"/>
        </w:trPr>
        <w:tc>
          <w:tcPr>
            <w:tcW w:w="1625" w:type="dxa"/>
            <w:vAlign w:val="top"/>
            <w:textDirection w:val="lrTb"/>
            <w:noWrap w:val="false"/>
          </w:tcPr>
          <w:p>
            <w:pPr>
              <w:pStyle w:val="928"/>
              <w:spacing w:line="241" w:lineRule="auto"/>
              <w:rPr>
                <w:rFonts w:ascii="Arial" w:hAnsi="Arial" w:eastAsia="Arial" w:cs="Arial"/>
                <w:color w:val="000000"/>
                <w:sz w:val="21"/>
                <w:szCs w:val="21"/>
              </w:rPr>
            </w:pPr>
            <w:r>
              <w:rPr>
                <w:rFonts w:ascii="Arial" w:hAnsi="Arial" w:eastAsia="Arial" w:cs="Arial"/>
                <w:color w:val="000000"/>
                <w:sz w:val="21"/>
                <w:szCs w:val="21"/>
              </w:rPr>
            </w:r>
            <w:r/>
          </w:p>
          <w:p>
            <w:pPr>
              <w:pStyle w:val="928"/>
              <w:ind w:left="454"/>
              <w:spacing w:before="58" w:line="207" w:lineRule="auto"/>
              <w:rPr>
                <w:rFonts w:hint="eastAsia" w:cs="宋体"/>
                <w:color w:val="000000"/>
                <w:sz w:val="18"/>
                <w:szCs w:val="18"/>
              </w:rPr>
            </w:pPr>
            <w:r>
              <w:rPr>
                <w:rFonts w:cs="宋体"/>
                <w:color w:val="000000"/>
                <w:spacing w:val="-2"/>
                <w:sz w:val="18"/>
                <w:szCs w:val="18"/>
              </w:rPr>
              <w:t xml:space="preserve">存在问题</w:t>
            </w:r>
            <w:r>
              <w:rPr>
                <w:rFonts w:hint="eastAsia" w:cs="宋体"/>
                <w:color w:val="000000"/>
                <w:sz w:val="18"/>
                <w:szCs w:val="18"/>
              </w:rPr>
            </w:r>
            <w:r/>
          </w:p>
          <w:p>
            <w:pPr>
              <w:pStyle w:val="928"/>
              <w:spacing w:line="297"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ind w:left="365"/>
              <w:spacing w:before="58" w:line="207" w:lineRule="auto"/>
              <w:rPr>
                <w:rFonts w:hint="eastAsia" w:cs="宋体"/>
                <w:color w:val="000000"/>
                <w:sz w:val="18"/>
                <w:szCs w:val="18"/>
              </w:rPr>
            </w:pPr>
            <w:r>
              <w:rPr>
                <w:rFonts w:cs="宋体"/>
                <w:color w:val="000000"/>
                <w:spacing w:val="-2"/>
                <w:sz w:val="18"/>
                <w:szCs w:val="18"/>
              </w:rPr>
              <w:t xml:space="preserve">和改进意见</w:t>
            </w:r>
            <w:r>
              <w:rPr>
                <w:rFonts w:hint="eastAsia" w:cs="宋体"/>
                <w:color w:val="000000"/>
                <w:sz w:val="18"/>
                <w:szCs w:val="18"/>
              </w:rPr>
            </w:r>
            <w:r/>
          </w:p>
        </w:tc>
        <w:tc>
          <w:tcPr>
            <w:gridSpan w:val="6"/>
            <w:tcW w:w="12549"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bl>
    <w:p>
      <w:pPr>
        <w:pStyle w:val="928"/>
        <w:rPr>
          <w:rFonts w:ascii="Arial" w:hAnsi="Times New Roman"/>
          <w:color w:val="000000"/>
          <w:sz w:val="21"/>
        </w:rPr>
      </w:pPr>
      <w:r>
        <w:rPr>
          <w:rFonts w:ascii="Arial" w:hAnsi="Times New Roman"/>
          <w:color w:val="000000"/>
          <w:sz w:val="21"/>
        </w:rPr>
      </w:r>
      <w:r/>
    </w:p>
    <w:p>
      <w:pPr>
        <w:pStyle w:val="928"/>
        <w:rPr>
          <w:rFonts w:ascii="Arial" w:hAnsi="Arial" w:eastAsia="Arial" w:cs="Arial"/>
          <w:color w:val="000000"/>
          <w:sz w:val="21"/>
          <w:szCs w:val="21"/>
        </w:rPr>
        <w:sectPr>
          <w:footerReference w:type="default" r:id="rId12"/>
          <w:footnotePr/>
          <w:endnotePr/>
          <w:type w:val="nextPage"/>
          <w:pgSz w:w="16838" w:h="11906" w:orient="landscape"/>
          <w:pgMar w:top="1011" w:right="956" w:bottom="1380" w:left="1459" w:header="0" w:footer="1162" w:gutter="0"/>
          <w:pgNumType w:start="172"/>
          <w:cols w:num="1" w:sep="0" w:space="720" w:equalWidth="1"/>
          <w:docGrid w:linePitch="360"/>
        </w:sectPr>
      </w:pPr>
      <w:r>
        <w:rPr>
          <w:rFonts w:ascii="Arial" w:hAnsi="Arial" w:eastAsia="Arial" w:cs="Arial"/>
          <w:color w:val="000000"/>
          <w:sz w:val="21"/>
          <w:szCs w:val="21"/>
        </w:rPr>
      </w:r>
      <w:r/>
    </w:p>
    <w:p>
      <w:pPr>
        <w:pStyle w:val="928"/>
        <w:spacing w:before="164"/>
        <w:rPr>
          <w:rFonts w:ascii="Times New Roman" w:hAnsi="Times New Roman"/>
          <w:color w:val="000000"/>
          <w:sz w:val="21"/>
        </w:rPr>
      </w:pPr>
      <w:r>
        <w:rPr>
          <w:rFonts w:ascii="Times New Roman" w:hAnsi="Times New Roman"/>
          <w:color w:val="000000"/>
          <w:sz w:val="21"/>
        </w:rPr>
      </w:r>
      <w:r/>
    </w:p>
    <w:tbl>
      <w:tblPr>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928"/>
              <w:spacing w:line="301"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ind w:left="457"/>
              <w:spacing w:before="58" w:line="207" w:lineRule="auto"/>
              <w:rPr>
                <w:rFonts w:hint="eastAsia" w:cs="宋体"/>
                <w:color w:val="000000"/>
                <w:sz w:val="18"/>
                <w:szCs w:val="18"/>
              </w:rPr>
            </w:pPr>
            <w:r>
              <w:rPr>
                <w:rFonts w:cs="宋体"/>
                <w:color w:val="000000"/>
                <w:spacing w:val="-3"/>
                <w:sz w:val="18"/>
                <w:szCs w:val="18"/>
              </w:rPr>
              <w:t xml:space="preserve">最终结论</w:t>
            </w:r>
            <w:r>
              <w:rPr>
                <w:rFonts w:hint="eastAsia" w:cs="宋体"/>
                <w:color w:val="000000"/>
                <w:sz w:val="18"/>
                <w:szCs w:val="18"/>
              </w:rPr>
            </w:r>
            <w:r/>
          </w:p>
        </w:tc>
        <w:tc>
          <w:tcPr>
            <w:gridSpan w:val="2"/>
            <w:tcW w:w="12550" w:type="dxa"/>
            <w:vAlign w:val="top"/>
            <w:textDirection w:val="lrTb"/>
            <w:noWrap w:val="false"/>
          </w:tcPr>
          <w:p>
            <w:pPr>
              <w:pStyle w:val="928"/>
              <w:spacing w:line="271"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ind w:left="4210"/>
              <w:spacing w:before="58" w:line="240" w:lineRule="exact"/>
              <w:rPr>
                <w:rFonts w:hint="eastAsia" w:cs="宋体"/>
                <w:color w:val="000000"/>
                <w:sz w:val="18"/>
                <w:szCs w:val="18"/>
              </w:rPr>
            </w:pPr>
            <w:r>
              <w:rPr>
                <w:rFonts w:cs="宋体"/>
                <w:color w:val="000000"/>
                <w:spacing w:val="-2"/>
                <w:position w:val="1"/>
                <w:sz w:val="18"/>
                <w:szCs w:val="18"/>
              </w:rPr>
              <w:t xml:space="preserve">合  格□</w:t>
            </w:r>
            <w:r>
              <w:rPr>
                <w:rFonts w:cs="宋体"/>
                <w:color w:val="000000"/>
                <w:position w:val="1"/>
                <w:sz w:val="18"/>
                <w:szCs w:val="18"/>
              </w:rPr>
              <w:t xml:space="preserve">                              </w:t>
            </w:r>
            <w:r>
              <w:rPr>
                <w:rFonts w:cs="宋体"/>
                <w:color w:val="000000"/>
                <w:spacing w:val="-2"/>
                <w:position w:val="1"/>
                <w:sz w:val="18"/>
                <w:szCs w:val="18"/>
              </w:rPr>
              <w:t xml:space="preserve">不合格□</w:t>
            </w:r>
            <w:r>
              <w:rPr>
                <w:rFonts w:hint="eastAsia" w:cs="宋体"/>
                <w:color w:val="000000"/>
                <w:sz w:val="18"/>
                <w:szCs w:val="18"/>
              </w:rPr>
            </w:r>
            <w:r/>
          </w:p>
        </w:tc>
      </w:tr>
      <w:tr>
        <w:trPr>
          <w:trHeight w:val="1119"/>
        </w:trPr>
        <w:tc>
          <w:tcPr>
            <w:tcW w:w="1624" w:type="dxa"/>
            <w:vAlign w:val="top"/>
            <w:textDirection w:val="lrTb"/>
            <w:noWrap w:val="false"/>
          </w:tcPr>
          <w:p>
            <w:pPr>
              <w:pStyle w:val="928"/>
              <w:ind w:left="274"/>
              <w:spacing w:before="295" w:line="208" w:lineRule="auto"/>
              <w:rPr>
                <w:rFonts w:hint="eastAsia" w:cs="宋体"/>
                <w:color w:val="000000"/>
                <w:sz w:val="18"/>
                <w:szCs w:val="18"/>
              </w:rPr>
            </w:pPr>
            <w:r>
              <w:rPr>
                <w:rFonts w:cs="宋体"/>
                <w:color w:val="000000"/>
                <w:spacing w:val="-2"/>
                <w:sz w:val="18"/>
                <w:szCs w:val="18"/>
              </w:rPr>
              <w:t xml:space="preserve">验收小组成员</w:t>
            </w:r>
            <w:r>
              <w:rPr>
                <w:rFonts w:hint="eastAsia" w:cs="宋体"/>
                <w:color w:val="000000"/>
                <w:sz w:val="18"/>
                <w:szCs w:val="18"/>
              </w:rPr>
            </w:r>
            <w:r/>
          </w:p>
          <w:p>
            <w:pPr>
              <w:pStyle w:val="928"/>
              <w:spacing w:line="298" w:lineRule="auto"/>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pStyle w:val="928"/>
              <w:ind w:left="635"/>
              <w:spacing w:before="58" w:line="208" w:lineRule="auto"/>
              <w:rPr>
                <w:rFonts w:hint="eastAsia" w:cs="宋体"/>
                <w:color w:val="000000"/>
                <w:sz w:val="18"/>
                <w:szCs w:val="18"/>
              </w:rPr>
            </w:pPr>
            <w:r>
              <w:rPr>
                <w:rFonts w:cs="宋体"/>
                <w:color w:val="000000"/>
                <w:spacing w:val="-4"/>
                <w:sz w:val="18"/>
                <w:szCs w:val="18"/>
              </w:rPr>
              <w:t xml:space="preserve">签字</w:t>
            </w:r>
            <w:r>
              <w:rPr>
                <w:rFonts w:hint="eastAsia" w:cs="宋体"/>
                <w:color w:val="000000"/>
                <w:sz w:val="18"/>
                <w:szCs w:val="18"/>
              </w:rPr>
            </w:r>
            <w:r/>
          </w:p>
        </w:tc>
        <w:tc>
          <w:tcPr>
            <w:gridSpan w:val="2"/>
            <w:tcW w:w="12550" w:type="dxa"/>
            <w:vAlign w:val="top"/>
            <w:textDirection w:val="lrTb"/>
            <w:noWrap w:val="false"/>
          </w:tcPr>
          <w:p>
            <w:pPr>
              <w:pStyle w:val="928"/>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559"/>
        </w:trPr>
        <w:tc>
          <w:tcPr>
            <w:gridSpan w:val="2"/>
            <w:tcW w:w="7059" w:type="dxa"/>
            <w:vAlign w:val="top"/>
            <w:textDirection w:val="lrTb"/>
            <w:noWrap w:val="false"/>
          </w:tcPr>
          <w:p>
            <w:pPr>
              <w:pStyle w:val="928"/>
              <w:ind w:left="2814"/>
              <w:spacing w:before="297" w:line="208" w:lineRule="auto"/>
              <w:rPr>
                <w:rFonts w:hint="eastAsia" w:cs="宋体"/>
                <w:color w:val="000000"/>
                <w:sz w:val="18"/>
                <w:szCs w:val="18"/>
              </w:rPr>
            </w:pPr>
            <w:r>
              <w:rPr>
                <w:rFonts w:cs="宋体"/>
                <w:color w:val="000000"/>
                <w:spacing w:val="-1"/>
                <w:sz w:val="18"/>
                <w:szCs w:val="18"/>
              </w:rPr>
              <w:t xml:space="preserve">采购代理机构意见</w:t>
            </w:r>
            <w:r>
              <w:rPr>
                <w:rFonts w:hint="eastAsia" w:cs="宋体"/>
                <w:color w:val="000000"/>
                <w:sz w:val="18"/>
                <w:szCs w:val="18"/>
              </w:rPr>
            </w:r>
            <w:r/>
          </w:p>
        </w:tc>
        <w:tc>
          <w:tcPr>
            <w:tcW w:w="7115" w:type="dxa"/>
            <w:vAlign w:val="top"/>
            <w:textDirection w:val="lrTb"/>
            <w:noWrap w:val="false"/>
          </w:tcPr>
          <w:p>
            <w:pPr>
              <w:pStyle w:val="928"/>
              <w:ind w:left="3111"/>
              <w:spacing w:before="297" w:line="207" w:lineRule="auto"/>
              <w:rPr>
                <w:rFonts w:hint="eastAsia" w:cs="宋体"/>
                <w:color w:val="000000"/>
                <w:sz w:val="18"/>
                <w:szCs w:val="18"/>
              </w:rPr>
            </w:pPr>
            <w:r>
              <w:rPr>
                <w:rFonts w:cs="宋体"/>
                <w:color w:val="000000"/>
                <w:spacing w:val="-2"/>
                <w:sz w:val="18"/>
                <w:szCs w:val="18"/>
              </w:rPr>
              <w:t xml:space="preserve">采购人意见</w:t>
            </w:r>
            <w:r>
              <w:rPr>
                <w:rFonts w:hint="eastAsia" w:cs="宋体"/>
                <w:color w:val="000000"/>
                <w:sz w:val="18"/>
                <w:szCs w:val="18"/>
              </w:rPr>
            </w:r>
            <w:r/>
          </w:p>
        </w:tc>
      </w:tr>
      <w:tr>
        <w:trPr>
          <w:trHeight w:val="1119"/>
        </w:trPr>
        <w:tc>
          <w:tcPr>
            <w:gridSpan w:val="2"/>
            <w:tcW w:w="7059" w:type="dxa"/>
            <w:vAlign w:val="top"/>
            <w:textDirection w:val="lrTb"/>
            <w:noWrap w:val="false"/>
          </w:tcPr>
          <w:p>
            <w:pPr>
              <w:pStyle w:val="928"/>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928"/>
              <w:ind w:left="113"/>
              <w:spacing w:before="59" w:line="238" w:lineRule="exact"/>
              <w:rPr>
                <w:rFonts w:hint="eastAsia" w:cs="宋体"/>
                <w:color w:val="000000"/>
                <w:sz w:val="18"/>
                <w:szCs w:val="18"/>
              </w:rPr>
            </w:pPr>
            <w:r>
              <w:rPr>
                <w:rFonts w:cs="宋体"/>
                <w:color w:val="000000"/>
                <w:spacing w:val="1"/>
                <w:position w:val="1"/>
                <w:sz w:val="18"/>
                <w:szCs w:val="18"/>
              </w:rPr>
              <w:t xml:space="preserve">经办人：         负责人</w:t>
            </w:r>
            <w:r>
              <w:rPr>
                <w:rFonts w:cs="宋体"/>
                <w:color w:val="000000"/>
                <w:spacing w:val="-18"/>
                <w:position w:val="1"/>
                <w:sz w:val="18"/>
                <w:szCs w:val="18"/>
              </w:rPr>
              <w:t xml:space="preserve">：</w:t>
            </w:r>
            <w:r>
              <w:rPr>
                <w:rFonts w:cs="宋体"/>
                <w:color w:val="000000"/>
                <w:position w:val="1"/>
                <w:sz w:val="18"/>
                <w:szCs w:val="18"/>
              </w:rPr>
              <w:t xml:space="preserve">           </w:t>
            </w:r>
            <w:r>
              <w:rPr>
                <w:rFonts w:cs="宋体"/>
                <w:color w:val="000000"/>
                <w:spacing w:val="-18"/>
                <w:position w:val="1"/>
                <w:sz w:val="18"/>
                <w:szCs w:val="18"/>
              </w:rPr>
              <w:t xml:space="preserve">（</w:t>
            </w:r>
            <w:r>
              <w:rPr>
                <w:rFonts w:cs="宋体"/>
                <w:color w:val="000000"/>
                <w:spacing w:val="1"/>
                <w:position w:val="1"/>
                <w:sz w:val="18"/>
                <w:szCs w:val="18"/>
              </w:rPr>
              <w:t xml:space="preserve">采购代理机构公章）</w:t>
            </w:r>
            <w:r>
              <w:rPr>
                <w:rFonts w:hint="eastAsia" w:cs="宋体"/>
                <w:color w:val="000000"/>
                <w:sz w:val="18"/>
                <w:szCs w:val="18"/>
              </w:rPr>
            </w:r>
            <w:r/>
          </w:p>
        </w:tc>
        <w:tc>
          <w:tcPr>
            <w:tcW w:w="7115" w:type="dxa"/>
            <w:vAlign w:val="top"/>
            <w:textDirection w:val="lrTb"/>
            <w:noWrap w:val="false"/>
          </w:tcPr>
          <w:p>
            <w:pPr>
              <w:pStyle w:val="928"/>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55" w:lineRule="auto"/>
              <w:rPr>
                <w:rFonts w:ascii="Arial" w:hAnsi="Arial" w:eastAsia="Arial" w:cs="Arial"/>
                <w:color w:val="000000"/>
                <w:sz w:val="21"/>
                <w:szCs w:val="21"/>
              </w:rPr>
            </w:pPr>
            <w:r>
              <w:rPr>
                <w:rFonts w:ascii="Arial" w:hAnsi="Arial" w:eastAsia="Arial" w:cs="Arial"/>
                <w:color w:val="000000"/>
                <w:sz w:val="21"/>
                <w:szCs w:val="21"/>
              </w:rPr>
            </w:r>
            <w:r/>
          </w:p>
          <w:p>
            <w:pPr>
              <w:pStyle w:val="928"/>
              <w:ind w:left="115"/>
              <w:spacing w:before="59" w:line="238" w:lineRule="exact"/>
              <w:rPr>
                <w:rFonts w:hint="eastAsia" w:cs="宋体"/>
                <w:color w:val="000000"/>
                <w:sz w:val="18"/>
                <w:szCs w:val="18"/>
              </w:rPr>
            </w:pPr>
            <w:r>
              <w:rPr>
                <w:rFonts w:cs="宋体"/>
                <w:color w:val="000000"/>
                <w:spacing w:val="1"/>
                <w:position w:val="1"/>
                <w:sz w:val="18"/>
                <w:szCs w:val="18"/>
              </w:rPr>
              <w:t xml:space="preserve">经办人：         负责人</w:t>
            </w:r>
            <w:r>
              <w:rPr>
                <w:rFonts w:cs="宋体"/>
                <w:color w:val="000000"/>
                <w:spacing w:val="-17"/>
                <w:position w:val="1"/>
                <w:sz w:val="18"/>
                <w:szCs w:val="18"/>
              </w:rPr>
              <w:t xml:space="preserve">：</w:t>
            </w:r>
            <w:r>
              <w:rPr>
                <w:rFonts w:cs="宋体"/>
                <w:color w:val="000000"/>
                <w:position w:val="1"/>
                <w:sz w:val="18"/>
                <w:szCs w:val="18"/>
              </w:rPr>
              <w:t xml:space="preserve">               </w:t>
            </w:r>
            <w:r>
              <w:rPr>
                <w:rFonts w:cs="宋体"/>
                <w:color w:val="000000"/>
                <w:spacing w:val="-17"/>
                <w:position w:val="1"/>
                <w:sz w:val="18"/>
                <w:szCs w:val="18"/>
              </w:rPr>
              <w:t xml:space="preserve">（</w:t>
            </w:r>
            <w:r>
              <w:rPr>
                <w:rFonts w:cs="宋体"/>
                <w:color w:val="000000"/>
                <w:spacing w:val="1"/>
                <w:position w:val="1"/>
                <w:sz w:val="18"/>
                <w:szCs w:val="18"/>
              </w:rPr>
              <w:t xml:space="preserve">采购人公章）</w:t>
            </w:r>
            <w:r>
              <w:rPr>
                <w:rFonts w:hint="eastAsia" w:cs="宋体"/>
                <w:color w:val="000000"/>
                <w:sz w:val="18"/>
                <w:szCs w:val="18"/>
              </w:rPr>
            </w:r>
            <w:r/>
          </w:p>
        </w:tc>
      </w:tr>
      <w:tr>
        <w:trPr>
          <w:trHeight w:val="1681"/>
        </w:trPr>
        <w:tc>
          <w:tcPr>
            <w:gridSpan w:val="3"/>
            <w:tcW w:w="14174" w:type="dxa"/>
            <w:vAlign w:val="top"/>
            <w:textDirection w:val="lrTb"/>
            <w:noWrap w:val="false"/>
          </w:tcPr>
          <w:p>
            <w:pPr>
              <w:pStyle w:val="928"/>
              <w:ind w:left="112"/>
              <w:spacing w:before="299" w:line="207" w:lineRule="auto"/>
              <w:rPr>
                <w:rFonts w:hint="eastAsia" w:cs="宋体"/>
                <w:color w:val="000000"/>
                <w:sz w:val="18"/>
                <w:szCs w:val="18"/>
              </w:rPr>
            </w:pPr>
            <w:r>
              <w:rPr>
                <w:rFonts w:cs="宋体"/>
                <w:color w:val="000000"/>
                <w:spacing w:val="-2"/>
                <w:sz w:val="18"/>
                <w:szCs w:val="18"/>
              </w:rPr>
              <w:t xml:space="preserve">供应商确认：</w:t>
            </w:r>
            <w:r>
              <w:rPr>
                <w:rFonts w:hint="eastAsia" w:cs="宋体"/>
                <w:color w:val="000000"/>
                <w:sz w:val="18"/>
                <w:szCs w:val="18"/>
              </w:rPr>
            </w:r>
            <w:r/>
          </w:p>
          <w:p>
            <w:pPr>
              <w:pStyle w:val="928"/>
              <w:spacing w:line="275"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75" w:lineRule="auto"/>
              <w:rPr>
                <w:rFonts w:ascii="Arial" w:hAnsi="Arial" w:eastAsia="Arial" w:cs="Arial"/>
                <w:color w:val="000000"/>
                <w:sz w:val="21"/>
                <w:szCs w:val="21"/>
              </w:rPr>
            </w:pPr>
            <w:r>
              <w:rPr>
                <w:rFonts w:ascii="Arial" w:hAnsi="Arial" w:eastAsia="Arial" w:cs="Arial"/>
                <w:color w:val="000000"/>
                <w:sz w:val="21"/>
                <w:szCs w:val="21"/>
              </w:rPr>
            </w:r>
            <w:r/>
          </w:p>
          <w:p>
            <w:pPr>
              <w:pStyle w:val="928"/>
              <w:spacing w:line="275" w:lineRule="auto"/>
              <w:rPr>
                <w:rFonts w:ascii="Arial" w:hAnsi="Arial" w:eastAsia="Arial" w:cs="Arial"/>
                <w:color w:val="000000"/>
                <w:sz w:val="21"/>
                <w:szCs w:val="21"/>
              </w:rPr>
            </w:pPr>
            <w:r>
              <w:rPr>
                <w:rFonts w:ascii="Arial" w:hAnsi="Arial" w:eastAsia="Arial" w:cs="Arial"/>
                <w:color w:val="000000"/>
                <w:sz w:val="21"/>
                <w:szCs w:val="21"/>
              </w:rPr>
            </w:r>
            <w:r/>
          </w:p>
          <w:p>
            <w:pPr>
              <w:pStyle w:val="928"/>
              <w:ind w:left="117"/>
              <w:spacing w:before="58" w:line="239" w:lineRule="exact"/>
              <w:rPr>
                <w:rFonts w:hint="eastAsia" w:cs="宋体"/>
                <w:color w:val="000000"/>
                <w:sz w:val="18"/>
                <w:szCs w:val="18"/>
              </w:rPr>
            </w:pPr>
            <w:r>
              <w:rPr>
                <w:rFonts w:cs="宋体"/>
                <w:color w:val="000000"/>
                <w:spacing w:val="-1"/>
                <w:position w:val="1"/>
                <w:sz w:val="18"/>
                <w:szCs w:val="18"/>
              </w:rPr>
              <w:t xml:space="preserve">（单位公章或授权代表签字）</w:t>
            </w:r>
            <w:r>
              <w:rPr>
                <w:rFonts w:hint="eastAsia" w:cs="宋体"/>
                <w:color w:val="000000"/>
                <w:sz w:val="18"/>
                <w:szCs w:val="18"/>
              </w:rPr>
            </w:r>
            <w:r/>
          </w:p>
        </w:tc>
      </w:tr>
    </w:tbl>
    <w:p>
      <w:pPr>
        <w:pStyle w:val="928"/>
        <w:ind w:left="85"/>
        <w:spacing w:before="296" w:line="211" w:lineRule="auto"/>
        <w:rPr>
          <w:rFonts w:hint="eastAsia" w:cs="宋体"/>
          <w:color w:val="000000"/>
          <w:sz w:val="18"/>
          <w:szCs w:val="18"/>
        </w:rPr>
      </w:pPr>
      <w:r>
        <w:rPr>
          <w:rFonts w:cs="宋体"/>
          <w:color w:val="000000"/>
          <w:sz w:val="18"/>
          <w:szCs w:val="18"/>
        </w:rPr>
        <w:t xml:space="preserve">说明：1.该表为服务类项目履约验收的参考样表，采购人或采购代理机构可以</w:t>
      </w:r>
      <w:r>
        <w:rPr>
          <w:rFonts w:cs="宋体"/>
          <w:color w:val="000000"/>
          <w:spacing w:val="-1"/>
          <w:sz w:val="18"/>
          <w:szCs w:val="18"/>
        </w:rPr>
        <w:t xml:space="preserve">根</w:t>
      </w:r>
      <w:r>
        <w:rPr>
          <w:rFonts w:cs="宋体"/>
          <w:color w:val="000000"/>
          <w:spacing w:val="-1"/>
          <w:sz w:val="18"/>
          <w:szCs w:val="18"/>
        </w:rPr>
        <w:t xml:space="preserve">据工作实际进行调整。</w:t>
      </w:r>
      <w:r>
        <w:rPr>
          <w:rFonts w:hint="eastAsia" w:cs="宋体"/>
          <w:color w:val="000000"/>
          <w:sz w:val="18"/>
          <w:szCs w:val="18"/>
        </w:rPr>
      </w:r>
      <w:r/>
    </w:p>
    <w:p>
      <w:pPr>
        <w:pStyle w:val="928"/>
        <w:contextualSpacing/>
        <w:ind w:firstLine="360"/>
        <w:spacing w:line="360" w:lineRule="auto"/>
        <w:rPr>
          <w:rFonts w:hint="eastAsia" w:cs="宋体"/>
          <w:color w:val="000000"/>
          <w:sz w:val="21"/>
          <w:szCs w:val="21"/>
          <w:lang w:val="zh-CN"/>
        </w:rPr>
      </w:pPr>
      <w:r>
        <w:rPr>
          <w:rFonts w:cs="宋体"/>
          <w:color w:val="000000"/>
          <w:sz w:val="18"/>
          <w:szCs w:val="18"/>
        </w:rPr>
        <w:t xml:space="preserve">2.未委托采购代理机构开展履约验收工作的，无需填写“</w:t>
      </w:r>
      <w:r>
        <w:rPr>
          <w:rFonts w:cs="宋体"/>
          <w:color w:val="000000"/>
          <w:spacing w:val="-1"/>
          <w:sz w:val="18"/>
          <w:szCs w:val="18"/>
        </w:rPr>
        <w:t xml:space="preserve">采购代理机构意见</w:t>
      </w:r>
      <w:r>
        <w:rPr>
          <w:rFonts w:cs="宋体"/>
          <w:color w:val="000000"/>
          <w:spacing w:val="-66"/>
          <w:sz w:val="18"/>
          <w:szCs w:val="18"/>
        </w:rPr>
        <w:t xml:space="preserve"> </w:t>
      </w:r>
      <w:r>
        <w:rPr>
          <w:rFonts w:cs="宋体"/>
          <w:color w:val="000000"/>
          <w:spacing w:val="-1"/>
          <w:sz w:val="18"/>
          <w:szCs w:val="18"/>
        </w:rPr>
        <w:t xml:space="preserve">”。</w:t>
      </w:r>
      <w:r>
        <w:rPr>
          <w:rFonts w:hint="eastAsia" w:cs="宋体"/>
          <w:color w:val="000000"/>
          <w:sz w:val="21"/>
          <w:szCs w:val="21"/>
          <w:lang w:val="zh-CN"/>
        </w:rPr>
      </w:r>
      <w:r/>
    </w:p>
    <w:p>
      <w:pPr>
        <w:pStyle w:val="928"/>
        <w:contextualSpacing/>
        <w:ind w:firstLine="420"/>
        <w:spacing w:line="360" w:lineRule="auto"/>
        <w:rPr>
          <w:rFonts w:hint="eastAsia" w:cs="宋体"/>
          <w:color w:val="000000"/>
          <w:sz w:val="21"/>
          <w:szCs w:val="21"/>
          <w:lang w:val="zh-CN"/>
        </w:rPr>
      </w:pPr>
      <w:r>
        <w:rPr>
          <w:rFonts w:hint="eastAsia" w:cs="宋体"/>
          <w:color w:val="000000"/>
          <w:sz w:val="21"/>
          <w:szCs w:val="21"/>
          <w:lang w:val="zh-CN"/>
        </w:rPr>
      </w:r>
      <w:r/>
    </w:p>
    <w:p>
      <w:pPr>
        <w:pStyle w:val="928"/>
        <w:contextualSpacing/>
        <w:ind w:firstLine="420"/>
        <w:spacing w:line="360" w:lineRule="auto"/>
        <w:rPr>
          <w:rFonts w:hint="eastAsia" w:cs="宋体"/>
          <w:color w:val="000000"/>
          <w:sz w:val="21"/>
          <w:szCs w:val="21"/>
          <w:lang w:val="zh-CN"/>
        </w:rPr>
        <w:sectPr>
          <w:footnotePr/>
          <w:endnotePr/>
          <w:type w:val="nextPage"/>
          <w:pgSz w:w="16838" w:h="11906" w:orient="landscape"/>
          <w:pgMar w:top="1021" w:right="675" w:bottom="1021" w:left="1702" w:header="426" w:footer="284" w:gutter="0"/>
          <w:cols w:num="1" w:sep="0" w:space="720" w:equalWidth="1"/>
          <w:docGrid w:linePitch="360"/>
          <w:titlePg/>
        </w:sectPr>
      </w:pPr>
      <w:r>
        <w:rPr>
          <w:rFonts w:hint="eastAsia" w:cs="宋体"/>
          <w:color w:val="000000"/>
          <w:sz w:val="21"/>
          <w:szCs w:val="21"/>
          <w:lang w:val="zh-CN"/>
        </w:rPr>
      </w:r>
      <w:r/>
    </w:p>
    <w:p>
      <w:pPr>
        <w:pStyle w:val="929"/>
        <w:numPr>
          <w:ilvl w:val="0"/>
          <w:numId w:val="0"/>
        </w:numPr>
        <w:jc w:val="center"/>
        <w:tabs>
          <w:tab w:val="left" w:pos="432" w:leader="none"/>
        </w:tabs>
        <w:rPr>
          <w:rFonts w:hint="eastAsia" w:cs="宋体"/>
          <w:color w:val="000000"/>
          <w:sz w:val="21"/>
          <w:szCs w:val="21"/>
        </w:rPr>
      </w:pPr>
      <w:r>
        <w:rPr>
          <w:rFonts w:hint="eastAsia" w:ascii="宋体" w:hAnsi="宋体" w:cs="宋体"/>
          <w:color w:val="000000"/>
        </w:rPr>
        <w:t xml:space="preserve">第五章 合同主要条款</w:t>
      </w:r>
      <w:r>
        <w:rPr>
          <w:rFonts w:hint="eastAsia" w:cs="宋体"/>
          <w:color w:val="000000"/>
          <w:sz w:val="21"/>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28"/>
              <w:spacing w:line="360" w:lineRule="auto"/>
              <w:rPr>
                <w:rFonts w:cs="宋体"/>
                <w:color w:val="000000"/>
                <w:sz w:val="21"/>
                <w:szCs w:val="21"/>
              </w:rPr>
            </w:pPr>
            <w:r>
              <w:rPr>
                <w:rFonts w:hint="eastAsia" w:cs="宋体"/>
                <w:color w:val="000000"/>
                <w:sz w:val="21"/>
                <w:szCs w:val="21"/>
              </w:rPr>
              <w:t xml:space="preserve">甲方（采购人）：太仓市公安局</w:t>
            </w:r>
            <w:r>
              <w:rPr>
                <w:rFonts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28"/>
              <w:spacing w:line="360" w:lineRule="auto"/>
              <w:rPr>
                <w:rFonts w:cs="宋体"/>
                <w:color w:val="000000"/>
                <w:sz w:val="21"/>
                <w:szCs w:val="21"/>
              </w:rPr>
            </w:pPr>
            <w:r>
              <w:rPr>
                <w:rFonts w:hint="eastAsia" w:cs="宋体"/>
                <w:color w:val="000000"/>
                <w:sz w:val="21"/>
                <w:szCs w:val="21"/>
              </w:rPr>
              <w:t xml:space="preserve">单位地址：</w:t>
            </w:r>
            <w:r>
              <w:rPr>
                <w:rFonts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28"/>
              <w:spacing w:line="360" w:lineRule="auto"/>
              <w:rPr>
                <w:rFonts w:cs="宋体"/>
                <w:color w:val="000000"/>
                <w:sz w:val="21"/>
                <w:szCs w:val="21"/>
              </w:rPr>
            </w:pPr>
            <w:r>
              <w:rPr>
                <w:rFonts w:hint="eastAsia" w:cs="宋体"/>
                <w:color w:val="000000"/>
                <w:sz w:val="21"/>
                <w:szCs w:val="21"/>
              </w:rPr>
              <w:t xml:space="preserve">乙方（供应商）：</w:t>
            </w:r>
            <w:r>
              <w:rPr>
                <w:rFonts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28"/>
              <w:spacing w:line="360" w:lineRule="auto"/>
              <w:rPr>
                <w:rFonts w:cs="宋体"/>
                <w:color w:val="000000"/>
                <w:sz w:val="21"/>
                <w:szCs w:val="21"/>
              </w:rPr>
            </w:pPr>
            <w:r>
              <w:rPr>
                <w:rFonts w:hint="eastAsia" w:cs="宋体"/>
                <w:color w:val="000000"/>
                <w:sz w:val="21"/>
                <w:szCs w:val="21"/>
              </w:rPr>
              <w:t xml:space="preserve">单位地址：</w:t>
            </w:r>
            <w:r>
              <w:rPr>
                <w:rFonts w:cs="宋体"/>
                <w:color w:val="000000"/>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928"/>
              <w:spacing w:line="360" w:lineRule="auto"/>
              <w:rPr>
                <w:rFonts w:cs="宋体"/>
                <w:color w:val="000000"/>
                <w:sz w:val="21"/>
                <w:szCs w:val="21"/>
              </w:rPr>
            </w:pPr>
            <w:r>
              <w:rPr>
                <w:rFonts w:hint="eastAsia" w:cs="宋体"/>
                <w:color w:val="000000"/>
                <w:sz w:val="21"/>
                <w:szCs w:val="21"/>
              </w:rPr>
              <w:t xml:space="preserve">签订日期：</w:t>
            </w:r>
            <w:r>
              <w:rPr>
                <w:rFonts w:cs="宋体"/>
                <w:color w:val="000000"/>
                <w:sz w:val="21"/>
                <w:szCs w:val="21"/>
                <w:u w:val="single"/>
              </w:rPr>
              <w:t xml:space="preserve">      </w:t>
            </w:r>
            <w:r>
              <w:rPr>
                <w:rFonts w:hint="eastAsia" w:cs="宋体"/>
                <w:color w:val="000000"/>
                <w:sz w:val="21"/>
                <w:szCs w:val="21"/>
              </w:rPr>
              <w:t xml:space="preserve">年</w:t>
            </w:r>
            <w:r>
              <w:rPr>
                <w:rFonts w:hint="eastAsia" w:cs="宋体"/>
                <w:color w:val="000000"/>
                <w:sz w:val="21"/>
                <w:szCs w:val="21"/>
                <w:u w:val="single"/>
              </w:rPr>
              <w:t xml:space="preserve">     </w:t>
            </w:r>
            <w:r>
              <w:rPr>
                <w:rFonts w:hint="eastAsia" w:cs="宋体"/>
                <w:color w:val="000000"/>
                <w:sz w:val="21"/>
                <w:szCs w:val="21"/>
              </w:rPr>
              <w:t xml:space="preserve">月</w:t>
            </w:r>
            <w:r>
              <w:rPr>
                <w:rFonts w:hint="eastAsia" w:cs="宋体"/>
                <w:color w:val="000000"/>
                <w:sz w:val="21"/>
                <w:szCs w:val="21"/>
                <w:u w:val="single"/>
              </w:rPr>
              <w:t xml:space="preserve">     </w:t>
            </w:r>
            <w:r>
              <w:rPr>
                <w:rFonts w:hint="eastAsia" w:cs="宋体"/>
                <w:color w:val="000000"/>
                <w:sz w:val="21"/>
                <w:szCs w:val="21"/>
              </w:rPr>
              <w:t xml:space="preserve">日</w:t>
            </w:r>
            <w:r>
              <w:rPr>
                <w:rFonts w:cs="宋体"/>
                <w:color w:val="000000"/>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928"/>
              <w:spacing w:line="360" w:lineRule="auto"/>
              <w:rPr>
                <w:rFonts w:cs="宋体"/>
                <w:color w:val="000000"/>
                <w:sz w:val="21"/>
                <w:szCs w:val="21"/>
              </w:rPr>
            </w:pPr>
            <w:r>
              <w:rPr>
                <w:rFonts w:hint="eastAsia" w:cs="宋体"/>
                <w:color w:val="000000"/>
                <w:sz w:val="21"/>
                <w:szCs w:val="21"/>
              </w:rPr>
              <w:t xml:space="preserve">签订地点：太仓市</w:t>
            </w:r>
            <w:r>
              <w:rPr>
                <w:rFonts w:cs="宋体"/>
                <w:color w:val="000000"/>
                <w:sz w:val="21"/>
                <w:szCs w:val="21"/>
              </w:rPr>
            </w:r>
            <w:r/>
          </w:p>
        </w:tc>
      </w:tr>
    </w:tbl>
    <w:p>
      <w:pPr>
        <w:pStyle w:val="928"/>
        <w:ind w:firstLine="420"/>
        <w:spacing w:line="360" w:lineRule="auto"/>
        <w:rPr>
          <w:rFonts w:cs="宋体"/>
          <w:color w:val="000000"/>
          <w:sz w:val="21"/>
          <w:szCs w:val="21"/>
        </w:rPr>
      </w:pPr>
      <w:r>
        <w:rPr>
          <w:rFonts w:hint="eastAsia" w:cs="宋体"/>
          <w:color w:val="000000"/>
          <w:sz w:val="21"/>
          <w:szCs w:val="21"/>
        </w:rPr>
        <w:t xml:space="preserve">根据苏州乐族工程咨询有限公司招标编号</w:t>
      </w:r>
      <w:r>
        <w:rPr>
          <w:rFonts w:hint="eastAsia" w:cs="宋体"/>
          <w:color w:val="000000"/>
          <w:sz w:val="21"/>
          <w:szCs w:val="21"/>
          <w:u w:val="single"/>
        </w:rPr>
        <w:t xml:space="preserve">JSZC-320585-SZLZ-G2026-0009</w:t>
      </w:r>
      <w:r>
        <w:rPr>
          <w:rFonts w:hint="eastAsia" w:cs="宋体"/>
          <w:color w:val="000000"/>
          <w:sz w:val="21"/>
          <w:szCs w:val="21"/>
        </w:rPr>
        <w:t xml:space="preserve">号招标文件及中标单位的投标文件和中标通知书，甲乙双方就此次中标的服务内容，签订本合同书。</w:t>
      </w:r>
      <w:r>
        <w:rPr>
          <w:rFonts w:cs="宋体"/>
          <w:color w:val="000000"/>
          <w:sz w:val="21"/>
          <w:szCs w:val="21"/>
        </w:rPr>
      </w:r>
      <w:r/>
    </w:p>
    <w:p>
      <w:pPr>
        <w:pStyle w:val="1315"/>
        <w:ind w:firstLine="422"/>
        <w:jc w:val="left"/>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t xml:space="preserve">一、合同内容</w:t>
      </w:r>
      <w:r/>
    </w:p>
    <w:p>
      <w:pPr>
        <w:pStyle w:val="928"/>
        <w:ind w:firstLine="420"/>
        <w:spacing w:line="360" w:lineRule="auto"/>
        <w:rPr>
          <w:rFonts w:hint="eastAsia"/>
          <w:color w:val="000000"/>
          <w:sz w:val="21"/>
          <w:szCs w:val="21"/>
        </w:rPr>
      </w:pPr>
      <w:r>
        <w:rPr>
          <w:rFonts w:hint="eastAsia"/>
          <w:color w:val="000000"/>
          <w:sz w:val="21"/>
          <w:szCs w:val="21"/>
        </w:rPr>
        <w:t xml:space="preserve">乙方完成甲方采购的全部内容。</w:t>
      </w:r>
      <w:r/>
    </w:p>
    <w:p>
      <w:pPr>
        <w:pStyle w:val="928"/>
        <w:ind w:firstLine="420"/>
        <w:spacing w:line="360" w:lineRule="auto"/>
        <w:rPr>
          <w:color w:val="000000"/>
          <w:sz w:val="21"/>
          <w:szCs w:val="21"/>
        </w:rPr>
      </w:pPr>
      <w:r>
        <w:rPr>
          <w:rFonts w:hint="eastAsia"/>
          <w:color w:val="000000"/>
          <w:sz w:val="21"/>
          <w:szCs w:val="21"/>
        </w:rPr>
        <w:t xml:space="preserve">1、下列文件为本合同不可分割部分，其中的条款与要求为本合同执行的依据：</w:t>
      </w: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（1）中标通知书；</w:t>
      </w: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（2）乙方的投标文件；</w:t>
      </w: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（3）乙方在招投标过程中所作的其它承诺、声明、书面澄清等；</w:t>
      </w: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（4）招标文件及其附件；</w:t>
      </w:r>
      <w:r>
        <w:rPr>
          <w:color w:val="000000"/>
          <w:sz w:val="21"/>
          <w:szCs w:val="21"/>
        </w:rPr>
      </w:r>
      <w:r/>
    </w:p>
    <w:p>
      <w:pPr>
        <w:pStyle w:val="928"/>
        <w:ind w:firstLine="420"/>
        <w:spacing w:line="360" w:lineRule="auto"/>
        <w:rPr>
          <w:color w:val="000000"/>
          <w:sz w:val="21"/>
          <w:szCs w:val="21"/>
        </w:rPr>
      </w:pPr>
      <w:r>
        <w:rPr>
          <w:rFonts w:hint="eastAsia"/>
          <w:color w:val="000000"/>
          <w:sz w:val="21"/>
          <w:szCs w:val="21"/>
        </w:rPr>
        <w:t xml:space="preserve">（5）合同附件。</w:t>
      </w:r>
      <w:r>
        <w:rPr>
          <w:color w:val="000000"/>
          <w:sz w:val="21"/>
          <w:szCs w:val="21"/>
        </w:rPr>
      </w:r>
      <w:r/>
    </w:p>
    <w:p>
      <w:pPr>
        <w:pStyle w:val="928"/>
        <w:ind w:firstLine="420"/>
        <w:jc w:val="left"/>
        <w:spacing w:line="360" w:lineRule="auto"/>
        <w:rPr>
          <w:rFonts w:hint="eastAsia" w:cs="宋体"/>
          <w:color w:val="000000"/>
          <w:sz w:val="21"/>
          <w:szCs w:val="21"/>
        </w:rPr>
      </w:pPr>
      <w:r>
        <w:rPr>
          <w:rFonts w:hint="eastAsia"/>
          <w:color w:val="000000"/>
          <w:sz w:val="21"/>
          <w:szCs w:val="21"/>
        </w:rPr>
        <w:t xml:space="preserve">以上与本合同具有同等法律效力</w:t>
      </w:r>
      <w:r>
        <w:rPr>
          <w:rFonts w:hint="eastAsia" w:cs="宋体"/>
          <w:color w:val="000000"/>
          <w:sz w:val="21"/>
          <w:szCs w:val="21"/>
        </w:rPr>
      </w:r>
      <w:r/>
    </w:p>
    <w:p>
      <w:pPr>
        <w:pStyle w:val="928"/>
        <w:ind w:firstLine="420"/>
        <w:spacing w:line="360" w:lineRule="auto"/>
        <w:rPr>
          <w:rFonts w:hint="eastAsia"/>
          <w:color w:val="000000"/>
          <w:sz w:val="21"/>
          <w:szCs w:val="21"/>
        </w:rPr>
      </w:pPr>
      <w:r>
        <w:rPr>
          <w:rFonts w:hint="eastAsia"/>
          <w:color w:val="000000"/>
          <w:sz w:val="21"/>
          <w:szCs w:val="21"/>
        </w:rPr>
        <w:t xml:space="preserve">2、服务内容：详见招标文件。</w:t>
      </w:r>
      <w:r/>
    </w:p>
    <w:p>
      <w:pPr>
        <w:pStyle w:val="928"/>
        <w:ind w:firstLine="420"/>
        <w:spacing w:line="360" w:lineRule="auto"/>
        <w:rPr>
          <w:color w:val="000000"/>
          <w:sz w:val="21"/>
          <w:szCs w:val="21"/>
        </w:rPr>
      </w:pPr>
      <w:r>
        <w:rPr>
          <w:rFonts w:hint="eastAsia"/>
          <w:color w:val="000000"/>
          <w:sz w:val="21"/>
          <w:szCs w:val="21"/>
        </w:rPr>
        <w:t xml:space="preserve">3、</w:t>
      </w:r>
      <w:r>
        <w:rPr>
          <w:rFonts w:hint="eastAsia" w:cs="宋体"/>
          <w:color w:val="000000"/>
          <w:sz w:val="21"/>
          <w:szCs w:val="21"/>
          <w:lang w:val="zh-CN"/>
        </w:rPr>
        <w:t xml:space="preserve">合同履行期限</w:t>
      </w:r>
      <w:r>
        <w:rPr>
          <w:rFonts w:hint="eastAsia"/>
          <w:color w:val="000000"/>
          <w:sz w:val="21"/>
          <w:szCs w:val="21"/>
        </w:rPr>
        <w:t xml:space="preserve">：</w:t>
      </w:r>
      <w:r>
        <w:rPr>
          <w:rFonts w:hint="eastAsia" w:cs="Courier New"/>
          <w:bCs/>
          <w:color w:val="000000"/>
          <w:sz w:val="21"/>
          <w:szCs w:val="21"/>
        </w:rPr>
        <w:t xml:space="preserve">一年</w:t>
      </w:r>
      <w:r>
        <w:rPr>
          <w:rFonts w:hint="eastAsia"/>
          <w:color w:val="000000"/>
          <w:sz w:val="21"/>
          <w:szCs w:val="21"/>
        </w:rPr>
        <w:t xml:space="preserve">，自</w:t>
      </w:r>
      <w:r>
        <w:rPr>
          <w:color w:val="000000"/>
          <w:sz w:val="21"/>
          <w:szCs w:val="21"/>
        </w:rPr>
        <w:t xml:space="preserve">  </w:t>
      </w:r>
      <w:r>
        <w:rPr>
          <w:rFonts w:hint="eastAsia"/>
          <w:color w:val="000000"/>
          <w:sz w:val="21"/>
          <w:szCs w:val="21"/>
        </w:rPr>
        <w:t xml:space="preserve">年 </w:t>
      </w:r>
      <w:r>
        <w:rPr>
          <w:color w:val="000000"/>
          <w:sz w:val="21"/>
          <w:szCs w:val="21"/>
        </w:rPr>
        <w:t xml:space="preserve"> </w:t>
      </w:r>
      <w:r>
        <w:rPr>
          <w:rFonts w:hint="eastAsia"/>
          <w:color w:val="000000"/>
          <w:sz w:val="21"/>
          <w:szCs w:val="21"/>
        </w:rPr>
        <w:t xml:space="preserve">月</w:t>
      </w:r>
      <w:r>
        <w:rPr>
          <w:color w:val="000000"/>
          <w:sz w:val="21"/>
          <w:szCs w:val="21"/>
        </w:rPr>
        <w:t xml:space="preserve">  </w:t>
      </w:r>
      <w:r>
        <w:rPr>
          <w:rFonts w:hint="eastAsia"/>
          <w:color w:val="000000"/>
          <w:sz w:val="21"/>
          <w:szCs w:val="21"/>
        </w:rPr>
        <w:t xml:space="preserve">日至</w:t>
      </w:r>
      <w:r>
        <w:rPr>
          <w:color w:val="000000"/>
          <w:sz w:val="21"/>
          <w:szCs w:val="21"/>
        </w:rPr>
        <w:t xml:space="preserve">  </w:t>
      </w:r>
      <w:r>
        <w:rPr>
          <w:rFonts w:hint="eastAsia"/>
          <w:color w:val="000000"/>
          <w:sz w:val="21"/>
          <w:szCs w:val="21"/>
        </w:rPr>
        <w:t xml:space="preserve">年 </w:t>
      </w:r>
      <w:r>
        <w:rPr>
          <w:color w:val="000000"/>
          <w:sz w:val="21"/>
          <w:szCs w:val="21"/>
        </w:rPr>
        <w:t xml:space="preserve"> </w:t>
      </w:r>
      <w:r>
        <w:rPr>
          <w:rFonts w:hint="eastAsia"/>
          <w:color w:val="000000"/>
          <w:sz w:val="21"/>
          <w:szCs w:val="21"/>
        </w:rPr>
        <w:t xml:space="preserve">月</w:t>
      </w:r>
      <w:r>
        <w:rPr>
          <w:color w:val="000000"/>
          <w:sz w:val="21"/>
          <w:szCs w:val="21"/>
        </w:rPr>
        <w:t xml:space="preserve">  </w:t>
      </w:r>
      <w:r>
        <w:rPr>
          <w:rFonts w:hint="eastAsia"/>
          <w:color w:val="000000"/>
          <w:sz w:val="21"/>
          <w:szCs w:val="21"/>
        </w:rPr>
        <w:t xml:space="preserve">日止。</w:t>
      </w:r>
      <w:r>
        <w:rPr>
          <w:color w:val="000000"/>
          <w:sz w:val="21"/>
          <w:szCs w:val="21"/>
        </w:rPr>
      </w:r>
      <w:r/>
    </w:p>
    <w:p>
      <w:pPr>
        <w:pStyle w:val="928"/>
        <w:ind w:firstLine="420"/>
        <w:spacing w:line="360" w:lineRule="auto"/>
        <w:rPr>
          <w:rFonts w:cs="宋体"/>
          <w:bCs/>
          <w:color w:val="000000"/>
          <w:sz w:val="21"/>
          <w:szCs w:val="21"/>
        </w:rPr>
      </w:pPr>
      <w:r>
        <w:rPr>
          <w:rFonts w:hint="eastAsia" w:cs="宋体"/>
          <w:bCs/>
          <w:color w:val="000000"/>
          <w:sz w:val="21"/>
          <w:szCs w:val="21"/>
        </w:rPr>
        <w:t xml:space="preserve">4、服务要求详见招标文件要求及投标文件中所做的承诺。</w:t>
      </w:r>
      <w:r>
        <w:rPr>
          <w:rFonts w:cs="宋体"/>
          <w:bCs/>
          <w:color w:val="000000"/>
          <w:sz w:val="21"/>
          <w:szCs w:val="21"/>
        </w:rPr>
      </w:r>
      <w:r/>
    </w:p>
    <w:p>
      <w:pPr>
        <w:pStyle w:val="928"/>
        <w:ind w:firstLine="422"/>
        <w:spacing w:line="360" w:lineRule="auto"/>
        <w:rPr>
          <w:rFonts w:hint="eastAsia" w:cs="宋体"/>
          <w:color w:val="000000"/>
          <w:sz w:val="21"/>
          <w:szCs w:val="21"/>
        </w:rPr>
      </w:pPr>
      <w:r>
        <w:rPr>
          <w:rFonts w:hint="eastAsia" w:cs="宋体"/>
          <w:b/>
          <w:color w:val="000000"/>
          <w:sz w:val="21"/>
          <w:szCs w:val="21"/>
        </w:rPr>
        <w:t xml:space="preserve">二、合同总价款</w:t>
      </w:r>
      <w:r>
        <w:rPr>
          <w:rFonts w:hint="eastAsia" w:cs="宋体"/>
          <w:color w:val="000000"/>
          <w:sz w:val="21"/>
          <w:szCs w:val="21"/>
        </w:rPr>
      </w:r>
      <w:r/>
    </w:p>
    <w:p>
      <w:pPr>
        <w:pStyle w:val="928"/>
        <w:ind w:firstLine="480"/>
        <w:jc w:val="left"/>
        <w:spacing w:line="360" w:lineRule="auto"/>
        <w:rPr>
          <w:rFonts w:hint="eastAsia" w:cs="宋体"/>
          <w:color w:val="000000"/>
          <w:sz w:val="21"/>
          <w:szCs w:val="21"/>
        </w:rPr>
      </w:pPr>
      <w:r>
        <w:rPr>
          <w:rFonts w:hint="eastAsia" w:cs="宋体"/>
          <w:color w:val="000000"/>
          <w:sz w:val="21"/>
          <w:szCs w:val="21"/>
        </w:rPr>
        <w:t xml:space="preserve">1、合同总金额为人民币</w:t>
      </w:r>
      <w:r>
        <w:rPr>
          <w:rFonts w:hint="eastAsia" w:cs="宋体"/>
          <w:color w:val="000000"/>
          <w:sz w:val="21"/>
          <w:szCs w:val="21"/>
          <w:u w:val="single"/>
        </w:rPr>
        <w:t xml:space="preserve">               </w:t>
      </w:r>
      <w:r>
        <w:rPr>
          <w:rFonts w:hint="eastAsia" w:cs="宋体"/>
          <w:color w:val="000000"/>
          <w:sz w:val="21"/>
          <w:szCs w:val="21"/>
        </w:rPr>
        <w:t xml:space="preserve">元整（大写）人民币，小写：（￥</w:t>
      </w:r>
      <w:r>
        <w:rPr>
          <w:rFonts w:hint="eastAsia" w:cs="宋体"/>
          <w:color w:val="000000"/>
          <w:sz w:val="21"/>
          <w:szCs w:val="21"/>
          <w:u w:val="single"/>
        </w:rPr>
        <w:t xml:space="preserve">：           </w:t>
      </w:r>
      <w:r>
        <w:rPr>
          <w:rFonts w:hint="eastAsia" w:cs="宋体"/>
          <w:color w:val="000000"/>
          <w:sz w:val="21"/>
          <w:szCs w:val="21"/>
        </w:rPr>
        <w:t xml:space="preserve">元）。</w:t>
      </w:r>
      <w:r/>
    </w:p>
    <w:p>
      <w:pPr>
        <w:pStyle w:val="928"/>
        <w:ind w:firstLine="480"/>
        <w:jc w:val="left"/>
        <w:spacing w:line="360" w:lineRule="auto"/>
        <w:rPr>
          <w:rFonts w:hint="eastAsia" w:cs="宋体"/>
          <w:color w:val="000000"/>
          <w:sz w:val="21"/>
          <w:szCs w:val="21"/>
        </w:rPr>
      </w:pPr>
      <w:r>
        <w:rPr>
          <w:rFonts w:hint="eastAsia" w:cs="宋体"/>
          <w:color w:val="000000"/>
          <w:sz w:val="21"/>
          <w:szCs w:val="21"/>
        </w:rPr>
        <w:t xml:space="preserve">以上价格应包括在服务期内完成服务内容所需要的一切费用，包括但不限于：</w:t>
      </w:r>
      <w:r>
        <w:rPr>
          <w:rFonts w:hint="eastAsia"/>
          <w:bCs/>
          <w:color w:val="000000"/>
          <w:sz w:val="21"/>
          <w:szCs w:val="21"/>
        </w:rPr>
        <w:t xml:space="preserve">系统维护维修、设备维护维修、检测、调试、应急支撑、验收、售后、保险、人员、交通、食宿、加班等工作所发生的全部费用以及投标人企业利润、税金和政策性文件规定及合同包含的所有风险、责任等各项应有费用</w:t>
      </w:r>
      <w:r>
        <w:rPr>
          <w:rFonts w:hint="eastAsia" w:cs="宋体"/>
          <w:color w:val="000000"/>
          <w:sz w:val="21"/>
          <w:szCs w:val="21"/>
        </w:rPr>
        <w:t xml:space="preserve">。</w:t>
      </w:r>
      <w:r/>
    </w:p>
    <w:p>
      <w:pPr>
        <w:pStyle w:val="928"/>
        <w:ind w:firstLine="420"/>
        <w:spacing w:line="360" w:lineRule="auto"/>
        <w:rPr>
          <w:color w:val="000000"/>
          <w:sz w:val="21"/>
          <w:szCs w:val="21"/>
        </w:rPr>
      </w:pPr>
      <w:r>
        <w:rPr>
          <w:rFonts w:hint="eastAsia"/>
          <w:color w:val="000000"/>
          <w:sz w:val="21"/>
          <w:szCs w:val="21"/>
        </w:rPr>
        <w:t xml:space="preserve">2、</w:t>
      </w:r>
      <w:r>
        <w:rPr>
          <w:rFonts w:hint="eastAsia" w:cs="宋体"/>
          <w:color w:val="000000"/>
          <w:sz w:val="21"/>
          <w:szCs w:val="21"/>
        </w:rPr>
        <w:t xml:space="preserve">付款步骤：</w:t>
      </w:r>
      <w:r>
        <w:rPr>
          <w:rFonts w:hint="eastAsia"/>
          <w:color w:val="000000"/>
          <w:sz w:val="21"/>
          <w:szCs w:val="21"/>
        </w:rPr>
        <w:t xml:space="preserve">合同签订生效后两个月内支付人民币贰佰陆拾万元整（小写：￥2600000.00）</w:t>
      </w:r>
      <w:r>
        <w:rPr>
          <w:rFonts w:hint="eastAsia"/>
          <w:color w:val="000000"/>
          <w:sz w:val="21"/>
          <w:szCs w:val="21"/>
        </w:rPr>
        <w:t xml:space="preserve">；维护期限及免费保修期届满并经验收合格后两个月内根据考核结果支付剩余款项。具体时间以财政资金下达情况为准。</w:t>
      </w:r>
      <w:r>
        <w:rPr>
          <w:color w:val="000000"/>
          <w:sz w:val="21"/>
          <w:szCs w:val="21"/>
        </w:rPr>
      </w:r>
      <w:r/>
    </w:p>
    <w:p>
      <w:pPr>
        <w:pStyle w:val="928"/>
        <w:ind w:firstLine="420"/>
        <w:spacing w:line="360" w:lineRule="auto"/>
        <w:rPr>
          <w:rFonts w:hint="eastAsia"/>
          <w:color w:val="000000"/>
          <w:sz w:val="21"/>
          <w:szCs w:val="21"/>
        </w:rPr>
      </w:pPr>
      <w:r>
        <w:rPr>
          <w:rFonts w:hint="eastAsia"/>
          <w:color w:val="000000"/>
          <w:sz w:val="21"/>
          <w:szCs w:val="21"/>
        </w:rPr>
        <w:t xml:space="preserve">发票必须背书成交单位的收款银行和账号，并在备注栏中注明合同编号。由采购人汇入成交单位开户银行（付款步骤如有变更，按财政部门相关要求执行）。</w:t>
      </w:r>
      <w:r/>
    </w:p>
    <w:p>
      <w:pPr>
        <w:pStyle w:val="928"/>
        <w:ind w:firstLine="422"/>
        <w:spacing w:line="400" w:lineRule="exact"/>
        <w:rPr>
          <w:rFonts w:hint="eastAsia"/>
          <w:b/>
          <w:bCs/>
          <w:color w:val="000000"/>
          <w:sz w:val="21"/>
          <w:szCs w:val="21"/>
        </w:rPr>
      </w:pPr>
      <w:r>
        <w:rPr>
          <w:b/>
          <w:bCs/>
          <w:color w:val="000000"/>
          <w:sz w:val="21"/>
          <w:szCs w:val="21"/>
        </w:rPr>
        <w:t xml:space="preserve">三、服务质量与检验</w:t>
      </w:r>
      <w:r>
        <w:rPr>
          <w:rFonts w:hint="eastAsia"/>
          <w:b/>
          <w:bCs/>
          <w:color w:val="000000"/>
          <w:sz w:val="21"/>
          <w:szCs w:val="21"/>
        </w:rPr>
      </w:r>
      <w:r/>
    </w:p>
    <w:p>
      <w:pPr>
        <w:pStyle w:val="928"/>
        <w:ind w:firstLine="420"/>
        <w:spacing w:line="400" w:lineRule="exact"/>
        <w:rPr>
          <w:color w:val="000000"/>
          <w:sz w:val="21"/>
          <w:szCs w:val="21"/>
        </w:rPr>
      </w:pPr>
      <w:r>
        <w:rPr>
          <w:color w:val="000000"/>
          <w:sz w:val="21"/>
          <w:szCs w:val="21"/>
        </w:rPr>
        <w:t xml:space="preserve">待整个服务项目开始实施后，验收时</w:t>
      </w:r>
      <w:r>
        <w:rPr>
          <w:rFonts w:hint="eastAsia"/>
          <w:color w:val="000000"/>
          <w:sz w:val="21"/>
          <w:szCs w:val="21"/>
        </w:rPr>
        <w:t xml:space="preserve">甲乙</w:t>
      </w:r>
      <w:r>
        <w:rPr>
          <w:color w:val="000000"/>
          <w:sz w:val="21"/>
          <w:szCs w:val="21"/>
        </w:rPr>
        <w:t xml:space="preserve">双方派员一起当场对所提供的服务项目进行逐一验收，如发现整个服务项目与投标承诺有出入时，应作详细记录，由</w:t>
      </w:r>
      <w:r>
        <w:rPr>
          <w:rFonts w:hint="eastAsia"/>
          <w:color w:val="000000"/>
          <w:sz w:val="21"/>
          <w:szCs w:val="21"/>
        </w:rPr>
        <w:t xml:space="preserve">乙方</w:t>
      </w:r>
      <w:r>
        <w:rPr>
          <w:color w:val="000000"/>
          <w:sz w:val="21"/>
          <w:szCs w:val="21"/>
        </w:rPr>
        <w:t xml:space="preserve">立即无条件更正，同时由</w:t>
      </w:r>
      <w:r>
        <w:rPr>
          <w:rFonts w:hint="eastAsia"/>
          <w:color w:val="000000"/>
          <w:sz w:val="21"/>
          <w:szCs w:val="21"/>
        </w:rPr>
        <w:t xml:space="preserve">乙方</w:t>
      </w:r>
      <w:r>
        <w:rPr>
          <w:color w:val="000000"/>
          <w:sz w:val="21"/>
          <w:szCs w:val="21"/>
        </w:rPr>
        <w:t xml:space="preserve">承担因此而产生的一切后果</w:t>
      </w:r>
      <w:r>
        <w:rPr>
          <w:rFonts w:hint="eastAsia"/>
          <w:color w:val="000000"/>
          <w:sz w:val="21"/>
          <w:szCs w:val="21"/>
        </w:rPr>
        <w:t xml:space="preserve">。</w:t>
      </w:r>
      <w:r>
        <w:rPr>
          <w:color w:val="000000"/>
          <w:sz w:val="21"/>
          <w:szCs w:val="21"/>
        </w:rPr>
      </w:r>
      <w:r/>
    </w:p>
    <w:p>
      <w:pPr>
        <w:pStyle w:val="928"/>
        <w:ind w:firstLine="422"/>
        <w:spacing w:line="400" w:lineRule="exact"/>
        <w:rPr>
          <w:rFonts w:hint="eastAsia"/>
          <w:b/>
          <w:bCs/>
          <w:color w:val="000000"/>
          <w:sz w:val="21"/>
          <w:szCs w:val="21"/>
        </w:rPr>
      </w:pPr>
      <w:r>
        <w:rPr>
          <w:rFonts w:hint="eastAsia"/>
          <w:b/>
          <w:bCs/>
          <w:color w:val="000000"/>
          <w:sz w:val="21"/>
          <w:szCs w:val="21"/>
        </w:rPr>
        <w:t xml:space="preserve">四、产品质量保证</w:t>
      </w:r>
      <w:r/>
    </w:p>
    <w:p>
      <w:pPr>
        <w:pStyle w:val="928"/>
        <w:ind w:firstLine="420"/>
        <w:spacing w:line="400" w:lineRule="exact"/>
        <w:rPr>
          <w:color w:val="000000"/>
          <w:sz w:val="21"/>
          <w:szCs w:val="21"/>
        </w:rPr>
      </w:pPr>
      <w:r>
        <w:rPr>
          <w:rFonts w:hint="eastAsia"/>
          <w:color w:val="000000"/>
          <w:sz w:val="21"/>
          <w:szCs w:val="21"/>
        </w:rPr>
        <w:t xml:space="preserve">1、货物及其各部件应为全新，未曾使用过之优质产品，与规定的质量、规格和性能相符，并保证该产品确系原厂制造，同时提供产品的质量保证书、技术性能说明书、有关部门的检测测试报告、质量标准认证证书等相关材料。</w:t>
      </w:r>
      <w:r>
        <w:rPr>
          <w:color w:val="000000"/>
          <w:sz w:val="21"/>
          <w:szCs w:val="21"/>
        </w:rPr>
      </w:r>
      <w:r/>
    </w:p>
    <w:p>
      <w:pPr>
        <w:pStyle w:val="928"/>
        <w:ind w:firstLine="420"/>
        <w:spacing w:line="400" w:lineRule="exact"/>
        <w:rPr>
          <w:rFonts w:hint="eastAsia"/>
          <w:color w:val="000000"/>
          <w:sz w:val="21"/>
          <w:szCs w:val="21"/>
        </w:rPr>
      </w:pPr>
      <w:r>
        <w:rPr>
          <w:rFonts w:hint="eastAsia"/>
          <w:color w:val="000000"/>
          <w:sz w:val="21"/>
          <w:szCs w:val="21"/>
        </w:rPr>
        <w:t xml:space="preserve">2、项目维护服务期限一年，对项目中的全新采购及更换设备免费保修期为1年（自现场调试合格达到可正常使用状态之日起计算）。</w:t>
      </w:r>
      <w:r/>
    </w:p>
    <w:p>
      <w:pPr>
        <w:pStyle w:val="928"/>
        <w:ind w:firstLine="422"/>
        <w:spacing w:line="400" w:lineRule="exact"/>
        <w:rPr>
          <w:rFonts w:hint="eastAsia"/>
          <w:b/>
          <w:bCs/>
          <w:color w:val="000000"/>
          <w:sz w:val="21"/>
          <w:szCs w:val="21"/>
        </w:rPr>
      </w:pPr>
      <w:r>
        <w:rPr>
          <w:rFonts w:hint="eastAsia"/>
          <w:b/>
          <w:bCs/>
          <w:color w:val="000000"/>
          <w:sz w:val="21"/>
          <w:szCs w:val="21"/>
        </w:rPr>
        <w:t xml:space="preserve">五</w:t>
      </w:r>
      <w:r>
        <w:rPr>
          <w:b/>
          <w:bCs/>
          <w:color w:val="000000"/>
          <w:sz w:val="21"/>
          <w:szCs w:val="21"/>
        </w:rPr>
        <w:t xml:space="preserve">、甲、乙双方的</w:t>
      </w:r>
      <w:r>
        <w:rPr>
          <w:rFonts w:hint="eastAsia"/>
          <w:b/>
          <w:bCs/>
          <w:color w:val="000000"/>
          <w:sz w:val="21"/>
          <w:szCs w:val="21"/>
        </w:rPr>
        <w:t xml:space="preserve">责任</w:t>
      </w:r>
      <w:r/>
    </w:p>
    <w:p>
      <w:pPr>
        <w:pStyle w:val="928"/>
        <w:ind w:firstLine="420"/>
        <w:spacing w:line="400" w:lineRule="exact"/>
        <w:rPr>
          <w:color w:val="000000"/>
          <w:sz w:val="21"/>
          <w:szCs w:val="21"/>
        </w:rPr>
      </w:pPr>
      <w:r>
        <w:rPr>
          <w:rFonts w:hint="eastAsia"/>
          <w:color w:val="000000"/>
          <w:sz w:val="21"/>
          <w:szCs w:val="21"/>
        </w:rPr>
        <w:t xml:space="preserve">（一）甲方责任</w:t>
      </w:r>
      <w:r>
        <w:rPr>
          <w:color w:val="000000"/>
          <w:sz w:val="21"/>
          <w:szCs w:val="21"/>
        </w:rPr>
      </w:r>
      <w:r/>
    </w:p>
    <w:p>
      <w:pPr>
        <w:pStyle w:val="928"/>
        <w:ind w:firstLine="420"/>
        <w:spacing w:line="400" w:lineRule="exact"/>
        <w:rPr>
          <w:rFonts w:hint="eastAsia"/>
          <w:color w:val="000000"/>
          <w:sz w:val="21"/>
          <w:szCs w:val="21"/>
        </w:rPr>
      </w:pPr>
      <w:r>
        <w:rPr>
          <w:rFonts w:hint="eastAsia"/>
          <w:color w:val="000000"/>
          <w:sz w:val="21"/>
          <w:szCs w:val="21"/>
        </w:rPr>
        <w:t xml:space="preserve">1、在现场维护时，甲方应积极配合乙方的工作。</w:t>
      </w:r>
      <w:r/>
    </w:p>
    <w:p>
      <w:pPr>
        <w:pStyle w:val="928"/>
        <w:ind w:firstLine="420"/>
        <w:spacing w:line="400" w:lineRule="exact"/>
        <w:rPr>
          <w:rFonts w:hint="eastAsia"/>
          <w:color w:val="000000"/>
          <w:sz w:val="21"/>
          <w:szCs w:val="21"/>
        </w:rPr>
      </w:pPr>
      <w:r>
        <w:rPr>
          <w:rFonts w:hint="eastAsia"/>
          <w:color w:val="000000"/>
          <w:sz w:val="21"/>
          <w:szCs w:val="21"/>
        </w:rPr>
        <w:t xml:space="preserve">2、甲方联络人应在报修时如实提供详细的故障情况，并如实确定故障等级，同时积极配合乙方作好各类服务及验收工作。</w:t>
      </w:r>
      <w:r/>
    </w:p>
    <w:p>
      <w:pPr>
        <w:pStyle w:val="928"/>
        <w:ind w:firstLine="420"/>
        <w:spacing w:line="400" w:lineRule="exact"/>
        <w:rPr>
          <w:rFonts w:hint="eastAsia"/>
          <w:color w:val="000000"/>
          <w:sz w:val="21"/>
          <w:szCs w:val="21"/>
        </w:rPr>
      </w:pPr>
      <w:r>
        <w:rPr>
          <w:rFonts w:hint="eastAsia"/>
          <w:color w:val="000000"/>
          <w:sz w:val="21"/>
          <w:szCs w:val="21"/>
        </w:rPr>
        <w:t xml:space="preserve">3、甲方在未经乙方书面同意</w:t>
      </w:r>
      <w:r>
        <w:rPr>
          <w:rFonts w:hint="eastAsia"/>
          <w:color w:val="000000"/>
          <w:sz w:val="21"/>
          <w:szCs w:val="21"/>
        </w:rPr>
        <w:t xml:space="preserve">的情况下不得将以上维护交由第三方进行维护、维修。</w:t>
      </w:r>
      <w:r/>
    </w:p>
    <w:p>
      <w:pPr>
        <w:pStyle w:val="928"/>
        <w:ind w:firstLine="420"/>
        <w:spacing w:line="400" w:lineRule="exact"/>
        <w:rPr>
          <w:rFonts w:hint="eastAsia"/>
          <w:color w:val="000000"/>
          <w:sz w:val="21"/>
          <w:szCs w:val="21"/>
        </w:rPr>
      </w:pPr>
      <w:r>
        <w:rPr>
          <w:rFonts w:hint="eastAsia"/>
          <w:color w:val="000000"/>
          <w:sz w:val="21"/>
          <w:szCs w:val="21"/>
        </w:rPr>
        <w:t xml:space="preserve">4、本协议有关设备的使用地点、连接、运行方式等状态变动时，甲方应及时书面通知书乙方。</w:t>
      </w:r>
      <w:r/>
    </w:p>
    <w:p>
      <w:pPr>
        <w:pStyle w:val="928"/>
        <w:ind w:firstLine="420"/>
        <w:spacing w:line="400" w:lineRule="exact"/>
        <w:rPr>
          <w:rFonts w:hint="eastAsia"/>
          <w:color w:val="000000"/>
          <w:sz w:val="21"/>
          <w:szCs w:val="21"/>
        </w:rPr>
      </w:pPr>
      <w:r>
        <w:rPr>
          <w:rFonts w:hint="eastAsia"/>
          <w:color w:val="000000"/>
          <w:sz w:val="21"/>
          <w:szCs w:val="21"/>
        </w:rPr>
        <w:t xml:space="preserve">5、甲方有效报修联络人应配合乙方建立设备维护档案，并按要求作好系统及设备运行记录，为乙方现场维护提供分析依据。</w:t>
      </w:r>
      <w:r/>
    </w:p>
    <w:p>
      <w:pPr>
        <w:pStyle w:val="928"/>
        <w:ind w:firstLine="420"/>
        <w:spacing w:line="400" w:lineRule="exact"/>
        <w:rPr>
          <w:bCs/>
          <w:color w:val="000000"/>
          <w:sz w:val="21"/>
          <w:szCs w:val="21"/>
        </w:rPr>
      </w:pPr>
      <w:r>
        <w:rPr>
          <w:rFonts w:hint="eastAsia"/>
          <w:bCs/>
          <w:color w:val="000000"/>
          <w:sz w:val="21"/>
          <w:szCs w:val="21"/>
        </w:rPr>
        <w:t xml:space="preserve">（二）乙方责任</w:t>
      </w:r>
      <w:r>
        <w:rPr>
          <w:bCs/>
          <w:color w:val="000000"/>
          <w:sz w:val="21"/>
          <w:szCs w:val="21"/>
        </w:rPr>
      </w:r>
      <w:r/>
    </w:p>
    <w:p>
      <w:pPr>
        <w:pStyle w:val="928"/>
        <w:ind w:firstLine="420"/>
        <w:spacing w:line="400" w:lineRule="exact"/>
        <w:rPr>
          <w:rFonts w:hint="eastAsia"/>
          <w:color w:val="000000"/>
          <w:sz w:val="21"/>
          <w:szCs w:val="21"/>
        </w:rPr>
      </w:pPr>
      <w:r>
        <w:rPr>
          <w:rFonts w:hint="eastAsia"/>
          <w:color w:val="000000"/>
          <w:sz w:val="21"/>
          <w:szCs w:val="21"/>
        </w:rPr>
        <w:t xml:space="preserve">1、对提供给甲方的实时的常规服务，乙方每次应提供详细的服务报告，每半年双方会面总结上一阶段的服务状态，发现问题并及时解决。</w:t>
      </w:r>
      <w:r/>
    </w:p>
    <w:p>
      <w:pPr>
        <w:pStyle w:val="928"/>
        <w:ind w:firstLine="420"/>
        <w:spacing w:line="400" w:lineRule="exact"/>
        <w:rPr>
          <w:rFonts w:hint="eastAsia"/>
          <w:color w:val="000000"/>
          <w:sz w:val="21"/>
          <w:szCs w:val="21"/>
        </w:rPr>
      </w:pPr>
      <w:r>
        <w:rPr>
          <w:rFonts w:hint="eastAsia"/>
          <w:color w:val="000000"/>
          <w:sz w:val="21"/>
          <w:szCs w:val="21"/>
        </w:rPr>
        <w:t xml:space="preserve">2、乙方应为甲方的协议设备建立设备维护档案。</w:t>
      </w:r>
      <w:r/>
    </w:p>
    <w:p>
      <w:pPr>
        <w:pStyle w:val="928"/>
        <w:ind w:firstLine="420"/>
        <w:spacing w:line="400" w:lineRule="exact"/>
        <w:rPr>
          <w:rFonts w:hint="eastAsia"/>
          <w:color w:val="000000"/>
          <w:sz w:val="21"/>
          <w:szCs w:val="21"/>
        </w:rPr>
      </w:pPr>
      <w:r>
        <w:rPr>
          <w:rFonts w:hint="eastAsia"/>
          <w:color w:val="000000"/>
          <w:sz w:val="21"/>
          <w:szCs w:val="21"/>
        </w:rPr>
        <w:t xml:space="preserve">3、乙方在服务过程中应及时提出设备替换、系统升级改告、扩充的建议，以利甲方最大限度地满足自身需要。</w:t>
      </w:r>
      <w:r/>
    </w:p>
    <w:p>
      <w:pPr>
        <w:pStyle w:val="928"/>
        <w:ind w:firstLine="420"/>
        <w:spacing w:line="400" w:lineRule="exact"/>
        <w:rPr>
          <w:rFonts w:hint="eastAsia"/>
          <w:color w:val="000000"/>
          <w:sz w:val="21"/>
          <w:szCs w:val="21"/>
        </w:rPr>
      </w:pPr>
      <w:r>
        <w:rPr>
          <w:rFonts w:hint="eastAsia"/>
          <w:color w:val="000000"/>
          <w:sz w:val="21"/>
          <w:szCs w:val="21"/>
        </w:rPr>
        <w:t xml:space="preserve">4、加强对派至甲方场所工作人员的教育和管理，并与他们签订《安全保密责任书》。提供相关工作人员的基本信息（姓名、年龄、性别、身份证号码、户籍地址、现居住地址等资料），以及乙方对派出人员政治素质评审的书面意见，供甲方备案。</w:t>
      </w:r>
      <w:r/>
    </w:p>
    <w:p>
      <w:pPr>
        <w:pStyle w:val="928"/>
        <w:ind w:firstLine="420"/>
        <w:spacing w:line="400" w:lineRule="exact"/>
        <w:rPr>
          <w:rFonts w:hint="eastAsia"/>
          <w:color w:val="000000"/>
          <w:sz w:val="21"/>
          <w:szCs w:val="21"/>
        </w:rPr>
      </w:pPr>
      <w:r>
        <w:rPr>
          <w:rFonts w:hint="eastAsia"/>
          <w:color w:val="000000"/>
          <w:sz w:val="21"/>
          <w:szCs w:val="21"/>
        </w:rPr>
        <w:t xml:space="preserve">5、乙方对派入甲方工作人员进行调换，需事先与甲方沟通，办理有关手续后再作调整。</w:t>
      </w:r>
      <w:r/>
    </w:p>
    <w:p>
      <w:pPr>
        <w:pStyle w:val="928"/>
        <w:ind w:firstLine="420"/>
        <w:spacing w:line="400" w:lineRule="exact"/>
        <w:rPr>
          <w:rFonts w:hint="eastAsia"/>
          <w:color w:val="000000"/>
          <w:sz w:val="21"/>
          <w:szCs w:val="21"/>
        </w:rPr>
      </w:pPr>
      <w:r>
        <w:rPr>
          <w:rFonts w:hint="eastAsia"/>
          <w:color w:val="000000"/>
          <w:sz w:val="21"/>
          <w:szCs w:val="21"/>
        </w:rPr>
        <w:t xml:space="preserve">6、乙方人员必须自觉遵守甲方工作纪律和规章制度，服从管理。未经甲方许可，不得擅自在甲方单位从事与项目无关的事务，不得擅自进出与工作无关的其他场所。</w:t>
      </w:r>
      <w:r/>
    </w:p>
    <w:p>
      <w:pPr>
        <w:pStyle w:val="928"/>
        <w:ind w:firstLine="420"/>
        <w:spacing w:line="400" w:lineRule="exact"/>
        <w:rPr>
          <w:rFonts w:hint="eastAsia"/>
          <w:color w:val="000000"/>
          <w:sz w:val="21"/>
          <w:szCs w:val="21"/>
        </w:rPr>
      </w:pPr>
      <w:r>
        <w:rPr>
          <w:rFonts w:hint="eastAsia"/>
          <w:color w:val="000000"/>
          <w:sz w:val="21"/>
          <w:szCs w:val="21"/>
        </w:rPr>
        <w:t xml:space="preserve">7、乙方人员不得与甲方人员谈论甲方的情况；</w:t>
      </w:r>
      <w:r>
        <w:rPr>
          <w:rFonts w:hint="eastAsia"/>
          <w:color w:val="000000"/>
          <w:sz w:val="21"/>
          <w:szCs w:val="21"/>
        </w:rPr>
        <w:t xml:space="preserve">不得私自打听有关涉密的事情；不得擅自在甲方工作场所摄像、拍照。</w:t>
      </w:r>
      <w:r/>
    </w:p>
    <w:p>
      <w:pPr>
        <w:pStyle w:val="928"/>
        <w:ind w:firstLine="420"/>
        <w:spacing w:line="400" w:lineRule="exact"/>
        <w:rPr>
          <w:rFonts w:hint="eastAsia"/>
          <w:color w:val="000000"/>
          <w:sz w:val="21"/>
          <w:szCs w:val="21"/>
        </w:rPr>
      </w:pPr>
      <w:r>
        <w:rPr>
          <w:rFonts w:hint="eastAsia"/>
          <w:color w:val="000000"/>
          <w:sz w:val="21"/>
          <w:szCs w:val="21"/>
        </w:rPr>
        <w:t xml:space="preserve">8、乙方人员阅读和使用甲方资料需在指定场所进行；不得擅自登陆、访问公安信息网；严禁以甲方名义编写、发布、传递信息资料；严禁在公安信息网上下载或上传任何文件资料。确因工作需要访问公安信息网的，经批准后，在甲方工作人员在场的情况下，严格按照批准范围使用公安信息网。</w:t>
      </w:r>
      <w:r/>
    </w:p>
    <w:p>
      <w:pPr>
        <w:pStyle w:val="928"/>
        <w:ind w:firstLine="420"/>
        <w:spacing w:line="400" w:lineRule="exact"/>
        <w:rPr>
          <w:rFonts w:hint="eastAsia"/>
          <w:color w:val="000000"/>
          <w:sz w:val="21"/>
          <w:szCs w:val="21"/>
        </w:rPr>
      </w:pPr>
      <w:r>
        <w:rPr>
          <w:rFonts w:hint="eastAsia"/>
          <w:color w:val="000000"/>
          <w:sz w:val="21"/>
          <w:szCs w:val="21"/>
        </w:rPr>
        <w:t xml:space="preserve">9、乙方人员严禁擅自设置、调整甲方系统设备的参数和配置，严禁在甲方的计算机系统及网站等应用软件中预留后门、逻辑炸弹等，严禁将掌握的甲方应用软件的源代码向第三方公布或泄露。</w:t>
      </w:r>
      <w:r/>
    </w:p>
    <w:p>
      <w:pPr>
        <w:pStyle w:val="928"/>
        <w:ind w:firstLine="420"/>
        <w:spacing w:line="400" w:lineRule="exact"/>
        <w:rPr>
          <w:rFonts w:hint="eastAsia"/>
          <w:color w:val="000000"/>
          <w:sz w:val="21"/>
          <w:szCs w:val="21"/>
        </w:rPr>
      </w:pPr>
      <w:r>
        <w:rPr>
          <w:rFonts w:hint="eastAsia"/>
          <w:color w:val="000000"/>
          <w:sz w:val="21"/>
          <w:szCs w:val="21"/>
        </w:rPr>
        <w:t xml:space="preserve">10、乙方人员不得擅自抄录、复制甲方的设备资料、工作文件和电话号码等。严禁将甲方的技术情报、资料数据、设备参数、密码口令和其它涉密材料带出甲方工作场所，或向第三方泄露。</w:t>
      </w:r>
      <w:r/>
    </w:p>
    <w:p>
      <w:pPr>
        <w:pStyle w:val="928"/>
        <w:ind w:firstLine="420"/>
        <w:spacing w:line="400" w:lineRule="exact"/>
        <w:rPr>
          <w:color w:val="000000"/>
          <w:sz w:val="21"/>
          <w:szCs w:val="21"/>
        </w:rPr>
      </w:pPr>
      <w:r>
        <w:rPr>
          <w:rFonts w:hint="eastAsia"/>
          <w:color w:val="000000"/>
          <w:sz w:val="21"/>
          <w:szCs w:val="21"/>
        </w:rPr>
        <w:t xml:space="preserve">11、乙方人员完成工作任务后，必须向甲方上交书面资料、密码口令等，并销毁或上交与甲方有关的全部电子文档资料。</w:t>
      </w:r>
      <w:r>
        <w:rPr>
          <w:color w:val="000000"/>
          <w:sz w:val="21"/>
          <w:szCs w:val="21"/>
        </w:rPr>
      </w:r>
      <w:r/>
    </w:p>
    <w:p>
      <w:pPr>
        <w:pStyle w:val="928"/>
        <w:ind w:firstLine="422"/>
        <w:spacing w:line="360" w:lineRule="auto"/>
        <w:rPr>
          <w:rFonts w:hint="eastAsia"/>
          <w:b/>
          <w:bCs/>
          <w:color w:val="000000"/>
          <w:sz w:val="21"/>
          <w:szCs w:val="21"/>
        </w:rPr>
      </w:pPr>
      <w:r>
        <w:rPr>
          <w:rFonts w:hint="eastAsia"/>
          <w:b/>
          <w:bCs/>
          <w:color w:val="000000"/>
          <w:sz w:val="21"/>
          <w:szCs w:val="21"/>
        </w:rPr>
        <w:t xml:space="preserve">六、风险责任</w:t>
      </w:r>
      <w:r/>
    </w:p>
    <w:p>
      <w:pPr>
        <w:pStyle w:val="928"/>
        <w:ind w:firstLine="420"/>
        <w:spacing w:line="360" w:lineRule="auto"/>
        <w:rPr>
          <w:rFonts w:hint="eastAsia"/>
          <w:color w:val="000000"/>
          <w:sz w:val="21"/>
          <w:szCs w:val="21"/>
        </w:rPr>
      </w:pPr>
      <w:r>
        <w:rPr>
          <w:rFonts w:hint="eastAsia"/>
          <w:color w:val="000000"/>
          <w:sz w:val="21"/>
          <w:szCs w:val="21"/>
        </w:rPr>
        <w:t xml:space="preserve">1、根据甲乙双方协商确定。乙方在项目服务期间应制定项目安全实施管理措施，并严格遵守安全管理要求，乙方在项目服务过程中因管理不当、维护措施不当等因素或不按安全管理要求，造成人员安全或财产损失事故的，所有责任均由乙方承担，甲方不承担责任</w:t>
      </w:r>
      <w:r>
        <w:rPr>
          <w:rFonts w:hint="eastAsia"/>
          <w:color w:val="000000"/>
          <w:sz w:val="21"/>
          <w:szCs w:val="21"/>
        </w:rPr>
        <w:t xml:space="preserve">。</w:t>
      </w:r>
      <w:r/>
    </w:p>
    <w:p>
      <w:pPr>
        <w:pStyle w:val="928"/>
        <w:ind w:firstLine="420"/>
        <w:spacing w:line="360" w:lineRule="auto"/>
        <w:rPr>
          <w:rFonts w:hint="eastAsia"/>
          <w:color w:val="000000"/>
          <w:sz w:val="21"/>
          <w:szCs w:val="21"/>
        </w:rPr>
      </w:pPr>
      <w:r>
        <w:rPr>
          <w:rFonts w:hint="eastAsia"/>
          <w:color w:val="000000"/>
          <w:sz w:val="21"/>
          <w:szCs w:val="21"/>
        </w:rPr>
        <w:t xml:space="preserve">2、乙方因其网络产品、服务不符或不满足国家标准或法律法规，出现网络安全问题的，所有责任均由乙方承担。</w:t>
      </w:r>
      <w:r/>
    </w:p>
    <w:p>
      <w:pPr>
        <w:pStyle w:val="928"/>
        <w:ind w:firstLine="422"/>
        <w:spacing w:line="360" w:lineRule="auto"/>
        <w:rPr>
          <w:rFonts w:hint="eastAsia"/>
          <w:b/>
          <w:bCs/>
          <w:color w:val="000000"/>
          <w:sz w:val="21"/>
          <w:szCs w:val="21"/>
        </w:rPr>
      </w:pPr>
      <w:r>
        <w:rPr>
          <w:rFonts w:hint="eastAsia"/>
          <w:b/>
          <w:bCs/>
          <w:color w:val="000000"/>
          <w:sz w:val="21"/>
          <w:szCs w:val="21"/>
        </w:rPr>
        <w:t xml:space="preserve">七、网络数据安全责任和义务</w:t>
      </w:r>
      <w:r/>
    </w:p>
    <w:p>
      <w:pPr>
        <w:pStyle w:val="928"/>
        <w:ind w:firstLine="420"/>
        <w:spacing w:line="360" w:lineRule="auto"/>
        <w:rPr>
          <w:rFonts w:hint="eastAsia"/>
          <w:color w:val="000000"/>
          <w:sz w:val="21"/>
          <w:szCs w:val="21"/>
        </w:rPr>
      </w:pPr>
      <w:r>
        <w:rPr>
          <w:rFonts w:hint="eastAsia"/>
          <w:color w:val="000000"/>
          <w:sz w:val="21"/>
          <w:szCs w:val="21"/>
        </w:rPr>
        <w:t xml:space="preserve">1、乙方在知道或被通知任何产品漏洞后的【24】小时内提供修复、补丁或更新。重大安全漏洞需要在【4】小时内通报并提供紧急修复方案。乙方为保证甲方的业务能够持续运行而发生的费用由乙方承担。</w:t>
      </w:r>
      <w:r/>
    </w:p>
    <w:p>
      <w:pPr>
        <w:pStyle w:val="928"/>
        <w:ind w:firstLine="420"/>
        <w:spacing w:line="360" w:lineRule="auto"/>
        <w:rPr>
          <w:rFonts w:hint="eastAsia"/>
          <w:color w:val="000000"/>
          <w:sz w:val="21"/>
          <w:szCs w:val="21"/>
        </w:rPr>
      </w:pPr>
      <w:r>
        <w:rPr>
          <w:rFonts w:hint="eastAsia"/>
          <w:color w:val="000000"/>
          <w:sz w:val="21"/>
          <w:szCs w:val="21"/>
        </w:rPr>
        <w:t xml:space="preserve">2、乙方应遵守《中华人民共和国网络安全法》《中华人民共和国数据安全法》和《中华人民共和国个人信息保护法》等所有相关法规，保护甲方的数据安全，防止数据泄露、篡改或被未经授权的第三方访问。</w:t>
      </w:r>
      <w:r/>
    </w:p>
    <w:p>
      <w:pPr>
        <w:pStyle w:val="928"/>
        <w:ind w:firstLine="420"/>
        <w:spacing w:line="400" w:lineRule="exact"/>
        <w:rPr>
          <w:b/>
          <w:bCs/>
          <w:color w:val="000000"/>
          <w:sz w:val="21"/>
          <w:szCs w:val="21"/>
        </w:rPr>
      </w:pPr>
      <w:r>
        <w:rPr>
          <w:rFonts w:hint="eastAsia"/>
          <w:color w:val="000000"/>
          <w:sz w:val="21"/>
          <w:szCs w:val="21"/>
        </w:rPr>
        <w:t xml:space="preserve">3、在合同履行期间内若发生安全问题的，乙方在接到甲方通知【4】小时内提出妥善解决方案，立即开展实施，由此发生的一切损失和费用由乙方承担。如乙方逾期不予答复和处理，视为违约，每发生一次，乙方应向甲方支付违约金【0.5】万元，同时甲方有权要求乙方承担违约责任。</w:t>
      </w:r>
      <w:r>
        <w:rPr>
          <w:b/>
          <w:bCs/>
          <w:color w:val="000000"/>
          <w:sz w:val="21"/>
          <w:szCs w:val="21"/>
        </w:rPr>
      </w:r>
      <w:r/>
    </w:p>
    <w:p>
      <w:pPr>
        <w:pStyle w:val="928"/>
        <w:ind w:firstLine="422"/>
        <w:spacing w:line="400" w:lineRule="exact"/>
        <w:rPr>
          <w:b/>
          <w:bCs/>
          <w:color w:val="000000"/>
          <w:sz w:val="21"/>
          <w:szCs w:val="21"/>
        </w:rPr>
      </w:pPr>
      <w:r>
        <w:rPr>
          <w:rFonts w:hint="eastAsia"/>
          <w:b/>
          <w:bCs/>
          <w:color w:val="000000"/>
          <w:sz w:val="21"/>
          <w:szCs w:val="21"/>
        </w:rPr>
        <w:t xml:space="preserve">八</w:t>
      </w:r>
      <w:r>
        <w:rPr>
          <w:b/>
          <w:bCs/>
          <w:color w:val="000000"/>
          <w:sz w:val="21"/>
          <w:szCs w:val="21"/>
        </w:rPr>
        <w:t xml:space="preserve">、违约责任</w:t>
      </w:r>
      <w:r/>
    </w:p>
    <w:p>
      <w:pPr>
        <w:pStyle w:val="928"/>
        <w:ind w:firstLine="420"/>
        <w:spacing w:line="400" w:lineRule="exact"/>
        <w:rPr>
          <w:rFonts w:hint="eastAsia"/>
          <w:color w:val="000000"/>
          <w:sz w:val="21"/>
          <w:szCs w:val="21"/>
        </w:rPr>
      </w:pPr>
      <w:r>
        <w:rPr>
          <w:rFonts w:hint="eastAsia"/>
          <w:color w:val="000000"/>
          <w:sz w:val="21"/>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pStyle w:val="928"/>
        <w:ind w:firstLine="420"/>
        <w:spacing w:line="400" w:lineRule="exact"/>
        <w:rPr>
          <w:rFonts w:hint="eastAsia"/>
          <w:color w:val="000000"/>
          <w:sz w:val="21"/>
          <w:szCs w:val="21"/>
        </w:rPr>
      </w:pPr>
      <w:r>
        <w:rPr>
          <w:rFonts w:hint="eastAsia"/>
          <w:color w:val="000000"/>
          <w:sz w:val="21"/>
          <w:szCs w:val="21"/>
        </w:rPr>
        <w:t xml:space="preserve">1、除人力不可抗拒因素外，乙方不能按期交货，或因运输及安装中货</w:t>
      </w:r>
      <w:r>
        <w:rPr>
          <w:rFonts w:hint="eastAsia"/>
          <w:color w:val="000000"/>
          <w:sz w:val="21"/>
          <w:szCs w:val="21"/>
        </w:rPr>
        <w:t xml:space="preserve">物缺损需要更换而影响实际交付使用时，乙方必须向甲方支付延期交货或延期交付使用的违约金，具体标准按合同总价每日万分之四计算。</w:t>
      </w:r>
      <w:r/>
    </w:p>
    <w:p>
      <w:pPr>
        <w:pStyle w:val="928"/>
        <w:ind w:firstLine="420"/>
        <w:spacing w:line="400" w:lineRule="exact"/>
        <w:rPr>
          <w:color w:val="000000"/>
          <w:sz w:val="21"/>
          <w:szCs w:val="21"/>
        </w:rPr>
      </w:pPr>
      <w:r>
        <w:rPr>
          <w:rFonts w:hint="eastAsia"/>
          <w:color w:val="000000"/>
          <w:sz w:val="21"/>
          <w:szCs w:val="21"/>
        </w:rPr>
        <w:t xml:space="preserve">2、延期交货时间超过5天或交货不合格从而影响甲方按期正常使用的视为乙方严重违约，甲方有权立即终止合同，乙方仍需向甲方支付全部延期交货违约金(指定交货日至合同终止日)，并按合同总金额的30%支付违约金同时返还甲方已支付的合同款。如违约金不足弥补甲方损失的，由乙方另行支付。</w:t>
      </w:r>
      <w:r>
        <w:rPr>
          <w:color w:val="000000"/>
          <w:sz w:val="21"/>
          <w:szCs w:val="21"/>
        </w:rPr>
      </w:r>
      <w:r/>
    </w:p>
    <w:p>
      <w:pPr>
        <w:pStyle w:val="928"/>
        <w:ind w:firstLine="420"/>
        <w:spacing w:line="400" w:lineRule="exact"/>
        <w:rPr>
          <w:rFonts w:hint="eastAsia"/>
          <w:color w:val="000000"/>
          <w:sz w:val="21"/>
          <w:szCs w:val="21"/>
        </w:rPr>
      </w:pPr>
      <w:r>
        <w:rPr>
          <w:rFonts w:hint="eastAsia"/>
          <w:color w:val="000000"/>
          <w:sz w:val="21"/>
          <w:szCs w:val="21"/>
        </w:rPr>
        <w:t xml:space="preserve">3、对报修后未在规定时间内及时修复的故障（不可抗力原因除外），甲方将抄告乙方，从抄告之日起计算，单次故障每超时一天，扣除维护费用2000元作为违约惩罚。合同期内抄告累计达到365天次的，甲方有权终止维保合同及退回全部产品，重新采购。乙方需要退回已收取费用，所有损失由乙方承担。</w:t>
      </w:r>
      <w:r/>
    </w:p>
    <w:p>
      <w:pPr>
        <w:pStyle w:val="928"/>
        <w:ind w:firstLine="420"/>
        <w:spacing w:line="400" w:lineRule="exact"/>
        <w:rPr>
          <w:rFonts w:hint="eastAsia"/>
          <w:color w:val="000000"/>
          <w:sz w:val="21"/>
          <w:szCs w:val="21"/>
        </w:rPr>
      </w:pPr>
      <w:r>
        <w:rPr>
          <w:rFonts w:hint="eastAsia"/>
          <w:color w:val="000000"/>
          <w:sz w:val="21"/>
          <w:szCs w:val="21"/>
        </w:rPr>
        <w:t xml:space="preserve">4、乙方因违反其他相关合同及招标文件其他应尽义务的，甲方有权根据乙方违约程度要求乙方支付相当于合同总价款5%的违约金。如违约金不足弥补甲方损失的，由乙方另行支付，由此引起的后果，甲方保留进一步追索的权利。</w:t>
      </w:r>
      <w:r/>
    </w:p>
    <w:p>
      <w:pPr>
        <w:pStyle w:val="928"/>
        <w:ind w:firstLine="420"/>
        <w:spacing w:line="400" w:lineRule="exact"/>
        <w:rPr>
          <w:rFonts w:hint="eastAsia"/>
          <w:color w:val="000000"/>
          <w:sz w:val="21"/>
          <w:szCs w:val="21"/>
        </w:rPr>
      </w:pPr>
      <w:r>
        <w:rPr>
          <w:rFonts w:hint="eastAsia"/>
          <w:color w:val="000000"/>
          <w:sz w:val="21"/>
          <w:szCs w:val="21"/>
        </w:rPr>
        <w:t xml:space="preserve">5、乙方应在规定的日期前（或甲、乙双方另外规定的时间内）货物经验收后交付甲方使用，除因不可抗拒力造成的误期或延期外，任何交付期限的延长，乙方均应</w:t>
      </w:r>
      <w:r>
        <w:rPr>
          <w:rFonts w:hint="eastAsia"/>
          <w:color w:val="000000"/>
          <w:sz w:val="21"/>
          <w:szCs w:val="21"/>
        </w:rPr>
        <w:t xml:space="preserve">按合同总价款每日万分之四的标准向甲方支付违约金，同时本条款项下的违约金计算不影响上述四项违约金条款的执行。</w:t>
      </w:r>
      <w:r/>
    </w:p>
    <w:p>
      <w:pPr>
        <w:pStyle w:val="928"/>
        <w:ind w:firstLine="420"/>
        <w:spacing w:line="400" w:lineRule="exact"/>
        <w:rPr>
          <w:rFonts w:hint="eastAsia"/>
          <w:color w:val="000000"/>
          <w:sz w:val="21"/>
          <w:szCs w:val="21"/>
        </w:rPr>
      </w:pPr>
      <w:r>
        <w:rPr>
          <w:rFonts w:hint="eastAsia"/>
          <w:color w:val="000000"/>
          <w:sz w:val="21"/>
          <w:szCs w:val="21"/>
        </w:rPr>
        <w:t xml:space="preserve">6、乙方全部履行合同，甲方在收到乙方的付款通知并审定无误后按期付款，如有违约，甲方按合同总价每日万分之四支付延期付款违约金。</w:t>
      </w:r>
      <w:r/>
    </w:p>
    <w:p>
      <w:pPr>
        <w:pStyle w:val="928"/>
        <w:ind w:firstLine="420"/>
        <w:spacing w:line="400" w:lineRule="exact"/>
        <w:rPr>
          <w:rFonts w:hint="eastAsia"/>
          <w:color w:val="000000"/>
          <w:sz w:val="21"/>
          <w:szCs w:val="21"/>
        </w:rPr>
      </w:pPr>
      <w:r>
        <w:rPr>
          <w:rFonts w:hint="eastAsia"/>
          <w:color w:val="000000"/>
          <w:sz w:val="21"/>
          <w:szCs w:val="21"/>
        </w:rPr>
        <w:t xml:space="preserve">7、对乙方工作人员违反有关职责义务的，甲方一经发现，可立即中止其工作。</w:t>
      </w:r>
      <w:r/>
    </w:p>
    <w:p>
      <w:pPr>
        <w:pStyle w:val="928"/>
        <w:ind w:firstLine="420"/>
        <w:spacing w:line="400" w:lineRule="exact"/>
        <w:rPr>
          <w:rFonts w:hint="eastAsia"/>
          <w:color w:val="000000"/>
          <w:sz w:val="21"/>
          <w:szCs w:val="21"/>
        </w:rPr>
      </w:pPr>
      <w:r>
        <w:rPr>
          <w:rFonts w:hint="eastAsia"/>
          <w:color w:val="000000"/>
          <w:sz w:val="21"/>
          <w:szCs w:val="21"/>
        </w:rPr>
        <w:t xml:space="preserve">8、因乙方违反有关职责义务给甲方造成损失的，乙方需承担相应的赔偿责任。对造成严重失、泄密事故的个人，将依法追究其法律责任。</w:t>
      </w:r>
      <w:r/>
    </w:p>
    <w:p>
      <w:pPr>
        <w:pStyle w:val="928"/>
        <w:ind w:firstLine="422"/>
        <w:spacing w:line="400" w:lineRule="exact"/>
        <w:rPr>
          <w:b/>
          <w:bCs/>
          <w:color w:val="000000"/>
          <w:sz w:val="21"/>
          <w:szCs w:val="21"/>
        </w:rPr>
      </w:pPr>
      <w:r>
        <w:rPr>
          <w:rFonts w:hint="eastAsia"/>
          <w:b/>
          <w:bCs/>
          <w:color w:val="000000"/>
          <w:sz w:val="21"/>
          <w:szCs w:val="21"/>
        </w:rPr>
        <w:t xml:space="preserve">九、索赔</w:t>
      </w:r>
      <w:r>
        <w:rPr>
          <w:b/>
          <w:bCs/>
          <w:color w:val="000000"/>
          <w:sz w:val="21"/>
          <w:szCs w:val="21"/>
        </w:rPr>
      </w:r>
      <w:r/>
    </w:p>
    <w:p>
      <w:pPr>
        <w:pStyle w:val="928"/>
        <w:ind w:firstLine="420"/>
        <w:spacing w:line="400" w:lineRule="exact"/>
        <w:rPr>
          <w:rFonts w:hint="eastAsia"/>
          <w:color w:val="000000"/>
          <w:sz w:val="21"/>
          <w:szCs w:val="21"/>
        </w:rPr>
      </w:pPr>
      <w:r>
        <w:rPr>
          <w:rFonts w:hint="eastAsia"/>
          <w:color w:val="000000"/>
          <w:sz w:val="21"/>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pStyle w:val="928"/>
        <w:ind w:firstLine="420"/>
        <w:spacing w:line="400" w:lineRule="exact"/>
        <w:rPr>
          <w:rFonts w:hint="eastAsia"/>
          <w:color w:val="000000"/>
          <w:sz w:val="21"/>
          <w:szCs w:val="21"/>
        </w:rPr>
      </w:pPr>
      <w:r>
        <w:rPr>
          <w:rFonts w:hint="eastAsia"/>
          <w:color w:val="000000"/>
          <w:sz w:val="21"/>
          <w:szCs w:val="21"/>
        </w:rPr>
        <w:t xml:space="preserve">索赔方式除上述规定之外，甲方还有权选择以下方式进行索赔：</w:t>
      </w:r>
      <w:r/>
    </w:p>
    <w:p>
      <w:pPr>
        <w:pStyle w:val="928"/>
        <w:ind w:firstLine="420"/>
        <w:spacing w:line="400" w:lineRule="exact"/>
        <w:rPr>
          <w:rFonts w:hint="eastAsia"/>
          <w:color w:val="000000"/>
          <w:sz w:val="21"/>
          <w:szCs w:val="21"/>
        </w:rPr>
      </w:pPr>
      <w:r>
        <w:rPr>
          <w:rFonts w:hint="eastAsia"/>
          <w:color w:val="000000"/>
          <w:sz w:val="21"/>
          <w:szCs w:val="21"/>
        </w:rPr>
        <w:t xml:space="preserve">1、向乙方退货，返还甲方已支付的合同款及支</w:t>
      </w:r>
      <w:r>
        <w:rPr>
          <w:rFonts w:hint="eastAsia"/>
          <w:color w:val="000000"/>
          <w:sz w:val="21"/>
          <w:szCs w:val="21"/>
        </w:rPr>
        <w:t xml:space="preserve">付合同总金额30%违约金，并承担由此发生的一切损失和费用，包括甲方直接损失、利息、银行手续费、运费、保险费、仓储费、装卸费以及为保护退回货物所需的其它必要费用。</w:t>
      </w:r>
      <w:r/>
    </w:p>
    <w:p>
      <w:pPr>
        <w:pStyle w:val="928"/>
        <w:ind w:firstLine="420"/>
        <w:spacing w:line="400" w:lineRule="exact"/>
        <w:rPr>
          <w:rFonts w:hint="eastAsia"/>
          <w:color w:val="000000"/>
          <w:sz w:val="21"/>
          <w:szCs w:val="21"/>
        </w:rPr>
      </w:pPr>
      <w:r>
        <w:rPr>
          <w:rFonts w:hint="eastAsia"/>
          <w:color w:val="000000"/>
          <w:sz w:val="21"/>
          <w:szCs w:val="21"/>
        </w:rPr>
        <w:t xml:space="preserve">2、根据货物的损坏程度以及甲方遭受损失的数额，经甲乙双方商定降低的物的价格。</w:t>
      </w:r>
      <w:r/>
    </w:p>
    <w:p>
      <w:pPr>
        <w:pStyle w:val="928"/>
        <w:ind w:firstLine="420"/>
        <w:spacing w:line="400" w:lineRule="exact"/>
        <w:rPr>
          <w:rFonts w:hint="eastAsia"/>
          <w:color w:val="000000"/>
          <w:sz w:val="21"/>
          <w:szCs w:val="21"/>
        </w:rPr>
      </w:pPr>
      <w:r>
        <w:rPr>
          <w:rFonts w:hint="eastAsia"/>
          <w:color w:val="000000"/>
          <w:sz w:val="21"/>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pStyle w:val="928"/>
        <w:ind w:firstLine="420"/>
        <w:spacing w:line="400" w:lineRule="exact"/>
        <w:rPr>
          <w:color w:val="000000"/>
          <w:sz w:val="21"/>
          <w:szCs w:val="21"/>
        </w:rPr>
      </w:pPr>
      <w:r>
        <w:rPr>
          <w:rFonts w:hint="eastAsia"/>
          <w:color w:val="000000"/>
          <w:sz w:val="21"/>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color w:val="000000"/>
          <w:sz w:val="21"/>
          <w:szCs w:val="21"/>
        </w:rPr>
      </w:r>
      <w:r/>
    </w:p>
    <w:p>
      <w:pPr>
        <w:pStyle w:val="928"/>
        <w:ind w:firstLine="422"/>
        <w:spacing w:line="400" w:lineRule="exact"/>
        <w:rPr>
          <w:b/>
          <w:bCs/>
          <w:color w:val="000000"/>
          <w:sz w:val="21"/>
          <w:szCs w:val="21"/>
        </w:rPr>
      </w:pPr>
      <w:r>
        <w:rPr>
          <w:rFonts w:hint="eastAsia"/>
          <w:b/>
          <w:bCs/>
          <w:color w:val="000000"/>
          <w:sz w:val="21"/>
          <w:szCs w:val="21"/>
        </w:rPr>
        <w:t xml:space="preserve">十</w:t>
      </w:r>
      <w:r>
        <w:rPr>
          <w:b/>
          <w:bCs/>
          <w:color w:val="000000"/>
          <w:sz w:val="21"/>
          <w:szCs w:val="21"/>
        </w:rPr>
        <w:t xml:space="preserve">、不可抗力</w:t>
      </w:r>
      <w:r/>
    </w:p>
    <w:p>
      <w:pPr>
        <w:pStyle w:val="928"/>
        <w:ind w:firstLine="420"/>
        <w:spacing w:line="400" w:lineRule="exact"/>
        <w:rPr>
          <w:color w:val="000000"/>
          <w:sz w:val="21"/>
          <w:szCs w:val="21"/>
        </w:rPr>
      </w:pPr>
      <w:r>
        <w:rPr>
          <w:rFonts w:hint="eastAsia"/>
          <w:color w:val="000000"/>
          <w:sz w:val="21"/>
          <w:szCs w:val="21"/>
        </w:rPr>
        <w:t xml:space="preserve">1、</w:t>
      </w:r>
      <w:r>
        <w:rPr>
          <w:color w:val="000000"/>
          <w:sz w:val="21"/>
          <w:szCs w:val="21"/>
        </w:rPr>
        <w:t xml:space="preserve">因不可抗力不能履行合同的，根据不可抗力的影响，部分或者全部免除责任。但合同一方迟延履行后发生不可抗力的，不能免除责任。</w:t>
      </w:r>
      <w:r/>
    </w:p>
    <w:p>
      <w:pPr>
        <w:pStyle w:val="928"/>
        <w:ind w:firstLine="420"/>
        <w:spacing w:line="400" w:lineRule="exact"/>
        <w:rPr>
          <w:color w:val="000000"/>
          <w:sz w:val="21"/>
          <w:szCs w:val="21"/>
        </w:rPr>
      </w:pPr>
      <w:r>
        <w:rPr>
          <w:rFonts w:hint="eastAsia"/>
          <w:color w:val="000000"/>
          <w:sz w:val="21"/>
          <w:szCs w:val="21"/>
        </w:rPr>
        <w:t xml:space="preserve">2、</w:t>
      </w:r>
      <w:r>
        <w:rPr>
          <w:color w:val="000000"/>
          <w:sz w:val="21"/>
          <w:szCs w:val="21"/>
        </w:rPr>
        <w:t xml:space="preserve">合同一方因不可抗力不能履行合同的，应当及时通知对方，以减轻可能给对方造成的损失，并应当在合理期限内提供证明。</w:t>
      </w:r>
      <w:r/>
    </w:p>
    <w:p>
      <w:pPr>
        <w:pStyle w:val="928"/>
        <w:ind w:firstLine="422"/>
        <w:spacing w:line="400" w:lineRule="exact"/>
        <w:rPr>
          <w:b/>
          <w:bCs/>
          <w:color w:val="000000"/>
          <w:sz w:val="21"/>
          <w:szCs w:val="21"/>
        </w:rPr>
      </w:pPr>
      <w:r>
        <w:rPr>
          <w:rFonts w:hint="eastAsia"/>
          <w:b/>
          <w:bCs/>
          <w:color w:val="000000"/>
          <w:sz w:val="21"/>
          <w:szCs w:val="21"/>
        </w:rPr>
        <w:t xml:space="preserve">十一</w:t>
      </w:r>
      <w:r>
        <w:rPr>
          <w:b/>
          <w:bCs/>
          <w:color w:val="000000"/>
          <w:sz w:val="21"/>
          <w:szCs w:val="21"/>
        </w:rPr>
        <w:t xml:space="preserve">、合同的解除和转让</w:t>
      </w:r>
      <w:r/>
    </w:p>
    <w:p>
      <w:pPr>
        <w:pStyle w:val="928"/>
        <w:ind w:firstLine="420"/>
        <w:spacing w:line="400" w:lineRule="exact"/>
        <w:rPr>
          <w:color w:val="000000"/>
          <w:sz w:val="21"/>
          <w:szCs w:val="21"/>
        </w:rPr>
      </w:pPr>
      <w:r>
        <w:rPr>
          <w:color w:val="000000"/>
          <w:sz w:val="21"/>
          <w:szCs w:val="21"/>
        </w:rPr>
        <w:t xml:space="preserve">1、合同的解除</w:t>
      </w:r>
      <w:r/>
    </w:p>
    <w:p>
      <w:pPr>
        <w:pStyle w:val="928"/>
        <w:ind w:firstLine="420"/>
        <w:spacing w:line="400" w:lineRule="exact"/>
        <w:rPr>
          <w:color w:val="000000"/>
          <w:sz w:val="21"/>
          <w:szCs w:val="21"/>
        </w:rPr>
      </w:pPr>
      <w:r>
        <w:rPr>
          <w:color w:val="000000"/>
          <w:sz w:val="21"/>
          <w:szCs w:val="21"/>
        </w:rPr>
        <w:t xml:space="preserve">（1）有下列情形之一，合同一方可以解除合同：</w:t>
      </w:r>
      <w:r/>
    </w:p>
    <w:p>
      <w:pPr>
        <w:pStyle w:val="928"/>
        <w:ind w:firstLine="420"/>
        <w:spacing w:line="400" w:lineRule="exact"/>
        <w:rPr>
          <w:color w:val="000000"/>
          <w:sz w:val="21"/>
          <w:szCs w:val="21"/>
        </w:rPr>
      </w:pPr>
      <w:r>
        <w:rPr>
          <w:color w:val="000000"/>
          <w:sz w:val="21"/>
          <w:szCs w:val="21"/>
        </w:rPr>
        <w:t xml:space="preserve">① 因不可抗力致</w:t>
      </w:r>
      <w:r>
        <w:rPr>
          <w:color w:val="000000"/>
          <w:sz w:val="21"/>
          <w:szCs w:val="21"/>
        </w:rPr>
        <w:t xml:space="preserve">使不能实现合同目的，未受不可抗力影响的一方有权解除合同；</w:t>
      </w:r>
      <w:r/>
    </w:p>
    <w:p>
      <w:pPr>
        <w:pStyle w:val="928"/>
        <w:ind w:firstLine="420"/>
        <w:spacing w:line="400" w:lineRule="exact"/>
        <w:rPr>
          <w:color w:val="000000"/>
          <w:sz w:val="21"/>
          <w:szCs w:val="21"/>
        </w:rPr>
      </w:pPr>
      <w:r>
        <w:rPr>
          <w:color w:val="000000"/>
          <w:sz w:val="21"/>
          <w:szCs w:val="21"/>
        </w:rPr>
        <w:t xml:space="preserve">② 因合同一方违约导致合同不能履行，另一方有权解除合同；</w:t>
      </w:r>
      <w:r/>
    </w:p>
    <w:p>
      <w:pPr>
        <w:pStyle w:val="928"/>
        <w:ind w:firstLine="420"/>
        <w:spacing w:line="400" w:lineRule="exact"/>
        <w:rPr>
          <w:color w:val="000000"/>
          <w:sz w:val="21"/>
          <w:szCs w:val="21"/>
        </w:rPr>
      </w:pPr>
      <w:r>
        <w:rPr>
          <w:color w:val="000000"/>
          <w:sz w:val="21"/>
          <w:szCs w:val="21"/>
        </w:rPr>
        <w:t xml:space="preserve">（2）有权解除合同的一方，应当在违约事实或不可抗力发生之后三十天内书面通知对方以主张解除合同，合同在书面通知到达对方时解除。</w:t>
      </w:r>
      <w:r/>
    </w:p>
    <w:p>
      <w:pPr>
        <w:pStyle w:val="928"/>
        <w:ind w:firstLine="420"/>
        <w:spacing w:line="400" w:lineRule="exact"/>
        <w:rPr>
          <w:color w:val="000000"/>
          <w:sz w:val="21"/>
          <w:szCs w:val="21"/>
        </w:rPr>
      </w:pPr>
      <w:r>
        <w:rPr>
          <w:color w:val="000000"/>
          <w:sz w:val="21"/>
          <w:szCs w:val="21"/>
        </w:rPr>
        <w:t xml:space="preserve">2、合同的转让</w:t>
      </w:r>
      <w:r/>
    </w:p>
    <w:p>
      <w:pPr>
        <w:pStyle w:val="928"/>
        <w:ind w:firstLine="420"/>
        <w:spacing w:line="400" w:lineRule="exact"/>
        <w:rPr>
          <w:color w:val="000000"/>
          <w:sz w:val="21"/>
          <w:szCs w:val="21"/>
        </w:rPr>
      </w:pPr>
      <w:r>
        <w:rPr>
          <w:color w:val="000000"/>
          <w:sz w:val="21"/>
          <w:szCs w:val="21"/>
        </w:rPr>
        <w:t xml:space="preserve">合同的部分和全部都不得转让。</w:t>
      </w:r>
      <w:r/>
    </w:p>
    <w:p>
      <w:pPr>
        <w:pStyle w:val="928"/>
        <w:ind w:firstLine="422"/>
        <w:spacing w:line="400" w:lineRule="exact"/>
        <w:rPr>
          <w:b/>
          <w:bCs/>
          <w:color w:val="000000"/>
          <w:sz w:val="21"/>
          <w:szCs w:val="21"/>
        </w:rPr>
      </w:pPr>
      <w:r>
        <w:rPr>
          <w:rFonts w:hint="eastAsia"/>
          <w:b/>
          <w:bCs/>
          <w:color w:val="000000"/>
          <w:sz w:val="21"/>
          <w:szCs w:val="21"/>
        </w:rPr>
        <w:t xml:space="preserve">十二</w:t>
      </w:r>
      <w:r>
        <w:rPr>
          <w:b/>
          <w:bCs/>
          <w:color w:val="000000"/>
          <w:sz w:val="21"/>
          <w:szCs w:val="21"/>
        </w:rPr>
        <w:t xml:space="preserve">、合同的生效</w:t>
      </w:r>
      <w:r/>
    </w:p>
    <w:p>
      <w:pPr>
        <w:pStyle w:val="928"/>
        <w:ind w:firstLine="420"/>
        <w:spacing w:line="400" w:lineRule="exact"/>
        <w:rPr>
          <w:color w:val="000000"/>
          <w:sz w:val="21"/>
          <w:szCs w:val="21"/>
        </w:rPr>
      </w:pPr>
      <w:r>
        <w:rPr>
          <w:color w:val="000000"/>
          <w:sz w:val="21"/>
          <w:szCs w:val="21"/>
        </w:rPr>
        <w:t xml:space="preserve">1、本合同在双方签字盖章后</w:t>
      </w:r>
      <w:r>
        <w:rPr>
          <w:rFonts w:hint="eastAsia"/>
          <w:color w:val="000000"/>
          <w:sz w:val="21"/>
          <w:szCs w:val="21"/>
        </w:rPr>
        <w:t xml:space="preserve">经本项目代理机构备案后</w:t>
      </w:r>
      <w:r>
        <w:rPr>
          <w:color w:val="000000"/>
          <w:sz w:val="21"/>
          <w:szCs w:val="21"/>
        </w:rPr>
        <w:t xml:space="preserve">生效。</w:t>
      </w:r>
      <w:r/>
    </w:p>
    <w:p>
      <w:pPr>
        <w:pStyle w:val="928"/>
        <w:ind w:firstLine="420"/>
        <w:spacing w:line="400" w:lineRule="exact"/>
        <w:rPr>
          <w:color w:val="000000"/>
          <w:sz w:val="21"/>
          <w:szCs w:val="21"/>
        </w:rPr>
      </w:pPr>
      <w:r>
        <w:rPr>
          <w:color w:val="000000"/>
          <w:sz w:val="21"/>
          <w:szCs w:val="21"/>
        </w:rPr>
        <w:t xml:space="preserve">2、合同在执行过程中出现的未尽事宜，双方在不违背本合同和</w:t>
      </w:r>
      <w:r>
        <w:rPr>
          <w:rFonts w:hint="eastAsia"/>
          <w:color w:val="000000"/>
          <w:sz w:val="21"/>
          <w:szCs w:val="21"/>
        </w:rPr>
        <w:t xml:space="preserve">采购</w:t>
      </w:r>
      <w:r>
        <w:rPr>
          <w:color w:val="000000"/>
          <w:sz w:val="21"/>
          <w:szCs w:val="21"/>
        </w:rPr>
        <w:t xml:space="preserve">文件的原则下协商解决，协商结果以书面形式盖章记录在案，作为本合同的附件，与本合同具有同等效力。</w:t>
      </w:r>
      <w:r/>
    </w:p>
    <w:p>
      <w:pPr>
        <w:pStyle w:val="928"/>
        <w:ind w:firstLine="422"/>
        <w:spacing w:line="400" w:lineRule="exact"/>
        <w:rPr>
          <w:b/>
          <w:bCs/>
          <w:color w:val="000000"/>
          <w:sz w:val="21"/>
          <w:szCs w:val="21"/>
        </w:rPr>
      </w:pPr>
      <w:r>
        <w:rPr>
          <w:rFonts w:hint="eastAsia"/>
          <w:b/>
          <w:bCs/>
          <w:color w:val="000000"/>
          <w:sz w:val="21"/>
          <w:szCs w:val="21"/>
        </w:rPr>
        <w:t xml:space="preserve">十三</w:t>
      </w:r>
      <w:r>
        <w:rPr>
          <w:b/>
          <w:bCs/>
          <w:color w:val="000000"/>
          <w:sz w:val="21"/>
          <w:szCs w:val="21"/>
        </w:rPr>
        <w:t xml:space="preserve">、附则</w:t>
      </w:r>
      <w:r/>
    </w:p>
    <w:p>
      <w:pPr>
        <w:pStyle w:val="928"/>
        <w:ind w:firstLine="420"/>
        <w:spacing w:line="400" w:lineRule="exact"/>
        <w:rPr>
          <w:color w:val="000000"/>
          <w:sz w:val="21"/>
          <w:szCs w:val="21"/>
        </w:rPr>
      </w:pPr>
      <w:r>
        <w:rPr>
          <w:color w:val="000000"/>
          <w:sz w:val="21"/>
          <w:szCs w:val="21"/>
        </w:rPr>
        <w:t xml:space="preserve">1、合同份数</w:t>
      </w:r>
      <w:r/>
    </w:p>
    <w:p>
      <w:pPr>
        <w:pStyle w:val="928"/>
        <w:ind w:firstLine="420"/>
        <w:spacing w:line="400" w:lineRule="exact"/>
        <w:rPr>
          <w:color w:val="000000"/>
          <w:sz w:val="21"/>
          <w:szCs w:val="21"/>
        </w:rPr>
      </w:pPr>
      <w:r>
        <w:rPr>
          <w:color w:val="000000"/>
          <w:sz w:val="21"/>
          <w:szCs w:val="21"/>
        </w:rPr>
        <w:t xml:space="preserve">本合同一式</w:t>
      </w:r>
      <w:r>
        <w:rPr>
          <w:rFonts w:hint="eastAsia"/>
          <w:color w:val="000000"/>
          <w:sz w:val="21"/>
          <w:szCs w:val="21"/>
        </w:rPr>
        <w:t xml:space="preserve">肆</w:t>
      </w:r>
      <w:r>
        <w:rPr>
          <w:color w:val="000000"/>
          <w:sz w:val="21"/>
          <w:szCs w:val="21"/>
        </w:rPr>
        <w:t xml:space="preserve">份，甲</w:t>
      </w:r>
      <w:r>
        <w:rPr>
          <w:rFonts w:hint="eastAsia"/>
          <w:color w:val="000000"/>
          <w:sz w:val="21"/>
          <w:szCs w:val="21"/>
        </w:rPr>
        <w:t xml:space="preserve">方贰份</w:t>
      </w:r>
      <w:r>
        <w:rPr>
          <w:color w:val="000000"/>
          <w:sz w:val="21"/>
          <w:szCs w:val="21"/>
        </w:rPr>
        <w:t xml:space="preserve">、乙方</w:t>
      </w:r>
      <w:r>
        <w:rPr>
          <w:rFonts w:hint="eastAsia"/>
          <w:color w:val="000000"/>
          <w:sz w:val="21"/>
          <w:szCs w:val="21"/>
        </w:rPr>
        <w:t xml:space="preserve">一</w:t>
      </w:r>
      <w:r>
        <w:rPr>
          <w:color w:val="000000"/>
          <w:sz w:val="21"/>
          <w:szCs w:val="21"/>
        </w:rPr>
        <w:t xml:space="preserve">份，</w:t>
      </w:r>
      <w:r>
        <w:rPr>
          <w:rFonts w:hint="eastAsia"/>
          <w:color w:val="000000"/>
          <w:sz w:val="21"/>
          <w:szCs w:val="21"/>
        </w:rPr>
        <w:t xml:space="preserve">采购</w:t>
      </w:r>
      <w:r>
        <w:rPr>
          <w:color w:val="000000"/>
          <w:sz w:val="21"/>
          <w:szCs w:val="21"/>
        </w:rPr>
        <w:t xml:space="preserve">代理机构一份。</w:t>
      </w:r>
      <w:r/>
    </w:p>
    <w:p>
      <w:pPr>
        <w:pStyle w:val="928"/>
        <w:ind w:firstLine="420"/>
        <w:spacing w:line="400" w:lineRule="exact"/>
        <w:rPr>
          <w:color w:val="000000"/>
          <w:sz w:val="21"/>
          <w:szCs w:val="21"/>
        </w:rPr>
      </w:pPr>
      <w:r>
        <w:rPr>
          <w:color w:val="000000"/>
          <w:sz w:val="21"/>
          <w:szCs w:val="21"/>
        </w:rPr>
        <w:t xml:space="preserve">2、未尽事宜</w:t>
      </w:r>
      <w:r/>
    </w:p>
    <w:p>
      <w:pPr>
        <w:pStyle w:val="928"/>
        <w:ind w:firstLine="420"/>
        <w:spacing w:line="360" w:lineRule="auto"/>
        <w:rPr>
          <w:rFonts w:hint="eastAsia"/>
          <w:color w:val="000000"/>
          <w:sz w:val="21"/>
          <w:szCs w:val="21"/>
        </w:rPr>
      </w:pPr>
      <w:r>
        <w:rPr>
          <w:color w:val="000000"/>
          <w:sz w:val="21"/>
          <w:szCs w:val="21"/>
        </w:rPr>
        <w:t xml:space="preserve">按《中华人民共和国</w:t>
      </w:r>
      <w:r>
        <w:rPr>
          <w:rFonts w:hint="eastAsia"/>
          <w:color w:val="000000"/>
          <w:sz w:val="21"/>
          <w:szCs w:val="21"/>
        </w:rPr>
        <w:t xml:space="preserve">政府采购法</w:t>
      </w:r>
      <w:r>
        <w:rPr>
          <w:color w:val="000000"/>
          <w:sz w:val="21"/>
          <w:szCs w:val="21"/>
        </w:rPr>
        <w:t xml:space="preserve">》</w:t>
      </w:r>
      <w:r>
        <w:rPr>
          <w:rFonts w:hint="eastAsia"/>
          <w:color w:val="000000"/>
          <w:sz w:val="21"/>
          <w:szCs w:val="21"/>
        </w:rPr>
        <w:t xml:space="preserve">、《</w:t>
      </w:r>
      <w:r>
        <w:rPr>
          <w:color w:val="000000"/>
          <w:sz w:val="21"/>
          <w:szCs w:val="21"/>
        </w:rPr>
        <w:t xml:space="preserve">中华人民共和国</w:t>
      </w:r>
      <w:r>
        <w:rPr>
          <w:rFonts w:hint="eastAsia"/>
          <w:color w:val="000000"/>
          <w:sz w:val="21"/>
          <w:szCs w:val="21"/>
        </w:rPr>
        <w:t xml:space="preserve">民法典》</w:t>
      </w:r>
      <w:r>
        <w:rPr>
          <w:color w:val="000000"/>
          <w:sz w:val="21"/>
          <w:szCs w:val="21"/>
        </w:rPr>
        <w:t xml:space="preserve">及其他有关</w:t>
      </w:r>
      <w:r>
        <w:rPr>
          <w:rFonts w:hint="eastAsia"/>
          <w:color w:val="000000"/>
          <w:sz w:val="21"/>
          <w:szCs w:val="21"/>
        </w:rPr>
        <w:t xml:space="preserve">招投标</w:t>
      </w:r>
      <w:r>
        <w:rPr>
          <w:color w:val="000000"/>
          <w:sz w:val="21"/>
          <w:szCs w:val="21"/>
        </w:rPr>
        <w:t xml:space="preserve">的法律法规的规定执行。</w:t>
      </w:r>
      <w:r>
        <w:rPr>
          <w:rFonts w:hint="eastAsia"/>
          <w:color w:val="000000"/>
          <w:sz w:val="21"/>
          <w:szCs w:val="21"/>
        </w:rPr>
      </w:r>
      <w:r/>
    </w:p>
    <w:p>
      <w:pPr>
        <w:pStyle w:val="928"/>
        <w:ind w:firstLine="420"/>
        <w:spacing w:line="360" w:lineRule="auto"/>
        <w:rPr>
          <w:rFonts w:hint="eastAsia" w:cs="宋体"/>
          <w:color w:val="000000"/>
          <w:sz w:val="21"/>
          <w:szCs w:val="21"/>
        </w:rPr>
      </w:pPr>
      <w:r>
        <w:rPr>
          <w:rFonts w:hint="eastAsia" w:cs="宋体"/>
          <w:color w:val="000000"/>
          <w:sz w:val="21"/>
          <w:szCs w:val="21"/>
        </w:rPr>
      </w:r>
      <w:r/>
    </w:p>
    <w:p>
      <w:pPr>
        <w:pStyle w:val="928"/>
        <w:ind w:firstLine="420"/>
        <w:spacing w:line="360" w:lineRule="auto"/>
        <w:rPr>
          <w:rFonts w:hint="eastAsia" w:cs="宋体"/>
          <w:color w:val="000000"/>
          <w:sz w:val="21"/>
          <w:szCs w:val="21"/>
        </w:rPr>
      </w:pPr>
      <w:r>
        <w:rPr>
          <w:rFonts w:hint="eastAsia" w:cs="宋体"/>
          <w:color w:val="000000"/>
          <w:sz w:val="21"/>
          <w:szCs w:val="21"/>
        </w:rPr>
      </w:r>
      <w:r/>
    </w:p>
    <w:p>
      <w:pPr>
        <w:pStyle w:val="928"/>
        <w:ind w:firstLine="420"/>
        <w:spacing w:line="360" w:lineRule="auto"/>
        <w:rPr>
          <w:rFonts w:cs="宋体"/>
          <w:color w:val="000000"/>
          <w:sz w:val="21"/>
          <w:szCs w:val="21"/>
        </w:rPr>
      </w:pPr>
      <w:r>
        <w:rPr>
          <w:rFonts w:hint="eastAsia" w:cs="宋体"/>
          <w:color w:val="000000"/>
          <w:sz w:val="21"/>
          <w:szCs w:val="21"/>
        </w:rPr>
        <w:t xml:space="preserve">甲方（公章）：                        乙方（公章）：              备案方：</w:t>
      </w:r>
      <w:r>
        <w:rPr>
          <w:rFonts w:cs="宋体"/>
          <w:color w:val="000000"/>
          <w:sz w:val="21"/>
          <w:szCs w:val="21"/>
        </w:rPr>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法定代表人</w:t>
        <w:tab/>
        <w:t xml:space="preserve">                          法定代表人</w:t>
      </w:r>
      <w:r/>
    </w:p>
    <w:p>
      <w:pPr>
        <w:pStyle w:val="928"/>
        <w:ind w:firstLine="420"/>
        <w:jc w:val="left"/>
        <w:spacing w:line="360" w:lineRule="auto"/>
        <w:rPr>
          <w:rFonts w:cs="宋体"/>
          <w:color w:val="000000"/>
          <w:sz w:val="21"/>
          <w:szCs w:val="21"/>
        </w:rPr>
      </w:pPr>
      <w:r>
        <w:rPr>
          <w:rFonts w:hint="eastAsia" w:cs="宋体"/>
          <w:color w:val="000000"/>
          <w:sz w:val="21"/>
          <w:szCs w:val="21"/>
        </w:rPr>
        <w:t xml:space="preserve">或其                                  或其                      </w:t>
      </w:r>
      <w:r>
        <w:rPr>
          <w:rFonts w:hint="eastAsia" w:cs="宋体"/>
          <w:color w:val="000000"/>
          <w:sz w:val="21"/>
          <w:szCs w:val="21"/>
        </w:rPr>
        <w:t xml:space="preserve">  年   月   日</w:t>
      </w:r>
      <w:r>
        <w:rPr>
          <w:rFonts w:cs="宋体"/>
          <w:color w:val="000000"/>
          <w:sz w:val="21"/>
          <w:szCs w:val="21"/>
        </w:rPr>
      </w:r>
      <w:r/>
    </w:p>
    <w:p>
      <w:pPr>
        <w:pStyle w:val="928"/>
        <w:ind w:firstLine="420"/>
        <w:jc w:val="left"/>
        <w:spacing w:line="360" w:lineRule="auto"/>
        <w:rPr>
          <w:rFonts w:hint="eastAsia" w:cs="宋体"/>
          <w:color w:val="000000"/>
          <w:sz w:val="21"/>
          <w:szCs w:val="21"/>
        </w:rPr>
      </w:pPr>
      <w:r>
        <w:rPr>
          <w:rFonts w:hint="eastAsia" w:cs="宋体"/>
          <w:color w:val="000000"/>
          <w:sz w:val="21"/>
          <w:szCs w:val="21"/>
        </w:rPr>
        <w:t xml:space="preserve">授权代理人</w:t>
        <w:tab/>
        <w:t xml:space="preserve">                          授权代理人</w:t>
      </w:r>
      <w:r/>
    </w:p>
    <w:p>
      <w:pPr>
        <w:pStyle w:val="928"/>
        <w:ind w:firstLine="420"/>
        <w:jc w:val="left"/>
        <w:spacing w:line="360" w:lineRule="auto"/>
        <w:rPr>
          <w:rFonts w:hint="eastAsia" w:cs="宋体"/>
          <w:color w:val="000000"/>
          <w:sz w:val="21"/>
          <w:szCs w:val="21"/>
        </w:rPr>
      </w:pPr>
      <w:r>
        <w:rPr>
          <w:rFonts w:hint="eastAsia" w:cs="宋体"/>
          <w:color w:val="000000"/>
          <w:sz w:val="21"/>
          <w:szCs w:val="21"/>
        </w:rPr>
        <w:t xml:space="preserve">年   月   日                          年   月   日</w:t>
      </w:r>
      <w:r/>
    </w:p>
    <w:p>
      <w:pPr>
        <w:pStyle w:val="928"/>
        <w:jc w:val="left"/>
        <w:spacing w:line="360" w:lineRule="auto"/>
        <w:rPr>
          <w:rFonts w:hint="eastAsia" w:cs="宋体"/>
          <w:b/>
          <w:bCs/>
          <w:color w:val="000000"/>
          <w:sz w:val="44"/>
          <w:szCs w:val="44"/>
        </w:rPr>
      </w:pPr>
      <w:r>
        <w:rPr>
          <w:rFonts w:hint="eastAsia" w:cs="宋体"/>
          <w:color w:val="000000"/>
          <w:sz w:val="21"/>
          <w:szCs w:val="21"/>
        </w:rPr>
        <w:br w:type="page" w:clear="all"/>
      </w:r>
      <w:r>
        <w:rPr>
          <w:rFonts w:hint="eastAsia" w:cs="宋体"/>
          <w:b/>
          <w:bCs/>
          <w:color w:val="000000"/>
          <w:sz w:val="44"/>
          <w:szCs w:val="44"/>
        </w:rPr>
      </w:r>
      <w:r/>
    </w:p>
    <w:p>
      <w:pPr>
        <w:pStyle w:val="929"/>
        <w:numPr>
          <w:ilvl w:val="0"/>
          <w:numId w:val="0"/>
        </w:numPr>
        <w:jc w:val="center"/>
        <w:tabs>
          <w:tab w:val="left" w:pos="432" w:leader="none"/>
        </w:tabs>
        <w:rPr>
          <w:rFonts w:hint="eastAsia" w:ascii="宋体" w:hAnsi="宋体" w:cs="宋体"/>
          <w:color w:val="000000"/>
        </w:rPr>
      </w:pPr>
      <w:r>
        <w:rPr>
          <w:rFonts w:hint="eastAsia" w:ascii="宋体" w:hAnsi="宋体" w:cs="宋体"/>
          <w:color w:val="000000"/>
        </w:rPr>
        <w:t xml:space="preserve">第六章 评标办法及标准</w:t>
      </w:r>
      <w:r/>
    </w:p>
    <w:p>
      <w:pPr>
        <w:pStyle w:val="928"/>
        <w:spacing w:line="360" w:lineRule="auto"/>
        <w:rPr>
          <w:rFonts w:hint="eastAsia" w:cs="宋体"/>
          <w:b/>
          <w:bCs/>
          <w:color w:val="000000"/>
          <w:sz w:val="21"/>
          <w:szCs w:val="21"/>
        </w:rPr>
      </w:pPr>
      <w:r>
        <w:rPr>
          <w:rFonts w:hint="eastAsia" w:cs="宋体"/>
          <w:b/>
          <w:bCs/>
          <w:color w:val="000000"/>
          <w:sz w:val="21"/>
          <w:szCs w:val="21"/>
        </w:rPr>
        <w:t xml:space="preserve">一、评标方法</w:t>
      </w:r>
      <w:r/>
    </w:p>
    <w:p>
      <w:pPr>
        <w:pStyle w:val="928"/>
        <w:ind w:firstLine="480"/>
        <w:spacing w:line="360" w:lineRule="auto"/>
        <w:rPr>
          <w:color w:val="000000"/>
          <w:sz w:val="21"/>
          <w:szCs w:val="21"/>
        </w:rPr>
      </w:pPr>
      <w:r>
        <w:rPr>
          <w:rFonts w:hint="eastAsia"/>
          <w:color w:val="000000"/>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rPr>
          <w:color w:val="000000"/>
          <w:sz w:val="21"/>
          <w:szCs w:val="21"/>
        </w:rPr>
      </w:r>
      <w:r/>
    </w:p>
    <w:p>
      <w:pPr>
        <w:pStyle w:val="928"/>
        <w:ind w:firstLine="480"/>
        <w:spacing w:line="360" w:lineRule="auto"/>
        <w:rPr>
          <w:rFonts w:hint="eastAsia"/>
          <w:color w:val="000000"/>
          <w:sz w:val="21"/>
          <w:szCs w:val="21"/>
        </w:rPr>
      </w:pPr>
      <w:r>
        <w:rPr>
          <w:rFonts w:hint="eastAsia"/>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pStyle w:val="928"/>
        <w:ind w:firstLine="480"/>
        <w:spacing w:line="360" w:lineRule="auto"/>
        <w:rPr>
          <w:rFonts w:hint="eastAsia"/>
          <w:color w:val="000000"/>
          <w:sz w:val="21"/>
          <w:szCs w:val="21"/>
        </w:rPr>
      </w:pPr>
      <w:r>
        <w:rPr>
          <w:rFonts w:hint="eastAsia"/>
          <w:color w:val="000000"/>
          <w:sz w:val="21"/>
          <w:szCs w:val="21"/>
        </w:rPr>
        <w:t xml:space="preserve">3、对评委的评分（除价格分外）进行统计汇总，评委人数在5人以下（含5人）的，直接算术平均计算得分。</w:t>
      </w:r>
      <w:r/>
    </w:p>
    <w:p>
      <w:pPr>
        <w:pStyle w:val="928"/>
        <w:ind w:firstLine="480"/>
        <w:spacing w:line="360" w:lineRule="auto"/>
        <w:rPr>
          <w:rFonts w:cs="宋体"/>
          <w:color w:val="000000"/>
          <w:sz w:val="21"/>
          <w:szCs w:val="21"/>
        </w:rPr>
      </w:pPr>
      <w:r>
        <w:rPr>
          <w:rFonts w:hint="eastAsia"/>
          <w:color w:val="000000"/>
          <w:sz w:val="21"/>
          <w:szCs w:val="21"/>
        </w:rPr>
        <w:t xml:space="preserve">4、如出现评标总得分相同的投标人有两个或两个以上的，以投标报价较低者优先作为中标候选人，如果投标报价也相同的，则由招标代理机构以抽签方式确定中标候选人。</w:t>
      </w:r>
      <w:r>
        <w:rPr>
          <w:rFonts w:cs="宋体"/>
          <w:color w:val="000000"/>
          <w:sz w:val="21"/>
          <w:szCs w:val="21"/>
        </w:rPr>
      </w:r>
      <w:r/>
    </w:p>
    <w:p>
      <w:pPr>
        <w:pStyle w:val="928"/>
        <w:spacing w:line="360" w:lineRule="auto"/>
        <w:rPr>
          <w:rFonts w:cs="宋体"/>
          <w:b/>
          <w:bCs/>
          <w:color w:val="000000"/>
          <w:sz w:val="21"/>
          <w:szCs w:val="21"/>
        </w:rPr>
      </w:pPr>
      <w:r>
        <w:rPr>
          <w:rFonts w:hint="eastAsia" w:cs="宋体"/>
          <w:b/>
          <w:bCs/>
          <w:color w:val="000000"/>
          <w:sz w:val="21"/>
          <w:szCs w:val="21"/>
        </w:rPr>
        <w:t xml:space="preserve">二、评审因素、分值及评分标准</w:t>
      </w:r>
      <w:r>
        <w:rPr>
          <w:rFonts w:cs="宋体"/>
          <w:b/>
          <w:bCs/>
          <w:color w:val="000000"/>
          <w:sz w:val="21"/>
          <w:szCs w:val="21"/>
        </w:rPr>
      </w:r>
      <w:r/>
    </w:p>
    <w:p>
      <w:pPr>
        <w:pStyle w:val="928"/>
        <w:spacing w:line="360" w:lineRule="auto"/>
        <w:rPr>
          <w:rFonts w:cs="宋体"/>
          <w:b/>
          <w:bCs/>
          <w:color w:val="000000"/>
          <w:sz w:val="21"/>
          <w:szCs w:val="21"/>
        </w:rPr>
      </w:pPr>
      <w:r>
        <w:rPr>
          <w:rFonts w:hint="eastAsia" w:cs="宋体"/>
          <w:b/>
          <w:bCs/>
          <w:color w:val="000000"/>
          <w:sz w:val="21"/>
          <w:szCs w:val="21"/>
        </w:rPr>
        <w:t xml:space="preserve">（一）价格分（2</w:t>
      </w:r>
      <w:r>
        <w:rPr>
          <w:rFonts w:cs="宋体"/>
          <w:b/>
          <w:bCs/>
          <w:color w:val="000000"/>
          <w:sz w:val="21"/>
          <w:szCs w:val="21"/>
        </w:rPr>
        <w:t xml:space="preserve">0</w:t>
      </w:r>
      <w:r>
        <w:rPr>
          <w:rFonts w:hint="eastAsia" w:cs="宋体"/>
          <w:b/>
          <w:bCs/>
          <w:color w:val="000000"/>
          <w:sz w:val="21"/>
          <w:szCs w:val="21"/>
        </w:rPr>
        <w:t xml:space="preserve">分）</w:t>
      </w:r>
      <w:r>
        <w:rPr>
          <w:rFonts w:cs="宋体"/>
          <w:b/>
          <w:bCs/>
          <w:color w:val="000000"/>
          <w:sz w:val="21"/>
          <w:szCs w:val="21"/>
        </w:rPr>
      </w:r>
      <w:r/>
    </w:p>
    <w:p>
      <w:pPr>
        <w:pStyle w:val="928"/>
        <w:ind w:firstLine="480"/>
        <w:spacing w:line="360" w:lineRule="auto"/>
        <w:rPr>
          <w:color w:val="000000"/>
          <w:sz w:val="21"/>
          <w:szCs w:val="21"/>
        </w:rPr>
      </w:pPr>
      <w:r>
        <w:rPr>
          <w:rFonts w:hint="eastAsia"/>
          <w:color w:val="000000"/>
          <w:sz w:val="21"/>
          <w:szCs w:val="21"/>
        </w:rPr>
        <w:t xml:space="preserve">1、投标报价不超过最高限价的为有效投标报价。超出此范围的投标报价为无效投标报价。无效投标报价的投标文件不进行评审，也不得标；</w:t>
      </w:r>
      <w:r>
        <w:rPr>
          <w:color w:val="000000"/>
          <w:sz w:val="21"/>
          <w:szCs w:val="21"/>
        </w:rPr>
      </w:r>
      <w:r/>
    </w:p>
    <w:p>
      <w:pPr>
        <w:pStyle w:val="928"/>
        <w:ind w:firstLine="480"/>
        <w:spacing w:line="360" w:lineRule="auto"/>
        <w:rPr>
          <w:color w:val="000000"/>
          <w:sz w:val="21"/>
          <w:szCs w:val="21"/>
        </w:rPr>
      </w:pPr>
      <w:r>
        <w:rPr>
          <w:color w:val="000000"/>
          <w:sz w:val="21"/>
          <w:szCs w:val="21"/>
        </w:rPr>
        <w:t xml:space="preserve">2</w:t>
      </w:r>
      <w:r>
        <w:rPr>
          <w:rFonts w:hint="eastAsia"/>
          <w:color w:val="000000"/>
          <w:sz w:val="21"/>
          <w:szCs w:val="21"/>
        </w:rPr>
        <w:t xml:space="preserve">、价格分采用低</w:t>
      </w:r>
      <w:r>
        <w:rPr>
          <w:rFonts w:hint="eastAsia"/>
          <w:color w:val="000000"/>
          <w:sz w:val="21"/>
          <w:szCs w:val="21"/>
        </w:rPr>
        <w:t xml:space="preserve">价优先法计算，即满足招标文件要求且投标价格最低的投标报价为评标基准价，其价格分为满分。其他投标人的价格分统一按照下列公式计算（计算结果四舍五入保留两位小数）：</w:t>
      </w:r>
      <w:r>
        <w:rPr>
          <w:color w:val="000000"/>
          <w:sz w:val="21"/>
          <w:szCs w:val="21"/>
        </w:rPr>
      </w:r>
      <w:r/>
    </w:p>
    <w:p>
      <w:pPr>
        <w:pStyle w:val="928"/>
        <w:ind w:firstLine="480"/>
        <w:spacing w:line="360" w:lineRule="auto"/>
        <w:rPr>
          <w:color w:val="000000"/>
          <w:sz w:val="21"/>
          <w:szCs w:val="21"/>
        </w:rPr>
      </w:pPr>
      <w:r>
        <w:rPr>
          <w:rFonts w:hint="eastAsia"/>
          <w:color w:val="000000"/>
          <w:sz w:val="21"/>
          <w:szCs w:val="21"/>
        </w:rPr>
        <w:t xml:space="preserve">投标报价得分=（评标基准价/投标报价）*价格权值*100（本次招标价格权值为20%）。</w:t>
      </w:r>
      <w:r>
        <w:rPr>
          <w:color w:val="000000"/>
          <w:sz w:val="21"/>
          <w:szCs w:val="21"/>
        </w:rPr>
      </w:r>
      <w:r/>
    </w:p>
    <w:p>
      <w:pPr>
        <w:pStyle w:val="928"/>
        <w:spacing w:line="440" w:lineRule="exact"/>
        <w:rPr>
          <w:rFonts w:cs="宋体"/>
          <w:b/>
          <w:color w:val="000000"/>
          <w:sz w:val="21"/>
          <w:szCs w:val="21"/>
        </w:rPr>
      </w:pPr>
      <w:r>
        <w:rPr>
          <w:rFonts w:hint="eastAsia" w:cs="宋体"/>
          <w:b/>
          <w:bCs/>
          <w:color w:val="000000"/>
          <w:sz w:val="21"/>
          <w:szCs w:val="21"/>
        </w:rPr>
        <w:t xml:space="preserve">（二）技术指标响应情况（14分）</w:t>
      </w:r>
      <w:r>
        <w:rPr>
          <w:rFonts w:cs="宋体"/>
          <w:b/>
          <w:color w:val="000000"/>
          <w:sz w:val="21"/>
          <w:szCs w:val="21"/>
        </w:rPr>
      </w:r>
      <w:r/>
    </w:p>
    <w:p>
      <w:pPr>
        <w:pStyle w:val="928"/>
        <w:ind w:firstLine="420"/>
        <w:spacing w:line="440" w:lineRule="exact"/>
        <w:rPr>
          <w:rFonts w:hint="eastAsia" w:cs="宋体"/>
          <w:b/>
          <w:color w:val="000000"/>
          <w:sz w:val="21"/>
          <w:szCs w:val="21"/>
        </w:rPr>
      </w:pPr>
      <w:r>
        <w:rPr>
          <w:rFonts w:hint="eastAsia" w:cs="宋体"/>
          <w:color w:val="000000"/>
          <w:sz w:val="21"/>
          <w:szCs w:val="21"/>
        </w:rPr>
        <w:t xml:space="preserve">对项目需求中的维护主要内容“3.维护服务相关技术指标”的需求及相关技术参数指标响应情况，每响应一项得0.1分，满分14分。提供技术参数响应表并盖原厂公章，否则该参数视为负偏离（格式见第三章 投标文件格式）。</w:t>
      </w:r>
      <w:r>
        <w:rPr>
          <w:rFonts w:hint="eastAsia" w:cs="宋体"/>
          <w:b/>
          <w:color w:val="000000"/>
          <w:sz w:val="21"/>
          <w:szCs w:val="21"/>
        </w:rPr>
      </w:r>
      <w:r/>
    </w:p>
    <w:p>
      <w:pPr>
        <w:pStyle w:val="928"/>
        <w:spacing w:line="360" w:lineRule="auto"/>
        <w:rPr>
          <w:rFonts w:cs="宋体"/>
          <w:b/>
          <w:bCs/>
          <w:color w:val="000000"/>
          <w:sz w:val="21"/>
          <w:szCs w:val="21"/>
        </w:rPr>
      </w:pPr>
      <w:r>
        <w:rPr>
          <w:rFonts w:hint="eastAsia" w:cs="宋体"/>
          <w:b/>
          <w:bCs/>
          <w:color w:val="000000"/>
          <w:sz w:val="21"/>
          <w:szCs w:val="21"/>
        </w:rPr>
        <w:t xml:space="preserve">（三）服务方案（22分）</w:t>
      </w:r>
      <w:r>
        <w:rPr>
          <w:rFonts w:cs="宋体"/>
          <w:b/>
          <w:bCs/>
          <w:color w:val="000000"/>
          <w:sz w:val="21"/>
          <w:szCs w:val="21"/>
        </w:rPr>
      </w:r>
      <w:r/>
    </w:p>
    <w:p>
      <w:pPr>
        <w:pStyle w:val="928"/>
        <w:ind w:firstLine="420"/>
        <w:spacing w:line="360" w:lineRule="auto"/>
        <w:rPr>
          <w:rFonts w:cs="宋体"/>
          <w:color w:val="000000"/>
          <w:sz w:val="21"/>
          <w:szCs w:val="21"/>
        </w:rPr>
      </w:pPr>
      <w:r>
        <w:rPr>
          <w:rFonts w:hint="eastAsia" w:cs="宋体"/>
          <w:color w:val="000000"/>
          <w:sz w:val="21"/>
          <w:szCs w:val="21"/>
        </w:rPr>
        <w:t xml:space="preserve">1、运维方案（16分）</w:t>
      </w:r>
      <w:r>
        <w:rPr>
          <w:rFonts w:cs="宋体"/>
          <w:color w:val="000000"/>
          <w:sz w:val="21"/>
          <w:szCs w:val="21"/>
        </w:rPr>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对项目的整体认知程度提供运行维护的服务方案，其中以下运维方案需着重说明：</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1）350M系统维保方案（2）网络安全服务（渗透测试、安全咨询培训、灾难恢复演练）（3）太仓市公安局社会治安监控系统、卡口抓拍、人像抓拍系统及各下属单位相关设备的维护服务。（4）对市局、警务中心、指挥中心超过质保期并已损坏的服务器的维护及保养。对超过质保期并已损坏的硬盘、监控、交换机、光收发设备、服务器、云存储、指挥中心及派出所大屏（含电视墙解码器等相关配套设备）等设备的维护。</w:t>
      </w:r>
      <w:r/>
    </w:p>
    <w:p>
      <w:pPr>
        <w:pStyle w:val="928"/>
        <w:ind w:firstLine="420"/>
        <w:spacing w:line="360" w:lineRule="auto"/>
        <w:rPr>
          <w:rFonts w:hint="eastAsia" w:cs="宋体"/>
          <w:color w:val="000000"/>
          <w:sz w:val="21"/>
          <w:szCs w:val="21"/>
        </w:rPr>
      </w:pPr>
      <w:r>
        <w:rPr>
          <w:rFonts w:hint="eastAsia"/>
          <w:color w:val="000000"/>
          <w:sz w:val="21"/>
          <w:szCs w:val="21"/>
        </w:rPr>
        <w:t xml:space="preserve">方案内容针对本项目且符合本</w:t>
      </w:r>
      <w:r>
        <w:rPr>
          <w:rFonts w:hint="eastAsia"/>
          <w:color w:val="000000"/>
          <w:sz w:val="21"/>
          <w:szCs w:val="21"/>
        </w:rPr>
        <w:t xml:space="preserve">项目实际需求的，每满足一项得4分，本项满分16分。</w:t>
      </w:r>
      <w:r>
        <w:rPr>
          <w:rFonts w:hint="eastAsia" w:cs="宋体"/>
          <w:color w:val="000000"/>
          <w:sz w:val="21"/>
          <w:szCs w:val="21"/>
        </w:rPr>
      </w:r>
      <w:r/>
    </w:p>
    <w:p>
      <w:pPr>
        <w:pStyle w:val="928"/>
        <w:ind w:firstLine="420"/>
        <w:spacing w:line="360" w:lineRule="auto"/>
        <w:rPr>
          <w:rFonts w:cs="宋体"/>
          <w:color w:val="000000"/>
          <w:sz w:val="21"/>
          <w:szCs w:val="21"/>
        </w:rPr>
      </w:pPr>
      <w:r>
        <w:rPr>
          <w:rFonts w:hint="eastAsia" w:cs="宋体"/>
          <w:color w:val="000000"/>
          <w:sz w:val="21"/>
          <w:szCs w:val="21"/>
        </w:rPr>
        <w:t xml:space="preserve">2、售后服务方案（6分）</w:t>
      </w:r>
      <w:r>
        <w:rPr>
          <w:rFonts w:cs="宋体"/>
          <w:color w:val="000000"/>
          <w:sz w:val="21"/>
          <w:szCs w:val="21"/>
        </w:rPr>
      </w:r>
      <w:r/>
    </w:p>
    <w:p>
      <w:pPr>
        <w:pStyle w:val="928"/>
        <w:ind w:firstLine="448"/>
        <w:spacing w:line="360" w:lineRule="auto"/>
        <w:rPr>
          <w:color w:val="000000"/>
          <w:sz w:val="21"/>
          <w:szCs w:val="21"/>
        </w:rPr>
      </w:pPr>
      <w:r>
        <w:rPr>
          <w:rFonts w:hint="eastAsia" w:cs="宋体"/>
          <w:color w:val="000000"/>
          <w:spacing w:val="7"/>
          <w:sz w:val="21"/>
          <w:szCs w:val="21"/>
        </w:rPr>
        <w:t xml:space="preserve">根据投标人提供的</w:t>
      </w:r>
      <w:r>
        <w:rPr>
          <w:rFonts w:hint="eastAsia" w:cs="宋体"/>
          <w:color w:val="000000"/>
          <w:sz w:val="21"/>
          <w:szCs w:val="21"/>
        </w:rPr>
        <w:t xml:space="preserve">售后服务方案</w:t>
      </w:r>
      <w:r>
        <w:rPr>
          <w:rFonts w:hint="eastAsia" w:cs="宋体"/>
          <w:color w:val="000000"/>
          <w:spacing w:val="7"/>
          <w:sz w:val="21"/>
          <w:szCs w:val="21"/>
        </w:rPr>
        <w:t xml:space="preserve">进行评分，方案内容至少包括</w:t>
      </w:r>
      <w:r>
        <w:rPr>
          <w:rFonts w:hint="eastAsia"/>
          <w:color w:val="000000"/>
          <w:sz w:val="21"/>
          <w:szCs w:val="21"/>
        </w:rPr>
        <w:t xml:space="preserve">服务流程、服务方式、</w:t>
      </w:r>
      <w:r>
        <w:rPr>
          <w:rFonts w:hint="eastAsia" w:cs="宋体"/>
          <w:color w:val="000000"/>
          <w:spacing w:val="7"/>
          <w:sz w:val="21"/>
          <w:szCs w:val="21"/>
        </w:rPr>
        <w:t xml:space="preserve">日常保养维护、升级服务、故障响应</w:t>
      </w:r>
      <w:r>
        <w:rPr>
          <w:rFonts w:hint="eastAsia" w:cs="宋体"/>
          <w:color w:val="000000"/>
          <w:sz w:val="21"/>
          <w:szCs w:val="21"/>
        </w:rPr>
        <w:t xml:space="preserve">。</w:t>
      </w:r>
      <w:r>
        <w:rPr>
          <w:color w:val="000000"/>
          <w:sz w:val="21"/>
          <w:szCs w:val="21"/>
        </w:rPr>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方案内容符合本项目实际需求的得6分，缺少内容，或内容不能满足本项目实际需求的不得分。</w:t>
      </w:r>
      <w:r/>
    </w:p>
    <w:p>
      <w:pPr>
        <w:pStyle w:val="928"/>
        <w:spacing w:line="360" w:lineRule="auto"/>
        <w:rPr>
          <w:rFonts w:hint="eastAsia" w:cs="宋体"/>
          <w:b/>
          <w:bCs/>
          <w:color w:val="000000"/>
          <w:sz w:val="21"/>
          <w:szCs w:val="21"/>
        </w:rPr>
      </w:pPr>
      <w:r>
        <w:rPr>
          <w:rFonts w:hint="eastAsia" w:cs="宋体"/>
          <w:b/>
          <w:bCs/>
          <w:color w:val="000000"/>
          <w:sz w:val="21"/>
          <w:szCs w:val="21"/>
        </w:rPr>
        <w:t xml:space="preserve">（四）投标单位综合实力及维护能力（32分）</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1、类似业绩（10分）</w:t>
      </w:r>
      <w:r/>
    </w:p>
    <w:p>
      <w:pPr>
        <w:pStyle w:val="928"/>
        <w:ind w:firstLine="420"/>
        <w:spacing w:line="360" w:lineRule="auto"/>
        <w:rPr>
          <w:rFonts w:cs="宋体"/>
          <w:color w:val="000000"/>
          <w:sz w:val="21"/>
          <w:szCs w:val="21"/>
        </w:rPr>
      </w:pPr>
      <w:r>
        <w:rPr>
          <w:rFonts w:hint="eastAsia" w:cs="宋体"/>
          <w:color w:val="000000"/>
          <w:sz w:val="21"/>
          <w:szCs w:val="21"/>
        </w:rPr>
        <w:t xml:space="preserve">具有20</w:t>
      </w:r>
      <w:r>
        <w:rPr>
          <w:rFonts w:cs="宋体"/>
          <w:color w:val="000000"/>
          <w:sz w:val="21"/>
          <w:szCs w:val="21"/>
        </w:rPr>
        <w:t xml:space="preserve">21</w:t>
      </w:r>
      <w:r>
        <w:rPr>
          <w:rFonts w:hint="eastAsia" w:cs="宋体"/>
          <w:color w:val="000000"/>
          <w:sz w:val="21"/>
          <w:szCs w:val="21"/>
        </w:rPr>
        <w:t xml:space="preserve">年5月1日以来（以合同签订日期为准）包含道路高清治安监控和车辆高清抓拍卡口（或电子警察卡口）的安防类监控维护项目业绩，有一个得2分，最高10分，须附合同书复印件加盖公章。</w:t>
      </w:r>
      <w:r>
        <w:rPr>
          <w:rFonts w:cs="宋体"/>
          <w:color w:val="000000"/>
          <w:sz w:val="21"/>
          <w:szCs w:val="21"/>
        </w:rPr>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2、应急队伍（5分）</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根据投标单位</w:t>
      </w:r>
      <w:bookmarkStart w:id="14" w:name="_Hlk167701554"/>
      <w:r>
        <w:rPr>
          <w:rFonts w:hint="eastAsia" w:cs="宋体"/>
          <w:color w:val="000000"/>
          <w:sz w:val="21"/>
          <w:szCs w:val="21"/>
        </w:rPr>
        <w:t xml:space="preserve">投入本项目的应急队伍人员</w:t>
      </w:r>
      <w:bookmarkEnd w:id="14"/>
      <w:r>
        <w:rPr>
          <w:rFonts w:hint="eastAsia" w:cs="宋体"/>
          <w:color w:val="000000"/>
          <w:sz w:val="21"/>
          <w:szCs w:val="21"/>
        </w:rPr>
        <w:t xml:space="preserve">数量进行评定：每提供1人得0.5分，最多5分。</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3、应急队伍车辆（14分）</w:t>
      </w:r>
      <w:r/>
    </w:p>
    <w:p>
      <w:pPr>
        <w:pStyle w:val="928"/>
        <w:ind w:firstLine="420"/>
        <w:spacing w:line="360" w:lineRule="auto"/>
        <w:rPr>
          <w:rFonts w:cs="宋体"/>
          <w:color w:val="000000"/>
          <w:sz w:val="21"/>
          <w:szCs w:val="21"/>
        </w:rPr>
      </w:pPr>
      <w:r>
        <w:rPr>
          <w:rFonts w:hint="eastAsia" w:cs="宋体"/>
          <w:color w:val="000000"/>
          <w:sz w:val="21"/>
          <w:szCs w:val="21"/>
        </w:rPr>
        <w:t xml:space="preserve">除基础维护车辆外，投标单位每额外提供1辆应急队伍车辆，得1分，最多得8分；投标单位提供的应急队伍车辆中具备自动升降设备的，有一辆再得2分，最多得</w:t>
      </w:r>
      <w:r>
        <w:rPr>
          <w:rFonts w:cs="宋体"/>
          <w:color w:val="000000"/>
          <w:sz w:val="21"/>
          <w:szCs w:val="21"/>
        </w:rPr>
        <w:t xml:space="preserve">6</w:t>
      </w:r>
      <w:r>
        <w:rPr>
          <w:rFonts w:hint="eastAsia" w:cs="宋体"/>
          <w:color w:val="000000"/>
          <w:sz w:val="21"/>
          <w:szCs w:val="21"/>
        </w:rPr>
        <w:t xml:space="preserve">分；以上需提供车辆行驶证复印件(车辆所属单位应与投标单位或其分支机构一致)或有效期内正规租赁合同，不提供不得分，本项最高分14分。</w:t>
      </w:r>
      <w:r>
        <w:rPr>
          <w:rFonts w:cs="宋体"/>
          <w:color w:val="000000"/>
          <w:sz w:val="21"/>
          <w:szCs w:val="21"/>
        </w:rPr>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4、备品备件（3分）</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提供为维护所准备的详细备件备品数量清单及品牌型号，以保障对各类故</w:t>
      </w:r>
      <w:r>
        <w:rPr>
          <w:rFonts w:hint="eastAsia" w:cs="宋体"/>
          <w:color w:val="000000"/>
          <w:sz w:val="21"/>
          <w:szCs w:val="21"/>
        </w:rPr>
        <w:t xml:space="preserve">障的紧急恢复，三车道</w:t>
      </w:r>
      <w:bookmarkStart w:id="15" w:name="OLE_LINK14"/>
      <w:r>
        <w:rPr>
          <w:rFonts w:hint="eastAsia" w:cs="宋体"/>
          <w:color w:val="000000"/>
          <w:sz w:val="21"/>
          <w:szCs w:val="21"/>
        </w:rPr>
        <w:t xml:space="preserve">高清抓拍</w:t>
      </w:r>
      <w:bookmarkEnd w:id="15"/>
      <w:r>
        <w:rPr>
          <w:rFonts w:hint="eastAsia" w:cs="宋体"/>
          <w:color w:val="000000"/>
          <w:sz w:val="21"/>
          <w:szCs w:val="21"/>
        </w:rPr>
        <w:t xml:space="preserve">4套（含4个主机、4个镜头、12个闪光灯、12个补光灯、4个机罩、4张SD卡），900W超卡4套（含超卡、补光灯、闪光灯、SD卡），高清智能化监控摄像机不得少于20台，高清网络硬盘录像机不得少于2台，交换机不得少于2台。（提供产品清单明细，否则不得分。中标后甲方核验确认）</w:t>
      </w:r>
      <w:r/>
    </w:p>
    <w:p>
      <w:pPr>
        <w:pStyle w:val="928"/>
        <w:spacing w:line="360" w:lineRule="auto"/>
        <w:rPr>
          <w:rFonts w:hint="eastAsia" w:cs="宋体"/>
          <w:b/>
          <w:bCs/>
          <w:color w:val="000000"/>
          <w:sz w:val="21"/>
          <w:szCs w:val="21"/>
        </w:rPr>
      </w:pPr>
      <w:r>
        <w:rPr>
          <w:rFonts w:hint="eastAsia" w:cs="宋体"/>
          <w:b/>
          <w:bCs/>
          <w:color w:val="000000"/>
          <w:sz w:val="21"/>
          <w:szCs w:val="21"/>
        </w:rPr>
        <w:t xml:space="preserve">（五）服务承诺（12分）</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1、对技防类设施发生的故障，承诺服务时间范围在7天*24小时，且根据甲方要求1.5小时内到场服务的得2分；</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2、承诺人员驻场（5分）</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因项目涉及公安网络安全及数据安全，投标单位承诺将投入本项目的维护人员、应急队伍派驻在公安机关进行驻场服务情况：每提供驻场1人得0.5分，一人多岗位不重复得分，最多5分。本项须提供驻场承诺，未提供驻场承诺不得分。</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3、承诺车辆派驻（</w:t>
      </w:r>
      <w:r>
        <w:rPr>
          <w:rFonts w:cs="宋体"/>
          <w:color w:val="000000"/>
          <w:sz w:val="21"/>
          <w:szCs w:val="21"/>
        </w:rPr>
        <w:t xml:space="preserve">5</w:t>
      </w:r>
      <w:r>
        <w:rPr>
          <w:rFonts w:hint="eastAsia" w:cs="宋体"/>
          <w:color w:val="000000"/>
          <w:sz w:val="21"/>
          <w:szCs w:val="21"/>
        </w:rPr>
        <w:t xml:space="preserve">分）</w:t>
      </w:r>
      <w:r/>
    </w:p>
    <w:p>
      <w:pPr>
        <w:pStyle w:val="928"/>
        <w:ind w:firstLine="420"/>
        <w:spacing w:line="360" w:lineRule="auto"/>
        <w:rPr>
          <w:rFonts w:hint="eastAsia" w:cs="宋体"/>
          <w:color w:val="000000"/>
          <w:sz w:val="21"/>
          <w:szCs w:val="21"/>
        </w:rPr>
      </w:pPr>
      <w:r>
        <w:rPr>
          <w:rFonts w:hint="eastAsia" w:cs="宋体"/>
          <w:color w:val="000000"/>
          <w:sz w:val="21"/>
          <w:szCs w:val="21"/>
        </w:rPr>
        <w:t xml:space="preserve">承诺投标提供的基础维修车辆、应急队伍车辆在服务期内全部长期派驻太仓，专门服务本项目维护使用的，得</w:t>
      </w:r>
      <w:r>
        <w:rPr>
          <w:rFonts w:cs="宋体"/>
          <w:color w:val="000000"/>
          <w:sz w:val="21"/>
          <w:szCs w:val="21"/>
        </w:rPr>
        <w:t xml:space="preserve">5</w:t>
      </w:r>
      <w:r>
        <w:rPr>
          <w:rFonts w:hint="eastAsia" w:cs="宋体"/>
          <w:color w:val="000000"/>
          <w:sz w:val="21"/>
          <w:szCs w:val="21"/>
        </w:rPr>
        <w:t xml:space="preserve">分。</w:t>
      </w:r>
      <w:r/>
    </w:p>
    <w:p>
      <w:pPr>
        <w:pStyle w:val="928"/>
        <w:ind w:firstLine="420"/>
        <w:spacing w:line="360" w:lineRule="auto"/>
        <w:rPr>
          <w:rFonts w:hint="eastAsia" w:cs="宋体"/>
          <w:color w:val="000000"/>
          <w:sz w:val="21"/>
          <w:szCs w:val="21"/>
        </w:rPr>
      </w:pPr>
      <w:r>
        <w:rPr>
          <w:rFonts w:hint="eastAsia" w:cs="宋体"/>
          <w:color w:val="000000"/>
          <w:sz w:val="21"/>
          <w:szCs w:val="21"/>
        </w:rPr>
      </w:r>
      <w:r/>
    </w:p>
    <w:p>
      <w:pPr>
        <w:pStyle w:val="928"/>
        <w:ind w:firstLine="420"/>
        <w:spacing w:line="360" w:lineRule="auto"/>
        <w:widowControl/>
        <w:rPr>
          <w:rFonts w:hint="eastAsia"/>
          <w:color w:val="000000"/>
          <w:sz w:val="21"/>
          <w:szCs w:val="21"/>
        </w:rPr>
      </w:pPr>
      <w:r>
        <w:rPr>
          <w:rFonts w:hint="eastAsia"/>
          <w:color w:val="000000"/>
          <w:sz w:val="21"/>
          <w:szCs w:val="21"/>
        </w:rPr>
      </w:r>
      <w:r/>
    </w:p>
    <w:p>
      <w:pPr>
        <w:pStyle w:val="928"/>
        <w:ind w:firstLine="480"/>
        <w:spacing w:line="360" w:lineRule="auto"/>
        <w:rPr>
          <w:rFonts w:hint="eastAsia"/>
          <w:color w:val="000000"/>
          <w:sz w:val="21"/>
          <w:szCs w:val="21"/>
        </w:rPr>
      </w:pPr>
      <w:r>
        <w:rPr>
          <w:rFonts w:hint="eastAsia"/>
          <w:color w:val="000000"/>
          <w:sz w:val="21"/>
          <w:szCs w:val="21"/>
        </w:rPr>
      </w:r>
      <w:r/>
    </w:p>
    <w:p>
      <w:pPr>
        <w:pStyle w:val="928"/>
        <w:spacing w:line="360" w:lineRule="auto"/>
        <w:rPr>
          <w:color w:val="000000"/>
          <w:sz w:val="21"/>
          <w:szCs w:val="21"/>
        </w:rPr>
      </w:pPr>
      <w:r>
        <w:rPr>
          <w:rFonts w:hint="eastAsia"/>
          <w:b/>
          <w:bCs/>
          <w:color w:val="000000"/>
          <w:sz w:val="21"/>
          <w:szCs w:val="21"/>
        </w:rPr>
        <w:t xml:space="preserve">注</w:t>
      </w:r>
      <w:r>
        <w:rPr>
          <w:rFonts w:hint="eastAsia"/>
          <w:color w:val="000000"/>
          <w:sz w:val="21"/>
          <w:szCs w:val="21"/>
        </w:rPr>
        <w:t xml:space="preserve">：1、</w:t>
      </w:r>
      <w:r>
        <w:rPr>
          <w:color w:val="000000"/>
          <w:sz w:val="21"/>
          <w:szCs w:val="21"/>
        </w:rPr>
        <w:t xml:space="preserve">报价超过</w:t>
      </w:r>
      <w:r>
        <w:rPr>
          <w:rFonts w:hint="eastAsia"/>
          <w:color w:val="000000"/>
          <w:sz w:val="21"/>
          <w:szCs w:val="21"/>
        </w:rPr>
        <w:t xml:space="preserve">最高限价</w:t>
      </w:r>
      <w:r>
        <w:rPr>
          <w:color w:val="000000"/>
          <w:sz w:val="21"/>
          <w:szCs w:val="21"/>
        </w:rPr>
        <w:t xml:space="preserve">的为无效投标。</w:t>
      </w:r>
      <w:r/>
    </w:p>
    <w:p>
      <w:pPr>
        <w:pStyle w:val="928"/>
        <w:ind w:firstLine="420"/>
        <w:spacing w:line="360" w:lineRule="auto"/>
        <w:rPr>
          <w:color w:val="000000"/>
          <w:sz w:val="21"/>
          <w:szCs w:val="21"/>
        </w:rPr>
      </w:pPr>
      <w:r>
        <w:rPr>
          <w:color w:val="000000"/>
          <w:sz w:val="21"/>
          <w:szCs w:val="21"/>
        </w:rPr>
        <w:t xml:space="preserve">2</w:t>
      </w:r>
      <w:r>
        <w:rPr>
          <w:rFonts w:hint="eastAsia"/>
          <w:color w:val="000000"/>
          <w:sz w:val="21"/>
          <w:szCs w:val="21"/>
        </w:rPr>
        <w:t xml:space="preserve">、对应评审项，上传相应证明材料，若要求提供原件的需上传原件扫描件；</w:t>
      </w:r>
      <w:r>
        <w:rPr>
          <w:color w:val="000000"/>
          <w:sz w:val="21"/>
          <w:szCs w:val="21"/>
        </w:rPr>
      </w:r>
      <w:r/>
    </w:p>
    <w:p>
      <w:pPr>
        <w:pStyle w:val="928"/>
        <w:ind w:firstLine="420"/>
        <w:spacing w:line="360" w:lineRule="auto"/>
        <w:rPr>
          <w:color w:val="000000"/>
          <w:sz w:val="21"/>
          <w:szCs w:val="21"/>
        </w:rPr>
      </w:pPr>
      <w:r>
        <w:rPr>
          <w:color w:val="000000"/>
          <w:sz w:val="21"/>
          <w:szCs w:val="21"/>
        </w:rPr>
        <w:t xml:space="preserve">3、</w:t>
      </w:r>
      <w:r>
        <w:rPr>
          <w:bCs/>
          <w:color w:val="000000"/>
          <w:sz w:val="21"/>
          <w:szCs w:val="21"/>
        </w:rPr>
        <w:t xml:space="preserve">投标人所提供的证书或材料</w:t>
      </w:r>
      <w:r>
        <w:rPr>
          <w:rFonts w:hint="eastAsia"/>
          <w:bCs/>
          <w:color w:val="000000"/>
          <w:sz w:val="21"/>
          <w:szCs w:val="21"/>
        </w:rPr>
        <w:t xml:space="preserve">扫描件</w:t>
      </w:r>
      <w:r>
        <w:rPr>
          <w:bCs/>
          <w:color w:val="000000"/>
          <w:sz w:val="21"/>
          <w:szCs w:val="21"/>
        </w:rPr>
        <w:t xml:space="preserve">需加盖投标单位</w:t>
      </w:r>
      <w:r>
        <w:rPr>
          <w:rFonts w:hint="eastAsia"/>
          <w:bCs/>
          <w:color w:val="000000"/>
          <w:sz w:val="21"/>
          <w:szCs w:val="21"/>
        </w:rPr>
        <w:t xml:space="preserve">电子公</w:t>
      </w:r>
      <w:r>
        <w:rPr>
          <w:bCs/>
          <w:color w:val="000000"/>
          <w:sz w:val="21"/>
          <w:szCs w:val="21"/>
        </w:rPr>
        <w:t xml:space="preserve">章，否则不得分。</w:t>
      </w:r>
      <w:r>
        <w:rPr>
          <w:color w:val="000000"/>
          <w:sz w:val="21"/>
          <w:szCs w:val="21"/>
        </w:rPr>
      </w:r>
      <w:r/>
    </w:p>
    <w:p>
      <w:pPr>
        <w:pStyle w:val="928"/>
        <w:ind w:firstLine="420"/>
        <w:spacing w:line="360" w:lineRule="auto"/>
        <w:rPr>
          <w:rFonts w:cs="宋体"/>
          <w:color w:val="000000"/>
          <w:sz w:val="21"/>
          <w:szCs w:val="21"/>
        </w:rPr>
      </w:pPr>
      <w:r>
        <w:rPr>
          <w:color w:val="000000"/>
          <w:sz w:val="21"/>
          <w:szCs w:val="21"/>
        </w:rPr>
        <w:t xml:space="preserve">4、</w:t>
      </w:r>
      <w:r>
        <w:rPr>
          <w:rFonts w:hint="eastAsia" w:cs="宋体"/>
          <w:color w:val="000000"/>
          <w:sz w:val="21"/>
          <w:szCs w:val="21"/>
        </w:rPr>
        <w:t xml:space="preserve">针对评分标准中评分的每一条，</w:t>
      </w:r>
      <w:r>
        <w:rPr>
          <w:rFonts w:hint="eastAsia" w:cs="宋体"/>
          <w:color w:val="000000"/>
          <w:sz w:val="21"/>
          <w:szCs w:val="21"/>
        </w:rPr>
        <w:t xml:space="preserve">投标供应商均须在投标文件中提供相关资料的扫描件加盖公章并作出相应说明供评委评判，不提供相关资料的视为不具备该项得分的条件。</w:t>
      </w:r>
      <w:r>
        <w:rPr>
          <w:rFonts w:cs="宋体"/>
          <w:color w:val="000000"/>
          <w:sz w:val="21"/>
          <w:szCs w:val="21"/>
        </w:rPr>
      </w:r>
      <w:r/>
    </w:p>
    <w:p>
      <w:pPr>
        <w:pStyle w:val="967"/>
        <w:spacing w:line="360" w:lineRule="auto"/>
        <w:rPr>
          <w:rFonts w:hint="eastAsia"/>
          <w:color w:val="000000"/>
          <w:sz w:val="21"/>
        </w:rPr>
      </w:pPr>
      <w:r>
        <w:rPr>
          <w:color w:val="000000"/>
          <w:sz w:val="21"/>
        </w:rPr>
        <w:t xml:space="preserve">5、</w:t>
      </w:r>
      <w:r>
        <w:rPr>
          <w:rFonts w:hint="eastAsia"/>
          <w:color w:val="000000"/>
          <w:sz w:val="21"/>
        </w:rPr>
        <w:t xml:space="preserve">所有扫描件字迹须扫描清晰可见，</w:t>
      </w:r>
      <w:r>
        <w:rPr>
          <w:color w:val="000000"/>
          <w:sz w:val="21"/>
        </w:rPr>
        <w:t xml:space="preserve">字迹不清晰或</w:t>
      </w:r>
      <w:r>
        <w:rPr>
          <w:rFonts w:hint="eastAsia"/>
          <w:color w:val="000000"/>
          <w:sz w:val="21"/>
        </w:rPr>
        <w:t xml:space="preserve">扫描</w:t>
      </w:r>
      <w:r>
        <w:rPr>
          <w:color w:val="000000"/>
          <w:sz w:val="21"/>
        </w:rPr>
        <w:t xml:space="preserve">不全，视为未提供。</w:t>
      </w:r>
      <w:r>
        <w:rPr>
          <w:rFonts w:hint="eastAsia"/>
          <w:color w:val="000000"/>
          <w:sz w:val="21"/>
        </w:rPr>
      </w:r>
      <w:r/>
    </w:p>
    <w:p>
      <w:pPr>
        <w:pStyle w:val="928"/>
        <w:ind w:right="840"/>
        <w:jc w:val="right"/>
        <w:spacing w:line="360" w:lineRule="auto"/>
        <w:rPr>
          <w:rFonts w:hint="eastAsia" w:cs="宋体"/>
          <w:color w:val="000000"/>
          <w:sz w:val="21"/>
          <w:szCs w:val="21"/>
        </w:rPr>
      </w:pPr>
      <w:r>
        <w:rPr>
          <w:rFonts w:hint="eastAsia" w:cs="宋体"/>
          <w:color w:val="000000"/>
          <w:sz w:val="21"/>
          <w:szCs w:val="21"/>
        </w:rPr>
        <w:t xml:space="preserve">（全文完）</w:t>
      </w:r>
      <w:r/>
    </w:p>
    <w:sectPr>
      <w:footnotePr/>
      <w:endnotePr/>
      <w:type w:val="nextPage"/>
      <w:pgSz w:w="11906" w:h="16838" w:orient="portrait"/>
      <w:pgMar w:top="675" w:right="1021" w:bottom="1702" w:left="1021" w:header="426" w:footer="284" w:gutter="0"/>
      <w:pgNumType w:start="17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Gothic">
    <w:panose1 w:val="020B0609070205080204"/>
  </w:font>
  <w:font w:name="楷体">
    <w:panose1 w:val="02010609060101010101"/>
  </w:font>
  <w:font w:name="等线">
    <w:panose1 w:val="02010600030101010101"/>
  </w:font>
  <w:font w:name="仿宋">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8</w:t>
    </w:r>
    <w:r>
      <w:fldChar w:fldCharType="end"/>
    </w:r>
    <w:r>
      <w:rPr>
        <w:rStyle w:val="1019"/>
      </w:rPr>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9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900" w:hanging="42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5"/>
      <w:isLgl w:val="false"/>
      <w:suff w:val="tab"/>
      <w:lvlText w:val="%1."/>
      <w:lvlJc w:val="left"/>
      <w:pPr>
        <w:pStyle w:val="928"/>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48"/>
      <w:isLgl w:val="false"/>
      <w:suff w:val="tab"/>
      <w:lvlText w:val="%1、"/>
      <w:lvlJc w:val="left"/>
      <w:pPr>
        <w:pStyle w:val="928"/>
        <w:ind w:left="420" w:hanging="420"/>
        <w:tabs>
          <w:tab w:val="num" w:pos="420" w:leader="none"/>
        </w:tabs>
      </w:pPr>
      <w:rPr>
        <w:rFonts w:hint="eastAsia"/>
      </w:rPr>
    </w:lvl>
    <w:lvl w:ilvl="1">
      <w:start w:val="0"/>
      <w:numFmt w:val="bullet"/>
      <w:isLgl w:val="false"/>
      <w:suff w:val="tab"/>
      <w:lvlText w:val="★"/>
      <w:lvlJc w:val="left"/>
      <w:pPr>
        <w:pStyle w:val="928"/>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928"/>
        <w:ind w:left="1080" w:hanging="420"/>
        <w:tabs>
          <w:tab w:val="num" w:pos="1080" w:leader="none"/>
        </w:tabs>
      </w:pPr>
      <w:rPr>
        <w:rFonts w:hint="eastAsia"/>
      </w:rPr>
    </w:lvl>
    <w:lvl w:ilvl="3">
      <w:start w:val="1"/>
      <w:numFmt w:val="decimal"/>
      <w:isLgl w:val="false"/>
      <w:suff w:val="tab"/>
      <w:lvlText w:val="（%4）"/>
      <w:lvlJc w:val="left"/>
      <w:pPr>
        <w:pStyle w:val="928"/>
        <w:ind w:left="1800" w:hanging="720"/>
        <w:tabs>
          <w:tab w:val="num" w:pos="1800" w:leader="none"/>
        </w:tabs>
      </w:pPr>
    </w:lvl>
    <w:lvl w:ilvl="4">
      <w:start w:val="2"/>
      <w:numFmt w:val="upperLetter"/>
      <w:isLgl w:val="false"/>
      <w:suff w:val="tab"/>
      <w:lvlText w:val="%5、"/>
      <w:lvlJc w:val="left"/>
      <w:pPr>
        <w:pStyle w:val="928"/>
        <w:ind w:left="1860" w:hanging="360"/>
        <w:tabs>
          <w:tab w:val="num" w:pos="1860" w:leader="none"/>
        </w:tabs>
      </w:pPr>
    </w:lvl>
    <w:lvl w:ilvl="5">
      <w:start w:val="3"/>
      <w:numFmt w:val="upperLetter"/>
      <w:isLgl w:val="false"/>
      <w:suff w:val="tab"/>
      <w:lvlText w:val="%6、"/>
      <w:lvlJc w:val="left"/>
      <w:pPr>
        <w:pStyle w:val="928"/>
        <w:ind w:left="2280" w:hanging="360"/>
        <w:tabs>
          <w:tab w:val="num" w:pos="2280" w:leader="none"/>
        </w:tabs>
      </w:pPr>
      <w:rPr>
        <w:rFonts w:ascii="Arial" w:hAnsi="Arial" w:eastAsia="黑体"/>
        <w:b w:val="0"/>
      </w:rPr>
    </w:lvl>
    <w:lvl w:ilvl="6">
      <w:start w:val="1"/>
      <w:numFmt w:val="decimal"/>
      <w:isLgl w:val="false"/>
      <w:suff w:val="tab"/>
      <w:lvlText w:val="%7."/>
      <w:lvlJc w:val="left"/>
      <w:pPr>
        <w:pStyle w:val="928"/>
        <w:ind w:left="2760" w:hanging="420"/>
        <w:tabs>
          <w:tab w:val="num" w:pos="2760" w:leader="none"/>
        </w:tabs>
      </w:pPr>
    </w:lvl>
    <w:lvl w:ilvl="7">
      <w:start w:val="1"/>
      <w:numFmt w:val="lowerLetter"/>
      <w:isLgl w:val="false"/>
      <w:suff w:val="tab"/>
      <w:lvlText w:val="%8)"/>
      <w:lvlJc w:val="left"/>
      <w:pPr>
        <w:pStyle w:val="928"/>
        <w:ind w:left="3180" w:hanging="420"/>
        <w:tabs>
          <w:tab w:val="num" w:pos="3180" w:leader="none"/>
        </w:tabs>
      </w:pPr>
    </w:lvl>
    <w:lvl w:ilvl="8">
      <w:start w:val="1"/>
      <w:numFmt w:val="lowerRoman"/>
      <w:isLgl w:val="false"/>
      <w:suff w:val="tab"/>
      <w:lvlText w:val="%9."/>
      <w:lvlJc w:val="right"/>
      <w:pPr>
        <w:pStyle w:val="928"/>
        <w:ind w:left="3600" w:hanging="420"/>
        <w:tabs>
          <w:tab w:val="num" w:pos="3600" w:leader="none"/>
        </w:tabs>
      </w:pPr>
    </w:lvl>
  </w:abstractNum>
  <w:abstractNum w:abstractNumId="2">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25.%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3">
    <w:multiLevelType w:val="hybridMultilevel"/>
    <w:lvl w:ilvl="0">
      <w:start w:val="1"/>
      <w:numFmt w:val="decimal"/>
      <w:isLgl w:val="false"/>
      <w:suff w:val="tab"/>
      <w:lvlText w:val="2.%1"/>
      <w:lvlJc w:val="left"/>
      <w:pPr>
        <w:pStyle w:val="928"/>
        <w:ind w:left="360" w:hanging="360"/>
        <w:tabs>
          <w:tab w:val="num" w:pos="360" w:leader="none"/>
        </w:tabs>
      </w:pPr>
    </w:lvl>
    <w:lvl w:ilvl="1">
      <w:start w:val="1"/>
      <w:numFmt w:val="lowerLetter"/>
      <w:isLgl w:val="false"/>
      <w:suff w:val="tab"/>
      <w:lvlText w:val="%2)"/>
      <w:lvlJc w:val="left"/>
      <w:pPr>
        <w:pStyle w:val="928"/>
        <w:ind w:left="840" w:hanging="420"/>
        <w:tabs>
          <w:tab w:val="num" w:pos="84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4">
    <w:multiLevelType w:val="hybridMultilevel"/>
    <w:lvl w:ilvl="0">
      <w:start w:val="1"/>
      <w:numFmt w:val="decimal"/>
      <w:isLgl w:val="false"/>
      <w:suff w:val="tab"/>
      <w:lvlText w:val="%1、"/>
      <w:lvlJc w:val="left"/>
      <w:pPr>
        <w:pStyle w:val="928"/>
        <w:ind w:left="840" w:hanging="360"/>
      </w:pPr>
      <w:rPr>
        <w:rFonts w:ascii="Times New Roman" w:hAnsi="Times New Roman" w:cs="Times New Roman"/>
      </w:rPr>
    </w:lvl>
    <w:lvl w:ilvl="1">
      <w:start w:val="1"/>
      <w:numFmt w:val="lowerLetter"/>
      <w:isLgl w:val="false"/>
      <w:suff w:val="tab"/>
      <w:lvlText w:val="%2)"/>
      <w:lvlJc w:val="left"/>
      <w:pPr>
        <w:pStyle w:val="928"/>
        <w:ind w:left="1320" w:hanging="420"/>
      </w:pPr>
      <w:rPr>
        <w:rFonts w:ascii="Times New Roman" w:hAnsi="Times New Roman" w:cs="Times New Roman"/>
      </w:rPr>
    </w:lvl>
    <w:lvl w:ilvl="2">
      <w:start w:val="1"/>
      <w:numFmt w:val="lowerRoman"/>
      <w:isLgl w:val="false"/>
      <w:suff w:val="tab"/>
      <w:lvlText w:val="%3."/>
      <w:lvlJc w:val="right"/>
      <w:pPr>
        <w:pStyle w:val="928"/>
        <w:ind w:left="1740" w:hanging="420"/>
      </w:pPr>
      <w:rPr>
        <w:rFonts w:ascii="Times New Roman" w:hAnsi="Times New Roman" w:cs="Times New Roman"/>
      </w:rPr>
    </w:lvl>
    <w:lvl w:ilvl="3">
      <w:start w:val="1"/>
      <w:numFmt w:val="decimal"/>
      <w:isLgl w:val="false"/>
      <w:suff w:val="tab"/>
      <w:lvlText w:val="%4."/>
      <w:lvlJc w:val="left"/>
      <w:pPr>
        <w:pStyle w:val="928"/>
        <w:ind w:left="2160" w:hanging="420"/>
      </w:pPr>
      <w:rPr>
        <w:rFonts w:ascii="Times New Roman" w:hAnsi="Times New Roman" w:cs="Times New Roman"/>
      </w:rPr>
    </w:lvl>
    <w:lvl w:ilvl="4">
      <w:start w:val="1"/>
      <w:numFmt w:val="lowerLetter"/>
      <w:isLgl w:val="false"/>
      <w:suff w:val="tab"/>
      <w:lvlText w:val="%5)"/>
      <w:lvlJc w:val="left"/>
      <w:pPr>
        <w:pStyle w:val="928"/>
        <w:ind w:left="2580" w:hanging="420"/>
      </w:pPr>
      <w:rPr>
        <w:rFonts w:ascii="Times New Roman" w:hAnsi="Times New Roman" w:cs="Times New Roman"/>
      </w:rPr>
    </w:lvl>
    <w:lvl w:ilvl="5">
      <w:start w:val="1"/>
      <w:numFmt w:val="lowerRoman"/>
      <w:isLgl w:val="false"/>
      <w:suff w:val="tab"/>
      <w:lvlText w:val="%6."/>
      <w:lvlJc w:val="right"/>
      <w:pPr>
        <w:pStyle w:val="928"/>
        <w:ind w:left="3000" w:hanging="420"/>
      </w:pPr>
      <w:rPr>
        <w:rFonts w:ascii="Times New Roman" w:hAnsi="Times New Roman" w:cs="Times New Roman"/>
      </w:rPr>
    </w:lvl>
    <w:lvl w:ilvl="6">
      <w:start w:val="1"/>
      <w:numFmt w:val="decimal"/>
      <w:isLgl w:val="false"/>
      <w:suff w:val="tab"/>
      <w:lvlText w:val="%7."/>
      <w:lvlJc w:val="left"/>
      <w:pPr>
        <w:pStyle w:val="928"/>
        <w:ind w:left="3420" w:hanging="420"/>
      </w:pPr>
      <w:rPr>
        <w:rFonts w:ascii="Times New Roman" w:hAnsi="Times New Roman" w:cs="Times New Roman"/>
      </w:rPr>
    </w:lvl>
    <w:lvl w:ilvl="7">
      <w:start w:val="1"/>
      <w:numFmt w:val="lowerLetter"/>
      <w:isLgl w:val="false"/>
      <w:suff w:val="tab"/>
      <w:lvlText w:val="%8)"/>
      <w:lvlJc w:val="left"/>
      <w:pPr>
        <w:pStyle w:val="928"/>
        <w:ind w:left="3840" w:hanging="420"/>
      </w:pPr>
      <w:rPr>
        <w:rFonts w:ascii="Times New Roman" w:hAnsi="Times New Roman" w:cs="Times New Roman"/>
      </w:rPr>
    </w:lvl>
    <w:lvl w:ilvl="8">
      <w:start w:val="1"/>
      <w:numFmt w:val="lowerRoman"/>
      <w:isLgl w:val="false"/>
      <w:suff w:val="tab"/>
      <w:lvlText w:val="%9."/>
      <w:lvlJc w:val="right"/>
      <w:pPr>
        <w:pStyle w:val="928"/>
        <w:ind w:left="4260" w:hanging="420"/>
      </w:pPr>
      <w:rPr>
        <w:rFonts w:ascii="Times New Roman" w:hAnsi="Times New Roman" w:cs="Times New Roman"/>
      </w:rPr>
    </w:lvl>
  </w:abstractNum>
  <w:abstractNum w:abstractNumId="5">
    <w:multiLevelType w:val="hybridMultilevel"/>
    <w:lvl w:ilvl="0">
      <w:start w:val="1"/>
      <w:numFmt w:val="decimal"/>
      <w:isLgl w:val="false"/>
      <w:suff w:val="tab"/>
      <w:lvlText w:val="%1)"/>
      <w:lvlJc w:val="left"/>
      <w:pPr>
        <w:pStyle w:val="928"/>
        <w:ind w:left="420" w:hanging="420"/>
      </w:pPr>
      <w:rPr>
        <w:rFonts w:hint="eastAsia" w:ascii="宋体" w:hAnsi="宋体" w:eastAsia="宋体"/>
      </w:rPr>
    </w:lvl>
    <w:lvl w:ilvl="1">
      <w:start w:val="1"/>
      <w:numFmt w:val="lowerLetter"/>
      <w:isLgl w:val="false"/>
      <w:suff w:val="tab"/>
      <w:lvlText w:val="%2)"/>
      <w:lvlJc w:val="left"/>
      <w:pPr>
        <w:pStyle w:val="928"/>
        <w:ind w:left="840" w:hanging="420"/>
      </w:pPr>
      <w:rPr>
        <w:rFonts w:ascii="Times New Roman" w:hAnsi="Times New Roman" w:cs="Times New Roman"/>
      </w:rPr>
    </w:lvl>
    <w:lvl w:ilvl="2">
      <w:start w:val="1"/>
      <w:numFmt w:val="lowerRoman"/>
      <w:isLgl w:val="false"/>
      <w:suff w:val="tab"/>
      <w:lvlText w:val="%3."/>
      <w:lvlJc w:val="right"/>
      <w:pPr>
        <w:pStyle w:val="928"/>
        <w:ind w:left="1260" w:hanging="420"/>
      </w:pPr>
      <w:rPr>
        <w:rFonts w:ascii="Times New Roman" w:hAnsi="Times New Roman" w:cs="Times New Roman"/>
      </w:rPr>
    </w:lvl>
    <w:lvl w:ilvl="3">
      <w:start w:val="1"/>
      <w:numFmt w:val="decimal"/>
      <w:isLgl w:val="false"/>
      <w:suff w:val="tab"/>
      <w:lvlText w:val="%4."/>
      <w:lvlJc w:val="left"/>
      <w:pPr>
        <w:pStyle w:val="928"/>
        <w:ind w:left="1680" w:hanging="420"/>
      </w:pPr>
      <w:rPr>
        <w:rFonts w:ascii="Times New Roman" w:hAnsi="Times New Roman" w:cs="Times New Roman"/>
      </w:rPr>
    </w:lvl>
    <w:lvl w:ilvl="4">
      <w:start w:val="1"/>
      <w:numFmt w:val="lowerLetter"/>
      <w:isLgl w:val="false"/>
      <w:suff w:val="tab"/>
      <w:lvlText w:val="%5)"/>
      <w:lvlJc w:val="left"/>
      <w:pPr>
        <w:pStyle w:val="928"/>
        <w:ind w:left="2100" w:hanging="420"/>
      </w:pPr>
      <w:rPr>
        <w:rFonts w:ascii="Times New Roman" w:hAnsi="Times New Roman" w:cs="Times New Roman"/>
      </w:rPr>
    </w:lvl>
    <w:lvl w:ilvl="5">
      <w:start w:val="1"/>
      <w:numFmt w:val="lowerRoman"/>
      <w:isLgl w:val="false"/>
      <w:suff w:val="tab"/>
      <w:lvlText w:val="%6."/>
      <w:lvlJc w:val="right"/>
      <w:pPr>
        <w:pStyle w:val="928"/>
        <w:ind w:left="2520" w:hanging="420"/>
      </w:pPr>
      <w:rPr>
        <w:rFonts w:ascii="Times New Roman" w:hAnsi="Times New Roman" w:cs="Times New Roman"/>
      </w:rPr>
    </w:lvl>
    <w:lvl w:ilvl="6">
      <w:start w:val="1"/>
      <w:numFmt w:val="decimal"/>
      <w:isLgl w:val="false"/>
      <w:suff w:val="tab"/>
      <w:lvlText w:val="%7."/>
      <w:lvlJc w:val="left"/>
      <w:pPr>
        <w:pStyle w:val="928"/>
        <w:ind w:left="2940" w:hanging="420"/>
      </w:pPr>
      <w:rPr>
        <w:rFonts w:ascii="Times New Roman" w:hAnsi="Times New Roman" w:cs="Times New Roman"/>
      </w:rPr>
    </w:lvl>
    <w:lvl w:ilvl="7">
      <w:start w:val="1"/>
      <w:numFmt w:val="lowerLetter"/>
      <w:isLgl w:val="false"/>
      <w:suff w:val="tab"/>
      <w:lvlText w:val="%8)"/>
      <w:lvlJc w:val="left"/>
      <w:pPr>
        <w:pStyle w:val="928"/>
        <w:ind w:left="3360" w:hanging="420"/>
      </w:pPr>
      <w:rPr>
        <w:rFonts w:ascii="Times New Roman" w:hAnsi="Times New Roman" w:cs="Times New Roman"/>
      </w:rPr>
    </w:lvl>
    <w:lvl w:ilvl="8">
      <w:start w:val="1"/>
      <w:numFmt w:val="lowerRoman"/>
      <w:isLgl w:val="false"/>
      <w:suff w:val="tab"/>
      <w:lvlText w:val="%9."/>
      <w:lvlJc w:val="right"/>
      <w:pPr>
        <w:pStyle w:val="928"/>
        <w:ind w:left="3780" w:hanging="420"/>
      </w:pPr>
      <w:rPr>
        <w:rFonts w:ascii="Times New Roman" w:hAnsi="Times New Roman" w:cs="Times New Roman"/>
      </w:rPr>
    </w:lvl>
  </w:abstractNum>
  <w:abstractNum w:abstractNumId="6">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34.%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7">
    <w:multiLevelType w:val="hybridMultilevel"/>
    <w:lvl w:ilvl="0">
      <w:start w:val="1"/>
      <w:numFmt w:val="decimal"/>
      <w:isLgl w:val="false"/>
      <w:suff w:val="tab"/>
      <w:lvlText w:val="%1)"/>
      <w:lvlJc w:val="left"/>
      <w:pPr>
        <w:pStyle w:val="928"/>
        <w:ind w:left="420" w:hanging="420"/>
      </w:pPr>
      <w:rPr>
        <w:rFonts w:hint="eastAsia" w:ascii="宋体" w:hAnsi="宋体" w:eastAsia="宋体"/>
      </w:rPr>
    </w:lvl>
    <w:lvl w:ilvl="1">
      <w:start w:val="1"/>
      <w:numFmt w:val="lowerLetter"/>
      <w:isLgl w:val="false"/>
      <w:suff w:val="tab"/>
      <w:lvlText w:val="%2)"/>
      <w:lvlJc w:val="left"/>
      <w:pPr>
        <w:pStyle w:val="928"/>
        <w:ind w:left="840" w:hanging="420"/>
      </w:pPr>
      <w:rPr>
        <w:rFonts w:ascii="Times New Roman" w:hAnsi="Times New Roman" w:cs="Times New Roman"/>
      </w:rPr>
    </w:lvl>
    <w:lvl w:ilvl="2">
      <w:start w:val="1"/>
      <w:numFmt w:val="lowerRoman"/>
      <w:isLgl w:val="false"/>
      <w:suff w:val="tab"/>
      <w:lvlText w:val="%3."/>
      <w:lvlJc w:val="right"/>
      <w:pPr>
        <w:pStyle w:val="928"/>
        <w:ind w:left="1260" w:hanging="420"/>
      </w:pPr>
      <w:rPr>
        <w:rFonts w:ascii="Times New Roman" w:hAnsi="Times New Roman" w:cs="Times New Roman"/>
      </w:rPr>
    </w:lvl>
    <w:lvl w:ilvl="3">
      <w:start w:val="1"/>
      <w:numFmt w:val="decimal"/>
      <w:isLgl w:val="false"/>
      <w:suff w:val="tab"/>
      <w:lvlText w:val="%4."/>
      <w:lvlJc w:val="left"/>
      <w:pPr>
        <w:pStyle w:val="928"/>
        <w:ind w:left="1680" w:hanging="420"/>
      </w:pPr>
      <w:rPr>
        <w:rFonts w:ascii="Times New Roman" w:hAnsi="Times New Roman" w:cs="Times New Roman"/>
      </w:rPr>
    </w:lvl>
    <w:lvl w:ilvl="4">
      <w:start w:val="1"/>
      <w:numFmt w:val="lowerLetter"/>
      <w:isLgl w:val="false"/>
      <w:suff w:val="tab"/>
      <w:lvlText w:val="%5)"/>
      <w:lvlJc w:val="left"/>
      <w:pPr>
        <w:pStyle w:val="928"/>
        <w:ind w:left="2100" w:hanging="420"/>
      </w:pPr>
      <w:rPr>
        <w:rFonts w:ascii="Times New Roman" w:hAnsi="Times New Roman" w:cs="Times New Roman"/>
      </w:rPr>
    </w:lvl>
    <w:lvl w:ilvl="5">
      <w:start w:val="1"/>
      <w:numFmt w:val="lowerRoman"/>
      <w:isLgl w:val="false"/>
      <w:suff w:val="tab"/>
      <w:lvlText w:val="%6."/>
      <w:lvlJc w:val="right"/>
      <w:pPr>
        <w:pStyle w:val="928"/>
        <w:ind w:left="2520" w:hanging="420"/>
      </w:pPr>
      <w:rPr>
        <w:rFonts w:ascii="Times New Roman" w:hAnsi="Times New Roman" w:cs="Times New Roman"/>
      </w:rPr>
    </w:lvl>
    <w:lvl w:ilvl="6">
      <w:start w:val="1"/>
      <w:numFmt w:val="decimal"/>
      <w:isLgl w:val="false"/>
      <w:suff w:val="tab"/>
      <w:lvlText w:val="%7."/>
      <w:lvlJc w:val="left"/>
      <w:pPr>
        <w:pStyle w:val="928"/>
        <w:ind w:left="2940" w:hanging="420"/>
      </w:pPr>
      <w:rPr>
        <w:rFonts w:ascii="Times New Roman" w:hAnsi="Times New Roman" w:cs="Times New Roman"/>
      </w:rPr>
    </w:lvl>
    <w:lvl w:ilvl="7">
      <w:start w:val="1"/>
      <w:numFmt w:val="lowerLetter"/>
      <w:isLgl w:val="false"/>
      <w:suff w:val="tab"/>
      <w:lvlText w:val="%8)"/>
      <w:lvlJc w:val="left"/>
      <w:pPr>
        <w:pStyle w:val="928"/>
        <w:ind w:left="3360" w:hanging="420"/>
      </w:pPr>
      <w:rPr>
        <w:rFonts w:ascii="Times New Roman" w:hAnsi="Times New Roman" w:cs="Times New Roman"/>
      </w:rPr>
    </w:lvl>
    <w:lvl w:ilvl="8">
      <w:start w:val="1"/>
      <w:numFmt w:val="lowerRoman"/>
      <w:isLgl w:val="false"/>
      <w:suff w:val="tab"/>
      <w:lvlText w:val="%9."/>
      <w:lvlJc w:val="right"/>
      <w:pPr>
        <w:pStyle w:val="928"/>
        <w:ind w:left="3780" w:hanging="420"/>
      </w:pPr>
      <w:rPr>
        <w:rFonts w:ascii="Times New Roman" w:hAnsi="Times New Roman" w:cs="Times New Roman"/>
      </w:rPr>
    </w:lvl>
  </w:abstractNum>
  <w:abstractNum w:abstractNumId="8">
    <w:multiLevelType w:val="hybridMultilevel"/>
    <w:lvl w:ilvl="0">
      <w:start w:val="13"/>
      <w:numFmt w:val="decimal"/>
      <w:pStyle w:val="1478"/>
      <w:isLgl w:val="false"/>
      <w:suff w:val="tab"/>
      <w:lvlText w:val="%1.3"/>
      <w:lvlJc w:val="left"/>
      <w:pPr>
        <w:pStyle w:val="928"/>
        <w:ind w:left="425" w:hanging="425"/>
        <w:tabs>
          <w:tab w:val="num" w:pos="425" w:leader="none"/>
        </w:tabs>
      </w:pPr>
      <w:rPr>
        <w:rFonts w:hint="eastAsia"/>
      </w:rPr>
    </w:lvl>
    <w:lvl w:ilvl="1">
      <w:start w:val="1"/>
      <w:numFmt w:val="decimal"/>
      <w:isLgl w:val="false"/>
      <w:suff w:val="tab"/>
      <w:lvlText w:val="%2.3.1"/>
      <w:lvlJc w:val="left"/>
      <w:pPr>
        <w:pStyle w:val="928"/>
        <w:ind w:left="567" w:hanging="567"/>
        <w:tabs>
          <w:tab w:val="num" w:pos="720" w:leader="none"/>
        </w:tabs>
      </w:pPr>
      <w:rPr>
        <w:rFonts w:hint="eastAsia"/>
      </w:rPr>
    </w:lvl>
    <w:lvl w:ilvl="2">
      <w:start w:val="1"/>
      <w:numFmt w:val="decimal"/>
      <w:isLgl w:val="false"/>
      <w:suff w:val="tab"/>
      <w:lvlText w:val="13.3.%3"/>
      <w:lvlJc w:val="left"/>
      <w:pPr>
        <w:pStyle w:val="928"/>
        <w:ind w:left="709" w:hanging="709"/>
        <w:tabs>
          <w:tab w:val="num" w:pos="720" w:leader="none"/>
        </w:tabs>
      </w:pPr>
      <w:rPr>
        <w:rFonts w:hint="eastAsia"/>
      </w:rPr>
    </w:lvl>
    <w:lvl w:ilvl="3">
      <w:start w:val="1"/>
      <w:numFmt w:val="decimal"/>
      <w:isLgl w:val="false"/>
      <w:suff w:val="tab"/>
      <w:lvlText w:val="%43.3.1.1"/>
      <w:lvlJc w:val="left"/>
      <w:pPr>
        <w:pStyle w:val="928"/>
        <w:ind w:left="851" w:hanging="851"/>
        <w:tabs>
          <w:tab w:val="num" w:pos="1080" w:leader="none"/>
        </w:tabs>
      </w:pPr>
      <w:rPr>
        <w:rFonts w:hint="eastAsia"/>
      </w:rPr>
    </w:lvl>
    <w:lvl w:ilvl="4">
      <w:start w:val="1"/>
      <w:numFmt w:val="decimal"/>
      <w:isLgl w:val="false"/>
      <w:suff w:val="tab"/>
      <w:lvlText w:val="%513.3.%4"/>
      <w:lvlJc w:val="left"/>
      <w:pPr>
        <w:pStyle w:val="928"/>
        <w:ind w:left="992" w:hanging="992"/>
        <w:tabs>
          <w:tab w:val="num" w:pos="992" w:leader="none"/>
        </w:tabs>
      </w:pPr>
      <w:rPr>
        <w:rFonts w:hint="eastAsia"/>
      </w:rPr>
    </w:lvl>
    <w:lvl w:ilvl="5">
      <w:start w:val="1"/>
      <w:numFmt w:val="decimal"/>
      <w:isLgl w:val="false"/>
      <w:suff w:val="tab"/>
      <w:lvlText w:val="%613.3.%41.1.1.1"/>
      <w:lvlJc w:val="left"/>
      <w:pPr>
        <w:pStyle w:val="928"/>
        <w:ind w:left="1134" w:hanging="1134"/>
        <w:tabs>
          <w:tab w:val="num" w:pos="1800" w:leader="none"/>
        </w:tabs>
      </w:pPr>
      <w:rPr>
        <w:rFonts w:hint="eastAsia"/>
      </w:rPr>
    </w:lvl>
    <w:lvl w:ilvl="6">
      <w:start w:val="1"/>
      <w:numFmt w:val="decimal"/>
      <w:isLgl w:val="false"/>
      <w:suff w:val="tab"/>
      <w:lvlText w:val="13.3.%41.1.1.1.1"/>
      <w:lvlJc w:val="left"/>
      <w:pPr>
        <w:pStyle w:val="928"/>
        <w:ind w:left="1276" w:hanging="1276"/>
        <w:tabs>
          <w:tab w:val="num" w:pos="1800" w:leader="none"/>
        </w:tabs>
      </w:pPr>
      <w:rPr>
        <w:rFonts w:hint="eastAsia"/>
      </w:rPr>
    </w:lvl>
    <w:lvl w:ilvl="7">
      <w:start w:val="1"/>
      <w:numFmt w:val="decimal"/>
      <w:isLgl w:val="false"/>
      <w:suff w:val="tab"/>
      <w:lvlText w:val="13.3.1.1.1.1.1.1"/>
      <w:lvlJc w:val="left"/>
      <w:pPr>
        <w:pStyle w:val="928"/>
        <w:ind w:left="1418" w:hanging="1418"/>
        <w:tabs>
          <w:tab w:val="num" w:pos="2160" w:leader="none"/>
        </w:tabs>
      </w:pPr>
      <w:rPr>
        <w:rFonts w:hint="eastAsia"/>
      </w:rPr>
    </w:lvl>
    <w:lvl w:ilvl="8">
      <w:start w:val="1"/>
      <w:numFmt w:val="decimal"/>
      <w:isLgl w:val="false"/>
      <w:suff w:val="tab"/>
      <w:lvlText w:val="13.3.%41.1.1.1.1.1.1"/>
      <w:lvlJc w:val="left"/>
      <w:pPr>
        <w:pStyle w:val="928"/>
        <w:ind w:left="1559" w:hanging="1559"/>
        <w:tabs>
          <w:tab w:val="num" w:pos="2520" w:leader="none"/>
        </w:tabs>
      </w:pPr>
      <w:rPr>
        <w:rFonts w:hint="eastAsia"/>
      </w:rPr>
    </w:lvl>
  </w:abstractNum>
  <w:abstractNum w:abstractNumId="9">
    <w:multiLevelType w:val="hybridMultilevel"/>
    <w:lvl w:ilvl="0">
      <w:start w:val="2"/>
      <w:numFmt w:val="decimal"/>
      <w:pStyle w:val="1486"/>
      <w:isLgl w:val="false"/>
      <w:suff w:val="tab"/>
      <w:lvlText w:val="（%1）"/>
      <w:lvlJc w:val="left"/>
      <w:pPr>
        <w:pStyle w:val="928"/>
        <w:ind w:left="720" w:hanging="720"/>
        <w:tabs>
          <w:tab w:val="num" w:pos="720" w:leader="none"/>
        </w:tabs>
      </w:pPr>
    </w:lvl>
    <w:lvl w:ilvl="1">
      <w:start w:val="1"/>
      <w:numFmt w:val="lowerLetter"/>
      <w:isLgl w:val="false"/>
      <w:suff w:val="tab"/>
      <w:lvlText w:val="%2)"/>
      <w:lvlJc w:val="left"/>
      <w:pPr>
        <w:pStyle w:val="928"/>
        <w:ind w:left="840" w:hanging="420"/>
        <w:tabs>
          <w:tab w:val="num" w:pos="84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37.%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11">
    <w:multiLevelType w:val="hybridMultilevel"/>
    <w:lvl w:ilvl="0">
      <w:start w:val="1"/>
      <w:numFmt w:val="decimal"/>
      <w:pStyle w:val="1390"/>
      <w:isLgl w:val="false"/>
      <w:suff w:val="tab"/>
      <w:lvlText w:val="%1)"/>
      <w:lvlJc w:val="left"/>
      <w:pPr>
        <w:pStyle w:val="928"/>
        <w:ind w:left="420" w:hanging="420"/>
        <w:tabs>
          <w:tab w:val="num" w:pos="420" w:leader="none"/>
        </w:tabs>
      </w:pPr>
    </w:lvl>
    <w:lvl w:ilvl="1">
      <w:start w:val="1"/>
      <w:numFmt w:val="lowerLetter"/>
      <w:isLgl w:val="false"/>
      <w:suff w:val="tab"/>
      <w:lvlText w:val="%2)"/>
      <w:lvlJc w:val="left"/>
      <w:pPr>
        <w:pStyle w:val="928"/>
        <w:ind w:left="840" w:hanging="420"/>
        <w:tabs>
          <w:tab w:val="num" w:pos="84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12">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23.%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13">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39.%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14">
    <w:multiLevelType w:val="hybridMultilevel"/>
    <w:lvl w:ilvl="0">
      <w:start w:val="1"/>
      <w:numFmt w:val="decimal"/>
      <w:isLgl w:val="false"/>
      <w:suff w:val="tab"/>
      <w:lvlText w:val="%1)"/>
      <w:lvlJc w:val="left"/>
      <w:pPr>
        <w:pStyle w:val="928"/>
        <w:ind w:left="860" w:hanging="440"/>
      </w:pPr>
    </w:lvl>
    <w:lvl w:ilvl="1">
      <w:start w:val="1"/>
      <w:numFmt w:val="lowerLetter"/>
      <w:isLgl w:val="false"/>
      <w:suff w:val="tab"/>
      <w:lvlText w:val="%2)"/>
      <w:lvlJc w:val="left"/>
      <w:pPr>
        <w:pStyle w:val="928"/>
        <w:ind w:left="1300" w:hanging="440"/>
      </w:pPr>
    </w:lvl>
    <w:lvl w:ilvl="2">
      <w:start w:val="1"/>
      <w:numFmt w:val="lowerRoman"/>
      <w:isLgl w:val="false"/>
      <w:suff w:val="tab"/>
      <w:lvlText w:val="%3."/>
      <w:lvlJc w:val="right"/>
      <w:pPr>
        <w:pStyle w:val="928"/>
        <w:ind w:left="1740" w:hanging="440"/>
      </w:pPr>
    </w:lvl>
    <w:lvl w:ilvl="3">
      <w:start w:val="1"/>
      <w:numFmt w:val="decimal"/>
      <w:isLgl w:val="false"/>
      <w:suff w:val="tab"/>
      <w:lvlText w:val="%4."/>
      <w:lvlJc w:val="left"/>
      <w:pPr>
        <w:pStyle w:val="928"/>
        <w:ind w:left="2180" w:hanging="440"/>
      </w:pPr>
    </w:lvl>
    <w:lvl w:ilvl="4">
      <w:start w:val="1"/>
      <w:numFmt w:val="lowerLetter"/>
      <w:isLgl w:val="false"/>
      <w:suff w:val="tab"/>
      <w:lvlText w:val="%5)"/>
      <w:lvlJc w:val="left"/>
      <w:pPr>
        <w:pStyle w:val="928"/>
        <w:ind w:left="2620" w:hanging="440"/>
      </w:pPr>
    </w:lvl>
    <w:lvl w:ilvl="5">
      <w:start w:val="1"/>
      <w:numFmt w:val="lowerRoman"/>
      <w:isLgl w:val="false"/>
      <w:suff w:val="tab"/>
      <w:lvlText w:val="%6."/>
      <w:lvlJc w:val="right"/>
      <w:pPr>
        <w:pStyle w:val="928"/>
        <w:ind w:left="3060" w:hanging="440"/>
      </w:pPr>
    </w:lvl>
    <w:lvl w:ilvl="6">
      <w:start w:val="1"/>
      <w:numFmt w:val="decimal"/>
      <w:isLgl w:val="false"/>
      <w:suff w:val="tab"/>
      <w:lvlText w:val="%7."/>
      <w:lvlJc w:val="left"/>
      <w:pPr>
        <w:pStyle w:val="928"/>
        <w:ind w:left="3500" w:hanging="440"/>
      </w:pPr>
    </w:lvl>
    <w:lvl w:ilvl="7">
      <w:start w:val="1"/>
      <w:numFmt w:val="lowerLetter"/>
      <w:isLgl w:val="false"/>
      <w:suff w:val="tab"/>
      <w:lvlText w:val="%8)"/>
      <w:lvlJc w:val="left"/>
      <w:pPr>
        <w:pStyle w:val="928"/>
        <w:ind w:left="3940" w:hanging="440"/>
      </w:pPr>
    </w:lvl>
    <w:lvl w:ilvl="8">
      <w:start w:val="1"/>
      <w:numFmt w:val="lowerRoman"/>
      <w:isLgl w:val="false"/>
      <w:suff w:val="tab"/>
      <w:lvlText w:val="%9."/>
      <w:lvlJc w:val="right"/>
      <w:pPr>
        <w:pStyle w:val="928"/>
        <w:ind w:left="4380" w:hanging="440"/>
      </w:pPr>
    </w:lvl>
  </w:abstractNum>
  <w:abstractNum w:abstractNumId="15">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27.%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16">
    <w:multiLevelType w:val="hybridMultilevel"/>
    <w:lvl w:ilvl="0">
      <w:start w:val="1"/>
      <w:numFmt w:val="bullet"/>
      <w:pStyle w:val="1504"/>
      <w:isLgl w:val="false"/>
      <w:suff w:val="tab"/>
      <w:lvlText w:val=""/>
      <w:lvlJc w:val="left"/>
      <w:pPr>
        <w:pStyle w:val="928"/>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928"/>
        <w:ind w:left="840" w:hanging="420"/>
        <w:tabs>
          <w:tab w:val="num" w:pos="840" w:leader="none"/>
        </w:tabs>
      </w:pPr>
      <w:rPr>
        <w:rFonts w:ascii="Wingdings" w:hAnsi="Wingdings"/>
      </w:rPr>
    </w:lvl>
    <w:lvl w:ilvl="2">
      <w:start w:val="1"/>
      <w:numFmt w:val="bullet"/>
      <w:isLgl w:val="false"/>
      <w:suff w:val="tab"/>
      <w:lvlText w:val=""/>
      <w:lvlJc w:val="left"/>
      <w:pPr>
        <w:pStyle w:val="928"/>
        <w:ind w:left="1260" w:hanging="420"/>
        <w:tabs>
          <w:tab w:val="num" w:pos="1260" w:leader="none"/>
        </w:tabs>
      </w:pPr>
      <w:rPr>
        <w:rFonts w:ascii="Wingdings" w:hAnsi="Wingdings"/>
      </w:rPr>
    </w:lvl>
    <w:lvl w:ilvl="3">
      <w:start w:val="1"/>
      <w:numFmt w:val="bullet"/>
      <w:isLgl w:val="false"/>
      <w:suff w:val="tab"/>
      <w:lvlText w:val=""/>
      <w:lvlJc w:val="left"/>
      <w:pPr>
        <w:pStyle w:val="928"/>
        <w:ind w:left="1680" w:hanging="420"/>
        <w:tabs>
          <w:tab w:val="num" w:pos="1680" w:leader="none"/>
        </w:tabs>
      </w:pPr>
      <w:rPr>
        <w:rFonts w:ascii="Wingdings" w:hAnsi="Wingdings"/>
      </w:rPr>
    </w:lvl>
    <w:lvl w:ilvl="4">
      <w:start w:val="1"/>
      <w:numFmt w:val="bullet"/>
      <w:isLgl w:val="false"/>
      <w:suff w:val="tab"/>
      <w:lvlText w:val=""/>
      <w:lvlJc w:val="left"/>
      <w:pPr>
        <w:pStyle w:val="928"/>
        <w:ind w:left="2100" w:hanging="420"/>
        <w:tabs>
          <w:tab w:val="num" w:pos="2100" w:leader="none"/>
        </w:tabs>
      </w:pPr>
      <w:rPr>
        <w:rFonts w:ascii="Wingdings" w:hAnsi="Wingdings"/>
      </w:rPr>
    </w:lvl>
    <w:lvl w:ilvl="5">
      <w:start w:val="1"/>
      <w:numFmt w:val="bullet"/>
      <w:isLgl w:val="false"/>
      <w:suff w:val="tab"/>
      <w:lvlText w:val=""/>
      <w:lvlJc w:val="left"/>
      <w:pPr>
        <w:pStyle w:val="928"/>
        <w:ind w:left="2520" w:hanging="420"/>
        <w:tabs>
          <w:tab w:val="num" w:pos="2520" w:leader="none"/>
        </w:tabs>
      </w:pPr>
      <w:rPr>
        <w:rFonts w:ascii="Wingdings" w:hAnsi="Wingdings"/>
      </w:rPr>
    </w:lvl>
    <w:lvl w:ilvl="6">
      <w:start w:val="1"/>
      <w:numFmt w:val="bullet"/>
      <w:isLgl w:val="false"/>
      <w:suff w:val="tab"/>
      <w:lvlText w:val=""/>
      <w:lvlJc w:val="left"/>
      <w:pPr>
        <w:pStyle w:val="928"/>
        <w:ind w:left="2940" w:hanging="420"/>
        <w:tabs>
          <w:tab w:val="num" w:pos="2940" w:leader="none"/>
        </w:tabs>
      </w:pPr>
      <w:rPr>
        <w:rFonts w:ascii="Wingdings" w:hAnsi="Wingdings"/>
      </w:rPr>
    </w:lvl>
    <w:lvl w:ilvl="7">
      <w:start w:val="1"/>
      <w:numFmt w:val="bullet"/>
      <w:isLgl w:val="false"/>
      <w:suff w:val="tab"/>
      <w:lvlText w:val=""/>
      <w:lvlJc w:val="left"/>
      <w:pPr>
        <w:pStyle w:val="928"/>
        <w:ind w:left="3360" w:hanging="420"/>
        <w:tabs>
          <w:tab w:val="num" w:pos="3360" w:leader="none"/>
        </w:tabs>
      </w:pPr>
      <w:rPr>
        <w:rFonts w:ascii="Wingdings" w:hAnsi="Wingdings"/>
      </w:rPr>
    </w:lvl>
    <w:lvl w:ilvl="8">
      <w:start w:val="1"/>
      <w:numFmt w:val="bullet"/>
      <w:isLgl w:val="false"/>
      <w:suff w:val="tab"/>
      <w:lvlText w:val=""/>
      <w:lvlJc w:val="left"/>
      <w:pPr>
        <w:pStyle w:val="928"/>
        <w:ind w:left="3780" w:hanging="420"/>
        <w:tabs>
          <w:tab w:val="num" w:pos="3780" w:leader="none"/>
        </w:tabs>
      </w:pPr>
      <w:rPr>
        <w:rFonts w:ascii="Wingdings" w:hAnsi="Wingdings"/>
      </w:rPr>
    </w:lvl>
  </w:abstractNum>
  <w:abstractNum w:abstractNumId="17">
    <w:multiLevelType w:val="hybridMultilevel"/>
    <w:lvl w:ilvl="0">
      <w:start w:val="1"/>
      <w:numFmt w:val="bullet"/>
      <w:pStyle w:val="1350"/>
      <w:isLgl w:val="false"/>
      <w:suff w:val="tab"/>
      <w:lvlText w:val=""/>
      <w:lvlJc w:val="left"/>
      <w:pPr>
        <w:pStyle w:val="928"/>
        <w:ind w:left="794" w:hanging="312"/>
        <w:tabs>
          <w:tab w:val="num" w:pos="482" w:leader="none"/>
        </w:tabs>
      </w:pPr>
      <w:rPr>
        <w:rFonts w:ascii="Wingdings" w:hAnsi="Wingdings"/>
      </w:rPr>
    </w:lvl>
    <w:lvl w:ilvl="1">
      <w:start w:val="1"/>
      <w:numFmt w:val="decimal"/>
      <w:isLgl w:val="false"/>
      <w:suff w:val="tab"/>
      <w:lvlText w:val="%2."/>
      <w:lvlJc w:val="left"/>
      <w:pPr>
        <w:pStyle w:val="928"/>
        <w:ind w:left="840" w:hanging="420"/>
        <w:tabs>
          <w:tab w:val="num" w:pos="840" w:leader="none"/>
        </w:tabs>
      </w:pPr>
    </w:lvl>
    <w:lvl w:ilvl="2">
      <w:start w:val="1"/>
      <w:numFmt w:val="bullet"/>
      <w:isLgl w:val="false"/>
      <w:suff w:val="tab"/>
      <w:lvlText w:val=""/>
      <w:lvlJc w:val="left"/>
      <w:pPr>
        <w:pStyle w:val="928"/>
        <w:ind w:left="1260" w:hanging="420"/>
        <w:tabs>
          <w:tab w:val="num" w:pos="1260" w:leader="none"/>
        </w:tabs>
      </w:pPr>
      <w:rPr>
        <w:rFonts w:ascii="Wingdings" w:hAnsi="Wingdings"/>
      </w:rPr>
    </w:lvl>
    <w:lvl w:ilvl="3">
      <w:start w:val="1"/>
      <w:numFmt w:val="bullet"/>
      <w:isLgl w:val="false"/>
      <w:suff w:val="tab"/>
      <w:lvlText w:val=""/>
      <w:lvlJc w:val="left"/>
      <w:pPr>
        <w:pStyle w:val="928"/>
        <w:ind w:left="1680" w:hanging="420"/>
        <w:tabs>
          <w:tab w:val="num" w:pos="1680" w:leader="none"/>
        </w:tabs>
      </w:pPr>
      <w:rPr>
        <w:rFonts w:ascii="Wingdings" w:hAnsi="Wingdings"/>
      </w:rPr>
    </w:lvl>
    <w:lvl w:ilvl="4">
      <w:start w:val="1"/>
      <w:numFmt w:val="bullet"/>
      <w:isLgl w:val="false"/>
      <w:suff w:val="tab"/>
      <w:lvlText w:val=""/>
      <w:lvlJc w:val="left"/>
      <w:pPr>
        <w:pStyle w:val="928"/>
        <w:ind w:left="2100" w:hanging="420"/>
        <w:tabs>
          <w:tab w:val="num" w:pos="2100" w:leader="none"/>
        </w:tabs>
      </w:pPr>
      <w:rPr>
        <w:rFonts w:ascii="Wingdings" w:hAnsi="Wingdings"/>
      </w:rPr>
    </w:lvl>
    <w:lvl w:ilvl="5">
      <w:start w:val="1"/>
      <w:numFmt w:val="bullet"/>
      <w:isLgl w:val="false"/>
      <w:suff w:val="tab"/>
      <w:lvlText w:val=""/>
      <w:lvlJc w:val="left"/>
      <w:pPr>
        <w:pStyle w:val="928"/>
        <w:ind w:left="2520" w:hanging="420"/>
        <w:tabs>
          <w:tab w:val="num" w:pos="2520" w:leader="none"/>
        </w:tabs>
      </w:pPr>
      <w:rPr>
        <w:rFonts w:ascii="Wingdings" w:hAnsi="Wingdings"/>
      </w:rPr>
    </w:lvl>
    <w:lvl w:ilvl="6">
      <w:start w:val="1"/>
      <w:numFmt w:val="bullet"/>
      <w:isLgl w:val="false"/>
      <w:suff w:val="tab"/>
      <w:lvlText w:val=""/>
      <w:lvlJc w:val="left"/>
      <w:pPr>
        <w:pStyle w:val="928"/>
        <w:ind w:left="2940" w:hanging="420"/>
        <w:tabs>
          <w:tab w:val="num" w:pos="2940" w:leader="none"/>
        </w:tabs>
      </w:pPr>
      <w:rPr>
        <w:rFonts w:ascii="Wingdings" w:hAnsi="Wingdings"/>
      </w:rPr>
    </w:lvl>
    <w:lvl w:ilvl="7">
      <w:start w:val="1"/>
      <w:numFmt w:val="bullet"/>
      <w:isLgl w:val="false"/>
      <w:suff w:val="tab"/>
      <w:lvlText w:val=""/>
      <w:lvlJc w:val="left"/>
      <w:pPr>
        <w:pStyle w:val="928"/>
        <w:ind w:left="3360" w:hanging="420"/>
        <w:tabs>
          <w:tab w:val="num" w:pos="3360" w:leader="none"/>
        </w:tabs>
      </w:pPr>
      <w:rPr>
        <w:rFonts w:ascii="Wingdings" w:hAnsi="Wingdings"/>
      </w:rPr>
    </w:lvl>
    <w:lvl w:ilvl="8">
      <w:start w:val="1"/>
      <w:numFmt w:val="bullet"/>
      <w:isLgl w:val="false"/>
      <w:suff w:val="tab"/>
      <w:lvlText w:val=""/>
      <w:lvlJc w:val="left"/>
      <w:pPr>
        <w:pStyle w:val="928"/>
        <w:ind w:left="3780" w:hanging="420"/>
        <w:tabs>
          <w:tab w:val="num" w:pos="3780" w:leader="none"/>
        </w:tabs>
      </w:pPr>
      <w:rPr>
        <w:rFonts w:ascii="Wingdings" w:hAnsi="Wingdings"/>
      </w:rPr>
    </w:lvl>
  </w:abstractNum>
  <w:abstractNum w:abstractNumId="18">
    <w:multiLevelType w:val="hybridMultilevel"/>
    <w:lvl w:ilvl="0">
      <w:start w:val="1"/>
      <w:numFmt w:val="decimal"/>
      <w:isLgl w:val="false"/>
      <w:suff w:val="tab"/>
      <w:lvlText w:val="%1、"/>
      <w:lvlJc w:val="left"/>
      <w:pPr>
        <w:pStyle w:val="928"/>
        <w:ind w:left="1039" w:hanging="360"/>
      </w:pPr>
      <w:rPr>
        <w:rFonts w:ascii="Times New Roman" w:hAnsi="Times New Roman" w:cs="Times New Roman"/>
      </w:rPr>
    </w:lvl>
    <w:lvl w:ilvl="1">
      <w:start w:val="1"/>
      <w:numFmt w:val="lowerLetter"/>
      <w:isLgl w:val="false"/>
      <w:suff w:val="tab"/>
      <w:lvlText w:val="%2)"/>
      <w:lvlJc w:val="left"/>
      <w:pPr>
        <w:pStyle w:val="928"/>
        <w:ind w:left="1519" w:hanging="420"/>
      </w:pPr>
      <w:rPr>
        <w:rFonts w:ascii="Times New Roman" w:hAnsi="Times New Roman" w:cs="Times New Roman"/>
      </w:rPr>
    </w:lvl>
    <w:lvl w:ilvl="2">
      <w:start w:val="1"/>
      <w:numFmt w:val="lowerRoman"/>
      <w:isLgl w:val="false"/>
      <w:suff w:val="tab"/>
      <w:lvlText w:val="%3."/>
      <w:lvlJc w:val="right"/>
      <w:pPr>
        <w:pStyle w:val="928"/>
        <w:ind w:left="1939" w:hanging="420"/>
      </w:pPr>
      <w:rPr>
        <w:rFonts w:ascii="Times New Roman" w:hAnsi="Times New Roman" w:cs="Times New Roman"/>
      </w:rPr>
    </w:lvl>
    <w:lvl w:ilvl="3">
      <w:start w:val="1"/>
      <w:numFmt w:val="decimal"/>
      <w:isLgl w:val="false"/>
      <w:suff w:val="tab"/>
      <w:lvlText w:val="%4."/>
      <w:lvlJc w:val="left"/>
      <w:pPr>
        <w:pStyle w:val="928"/>
        <w:ind w:left="2359" w:hanging="420"/>
      </w:pPr>
      <w:rPr>
        <w:rFonts w:ascii="Times New Roman" w:hAnsi="Times New Roman" w:cs="Times New Roman"/>
      </w:rPr>
    </w:lvl>
    <w:lvl w:ilvl="4">
      <w:start w:val="1"/>
      <w:numFmt w:val="lowerLetter"/>
      <w:isLgl w:val="false"/>
      <w:suff w:val="tab"/>
      <w:lvlText w:val="%5)"/>
      <w:lvlJc w:val="left"/>
      <w:pPr>
        <w:pStyle w:val="928"/>
        <w:ind w:left="2779" w:hanging="420"/>
      </w:pPr>
      <w:rPr>
        <w:rFonts w:ascii="Times New Roman" w:hAnsi="Times New Roman" w:cs="Times New Roman"/>
      </w:rPr>
    </w:lvl>
    <w:lvl w:ilvl="5">
      <w:start w:val="1"/>
      <w:numFmt w:val="lowerRoman"/>
      <w:isLgl w:val="false"/>
      <w:suff w:val="tab"/>
      <w:lvlText w:val="%6."/>
      <w:lvlJc w:val="right"/>
      <w:pPr>
        <w:pStyle w:val="928"/>
        <w:ind w:left="3199" w:hanging="420"/>
      </w:pPr>
      <w:rPr>
        <w:rFonts w:ascii="Times New Roman" w:hAnsi="Times New Roman" w:cs="Times New Roman"/>
      </w:rPr>
    </w:lvl>
    <w:lvl w:ilvl="6">
      <w:start w:val="1"/>
      <w:numFmt w:val="decimal"/>
      <w:isLgl w:val="false"/>
      <w:suff w:val="tab"/>
      <w:lvlText w:val="%7."/>
      <w:lvlJc w:val="left"/>
      <w:pPr>
        <w:pStyle w:val="928"/>
        <w:ind w:left="3619" w:hanging="420"/>
      </w:pPr>
      <w:rPr>
        <w:rFonts w:ascii="Times New Roman" w:hAnsi="Times New Roman" w:cs="Times New Roman"/>
      </w:rPr>
    </w:lvl>
    <w:lvl w:ilvl="7">
      <w:start w:val="1"/>
      <w:numFmt w:val="lowerLetter"/>
      <w:isLgl w:val="false"/>
      <w:suff w:val="tab"/>
      <w:lvlText w:val="%8)"/>
      <w:lvlJc w:val="left"/>
      <w:pPr>
        <w:pStyle w:val="928"/>
        <w:ind w:left="4039" w:hanging="420"/>
      </w:pPr>
      <w:rPr>
        <w:rFonts w:ascii="Times New Roman" w:hAnsi="Times New Roman" w:cs="Times New Roman"/>
      </w:rPr>
    </w:lvl>
    <w:lvl w:ilvl="8">
      <w:start w:val="1"/>
      <w:numFmt w:val="lowerRoman"/>
      <w:isLgl w:val="false"/>
      <w:suff w:val="tab"/>
      <w:lvlText w:val="%9."/>
      <w:lvlJc w:val="right"/>
      <w:pPr>
        <w:pStyle w:val="928"/>
        <w:ind w:left="4459" w:hanging="420"/>
      </w:pPr>
      <w:rPr>
        <w:rFonts w:ascii="Times New Roman" w:hAnsi="Times New Roman" w:cs="Times New Roman"/>
      </w:rPr>
    </w:lvl>
  </w:abstractNum>
  <w:abstractNum w:abstractNumId="19">
    <w:multiLevelType w:val="hybridMultilevel"/>
    <w:lvl w:ilvl="0">
      <w:start w:val="1"/>
      <w:numFmt w:val="japaneseCounting"/>
      <w:pStyle w:val="1180"/>
      <w:isLgl w:val="false"/>
      <w:suff w:val="tab"/>
      <w:lvlText w:val="%1、"/>
      <w:lvlJc w:val="left"/>
      <w:pPr>
        <w:pStyle w:val="928"/>
        <w:ind w:left="720" w:hanging="720"/>
        <w:tabs>
          <w:tab w:val="num" w:pos="720" w:leader="none"/>
        </w:tabs>
      </w:pPr>
      <w:rPr>
        <w:rFonts w:hint="eastAsia"/>
        <w:lang w:val="en-US"/>
      </w:rPr>
    </w:lvl>
    <w:lvl w:ilvl="1">
      <w:start w:val="1"/>
      <w:numFmt w:val="lowerLetter"/>
      <w:isLgl w:val="false"/>
      <w:suff w:val="tab"/>
      <w:lvlText w:val="%2)"/>
      <w:lvlJc w:val="left"/>
      <w:pPr>
        <w:pStyle w:val="928"/>
        <w:ind w:left="840" w:hanging="420"/>
        <w:tabs>
          <w:tab w:val="num" w:pos="84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pStyle w:val="1367"/>
      <w:isLgl w:val="false"/>
      <w:suff w:val="tab"/>
      <w:lvlText w:val="%5)"/>
      <w:lvlJc w:val="left"/>
      <w:pPr>
        <w:pStyle w:val="928"/>
        <w:ind w:left="2100" w:hanging="420"/>
        <w:tabs>
          <w:tab w:val="num" w:pos="2100" w:leader="none"/>
        </w:tabs>
      </w:pPr>
    </w:lvl>
    <w:lvl w:ilvl="5">
      <w:start w:val="1"/>
      <w:numFmt w:val="lowerRoman"/>
      <w:pStyle w:val="1425"/>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pStyle w:val="1300"/>
      <w:isLgl w:val="false"/>
      <w:suff w:val="tab"/>
      <w:lvlText w:val="%8)"/>
      <w:lvlJc w:val="left"/>
      <w:pPr>
        <w:pStyle w:val="928"/>
        <w:ind w:left="3360" w:hanging="420"/>
        <w:tabs>
          <w:tab w:val="num" w:pos="3360" w:leader="none"/>
        </w:tabs>
      </w:pPr>
    </w:lvl>
    <w:lvl w:ilvl="8">
      <w:start w:val="1"/>
      <w:numFmt w:val="lowerRoman"/>
      <w:pStyle w:val="1501"/>
      <w:isLgl w:val="false"/>
      <w:suff w:val="tab"/>
      <w:lvlText w:val="%9."/>
      <w:lvlJc w:val="right"/>
      <w:pPr>
        <w:pStyle w:val="928"/>
        <w:ind w:left="3780" w:hanging="420"/>
        <w:tabs>
          <w:tab w:val="num" w:pos="3780" w:leader="none"/>
        </w:tabs>
      </w:pPr>
    </w:lvl>
  </w:abstractNum>
  <w:abstractNum w:abstractNumId="20">
    <w:multiLevelType w:val="hybridMultilevel"/>
    <w:lvl w:ilvl="0">
      <w:start w:val="1"/>
      <w:numFmt w:val="decimal"/>
      <w:isLgl w:val="false"/>
      <w:suff w:val="space"/>
      <w:lvlText w:val="%1."/>
      <w:lvlJc w:val="left"/>
      <w:pPr>
        <w:pStyle w:val="928"/>
        <w:ind w:left="0" w:firstLine="0"/>
      </w:pPr>
      <w:rPr>
        <w:rFonts w:ascii="Times New Roman" w:hAnsi="Times New Roman" w:cs="Times New Roman"/>
      </w:rPr>
    </w:lvl>
    <w:lvl w:ilvl="1">
      <w:start w:val="1"/>
      <w:numFmt w:val="decimal"/>
      <w:isLgl w:val="false"/>
      <w:suff w:val="space"/>
      <w:lvlText w:val="%1.%2"/>
      <w:lvlJc w:val="left"/>
      <w:pPr>
        <w:pStyle w:val="928"/>
        <w:ind w:left="0" w:firstLine="113"/>
      </w:pPr>
      <w:rPr>
        <w:rFonts w:ascii="Times New Roman" w:hAnsi="Times New Roman" w:cs="Times New Roman"/>
        <w:b/>
        <w:bCs/>
      </w:rPr>
    </w:lvl>
    <w:lvl w:ilvl="2">
      <w:start w:val="1"/>
      <w:numFmt w:val="decimal"/>
      <w:isLgl w:val="false"/>
      <w:suff w:val="space"/>
      <w:lvlText w:val="%1.%2.%3"/>
      <w:lvlJc w:val="left"/>
      <w:pPr>
        <w:pStyle w:val="928"/>
        <w:ind w:left="0" w:firstLine="170"/>
      </w:pPr>
      <w:rPr>
        <w:rFonts w:hint="eastAsia" w:ascii="宋体" w:hAnsi="宋体" w:eastAsia="宋体"/>
      </w:rPr>
    </w:lvl>
    <w:lvl w:ilvl="3">
      <w:start w:val="1"/>
      <w:numFmt w:val="decimal"/>
      <w:isLgl w:val="false"/>
      <w:suff w:val="space"/>
      <w:lvlText w:val="%1.%2.%3.%4"/>
      <w:lvlJc w:val="left"/>
      <w:pPr>
        <w:pStyle w:val="928"/>
        <w:ind w:left="0" w:firstLine="227"/>
      </w:pPr>
      <w:rPr>
        <w:rFonts w:hint="eastAsia" w:ascii="宋体" w:hAnsi="宋体" w:eastAsia="宋体"/>
      </w:rPr>
    </w:lvl>
    <w:lvl w:ilvl="4">
      <w:start w:val="1"/>
      <w:numFmt w:val="decimal"/>
      <w:isLgl w:val="false"/>
      <w:suff w:val="tab"/>
      <w:lvlText w:val="%1.%2.%3.%4.%5"/>
      <w:lvlJc w:val="left"/>
      <w:pPr>
        <w:pStyle w:val="928"/>
        <w:ind w:left="2551" w:hanging="850"/>
      </w:pPr>
      <w:rPr>
        <w:rFonts w:hint="eastAsia" w:ascii="宋体" w:hAnsi="宋体" w:eastAsia="宋体"/>
      </w:rPr>
    </w:lvl>
    <w:lvl w:ilvl="5">
      <w:start w:val="1"/>
      <w:numFmt w:val="decimal"/>
      <w:isLgl w:val="false"/>
      <w:suff w:val="tab"/>
      <w:lvlText w:val="%1.%2.%3.%4.%5.%6"/>
      <w:lvlJc w:val="left"/>
      <w:pPr>
        <w:pStyle w:val="928"/>
        <w:ind w:left="3260" w:hanging="1134"/>
      </w:pPr>
      <w:rPr>
        <w:rFonts w:hint="eastAsia" w:ascii="宋体" w:hAnsi="宋体" w:eastAsia="宋体"/>
      </w:rPr>
    </w:lvl>
    <w:lvl w:ilvl="6">
      <w:start w:val="1"/>
      <w:numFmt w:val="decimal"/>
      <w:isLgl w:val="false"/>
      <w:suff w:val="tab"/>
      <w:lvlText w:val="%1.%2.%3.%4.%5.%6.%7"/>
      <w:lvlJc w:val="left"/>
      <w:pPr>
        <w:pStyle w:val="928"/>
        <w:ind w:left="3827" w:hanging="1276"/>
      </w:pPr>
      <w:rPr>
        <w:rFonts w:hint="eastAsia" w:ascii="宋体" w:hAnsi="宋体" w:eastAsia="宋体"/>
      </w:rPr>
    </w:lvl>
    <w:lvl w:ilvl="7">
      <w:start w:val="1"/>
      <w:numFmt w:val="decimal"/>
      <w:isLgl w:val="false"/>
      <w:suff w:val="tab"/>
      <w:lvlText w:val="%1.%2.%3.%4.%5.%6.%7.%8"/>
      <w:lvlJc w:val="left"/>
      <w:pPr>
        <w:pStyle w:val="928"/>
        <w:ind w:left="4394" w:hanging="1418"/>
      </w:pPr>
      <w:rPr>
        <w:rFonts w:hint="eastAsia" w:ascii="宋体" w:hAnsi="宋体" w:eastAsia="宋体"/>
      </w:rPr>
    </w:lvl>
    <w:lvl w:ilvl="8">
      <w:start w:val="1"/>
      <w:numFmt w:val="decimal"/>
      <w:isLgl w:val="false"/>
      <w:suff w:val="tab"/>
      <w:lvlText w:val="%1.%2.%3.%4.%5.%6.%7.%8.%9"/>
      <w:lvlJc w:val="left"/>
      <w:pPr>
        <w:pStyle w:val="928"/>
        <w:ind w:left="5102" w:hanging="1700"/>
      </w:pPr>
      <w:rPr>
        <w:rFonts w:hint="eastAsia" w:ascii="宋体" w:hAnsi="宋体" w:eastAsia="宋体"/>
      </w:rPr>
    </w:lvl>
  </w:abstractNum>
  <w:abstractNum w:abstractNumId="21">
    <w:multiLevelType w:val="hybridMultilevel"/>
    <w:lvl w:ilvl="0">
      <w:start w:val="1"/>
      <w:numFmt w:val="decimal"/>
      <w:isLgl w:val="false"/>
      <w:suff w:val="tab"/>
      <w:lvlText w:val="%1."/>
      <w:lvlJc w:val="left"/>
      <w:pPr>
        <w:pStyle w:val="928"/>
        <w:ind w:left="440" w:hanging="440"/>
        <w:tabs>
          <w:tab w:val="num" w:pos="440" w:leader="none"/>
        </w:tabs>
      </w:pPr>
      <w:rPr>
        <w:rFonts w:ascii="Times New Roman" w:hAnsi="Times New Roman" w:cs="Times New Roman"/>
      </w:rPr>
    </w:lvl>
    <w:lvl w:ilvl="1">
      <w:start w:val="1"/>
      <w:numFmt w:val="lowerLetter"/>
      <w:isLgl w:val="false"/>
      <w:suff w:val="tab"/>
      <w:lvlText w:val="%2."/>
      <w:lvlJc w:val="left"/>
      <w:pPr>
        <w:pStyle w:val="928"/>
        <w:ind w:left="880" w:hanging="440"/>
        <w:tabs>
          <w:tab w:val="num" w:pos="880" w:leader="none"/>
        </w:tabs>
      </w:pPr>
      <w:rPr>
        <w:rFonts w:ascii="Times New Roman" w:hAnsi="Times New Roman" w:cs="Times New Roman"/>
      </w:rPr>
    </w:lvl>
    <w:lvl w:ilvl="2">
      <w:start w:val="1"/>
      <w:numFmt w:val="lowerRoman"/>
      <w:isLgl w:val="false"/>
      <w:suff w:val="tab"/>
      <w:lvlText w:val="%3."/>
      <w:lvlJc w:val="left"/>
      <w:pPr>
        <w:pStyle w:val="928"/>
        <w:ind w:left="1320" w:hanging="440"/>
        <w:tabs>
          <w:tab w:val="num" w:pos="1320" w:leader="none"/>
        </w:tabs>
      </w:pPr>
      <w:rPr>
        <w:rFonts w:ascii="Times New Roman" w:hAnsi="Times New Roman" w:cs="Times New Roman"/>
      </w:rPr>
    </w:lvl>
    <w:lvl w:ilvl="3">
      <w:start w:val="1"/>
      <w:numFmt w:val="decimal"/>
      <w:isLgl w:val="false"/>
      <w:suff w:val="tab"/>
      <w:lvlText w:val="%4."/>
      <w:lvlJc w:val="left"/>
      <w:pPr>
        <w:pStyle w:val="928"/>
        <w:ind w:left="1760" w:hanging="440"/>
        <w:tabs>
          <w:tab w:val="num" w:pos="1760" w:leader="none"/>
        </w:tabs>
      </w:pPr>
      <w:rPr>
        <w:rFonts w:ascii="Times New Roman" w:hAnsi="Times New Roman" w:cs="Times New Roman"/>
      </w:rPr>
    </w:lvl>
    <w:lvl w:ilvl="4">
      <w:start w:val="1"/>
      <w:numFmt w:val="lowerLetter"/>
      <w:isLgl w:val="false"/>
      <w:suff w:val="tab"/>
      <w:lvlText w:val="%5."/>
      <w:lvlJc w:val="left"/>
      <w:pPr>
        <w:pStyle w:val="928"/>
        <w:ind w:left="2200" w:hanging="440"/>
        <w:tabs>
          <w:tab w:val="num" w:pos="2200" w:leader="none"/>
        </w:tabs>
      </w:pPr>
      <w:rPr>
        <w:rFonts w:ascii="Times New Roman" w:hAnsi="Times New Roman" w:cs="Times New Roman"/>
      </w:rPr>
    </w:lvl>
    <w:lvl w:ilvl="5">
      <w:start w:val="1"/>
      <w:numFmt w:val="lowerRoman"/>
      <w:isLgl w:val="false"/>
      <w:suff w:val="tab"/>
      <w:lvlText w:val="%6."/>
      <w:lvlJc w:val="left"/>
      <w:pPr>
        <w:pStyle w:val="928"/>
        <w:ind w:left="2640" w:hanging="440"/>
        <w:tabs>
          <w:tab w:val="num" w:pos="2640" w:leader="none"/>
        </w:tabs>
      </w:pPr>
      <w:rPr>
        <w:rFonts w:ascii="Times New Roman" w:hAnsi="Times New Roman" w:cs="Times New Roman"/>
      </w:rPr>
    </w:lvl>
    <w:lvl w:ilvl="6">
      <w:start w:val="1"/>
      <w:numFmt w:val="decimal"/>
      <w:isLgl w:val="false"/>
      <w:suff w:val="tab"/>
      <w:lvlText w:val="%7."/>
      <w:lvlJc w:val="left"/>
      <w:pPr>
        <w:pStyle w:val="928"/>
        <w:ind w:left="3080" w:hanging="440"/>
        <w:tabs>
          <w:tab w:val="num" w:pos="3080" w:leader="none"/>
        </w:tabs>
      </w:pPr>
      <w:rPr>
        <w:rFonts w:ascii="Times New Roman" w:hAnsi="Times New Roman" w:cs="Times New Roman"/>
      </w:rPr>
    </w:lvl>
    <w:lvl w:ilvl="7">
      <w:start w:val="1"/>
      <w:numFmt w:val="lowerLetter"/>
      <w:isLgl w:val="false"/>
      <w:suff w:val="tab"/>
      <w:lvlText w:val="%8."/>
      <w:lvlJc w:val="left"/>
      <w:pPr>
        <w:pStyle w:val="928"/>
        <w:ind w:left="3520" w:hanging="440"/>
        <w:tabs>
          <w:tab w:val="num" w:pos="3520" w:leader="none"/>
        </w:tabs>
      </w:pPr>
      <w:rPr>
        <w:rFonts w:ascii="Times New Roman" w:hAnsi="Times New Roman" w:cs="Times New Roman"/>
      </w:rPr>
    </w:lvl>
    <w:lvl w:ilvl="8">
      <w:start w:val="1"/>
      <w:numFmt w:val="lowerRoman"/>
      <w:isLgl w:val="false"/>
      <w:suff w:val="tab"/>
      <w:lvlText w:val="%9."/>
      <w:lvlJc w:val="left"/>
      <w:pPr>
        <w:pStyle w:val="928"/>
        <w:ind w:left="3960" w:hanging="440"/>
        <w:tabs>
          <w:tab w:val="num" w:pos="3960" w:leader="none"/>
        </w:tabs>
      </w:pPr>
      <w:rPr>
        <w:rFonts w:ascii="Times New Roman" w:hAnsi="Times New Roman" w:cs="Times New Roman"/>
      </w:rPr>
    </w:lvl>
  </w:abstractNum>
  <w:abstractNum w:abstractNumId="22">
    <w:multiLevelType w:val="hybridMultilevel"/>
    <w:lvl w:ilvl="0">
      <w:start w:val="1"/>
      <w:numFmt w:val="decimal"/>
      <w:isLgl w:val="false"/>
      <w:suff w:val="tab"/>
      <w:lvlText w:val="%1."/>
      <w:lvlJc w:val="left"/>
      <w:pPr>
        <w:pStyle w:val="928"/>
        <w:ind w:left="420" w:hanging="420"/>
        <w:tabs>
          <w:tab w:val="num" w:pos="420" w:leader="none"/>
        </w:tabs>
      </w:pPr>
      <w:rPr>
        <w:rFonts w:ascii="Times New Roman" w:hAnsi="Times New Roman" w:cs="Times New Roman"/>
      </w:rPr>
    </w:lvl>
    <w:lvl w:ilvl="1">
      <w:start w:val="1"/>
      <w:numFmt w:val="lowerLetter"/>
      <w:isLgl w:val="false"/>
      <w:suff w:val="tab"/>
      <w:lvlText w:val="%2)"/>
      <w:lvlJc w:val="left"/>
      <w:pPr>
        <w:pStyle w:val="928"/>
        <w:ind w:left="840" w:hanging="420"/>
        <w:tabs>
          <w:tab w:val="num" w:pos="840" w:leader="none"/>
        </w:tabs>
      </w:pPr>
      <w:rPr>
        <w:rFonts w:ascii="Times New Roman" w:hAnsi="Times New Roman" w:cs="Times New Roman"/>
      </w:rPr>
    </w:lvl>
    <w:lvl w:ilvl="2">
      <w:start w:val="1"/>
      <w:numFmt w:val="lowerRoman"/>
      <w:isLgl w:val="false"/>
      <w:suff w:val="tab"/>
      <w:lvlText w:val="%3."/>
      <w:lvlJc w:val="right"/>
      <w:pPr>
        <w:pStyle w:val="928"/>
        <w:ind w:left="1260" w:hanging="420"/>
        <w:tabs>
          <w:tab w:val="num" w:pos="1260" w:leader="none"/>
        </w:tabs>
      </w:pPr>
      <w:rPr>
        <w:rFonts w:ascii="Times New Roman" w:hAnsi="Times New Roman" w:cs="Times New Roman"/>
      </w:rPr>
    </w:lvl>
    <w:lvl w:ilvl="3">
      <w:start w:val="1"/>
      <w:numFmt w:val="decimal"/>
      <w:isLgl w:val="false"/>
      <w:suff w:val="tab"/>
      <w:lvlText w:val="%4."/>
      <w:lvlJc w:val="left"/>
      <w:pPr>
        <w:pStyle w:val="928"/>
        <w:ind w:left="1680" w:hanging="420"/>
        <w:tabs>
          <w:tab w:val="num" w:pos="1680" w:leader="none"/>
        </w:tabs>
      </w:pPr>
      <w:rPr>
        <w:rFonts w:ascii="Times New Roman" w:hAnsi="Times New Roman" w:cs="Times New Roman"/>
      </w:rPr>
    </w:lvl>
    <w:lvl w:ilvl="4">
      <w:start w:val="1"/>
      <w:numFmt w:val="lowerLetter"/>
      <w:isLgl w:val="false"/>
      <w:suff w:val="tab"/>
      <w:lvlText w:val="%5)"/>
      <w:lvlJc w:val="left"/>
      <w:pPr>
        <w:pStyle w:val="928"/>
        <w:ind w:left="2100" w:hanging="420"/>
        <w:tabs>
          <w:tab w:val="num" w:pos="2100" w:leader="none"/>
        </w:tabs>
      </w:pPr>
      <w:rPr>
        <w:rFonts w:ascii="Times New Roman" w:hAnsi="Times New Roman" w:cs="Times New Roman"/>
      </w:rPr>
    </w:lvl>
    <w:lvl w:ilvl="5">
      <w:start w:val="1"/>
      <w:numFmt w:val="lowerRoman"/>
      <w:isLgl w:val="false"/>
      <w:suff w:val="tab"/>
      <w:lvlText w:val="%6."/>
      <w:lvlJc w:val="right"/>
      <w:pPr>
        <w:pStyle w:val="928"/>
        <w:ind w:left="2520" w:hanging="420"/>
        <w:tabs>
          <w:tab w:val="num" w:pos="2520" w:leader="none"/>
        </w:tabs>
      </w:pPr>
      <w:rPr>
        <w:rFonts w:ascii="Times New Roman" w:hAnsi="Times New Roman" w:cs="Times New Roman"/>
      </w:rPr>
    </w:lvl>
    <w:lvl w:ilvl="6">
      <w:start w:val="1"/>
      <w:numFmt w:val="decimal"/>
      <w:isLgl w:val="false"/>
      <w:suff w:val="tab"/>
      <w:lvlText w:val="%7."/>
      <w:lvlJc w:val="left"/>
      <w:pPr>
        <w:pStyle w:val="928"/>
        <w:ind w:left="2940" w:hanging="420"/>
        <w:tabs>
          <w:tab w:val="num" w:pos="2940" w:leader="none"/>
        </w:tabs>
      </w:pPr>
      <w:rPr>
        <w:rFonts w:ascii="Times New Roman" w:hAnsi="Times New Roman" w:cs="Times New Roman"/>
      </w:rPr>
    </w:lvl>
    <w:lvl w:ilvl="7">
      <w:start w:val="1"/>
      <w:numFmt w:val="lowerLetter"/>
      <w:isLgl w:val="false"/>
      <w:suff w:val="tab"/>
      <w:lvlText w:val="%8)"/>
      <w:lvlJc w:val="left"/>
      <w:pPr>
        <w:pStyle w:val="928"/>
        <w:ind w:left="3360" w:hanging="420"/>
        <w:tabs>
          <w:tab w:val="num" w:pos="3360" w:leader="none"/>
        </w:tabs>
      </w:pPr>
      <w:rPr>
        <w:rFonts w:ascii="Times New Roman" w:hAnsi="Times New Roman" w:cs="Times New Roman"/>
      </w:rPr>
    </w:lvl>
    <w:lvl w:ilvl="8">
      <w:start w:val="1"/>
      <w:numFmt w:val="lowerRoman"/>
      <w:isLgl w:val="false"/>
      <w:suff w:val="tab"/>
      <w:lvlText w:val="%9."/>
      <w:lvlJc w:val="right"/>
      <w:pPr>
        <w:pStyle w:val="928"/>
        <w:ind w:left="3780" w:hanging="420"/>
        <w:tabs>
          <w:tab w:val="num" w:pos="3780" w:leader="none"/>
        </w:tabs>
      </w:pPr>
      <w:rPr>
        <w:rFonts w:ascii="Times New Roman" w:hAnsi="Times New Roman" w:cs="Times New Roman"/>
      </w:rPr>
    </w:lvl>
  </w:abstractNum>
  <w:abstractNum w:abstractNumId="23">
    <w:multiLevelType w:val="hybridMultilevel"/>
    <w:lvl w:ilvl="0">
      <w:start w:val="1"/>
      <w:numFmt w:val="decimal"/>
      <w:isLgl w:val="false"/>
      <w:suff w:val="tab"/>
      <w:lvlText w:val="%1."/>
      <w:lvlJc w:val="left"/>
      <w:pPr>
        <w:pStyle w:val="928"/>
        <w:ind w:left="440" w:hanging="440"/>
        <w:tabs>
          <w:tab w:val="num" w:pos="440" w:leader="none"/>
        </w:tabs>
      </w:pPr>
      <w:rPr>
        <w:rFonts w:ascii="Times New Roman" w:hAnsi="Times New Roman" w:cs="Times New Roman"/>
      </w:rPr>
    </w:lvl>
    <w:lvl w:ilvl="1">
      <w:start w:val="1"/>
      <w:numFmt w:val="lowerLetter"/>
      <w:isLgl w:val="false"/>
      <w:suff w:val="tab"/>
      <w:lvlText w:val="%2."/>
      <w:lvlJc w:val="left"/>
      <w:pPr>
        <w:pStyle w:val="928"/>
        <w:ind w:left="880" w:hanging="440"/>
        <w:tabs>
          <w:tab w:val="num" w:pos="880" w:leader="none"/>
        </w:tabs>
      </w:pPr>
      <w:rPr>
        <w:rFonts w:ascii="Times New Roman" w:hAnsi="Times New Roman" w:cs="Times New Roman"/>
      </w:rPr>
    </w:lvl>
    <w:lvl w:ilvl="2">
      <w:start w:val="1"/>
      <w:numFmt w:val="lowerRoman"/>
      <w:isLgl w:val="false"/>
      <w:suff w:val="tab"/>
      <w:lvlText w:val="%3."/>
      <w:lvlJc w:val="left"/>
      <w:pPr>
        <w:pStyle w:val="928"/>
        <w:ind w:left="1320" w:hanging="440"/>
        <w:tabs>
          <w:tab w:val="num" w:pos="1320" w:leader="none"/>
        </w:tabs>
      </w:pPr>
      <w:rPr>
        <w:rFonts w:ascii="Times New Roman" w:hAnsi="Times New Roman" w:cs="Times New Roman"/>
      </w:rPr>
    </w:lvl>
    <w:lvl w:ilvl="3">
      <w:start w:val="1"/>
      <w:numFmt w:val="decimal"/>
      <w:isLgl w:val="false"/>
      <w:suff w:val="tab"/>
      <w:lvlText w:val="%4."/>
      <w:lvlJc w:val="left"/>
      <w:pPr>
        <w:pStyle w:val="928"/>
        <w:ind w:left="1760" w:hanging="440"/>
        <w:tabs>
          <w:tab w:val="num" w:pos="1760" w:leader="none"/>
        </w:tabs>
      </w:pPr>
      <w:rPr>
        <w:rFonts w:ascii="Times New Roman" w:hAnsi="Times New Roman" w:cs="Times New Roman"/>
      </w:rPr>
    </w:lvl>
    <w:lvl w:ilvl="4">
      <w:start w:val="1"/>
      <w:numFmt w:val="lowerLetter"/>
      <w:isLgl w:val="false"/>
      <w:suff w:val="tab"/>
      <w:lvlText w:val="%5."/>
      <w:lvlJc w:val="left"/>
      <w:pPr>
        <w:pStyle w:val="928"/>
        <w:ind w:left="2200" w:hanging="440"/>
        <w:tabs>
          <w:tab w:val="num" w:pos="2200" w:leader="none"/>
        </w:tabs>
      </w:pPr>
      <w:rPr>
        <w:rFonts w:ascii="Times New Roman" w:hAnsi="Times New Roman" w:cs="Times New Roman"/>
      </w:rPr>
    </w:lvl>
    <w:lvl w:ilvl="5">
      <w:start w:val="1"/>
      <w:numFmt w:val="lowerRoman"/>
      <w:isLgl w:val="false"/>
      <w:suff w:val="tab"/>
      <w:lvlText w:val="%6."/>
      <w:lvlJc w:val="left"/>
      <w:pPr>
        <w:pStyle w:val="928"/>
        <w:ind w:left="2640" w:hanging="440"/>
        <w:tabs>
          <w:tab w:val="num" w:pos="2640" w:leader="none"/>
        </w:tabs>
      </w:pPr>
      <w:rPr>
        <w:rFonts w:ascii="Times New Roman" w:hAnsi="Times New Roman" w:cs="Times New Roman"/>
      </w:rPr>
    </w:lvl>
    <w:lvl w:ilvl="6">
      <w:start w:val="1"/>
      <w:numFmt w:val="decimal"/>
      <w:isLgl w:val="false"/>
      <w:suff w:val="tab"/>
      <w:lvlText w:val="%7."/>
      <w:lvlJc w:val="left"/>
      <w:pPr>
        <w:pStyle w:val="928"/>
        <w:ind w:left="3080" w:hanging="440"/>
        <w:tabs>
          <w:tab w:val="num" w:pos="3080" w:leader="none"/>
        </w:tabs>
      </w:pPr>
      <w:rPr>
        <w:rFonts w:ascii="Times New Roman" w:hAnsi="Times New Roman" w:cs="Times New Roman"/>
      </w:rPr>
    </w:lvl>
    <w:lvl w:ilvl="7">
      <w:start w:val="1"/>
      <w:numFmt w:val="lowerLetter"/>
      <w:isLgl w:val="false"/>
      <w:suff w:val="tab"/>
      <w:lvlText w:val="%8."/>
      <w:lvlJc w:val="left"/>
      <w:pPr>
        <w:pStyle w:val="928"/>
        <w:ind w:left="3520" w:hanging="440"/>
        <w:tabs>
          <w:tab w:val="num" w:pos="3520" w:leader="none"/>
        </w:tabs>
      </w:pPr>
      <w:rPr>
        <w:rFonts w:ascii="Times New Roman" w:hAnsi="Times New Roman" w:cs="Times New Roman"/>
      </w:rPr>
    </w:lvl>
    <w:lvl w:ilvl="8">
      <w:start w:val="1"/>
      <w:numFmt w:val="lowerRoman"/>
      <w:isLgl w:val="false"/>
      <w:suff w:val="tab"/>
      <w:lvlText w:val="%9."/>
      <w:lvlJc w:val="left"/>
      <w:pPr>
        <w:pStyle w:val="928"/>
        <w:ind w:left="3960" w:hanging="440"/>
        <w:tabs>
          <w:tab w:val="num" w:pos="3960" w:leader="none"/>
        </w:tabs>
      </w:pPr>
      <w:rPr>
        <w:rFonts w:ascii="Times New Roman" w:hAnsi="Times New Roman" w:cs="Times New Roman"/>
      </w:rPr>
    </w:lvl>
  </w:abstractNum>
  <w:abstractNum w:abstractNumId="24">
    <w:multiLevelType w:val="hybridMultilevel"/>
    <w:lvl w:ilvl="0">
      <w:start w:val="1"/>
      <w:numFmt w:val="decimal"/>
      <w:isLgl w:val="false"/>
      <w:suff w:val="tab"/>
      <w:lvlText w:val="%1)"/>
      <w:lvlJc w:val="left"/>
      <w:pPr>
        <w:pStyle w:val="928"/>
        <w:ind w:left="860" w:hanging="440"/>
      </w:pPr>
    </w:lvl>
    <w:lvl w:ilvl="1">
      <w:start w:val="1"/>
      <w:numFmt w:val="lowerLetter"/>
      <w:isLgl w:val="false"/>
      <w:suff w:val="tab"/>
      <w:lvlText w:val="%2)"/>
      <w:lvlJc w:val="left"/>
      <w:pPr>
        <w:pStyle w:val="928"/>
        <w:ind w:left="1300" w:hanging="440"/>
      </w:pPr>
    </w:lvl>
    <w:lvl w:ilvl="2">
      <w:start w:val="1"/>
      <w:numFmt w:val="lowerRoman"/>
      <w:isLgl w:val="false"/>
      <w:suff w:val="tab"/>
      <w:lvlText w:val="%3."/>
      <w:lvlJc w:val="right"/>
      <w:pPr>
        <w:pStyle w:val="928"/>
        <w:ind w:left="1740" w:hanging="440"/>
      </w:pPr>
    </w:lvl>
    <w:lvl w:ilvl="3">
      <w:start w:val="1"/>
      <w:numFmt w:val="decimal"/>
      <w:isLgl w:val="false"/>
      <w:suff w:val="tab"/>
      <w:lvlText w:val="%4."/>
      <w:lvlJc w:val="left"/>
      <w:pPr>
        <w:pStyle w:val="928"/>
        <w:ind w:left="2180" w:hanging="440"/>
      </w:pPr>
    </w:lvl>
    <w:lvl w:ilvl="4">
      <w:start w:val="1"/>
      <w:numFmt w:val="lowerLetter"/>
      <w:isLgl w:val="false"/>
      <w:suff w:val="tab"/>
      <w:lvlText w:val="%5)"/>
      <w:lvlJc w:val="left"/>
      <w:pPr>
        <w:pStyle w:val="928"/>
        <w:ind w:left="2620" w:hanging="440"/>
      </w:pPr>
    </w:lvl>
    <w:lvl w:ilvl="5">
      <w:start w:val="1"/>
      <w:numFmt w:val="lowerRoman"/>
      <w:isLgl w:val="false"/>
      <w:suff w:val="tab"/>
      <w:lvlText w:val="%6."/>
      <w:lvlJc w:val="right"/>
      <w:pPr>
        <w:pStyle w:val="928"/>
        <w:ind w:left="3060" w:hanging="440"/>
      </w:pPr>
    </w:lvl>
    <w:lvl w:ilvl="6">
      <w:start w:val="1"/>
      <w:numFmt w:val="decimal"/>
      <w:isLgl w:val="false"/>
      <w:suff w:val="tab"/>
      <w:lvlText w:val="%7."/>
      <w:lvlJc w:val="left"/>
      <w:pPr>
        <w:pStyle w:val="928"/>
        <w:ind w:left="3500" w:hanging="440"/>
      </w:pPr>
    </w:lvl>
    <w:lvl w:ilvl="7">
      <w:start w:val="1"/>
      <w:numFmt w:val="lowerLetter"/>
      <w:isLgl w:val="false"/>
      <w:suff w:val="tab"/>
      <w:lvlText w:val="%8)"/>
      <w:lvlJc w:val="left"/>
      <w:pPr>
        <w:pStyle w:val="928"/>
        <w:ind w:left="3940" w:hanging="440"/>
      </w:pPr>
    </w:lvl>
    <w:lvl w:ilvl="8">
      <w:start w:val="1"/>
      <w:numFmt w:val="lowerRoman"/>
      <w:isLgl w:val="false"/>
      <w:suff w:val="tab"/>
      <w:lvlText w:val="%9."/>
      <w:lvlJc w:val="right"/>
      <w:pPr>
        <w:pStyle w:val="928"/>
        <w:ind w:left="4380" w:hanging="440"/>
      </w:pPr>
    </w:lvl>
  </w:abstractNum>
  <w:abstractNum w:abstractNumId="25">
    <w:multiLevelType w:val="hybridMultilevel"/>
    <w:lvl w:ilvl="0">
      <w:start w:val="1"/>
      <w:numFmt w:val="decimal"/>
      <w:isLgl w:val="false"/>
      <w:suff w:val="tab"/>
      <w:lvlText w:val="%1)"/>
      <w:lvlJc w:val="left"/>
      <w:pPr>
        <w:pStyle w:val="928"/>
        <w:ind w:left="420" w:hanging="420"/>
      </w:pPr>
      <w:rPr>
        <w:rFonts w:ascii="Times New Roman" w:hAnsi="Times New Roman" w:cs="Times New Roman"/>
      </w:rPr>
    </w:lvl>
    <w:lvl w:ilvl="1">
      <w:start w:val="1"/>
      <w:numFmt w:val="lowerLetter"/>
      <w:isLgl w:val="false"/>
      <w:suff w:val="tab"/>
      <w:lvlText w:val="%2)"/>
      <w:lvlJc w:val="left"/>
      <w:pPr>
        <w:pStyle w:val="928"/>
        <w:ind w:left="840" w:hanging="420"/>
      </w:pPr>
      <w:rPr>
        <w:rFonts w:ascii="Times New Roman" w:hAnsi="Times New Roman" w:cs="Times New Roman"/>
      </w:rPr>
    </w:lvl>
    <w:lvl w:ilvl="2">
      <w:start w:val="1"/>
      <w:numFmt w:val="lowerRoman"/>
      <w:isLgl w:val="false"/>
      <w:suff w:val="tab"/>
      <w:lvlText w:val="%3."/>
      <w:lvlJc w:val="right"/>
      <w:pPr>
        <w:pStyle w:val="928"/>
        <w:ind w:left="1260" w:hanging="420"/>
      </w:pPr>
      <w:rPr>
        <w:rFonts w:ascii="Times New Roman" w:hAnsi="Times New Roman" w:cs="Times New Roman"/>
      </w:rPr>
    </w:lvl>
    <w:lvl w:ilvl="3">
      <w:start w:val="1"/>
      <w:numFmt w:val="decimal"/>
      <w:isLgl w:val="false"/>
      <w:suff w:val="tab"/>
      <w:lvlText w:val="%4."/>
      <w:lvlJc w:val="left"/>
      <w:pPr>
        <w:pStyle w:val="928"/>
        <w:ind w:left="1680" w:hanging="420"/>
      </w:pPr>
      <w:rPr>
        <w:rFonts w:ascii="Times New Roman" w:hAnsi="Times New Roman" w:cs="Times New Roman"/>
      </w:rPr>
    </w:lvl>
    <w:lvl w:ilvl="4">
      <w:start w:val="1"/>
      <w:numFmt w:val="lowerLetter"/>
      <w:isLgl w:val="false"/>
      <w:suff w:val="tab"/>
      <w:lvlText w:val="%5)"/>
      <w:lvlJc w:val="left"/>
      <w:pPr>
        <w:pStyle w:val="928"/>
        <w:ind w:left="2100" w:hanging="420"/>
      </w:pPr>
      <w:rPr>
        <w:rFonts w:ascii="Times New Roman" w:hAnsi="Times New Roman" w:cs="Times New Roman"/>
      </w:rPr>
    </w:lvl>
    <w:lvl w:ilvl="5">
      <w:start w:val="1"/>
      <w:numFmt w:val="lowerRoman"/>
      <w:isLgl w:val="false"/>
      <w:suff w:val="tab"/>
      <w:lvlText w:val="%6."/>
      <w:lvlJc w:val="right"/>
      <w:pPr>
        <w:pStyle w:val="928"/>
        <w:ind w:left="2520" w:hanging="420"/>
      </w:pPr>
      <w:rPr>
        <w:rFonts w:ascii="Times New Roman" w:hAnsi="Times New Roman" w:cs="Times New Roman"/>
      </w:rPr>
    </w:lvl>
    <w:lvl w:ilvl="6">
      <w:start w:val="1"/>
      <w:numFmt w:val="decimal"/>
      <w:isLgl w:val="false"/>
      <w:suff w:val="tab"/>
      <w:lvlText w:val="%7."/>
      <w:lvlJc w:val="left"/>
      <w:pPr>
        <w:pStyle w:val="928"/>
        <w:ind w:left="2940" w:hanging="420"/>
      </w:pPr>
      <w:rPr>
        <w:rFonts w:ascii="Times New Roman" w:hAnsi="Times New Roman" w:cs="Times New Roman"/>
      </w:rPr>
    </w:lvl>
    <w:lvl w:ilvl="7">
      <w:start w:val="1"/>
      <w:numFmt w:val="lowerLetter"/>
      <w:isLgl w:val="false"/>
      <w:suff w:val="tab"/>
      <w:lvlText w:val="%8)"/>
      <w:lvlJc w:val="left"/>
      <w:pPr>
        <w:pStyle w:val="928"/>
        <w:ind w:left="3360" w:hanging="420"/>
      </w:pPr>
      <w:rPr>
        <w:rFonts w:ascii="Times New Roman" w:hAnsi="Times New Roman" w:cs="Times New Roman"/>
      </w:rPr>
    </w:lvl>
    <w:lvl w:ilvl="8">
      <w:start w:val="1"/>
      <w:numFmt w:val="lowerRoman"/>
      <w:isLgl w:val="false"/>
      <w:suff w:val="tab"/>
      <w:lvlText w:val="%9."/>
      <w:lvlJc w:val="right"/>
      <w:pPr>
        <w:pStyle w:val="928"/>
        <w:ind w:left="3780" w:hanging="420"/>
      </w:pPr>
      <w:rPr>
        <w:rFonts w:ascii="Times New Roman" w:hAnsi="Times New Roman" w:cs="Times New Roman"/>
      </w:rPr>
    </w:lvl>
  </w:abstractNum>
  <w:abstractNum w:abstractNumId="26">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30.%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27">
    <w:multiLevelType w:val="hybridMultilevel"/>
    <w:lvl w:ilvl="0">
      <w:start w:val="3"/>
      <w:numFmt w:val="decimal"/>
      <w:pStyle w:val="1235"/>
      <w:isLgl w:val="false"/>
      <w:suff w:val="tab"/>
      <w:lvlText w:val="%1."/>
      <w:lvlJc w:val="left"/>
      <w:pPr>
        <w:pStyle w:val="928"/>
        <w:ind w:left="709" w:hanging="425"/>
        <w:tabs>
          <w:tab w:val="num" w:pos="709" w:leader="none"/>
        </w:tabs>
      </w:pPr>
      <w:rPr>
        <w:rFonts w:hint="eastAsia"/>
        <w:b/>
      </w:rPr>
    </w:lvl>
    <w:lvl w:ilvl="1">
      <w:start w:val="1"/>
      <w:numFmt w:val="decimal"/>
      <w:isLgl w:val="false"/>
      <w:suff w:val="tab"/>
      <w:lvlText w:val="%1.%2"/>
      <w:lvlJc w:val="left"/>
      <w:pPr>
        <w:pStyle w:val="928"/>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928"/>
        <w:ind w:left="709" w:hanging="709"/>
        <w:tabs>
          <w:tab w:val="num" w:pos="709"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28">
    <w:multiLevelType w:val="hybridMultilevel"/>
    <w:lvl w:ilvl="0">
      <w:start w:val="1"/>
      <w:numFmt w:val="decimal"/>
      <w:isLgl w:val="false"/>
      <w:suff w:val="tab"/>
      <w:lvlText w:val="%1."/>
      <w:lvlJc w:val="left"/>
      <w:pPr>
        <w:pStyle w:val="928"/>
        <w:ind w:left="440" w:hanging="440"/>
        <w:tabs>
          <w:tab w:val="num" w:pos="440" w:leader="none"/>
        </w:tabs>
      </w:pPr>
      <w:rPr>
        <w:rFonts w:ascii="Times New Roman" w:hAnsi="Times New Roman" w:cs="Times New Roman"/>
      </w:rPr>
    </w:lvl>
    <w:lvl w:ilvl="1">
      <w:start w:val="1"/>
      <w:numFmt w:val="lowerLetter"/>
      <w:isLgl w:val="false"/>
      <w:suff w:val="tab"/>
      <w:lvlText w:val="%2."/>
      <w:lvlJc w:val="left"/>
      <w:pPr>
        <w:pStyle w:val="928"/>
        <w:ind w:left="880" w:hanging="440"/>
        <w:tabs>
          <w:tab w:val="num" w:pos="880" w:leader="none"/>
        </w:tabs>
      </w:pPr>
      <w:rPr>
        <w:rFonts w:ascii="Times New Roman" w:hAnsi="Times New Roman" w:cs="Times New Roman"/>
      </w:rPr>
    </w:lvl>
    <w:lvl w:ilvl="2">
      <w:start w:val="1"/>
      <w:numFmt w:val="lowerRoman"/>
      <w:isLgl w:val="false"/>
      <w:suff w:val="tab"/>
      <w:lvlText w:val="%3."/>
      <w:lvlJc w:val="left"/>
      <w:pPr>
        <w:pStyle w:val="928"/>
        <w:ind w:left="1320" w:hanging="440"/>
        <w:tabs>
          <w:tab w:val="num" w:pos="1320" w:leader="none"/>
        </w:tabs>
      </w:pPr>
      <w:rPr>
        <w:rFonts w:ascii="Times New Roman" w:hAnsi="Times New Roman" w:cs="Times New Roman"/>
      </w:rPr>
    </w:lvl>
    <w:lvl w:ilvl="3">
      <w:start w:val="1"/>
      <w:numFmt w:val="decimal"/>
      <w:isLgl w:val="false"/>
      <w:suff w:val="tab"/>
      <w:lvlText w:val="%4."/>
      <w:lvlJc w:val="left"/>
      <w:pPr>
        <w:pStyle w:val="928"/>
        <w:ind w:left="1760" w:hanging="440"/>
        <w:tabs>
          <w:tab w:val="num" w:pos="1760" w:leader="none"/>
        </w:tabs>
      </w:pPr>
      <w:rPr>
        <w:rFonts w:ascii="Times New Roman" w:hAnsi="Times New Roman" w:cs="Times New Roman"/>
      </w:rPr>
    </w:lvl>
    <w:lvl w:ilvl="4">
      <w:start w:val="1"/>
      <w:numFmt w:val="lowerLetter"/>
      <w:isLgl w:val="false"/>
      <w:suff w:val="tab"/>
      <w:lvlText w:val="%5."/>
      <w:lvlJc w:val="left"/>
      <w:pPr>
        <w:pStyle w:val="928"/>
        <w:ind w:left="2200" w:hanging="440"/>
        <w:tabs>
          <w:tab w:val="num" w:pos="2200" w:leader="none"/>
        </w:tabs>
      </w:pPr>
      <w:rPr>
        <w:rFonts w:ascii="Times New Roman" w:hAnsi="Times New Roman" w:cs="Times New Roman"/>
      </w:rPr>
    </w:lvl>
    <w:lvl w:ilvl="5">
      <w:start w:val="1"/>
      <w:numFmt w:val="lowerRoman"/>
      <w:isLgl w:val="false"/>
      <w:suff w:val="tab"/>
      <w:lvlText w:val="%6."/>
      <w:lvlJc w:val="left"/>
      <w:pPr>
        <w:pStyle w:val="928"/>
        <w:ind w:left="2640" w:hanging="440"/>
        <w:tabs>
          <w:tab w:val="num" w:pos="2640" w:leader="none"/>
        </w:tabs>
      </w:pPr>
      <w:rPr>
        <w:rFonts w:ascii="Times New Roman" w:hAnsi="Times New Roman" w:cs="Times New Roman"/>
      </w:rPr>
    </w:lvl>
    <w:lvl w:ilvl="6">
      <w:start w:val="1"/>
      <w:numFmt w:val="decimal"/>
      <w:isLgl w:val="false"/>
      <w:suff w:val="tab"/>
      <w:lvlText w:val="%7."/>
      <w:lvlJc w:val="left"/>
      <w:pPr>
        <w:pStyle w:val="928"/>
        <w:ind w:left="3080" w:hanging="440"/>
        <w:tabs>
          <w:tab w:val="num" w:pos="3080" w:leader="none"/>
        </w:tabs>
      </w:pPr>
      <w:rPr>
        <w:rFonts w:ascii="Times New Roman" w:hAnsi="Times New Roman" w:cs="Times New Roman"/>
      </w:rPr>
    </w:lvl>
    <w:lvl w:ilvl="7">
      <w:start w:val="1"/>
      <w:numFmt w:val="lowerLetter"/>
      <w:isLgl w:val="false"/>
      <w:suff w:val="tab"/>
      <w:lvlText w:val="%8."/>
      <w:lvlJc w:val="left"/>
      <w:pPr>
        <w:pStyle w:val="928"/>
        <w:ind w:left="3520" w:hanging="440"/>
        <w:tabs>
          <w:tab w:val="num" w:pos="3520" w:leader="none"/>
        </w:tabs>
      </w:pPr>
      <w:rPr>
        <w:rFonts w:ascii="Times New Roman" w:hAnsi="Times New Roman" w:cs="Times New Roman"/>
      </w:rPr>
    </w:lvl>
    <w:lvl w:ilvl="8">
      <w:start w:val="1"/>
      <w:numFmt w:val="lowerRoman"/>
      <w:isLgl w:val="false"/>
      <w:suff w:val="tab"/>
      <w:lvlText w:val="%9."/>
      <w:lvlJc w:val="left"/>
      <w:pPr>
        <w:pStyle w:val="928"/>
        <w:ind w:left="3960" w:hanging="440"/>
        <w:tabs>
          <w:tab w:val="num" w:pos="3960" w:leader="none"/>
        </w:tabs>
      </w:pPr>
      <w:rPr>
        <w:rFonts w:ascii="Times New Roman" w:hAnsi="Times New Roman" w:cs="Times New Roman"/>
      </w:rPr>
    </w:lvl>
  </w:abstractNum>
  <w:abstractNum w:abstractNumId="29">
    <w:multiLevelType w:val="hybridMultilevel"/>
    <w:lvl w:ilvl="0">
      <w:start w:val="1"/>
      <w:numFmt w:val="japaneseCounting"/>
      <w:pStyle w:val="1449"/>
      <w:isLgl w:val="false"/>
      <w:suff w:val="tab"/>
      <w:lvlText w:val="%1、"/>
      <w:lvlJc w:val="left"/>
      <w:pPr>
        <w:pStyle w:val="928"/>
        <w:ind w:left="510" w:hanging="510"/>
      </w:pPr>
    </w:lvl>
    <w:lvl w:ilvl="1">
      <w:start w:val="1"/>
      <w:numFmt w:val="decimalFullWidth"/>
      <w:isLgl w:val="false"/>
      <w:suff w:val="tab"/>
      <w:lvlText w:val="（%2）"/>
      <w:lvlJc w:val="left"/>
      <w:pPr>
        <w:pStyle w:val="928"/>
        <w:ind w:left="1140" w:hanging="720"/>
      </w:pPr>
    </w:lvl>
    <w:lvl w:ilvl="2">
      <w:start w:val="1"/>
      <w:numFmt w:val="lowerRoman"/>
      <w:isLgl w:val="false"/>
      <w:suff w:val="tab"/>
      <w:lvlText w:val="%3."/>
      <w:lvlJc w:val="right"/>
      <w:pPr>
        <w:pStyle w:val="928"/>
        <w:ind w:left="1260" w:hanging="420"/>
      </w:pPr>
    </w:lvl>
    <w:lvl w:ilvl="3">
      <w:start w:val="1"/>
      <w:numFmt w:val="decimal"/>
      <w:isLgl w:val="false"/>
      <w:suff w:val="tab"/>
      <w:lvlText w:val="%4."/>
      <w:lvlJc w:val="left"/>
      <w:pPr>
        <w:pStyle w:val="928"/>
        <w:ind w:left="1680" w:hanging="420"/>
      </w:pPr>
    </w:lvl>
    <w:lvl w:ilvl="4">
      <w:start w:val="1"/>
      <w:numFmt w:val="lowerLetter"/>
      <w:isLgl w:val="false"/>
      <w:suff w:val="tab"/>
      <w:lvlText w:val="%5)"/>
      <w:lvlJc w:val="left"/>
      <w:pPr>
        <w:pStyle w:val="928"/>
        <w:ind w:left="2100" w:hanging="420"/>
      </w:pPr>
    </w:lvl>
    <w:lvl w:ilvl="5">
      <w:start w:val="1"/>
      <w:numFmt w:val="lowerRoman"/>
      <w:isLgl w:val="false"/>
      <w:suff w:val="tab"/>
      <w:lvlText w:val="%6."/>
      <w:lvlJc w:val="right"/>
      <w:pPr>
        <w:pStyle w:val="928"/>
        <w:ind w:left="2520" w:hanging="420"/>
      </w:pPr>
    </w:lvl>
    <w:lvl w:ilvl="6">
      <w:start w:val="1"/>
      <w:numFmt w:val="decimal"/>
      <w:isLgl w:val="false"/>
      <w:suff w:val="tab"/>
      <w:lvlText w:val="%7."/>
      <w:lvlJc w:val="left"/>
      <w:pPr>
        <w:pStyle w:val="928"/>
        <w:ind w:left="2940" w:hanging="420"/>
      </w:pPr>
    </w:lvl>
    <w:lvl w:ilvl="7">
      <w:start w:val="1"/>
      <w:numFmt w:val="lowerLetter"/>
      <w:isLgl w:val="false"/>
      <w:suff w:val="tab"/>
      <w:lvlText w:val="%8)"/>
      <w:lvlJc w:val="left"/>
      <w:pPr>
        <w:pStyle w:val="928"/>
        <w:ind w:left="3360" w:hanging="420"/>
      </w:pPr>
    </w:lvl>
    <w:lvl w:ilvl="8">
      <w:start w:val="1"/>
      <w:numFmt w:val="lowerRoman"/>
      <w:isLgl w:val="false"/>
      <w:suff w:val="tab"/>
      <w:lvlText w:val="%9."/>
      <w:lvlJc w:val="right"/>
      <w:pPr>
        <w:pStyle w:val="928"/>
        <w:ind w:left="3780" w:hanging="420"/>
      </w:pPr>
    </w:lvl>
  </w:abstractNum>
  <w:abstractNum w:abstractNumId="30">
    <w:multiLevelType w:val="hybridMultilevel"/>
    <w:lvl w:ilvl="0">
      <w:start w:val="1"/>
      <w:numFmt w:val="bullet"/>
      <w:pStyle w:val="1004"/>
      <w:isLgl w:val="false"/>
      <w:suff w:val="tab"/>
      <w:lvlText w:val=""/>
      <w:lvlJc w:val="left"/>
      <w:pPr>
        <w:pStyle w:val="928"/>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928"/>
        <w:ind w:left="1197" w:hanging="420"/>
        <w:tabs>
          <w:tab w:val="num" w:pos="1197" w:leader="none"/>
        </w:tabs>
      </w:pPr>
      <w:rPr>
        <w:rFonts w:ascii="Wingdings" w:hAnsi="Wingdings"/>
      </w:rPr>
    </w:lvl>
    <w:lvl w:ilvl="2">
      <w:start w:val="1"/>
      <w:numFmt w:val="bullet"/>
      <w:isLgl w:val="false"/>
      <w:suff w:val="tab"/>
      <w:lvlText w:val=""/>
      <w:lvlJc w:val="left"/>
      <w:pPr>
        <w:pStyle w:val="928"/>
        <w:ind w:left="1617" w:hanging="420"/>
        <w:tabs>
          <w:tab w:val="num" w:pos="1617" w:leader="none"/>
        </w:tabs>
      </w:pPr>
      <w:rPr>
        <w:rFonts w:ascii="Wingdings" w:hAnsi="Wingdings"/>
      </w:rPr>
    </w:lvl>
    <w:lvl w:ilvl="3">
      <w:start w:val="1"/>
      <w:numFmt w:val="bullet"/>
      <w:isLgl w:val="false"/>
      <w:suff w:val="tab"/>
      <w:lvlText w:val=""/>
      <w:lvlJc w:val="left"/>
      <w:pPr>
        <w:pStyle w:val="928"/>
        <w:ind w:left="2037" w:hanging="420"/>
        <w:tabs>
          <w:tab w:val="num" w:pos="2037" w:leader="none"/>
        </w:tabs>
      </w:pPr>
      <w:rPr>
        <w:rFonts w:ascii="Wingdings" w:hAnsi="Wingdings"/>
      </w:rPr>
    </w:lvl>
    <w:lvl w:ilvl="4">
      <w:start w:val="1"/>
      <w:numFmt w:val="bullet"/>
      <w:isLgl w:val="false"/>
      <w:suff w:val="tab"/>
      <w:lvlText w:val=""/>
      <w:lvlJc w:val="left"/>
      <w:pPr>
        <w:pStyle w:val="928"/>
        <w:ind w:left="2457" w:hanging="420"/>
        <w:tabs>
          <w:tab w:val="num" w:pos="2457" w:leader="none"/>
        </w:tabs>
      </w:pPr>
      <w:rPr>
        <w:rFonts w:ascii="Wingdings" w:hAnsi="Wingdings"/>
      </w:rPr>
    </w:lvl>
    <w:lvl w:ilvl="5">
      <w:start w:val="1"/>
      <w:numFmt w:val="bullet"/>
      <w:isLgl w:val="false"/>
      <w:suff w:val="tab"/>
      <w:lvlText w:val=""/>
      <w:lvlJc w:val="left"/>
      <w:pPr>
        <w:pStyle w:val="928"/>
        <w:ind w:left="2877" w:hanging="420"/>
        <w:tabs>
          <w:tab w:val="num" w:pos="2877" w:leader="none"/>
        </w:tabs>
      </w:pPr>
      <w:rPr>
        <w:rFonts w:ascii="Wingdings" w:hAnsi="Wingdings"/>
      </w:rPr>
    </w:lvl>
    <w:lvl w:ilvl="6">
      <w:start w:val="1"/>
      <w:numFmt w:val="bullet"/>
      <w:isLgl w:val="false"/>
      <w:suff w:val="tab"/>
      <w:lvlText w:val=""/>
      <w:lvlJc w:val="left"/>
      <w:pPr>
        <w:pStyle w:val="928"/>
        <w:ind w:left="3297" w:hanging="420"/>
        <w:tabs>
          <w:tab w:val="num" w:pos="3297" w:leader="none"/>
        </w:tabs>
      </w:pPr>
      <w:rPr>
        <w:rFonts w:ascii="Wingdings" w:hAnsi="Wingdings"/>
      </w:rPr>
    </w:lvl>
    <w:lvl w:ilvl="7">
      <w:start w:val="1"/>
      <w:numFmt w:val="bullet"/>
      <w:isLgl w:val="false"/>
      <w:suff w:val="tab"/>
      <w:lvlText w:val=""/>
      <w:lvlJc w:val="left"/>
      <w:pPr>
        <w:pStyle w:val="928"/>
        <w:ind w:left="3717" w:hanging="420"/>
        <w:tabs>
          <w:tab w:val="num" w:pos="3717" w:leader="none"/>
        </w:tabs>
      </w:pPr>
      <w:rPr>
        <w:rFonts w:ascii="Wingdings" w:hAnsi="Wingdings"/>
      </w:rPr>
    </w:lvl>
    <w:lvl w:ilvl="8">
      <w:start w:val="1"/>
      <w:numFmt w:val="bullet"/>
      <w:isLgl w:val="false"/>
      <w:suff w:val="tab"/>
      <w:lvlText w:val=""/>
      <w:lvlJc w:val="left"/>
      <w:pPr>
        <w:pStyle w:val="928"/>
        <w:ind w:left="4137" w:hanging="420"/>
        <w:tabs>
          <w:tab w:val="num" w:pos="4137" w:leader="none"/>
        </w:tabs>
      </w:pPr>
      <w:rPr>
        <w:rFonts w:ascii="Wingdings" w:hAnsi="Wingdings"/>
      </w:rPr>
    </w:lvl>
  </w:abstractNum>
  <w:abstractNum w:abstractNumId="31">
    <w:multiLevelType w:val="hybridMultilevel"/>
    <w:lvl w:ilvl="0">
      <w:start w:val="1"/>
      <w:numFmt w:val="decimal"/>
      <w:isLgl w:val="false"/>
      <w:suff w:val="tab"/>
      <w:lvlText w:val="（%1）"/>
      <w:lvlJc w:val="left"/>
      <w:pPr>
        <w:pStyle w:val="928"/>
        <w:ind w:left="1200" w:hanging="720"/>
      </w:pPr>
      <w:rPr>
        <w:rFonts w:ascii="Times New Roman" w:hAnsi="Times New Roman" w:cs="Times New Roman"/>
      </w:rPr>
    </w:lvl>
    <w:lvl w:ilvl="1">
      <w:start w:val="1"/>
      <w:numFmt w:val="lowerLetter"/>
      <w:isLgl w:val="false"/>
      <w:suff w:val="tab"/>
      <w:lvlText w:val="%2)"/>
      <w:lvlJc w:val="left"/>
      <w:pPr>
        <w:pStyle w:val="928"/>
        <w:ind w:left="1320" w:hanging="420"/>
      </w:pPr>
      <w:rPr>
        <w:rFonts w:ascii="Times New Roman" w:hAnsi="Times New Roman" w:cs="Times New Roman"/>
      </w:rPr>
    </w:lvl>
    <w:lvl w:ilvl="2">
      <w:start w:val="1"/>
      <w:numFmt w:val="lowerRoman"/>
      <w:isLgl w:val="false"/>
      <w:suff w:val="tab"/>
      <w:lvlText w:val="%3."/>
      <w:lvlJc w:val="right"/>
      <w:pPr>
        <w:pStyle w:val="928"/>
        <w:ind w:left="1740" w:hanging="420"/>
      </w:pPr>
      <w:rPr>
        <w:rFonts w:ascii="Times New Roman" w:hAnsi="Times New Roman" w:cs="Times New Roman"/>
      </w:rPr>
    </w:lvl>
    <w:lvl w:ilvl="3">
      <w:start w:val="1"/>
      <w:numFmt w:val="decimal"/>
      <w:isLgl w:val="false"/>
      <w:suff w:val="tab"/>
      <w:lvlText w:val="%4."/>
      <w:lvlJc w:val="left"/>
      <w:pPr>
        <w:pStyle w:val="928"/>
        <w:ind w:left="2160" w:hanging="420"/>
      </w:pPr>
      <w:rPr>
        <w:rFonts w:ascii="Times New Roman" w:hAnsi="Times New Roman" w:cs="Times New Roman"/>
      </w:rPr>
    </w:lvl>
    <w:lvl w:ilvl="4">
      <w:start w:val="1"/>
      <w:numFmt w:val="lowerLetter"/>
      <w:isLgl w:val="false"/>
      <w:suff w:val="tab"/>
      <w:lvlText w:val="%5)"/>
      <w:lvlJc w:val="left"/>
      <w:pPr>
        <w:pStyle w:val="928"/>
        <w:ind w:left="2580" w:hanging="420"/>
      </w:pPr>
      <w:rPr>
        <w:rFonts w:ascii="Times New Roman" w:hAnsi="Times New Roman" w:cs="Times New Roman"/>
      </w:rPr>
    </w:lvl>
    <w:lvl w:ilvl="5">
      <w:start w:val="1"/>
      <w:numFmt w:val="lowerRoman"/>
      <w:isLgl w:val="false"/>
      <w:suff w:val="tab"/>
      <w:lvlText w:val="%6."/>
      <w:lvlJc w:val="right"/>
      <w:pPr>
        <w:pStyle w:val="928"/>
        <w:ind w:left="3000" w:hanging="420"/>
      </w:pPr>
      <w:rPr>
        <w:rFonts w:ascii="Times New Roman" w:hAnsi="Times New Roman" w:cs="Times New Roman"/>
      </w:rPr>
    </w:lvl>
    <w:lvl w:ilvl="6">
      <w:start w:val="1"/>
      <w:numFmt w:val="decimal"/>
      <w:isLgl w:val="false"/>
      <w:suff w:val="tab"/>
      <w:lvlText w:val="%7."/>
      <w:lvlJc w:val="left"/>
      <w:pPr>
        <w:pStyle w:val="928"/>
        <w:ind w:left="3420" w:hanging="420"/>
      </w:pPr>
      <w:rPr>
        <w:rFonts w:ascii="Times New Roman" w:hAnsi="Times New Roman" w:cs="Times New Roman"/>
      </w:rPr>
    </w:lvl>
    <w:lvl w:ilvl="7">
      <w:start w:val="1"/>
      <w:numFmt w:val="lowerLetter"/>
      <w:isLgl w:val="false"/>
      <w:suff w:val="tab"/>
      <w:lvlText w:val="%8)"/>
      <w:lvlJc w:val="left"/>
      <w:pPr>
        <w:pStyle w:val="928"/>
        <w:ind w:left="3840" w:hanging="420"/>
      </w:pPr>
      <w:rPr>
        <w:rFonts w:ascii="Times New Roman" w:hAnsi="Times New Roman" w:cs="Times New Roman"/>
      </w:rPr>
    </w:lvl>
    <w:lvl w:ilvl="8">
      <w:start w:val="1"/>
      <w:numFmt w:val="lowerRoman"/>
      <w:isLgl w:val="false"/>
      <w:suff w:val="tab"/>
      <w:lvlText w:val="%9."/>
      <w:lvlJc w:val="right"/>
      <w:pPr>
        <w:pStyle w:val="928"/>
        <w:ind w:left="4260" w:hanging="420"/>
      </w:pPr>
      <w:rPr>
        <w:rFonts w:ascii="Times New Roman" w:hAnsi="Times New Roman" w:cs="Times New Roman"/>
      </w:rPr>
    </w:lvl>
  </w:abstractNum>
  <w:abstractNum w:abstractNumId="32">
    <w:multiLevelType w:val="hybridMultilevel"/>
    <w:lvl w:ilvl="0">
      <w:start w:val="1"/>
      <w:numFmt w:val="decimal"/>
      <w:isLgl w:val="false"/>
      <w:suff w:val="tab"/>
      <w:lvlText w:val="%1)"/>
      <w:lvlJc w:val="left"/>
      <w:pPr>
        <w:pStyle w:val="928"/>
        <w:ind w:left="420" w:hanging="420"/>
      </w:pPr>
      <w:rPr>
        <w:rFonts w:ascii="Times New Roman" w:hAnsi="Times New Roman" w:cs="Times New Roman"/>
      </w:rPr>
    </w:lvl>
    <w:lvl w:ilvl="1">
      <w:start w:val="1"/>
      <w:numFmt w:val="lowerLetter"/>
      <w:isLgl w:val="false"/>
      <w:suff w:val="tab"/>
      <w:lvlText w:val="%2)"/>
      <w:lvlJc w:val="left"/>
      <w:pPr>
        <w:pStyle w:val="928"/>
        <w:ind w:left="840" w:hanging="420"/>
      </w:pPr>
      <w:rPr>
        <w:rFonts w:ascii="Times New Roman" w:hAnsi="Times New Roman" w:cs="Times New Roman"/>
      </w:rPr>
    </w:lvl>
    <w:lvl w:ilvl="2">
      <w:start w:val="1"/>
      <w:numFmt w:val="lowerRoman"/>
      <w:isLgl w:val="false"/>
      <w:suff w:val="tab"/>
      <w:lvlText w:val="%3."/>
      <w:lvlJc w:val="right"/>
      <w:pPr>
        <w:pStyle w:val="928"/>
        <w:ind w:left="1260" w:hanging="420"/>
      </w:pPr>
      <w:rPr>
        <w:rFonts w:ascii="Times New Roman" w:hAnsi="Times New Roman" w:cs="Times New Roman"/>
      </w:rPr>
    </w:lvl>
    <w:lvl w:ilvl="3">
      <w:start w:val="1"/>
      <w:numFmt w:val="decimal"/>
      <w:isLgl w:val="false"/>
      <w:suff w:val="tab"/>
      <w:lvlText w:val="%4."/>
      <w:lvlJc w:val="left"/>
      <w:pPr>
        <w:pStyle w:val="928"/>
        <w:ind w:left="1680" w:hanging="420"/>
      </w:pPr>
      <w:rPr>
        <w:rFonts w:ascii="Times New Roman" w:hAnsi="Times New Roman" w:cs="Times New Roman"/>
      </w:rPr>
    </w:lvl>
    <w:lvl w:ilvl="4">
      <w:start w:val="1"/>
      <w:numFmt w:val="lowerLetter"/>
      <w:isLgl w:val="false"/>
      <w:suff w:val="tab"/>
      <w:lvlText w:val="%5)"/>
      <w:lvlJc w:val="left"/>
      <w:pPr>
        <w:pStyle w:val="928"/>
        <w:ind w:left="2100" w:hanging="420"/>
      </w:pPr>
      <w:rPr>
        <w:rFonts w:ascii="Times New Roman" w:hAnsi="Times New Roman" w:cs="Times New Roman"/>
      </w:rPr>
    </w:lvl>
    <w:lvl w:ilvl="5">
      <w:start w:val="1"/>
      <w:numFmt w:val="lowerRoman"/>
      <w:isLgl w:val="false"/>
      <w:suff w:val="tab"/>
      <w:lvlText w:val="%6."/>
      <w:lvlJc w:val="right"/>
      <w:pPr>
        <w:pStyle w:val="928"/>
        <w:ind w:left="2520" w:hanging="420"/>
      </w:pPr>
      <w:rPr>
        <w:rFonts w:ascii="Times New Roman" w:hAnsi="Times New Roman" w:cs="Times New Roman"/>
      </w:rPr>
    </w:lvl>
    <w:lvl w:ilvl="6">
      <w:start w:val="1"/>
      <w:numFmt w:val="decimal"/>
      <w:isLgl w:val="false"/>
      <w:suff w:val="tab"/>
      <w:lvlText w:val="%7."/>
      <w:lvlJc w:val="left"/>
      <w:pPr>
        <w:pStyle w:val="928"/>
        <w:ind w:left="2940" w:hanging="420"/>
      </w:pPr>
      <w:rPr>
        <w:rFonts w:ascii="Times New Roman" w:hAnsi="Times New Roman" w:cs="Times New Roman"/>
      </w:rPr>
    </w:lvl>
    <w:lvl w:ilvl="7">
      <w:start w:val="1"/>
      <w:numFmt w:val="lowerLetter"/>
      <w:isLgl w:val="false"/>
      <w:suff w:val="tab"/>
      <w:lvlText w:val="%8)"/>
      <w:lvlJc w:val="left"/>
      <w:pPr>
        <w:pStyle w:val="928"/>
        <w:ind w:left="3360" w:hanging="420"/>
      </w:pPr>
      <w:rPr>
        <w:rFonts w:ascii="Times New Roman" w:hAnsi="Times New Roman" w:cs="Times New Roman"/>
      </w:rPr>
    </w:lvl>
    <w:lvl w:ilvl="8">
      <w:start w:val="1"/>
      <w:numFmt w:val="lowerRoman"/>
      <w:isLgl w:val="false"/>
      <w:suff w:val="tab"/>
      <w:lvlText w:val="%9."/>
      <w:lvlJc w:val="right"/>
      <w:pPr>
        <w:pStyle w:val="928"/>
        <w:ind w:left="3780" w:hanging="420"/>
      </w:pPr>
      <w:rPr>
        <w:rFonts w:ascii="Times New Roman" w:hAnsi="Times New Roman" w:cs="Times New Roman"/>
      </w:rPr>
    </w:lvl>
  </w:abstractNum>
  <w:abstractNum w:abstractNumId="33">
    <w:multiLevelType w:val="hybridMultilevel"/>
    <w:lvl w:ilvl="0">
      <w:start w:val="1"/>
      <w:numFmt w:val="japaneseCounting"/>
      <w:isLgl w:val="false"/>
      <w:suff w:val="tab"/>
      <w:lvlText w:val="%1、"/>
      <w:lvlJc w:val="left"/>
      <w:pPr>
        <w:pStyle w:val="928"/>
        <w:ind w:left="679" w:hanging="480"/>
      </w:pPr>
      <w:rPr>
        <w:rFonts w:ascii="Times New Roman" w:hAnsi="Times New Roman" w:cs="Times New Roman"/>
      </w:rPr>
    </w:lvl>
    <w:lvl w:ilvl="1">
      <w:start w:val="1"/>
      <w:numFmt w:val="lowerLetter"/>
      <w:isLgl w:val="false"/>
      <w:suff w:val="tab"/>
      <w:lvlText w:val="%2)"/>
      <w:lvlJc w:val="left"/>
      <w:pPr>
        <w:pStyle w:val="928"/>
        <w:ind w:left="1039" w:hanging="420"/>
      </w:pPr>
      <w:rPr>
        <w:rFonts w:ascii="Times New Roman" w:hAnsi="Times New Roman" w:cs="Times New Roman"/>
      </w:rPr>
    </w:lvl>
    <w:lvl w:ilvl="2">
      <w:start w:val="1"/>
      <w:numFmt w:val="decimal"/>
      <w:isLgl w:val="false"/>
      <w:suff w:val="tab"/>
      <w:lvlText w:val="%3、"/>
      <w:lvlJc w:val="left"/>
      <w:pPr>
        <w:pStyle w:val="928"/>
        <w:ind w:left="1759" w:hanging="720"/>
      </w:pPr>
      <w:rPr>
        <w:rFonts w:ascii="Times New Roman" w:hAnsi="Times New Roman" w:cs="Times New Roman"/>
      </w:rPr>
    </w:lvl>
    <w:lvl w:ilvl="3">
      <w:start w:val="1"/>
      <w:numFmt w:val="decimal"/>
      <w:isLgl w:val="false"/>
      <w:suff w:val="tab"/>
      <w:lvlText w:val="%4."/>
      <w:lvlJc w:val="left"/>
      <w:pPr>
        <w:pStyle w:val="928"/>
        <w:ind w:left="1879" w:hanging="420"/>
      </w:pPr>
      <w:rPr>
        <w:rFonts w:ascii="Times New Roman" w:hAnsi="Times New Roman" w:cs="Times New Roman"/>
      </w:rPr>
    </w:lvl>
    <w:lvl w:ilvl="4">
      <w:start w:val="1"/>
      <w:numFmt w:val="lowerLetter"/>
      <w:isLgl w:val="false"/>
      <w:suff w:val="tab"/>
      <w:lvlText w:val="%5)"/>
      <w:lvlJc w:val="left"/>
      <w:pPr>
        <w:pStyle w:val="928"/>
        <w:ind w:left="2299" w:hanging="420"/>
      </w:pPr>
      <w:rPr>
        <w:rFonts w:ascii="Times New Roman" w:hAnsi="Times New Roman" w:cs="Times New Roman"/>
      </w:rPr>
    </w:lvl>
    <w:lvl w:ilvl="5">
      <w:start w:val="1"/>
      <w:numFmt w:val="lowerRoman"/>
      <w:isLgl w:val="false"/>
      <w:suff w:val="tab"/>
      <w:lvlText w:val="%6."/>
      <w:lvlJc w:val="right"/>
      <w:pPr>
        <w:pStyle w:val="928"/>
        <w:ind w:left="2719" w:hanging="420"/>
      </w:pPr>
      <w:rPr>
        <w:rFonts w:ascii="Times New Roman" w:hAnsi="Times New Roman" w:cs="Times New Roman"/>
      </w:rPr>
    </w:lvl>
    <w:lvl w:ilvl="6">
      <w:start w:val="1"/>
      <w:numFmt w:val="decimal"/>
      <w:isLgl w:val="false"/>
      <w:suff w:val="tab"/>
      <w:lvlText w:val="%7."/>
      <w:lvlJc w:val="left"/>
      <w:pPr>
        <w:pStyle w:val="928"/>
        <w:ind w:left="3139" w:hanging="420"/>
      </w:pPr>
      <w:rPr>
        <w:rFonts w:ascii="Times New Roman" w:hAnsi="Times New Roman" w:cs="Times New Roman"/>
      </w:rPr>
    </w:lvl>
    <w:lvl w:ilvl="7">
      <w:start w:val="1"/>
      <w:numFmt w:val="lowerLetter"/>
      <w:isLgl w:val="false"/>
      <w:suff w:val="tab"/>
      <w:lvlText w:val="%8)"/>
      <w:lvlJc w:val="left"/>
      <w:pPr>
        <w:pStyle w:val="928"/>
        <w:ind w:left="3559" w:hanging="420"/>
      </w:pPr>
      <w:rPr>
        <w:rFonts w:ascii="Times New Roman" w:hAnsi="Times New Roman" w:cs="Times New Roman"/>
      </w:rPr>
    </w:lvl>
    <w:lvl w:ilvl="8">
      <w:start w:val="1"/>
      <w:numFmt w:val="lowerRoman"/>
      <w:isLgl w:val="false"/>
      <w:suff w:val="tab"/>
      <w:lvlText w:val="%9."/>
      <w:lvlJc w:val="right"/>
      <w:pPr>
        <w:pStyle w:val="928"/>
        <w:ind w:left="3979" w:hanging="420"/>
      </w:pPr>
      <w:rPr>
        <w:rFonts w:ascii="Times New Roman" w:hAnsi="Times New Roman" w:cs="Times New Roman"/>
      </w:rPr>
    </w:lvl>
  </w:abstractNum>
  <w:abstractNum w:abstractNumId="34">
    <w:multiLevelType w:val="hybridMultilevel"/>
    <w:lvl w:ilvl="0">
      <w:start w:val="1"/>
      <w:numFmt w:val="bullet"/>
      <w:isLgl w:val="false"/>
      <w:suff w:val="tab"/>
      <w:lvlText w:val=""/>
      <w:lvlJc w:val="left"/>
      <w:pPr>
        <w:pStyle w:val="928"/>
        <w:ind w:left="986" w:hanging="420"/>
      </w:pPr>
      <w:rPr>
        <w:rFonts w:ascii="Wingdings" w:hAnsi="Wingdings"/>
      </w:rPr>
    </w:lvl>
    <w:lvl w:ilvl="1">
      <w:start w:val="1"/>
      <w:numFmt w:val="bullet"/>
      <w:isLgl w:val="false"/>
      <w:suff w:val="tab"/>
      <w:lvlText w:val=""/>
      <w:lvlJc w:val="left"/>
      <w:pPr>
        <w:pStyle w:val="928"/>
        <w:ind w:left="1406" w:hanging="420"/>
      </w:pPr>
      <w:rPr>
        <w:rFonts w:ascii="Wingdings" w:hAnsi="Wingdings"/>
      </w:rPr>
    </w:lvl>
    <w:lvl w:ilvl="2">
      <w:start w:val="1"/>
      <w:numFmt w:val="bullet"/>
      <w:isLgl w:val="false"/>
      <w:suff w:val="tab"/>
      <w:lvlText w:val=""/>
      <w:lvlJc w:val="left"/>
      <w:pPr>
        <w:pStyle w:val="928"/>
        <w:ind w:left="1826" w:hanging="420"/>
      </w:pPr>
      <w:rPr>
        <w:rFonts w:ascii="Wingdings" w:hAnsi="Wingdings"/>
      </w:rPr>
    </w:lvl>
    <w:lvl w:ilvl="3">
      <w:start w:val="1"/>
      <w:numFmt w:val="bullet"/>
      <w:isLgl w:val="false"/>
      <w:suff w:val="tab"/>
      <w:lvlText w:val=""/>
      <w:lvlJc w:val="left"/>
      <w:pPr>
        <w:pStyle w:val="928"/>
        <w:ind w:left="2246" w:hanging="420"/>
      </w:pPr>
      <w:rPr>
        <w:rFonts w:ascii="Wingdings" w:hAnsi="Wingdings"/>
      </w:rPr>
    </w:lvl>
    <w:lvl w:ilvl="4">
      <w:start w:val="1"/>
      <w:numFmt w:val="bullet"/>
      <w:isLgl w:val="false"/>
      <w:suff w:val="tab"/>
      <w:lvlText w:val=""/>
      <w:lvlJc w:val="left"/>
      <w:pPr>
        <w:pStyle w:val="928"/>
        <w:ind w:left="2666" w:hanging="420"/>
      </w:pPr>
      <w:rPr>
        <w:rFonts w:ascii="Wingdings" w:hAnsi="Wingdings"/>
      </w:rPr>
    </w:lvl>
    <w:lvl w:ilvl="5">
      <w:start w:val="1"/>
      <w:numFmt w:val="bullet"/>
      <w:isLgl w:val="false"/>
      <w:suff w:val="tab"/>
      <w:lvlText w:val=""/>
      <w:lvlJc w:val="left"/>
      <w:pPr>
        <w:pStyle w:val="928"/>
        <w:ind w:left="3086" w:hanging="420"/>
      </w:pPr>
      <w:rPr>
        <w:rFonts w:ascii="Wingdings" w:hAnsi="Wingdings"/>
      </w:rPr>
    </w:lvl>
    <w:lvl w:ilvl="6">
      <w:start w:val="1"/>
      <w:numFmt w:val="bullet"/>
      <w:isLgl w:val="false"/>
      <w:suff w:val="tab"/>
      <w:lvlText w:val=""/>
      <w:lvlJc w:val="left"/>
      <w:pPr>
        <w:pStyle w:val="928"/>
        <w:ind w:left="3506" w:hanging="420"/>
      </w:pPr>
      <w:rPr>
        <w:rFonts w:ascii="Wingdings" w:hAnsi="Wingdings"/>
      </w:rPr>
    </w:lvl>
    <w:lvl w:ilvl="7">
      <w:start w:val="1"/>
      <w:numFmt w:val="bullet"/>
      <w:isLgl w:val="false"/>
      <w:suff w:val="tab"/>
      <w:lvlText w:val=""/>
      <w:lvlJc w:val="left"/>
      <w:pPr>
        <w:pStyle w:val="928"/>
        <w:ind w:left="3926" w:hanging="420"/>
      </w:pPr>
      <w:rPr>
        <w:rFonts w:ascii="Wingdings" w:hAnsi="Wingdings"/>
      </w:rPr>
    </w:lvl>
    <w:lvl w:ilvl="8">
      <w:start w:val="1"/>
      <w:numFmt w:val="bullet"/>
      <w:isLgl w:val="false"/>
      <w:suff w:val="tab"/>
      <w:lvlText w:val=""/>
      <w:lvlJc w:val="left"/>
      <w:pPr>
        <w:pStyle w:val="928"/>
        <w:ind w:left="4346" w:hanging="420"/>
      </w:pPr>
      <w:rPr>
        <w:rFonts w:ascii="Wingdings" w:hAnsi="Wingdings"/>
      </w:rPr>
    </w:lvl>
  </w:abstractNum>
  <w:abstractNum w:abstractNumId="35">
    <w:multiLevelType w:val="hybridMultilevel"/>
    <w:lvl w:ilvl="0">
      <w:start w:val="1"/>
      <w:numFmt w:val="decimal"/>
      <w:isLgl w:val="false"/>
      <w:suff w:val="tab"/>
      <w:lvlText w:val="%1."/>
      <w:lvlJc w:val="left"/>
      <w:pPr>
        <w:pStyle w:val="928"/>
        <w:ind w:left="425" w:hanging="425"/>
        <w:tabs>
          <w:tab w:val="num" w:pos="425" w:leader="none"/>
        </w:tabs>
      </w:pPr>
      <w:rPr>
        <w:rFonts w:hint="eastAsia"/>
      </w:rPr>
    </w:lvl>
    <w:lvl w:ilvl="1">
      <w:start w:val="1"/>
      <w:numFmt w:val="decimal"/>
      <w:isLgl w:val="false"/>
      <w:suff w:val="tab"/>
      <w:lvlText w:val="%1.%2"/>
      <w:lvlJc w:val="left"/>
      <w:pPr>
        <w:pStyle w:val="928"/>
        <w:ind w:left="567" w:hanging="567"/>
        <w:tabs>
          <w:tab w:val="num" w:pos="567" w:leader="none"/>
        </w:tabs>
      </w:pPr>
      <w:rPr>
        <w:rFonts w:hint="eastAsia"/>
      </w:rPr>
    </w:lvl>
    <w:lvl w:ilvl="2">
      <w:start w:val="1"/>
      <w:numFmt w:val="decimal"/>
      <w:isLgl w:val="false"/>
      <w:suff w:val="tab"/>
      <w:lvlText w:val="%1.%2.%3."/>
      <w:lvlJc w:val="left"/>
      <w:pPr>
        <w:pStyle w:val="928"/>
        <w:ind w:left="709" w:hanging="709"/>
        <w:tabs>
          <w:tab w:val="num" w:pos="709"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6">
    <w:multiLevelType w:val="hybridMultilevel"/>
    <w:lvl w:ilvl="0">
      <w:start w:val="1"/>
      <w:numFmt w:val="decimal"/>
      <w:isLgl w:val="false"/>
      <w:suff w:val="tab"/>
      <w:lvlText w:val="%1"/>
      <w:lvlJc w:val="left"/>
      <w:pPr>
        <w:pStyle w:val="928"/>
        <w:ind w:left="425" w:hanging="425"/>
      </w:pPr>
    </w:lvl>
    <w:lvl w:ilvl="1">
      <w:start w:val="2"/>
      <w:numFmt w:val="decimal"/>
      <w:isLgl w:val="false"/>
      <w:suff w:val="tab"/>
      <w:lvlText w:val="36.%2"/>
      <w:lvlJc w:val="left"/>
      <w:pPr>
        <w:pStyle w:val="928"/>
        <w:ind w:left="440" w:hanging="440"/>
      </w:pPr>
      <w:rPr>
        <w:rFonts w:hint="eastAsia"/>
      </w:rPr>
    </w:lvl>
    <w:lvl w:ilvl="2">
      <w:start w:val="1"/>
      <w:numFmt w:val="decimal"/>
      <w:isLgl w:val="false"/>
      <w:suff w:val="tab"/>
      <w:lvlText w:val="%1.%2.%3"/>
      <w:lvlJc w:val="left"/>
      <w:pPr>
        <w:pStyle w:val="928"/>
        <w:ind w:left="1418" w:hanging="567"/>
      </w:pPr>
      <w:rPr>
        <w:rFonts w:hint="eastAsia"/>
      </w:rPr>
    </w:lvl>
    <w:lvl w:ilvl="3">
      <w:start w:val="1"/>
      <w:numFmt w:val="decimal"/>
      <w:isLgl w:val="false"/>
      <w:suff w:val="tab"/>
      <w:lvlText w:val="%1.%2.%3.%4"/>
      <w:lvlJc w:val="left"/>
      <w:pPr>
        <w:pStyle w:val="928"/>
        <w:ind w:left="1984" w:hanging="708"/>
      </w:pPr>
      <w:rPr>
        <w:rFonts w:hint="eastAsia"/>
      </w:rPr>
    </w:lvl>
    <w:lvl w:ilvl="4">
      <w:start w:val="1"/>
      <w:numFmt w:val="decimal"/>
      <w:isLgl w:val="false"/>
      <w:suff w:val="tab"/>
      <w:lvlText w:val="%1.%2.%3.%4.%5"/>
      <w:lvlJc w:val="left"/>
      <w:pPr>
        <w:pStyle w:val="928"/>
        <w:ind w:left="2551" w:hanging="850"/>
      </w:pPr>
      <w:rPr>
        <w:rFonts w:hint="eastAsia"/>
      </w:rPr>
    </w:lvl>
    <w:lvl w:ilvl="5">
      <w:start w:val="1"/>
      <w:numFmt w:val="decimal"/>
      <w:isLgl w:val="false"/>
      <w:suff w:val="tab"/>
      <w:lvlText w:val="%1.%2.%3.%4.%5.%6"/>
      <w:lvlJc w:val="left"/>
      <w:pPr>
        <w:pStyle w:val="928"/>
        <w:ind w:left="3260" w:hanging="1134"/>
      </w:pPr>
      <w:rPr>
        <w:rFonts w:hint="eastAsia"/>
      </w:rPr>
    </w:lvl>
    <w:lvl w:ilvl="6">
      <w:start w:val="1"/>
      <w:numFmt w:val="decimal"/>
      <w:isLgl w:val="false"/>
      <w:suff w:val="tab"/>
      <w:lvlText w:val="%1.%2.%3.%4.%5.%6.%7"/>
      <w:lvlJc w:val="left"/>
      <w:pPr>
        <w:pStyle w:val="928"/>
        <w:ind w:left="3827" w:hanging="1276"/>
      </w:pPr>
      <w:rPr>
        <w:rFonts w:hint="eastAsia"/>
      </w:rPr>
    </w:lvl>
    <w:lvl w:ilvl="7">
      <w:start w:val="1"/>
      <w:numFmt w:val="decimal"/>
      <w:isLgl w:val="false"/>
      <w:suff w:val="tab"/>
      <w:lvlText w:val="%1.%2.%3.%4.%5.%6.%7.%8"/>
      <w:lvlJc w:val="left"/>
      <w:pPr>
        <w:pStyle w:val="928"/>
        <w:ind w:left="4394" w:hanging="1418"/>
      </w:pPr>
      <w:rPr>
        <w:rFonts w:hint="eastAsia"/>
      </w:rPr>
    </w:lvl>
    <w:lvl w:ilvl="8">
      <w:start w:val="1"/>
      <w:numFmt w:val="decimal"/>
      <w:isLgl w:val="false"/>
      <w:suff w:val="tab"/>
      <w:lvlText w:val="%1.%2.%3.%4.%5.%6.%7.%8.%9"/>
      <w:lvlJc w:val="left"/>
      <w:pPr>
        <w:pStyle w:val="928"/>
        <w:ind w:left="5102" w:hanging="1700"/>
      </w:pPr>
      <w:rPr>
        <w:rFonts w:hint="eastAsia"/>
      </w:rPr>
    </w:lvl>
  </w:abstractNum>
  <w:abstractNum w:abstractNumId="37">
    <w:multiLevelType w:val="hybridMultilevel"/>
    <w:lvl w:ilvl="0">
      <w:start w:val="1"/>
      <w:numFmt w:val="decimal"/>
      <w:isLgl w:val="false"/>
      <w:suff w:val="tab"/>
      <w:lvlText w:val="%1."/>
      <w:lvlJc w:val="left"/>
      <w:pPr>
        <w:pStyle w:val="928"/>
        <w:ind w:left="440" w:hanging="440"/>
        <w:tabs>
          <w:tab w:val="num" w:pos="440" w:leader="none"/>
        </w:tabs>
      </w:pPr>
      <w:rPr>
        <w:rFonts w:ascii="Times New Roman" w:hAnsi="Times New Roman" w:cs="Times New Roman"/>
      </w:rPr>
    </w:lvl>
    <w:lvl w:ilvl="1">
      <w:start w:val="1"/>
      <w:numFmt w:val="lowerLetter"/>
      <w:isLgl w:val="false"/>
      <w:suff w:val="tab"/>
      <w:lvlText w:val="%2."/>
      <w:lvlJc w:val="left"/>
      <w:pPr>
        <w:pStyle w:val="928"/>
        <w:ind w:left="880" w:hanging="440"/>
        <w:tabs>
          <w:tab w:val="num" w:pos="880" w:leader="none"/>
        </w:tabs>
      </w:pPr>
      <w:rPr>
        <w:rFonts w:ascii="Times New Roman" w:hAnsi="Times New Roman" w:cs="Times New Roman"/>
      </w:rPr>
    </w:lvl>
    <w:lvl w:ilvl="2">
      <w:start w:val="1"/>
      <w:numFmt w:val="lowerRoman"/>
      <w:isLgl w:val="false"/>
      <w:suff w:val="tab"/>
      <w:lvlText w:val="%3."/>
      <w:lvlJc w:val="left"/>
      <w:pPr>
        <w:pStyle w:val="928"/>
        <w:ind w:left="1320" w:hanging="440"/>
        <w:tabs>
          <w:tab w:val="num" w:pos="1320" w:leader="none"/>
        </w:tabs>
      </w:pPr>
      <w:rPr>
        <w:rFonts w:ascii="Times New Roman" w:hAnsi="Times New Roman" w:cs="Times New Roman"/>
      </w:rPr>
    </w:lvl>
    <w:lvl w:ilvl="3">
      <w:start w:val="1"/>
      <w:numFmt w:val="decimal"/>
      <w:isLgl w:val="false"/>
      <w:suff w:val="tab"/>
      <w:lvlText w:val="%4."/>
      <w:lvlJc w:val="left"/>
      <w:pPr>
        <w:pStyle w:val="928"/>
        <w:ind w:left="1760" w:hanging="440"/>
        <w:tabs>
          <w:tab w:val="num" w:pos="1760" w:leader="none"/>
        </w:tabs>
      </w:pPr>
      <w:rPr>
        <w:rFonts w:ascii="Times New Roman" w:hAnsi="Times New Roman" w:cs="Times New Roman"/>
      </w:rPr>
    </w:lvl>
    <w:lvl w:ilvl="4">
      <w:start w:val="1"/>
      <w:numFmt w:val="lowerLetter"/>
      <w:isLgl w:val="false"/>
      <w:suff w:val="tab"/>
      <w:lvlText w:val="%5."/>
      <w:lvlJc w:val="left"/>
      <w:pPr>
        <w:pStyle w:val="928"/>
        <w:ind w:left="2200" w:hanging="440"/>
        <w:tabs>
          <w:tab w:val="num" w:pos="2200" w:leader="none"/>
        </w:tabs>
      </w:pPr>
      <w:rPr>
        <w:rFonts w:ascii="Times New Roman" w:hAnsi="Times New Roman" w:cs="Times New Roman"/>
      </w:rPr>
    </w:lvl>
    <w:lvl w:ilvl="5">
      <w:start w:val="1"/>
      <w:numFmt w:val="lowerRoman"/>
      <w:isLgl w:val="false"/>
      <w:suff w:val="tab"/>
      <w:lvlText w:val="%6."/>
      <w:lvlJc w:val="left"/>
      <w:pPr>
        <w:pStyle w:val="928"/>
        <w:ind w:left="2640" w:hanging="440"/>
        <w:tabs>
          <w:tab w:val="num" w:pos="2640" w:leader="none"/>
        </w:tabs>
      </w:pPr>
      <w:rPr>
        <w:rFonts w:ascii="Times New Roman" w:hAnsi="Times New Roman" w:cs="Times New Roman"/>
      </w:rPr>
    </w:lvl>
    <w:lvl w:ilvl="6">
      <w:start w:val="1"/>
      <w:numFmt w:val="decimal"/>
      <w:isLgl w:val="false"/>
      <w:suff w:val="tab"/>
      <w:lvlText w:val="%7."/>
      <w:lvlJc w:val="left"/>
      <w:pPr>
        <w:pStyle w:val="928"/>
        <w:ind w:left="3080" w:hanging="440"/>
        <w:tabs>
          <w:tab w:val="num" w:pos="3080" w:leader="none"/>
        </w:tabs>
      </w:pPr>
      <w:rPr>
        <w:rFonts w:ascii="Times New Roman" w:hAnsi="Times New Roman" w:cs="Times New Roman"/>
      </w:rPr>
    </w:lvl>
    <w:lvl w:ilvl="7">
      <w:start w:val="1"/>
      <w:numFmt w:val="lowerLetter"/>
      <w:isLgl w:val="false"/>
      <w:suff w:val="tab"/>
      <w:lvlText w:val="%8."/>
      <w:lvlJc w:val="left"/>
      <w:pPr>
        <w:pStyle w:val="928"/>
        <w:ind w:left="3520" w:hanging="440"/>
        <w:tabs>
          <w:tab w:val="num" w:pos="3520" w:leader="none"/>
        </w:tabs>
      </w:pPr>
      <w:rPr>
        <w:rFonts w:ascii="Times New Roman" w:hAnsi="Times New Roman" w:cs="Times New Roman"/>
      </w:rPr>
    </w:lvl>
    <w:lvl w:ilvl="8">
      <w:start w:val="1"/>
      <w:numFmt w:val="lowerRoman"/>
      <w:isLgl w:val="false"/>
      <w:suff w:val="tab"/>
      <w:lvlText w:val="%9."/>
      <w:lvlJc w:val="left"/>
      <w:pPr>
        <w:pStyle w:val="928"/>
        <w:ind w:left="3960" w:hanging="440"/>
        <w:tabs>
          <w:tab w:val="num" w:pos="3960" w:leader="none"/>
        </w:tabs>
      </w:pPr>
      <w:rPr>
        <w:rFonts w:ascii="Times New Roman" w:hAnsi="Times New Roman" w:cs="Times New Roman"/>
      </w:rPr>
    </w:lvl>
  </w:abstractNum>
  <w:abstractNum w:abstractNumId="38">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38.%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39">
    <w:multiLevelType w:val="hybridMultilevel"/>
    <w:lvl w:ilvl="0">
      <w:start w:val="12"/>
      <w:numFmt w:val="decimal"/>
      <w:pStyle w:val="1541"/>
      <w:isLgl w:val="false"/>
      <w:suff w:val="tab"/>
      <w:lvlText w:val=""/>
      <w:lvlJc w:val="left"/>
      <w:pPr>
        <w:pStyle w:val="928"/>
      </w:pPr>
    </w:lvl>
    <w:lvl w:ilvl="1">
      <w:start w:val="1"/>
      <w:numFmt w:val="decimal"/>
      <w:isLgl w:val="false"/>
      <w:suff w:val="tab"/>
      <w:lvlText w:val="%1.%2"/>
      <w:lvlJc w:val="left"/>
      <w:pPr>
        <w:pStyle w:val="928"/>
      </w:pPr>
    </w:lvl>
    <w:lvl w:ilvl="2">
      <w:start w:val="1"/>
      <w:numFmt w:val="decimal"/>
      <w:isLgl w:val="false"/>
      <w:suff w:val="tab"/>
      <w:lvlText w:val="%1.%2.%3"/>
      <w:lvlJc w:val="left"/>
      <w:pPr>
        <w:pStyle w:val="928"/>
      </w:pPr>
    </w:lvl>
    <w:lvl w:ilvl="3">
      <w:start w:val="1"/>
      <w:numFmt w:val="decimal"/>
      <w:isLgl w:val="false"/>
      <w:suff w:val="tab"/>
      <w:lvlText w:val="%1.%2.%3.%4"/>
      <w:lvlJc w:val="left"/>
      <w:pPr>
        <w:pStyle w:val="928"/>
      </w:pPr>
    </w:lvl>
    <w:lvl w:ilvl="4">
      <w:start w:val="1"/>
      <w:numFmt w:val="decimal"/>
      <w:isLgl w:val="false"/>
      <w:suff w:val="tab"/>
      <w:lvlText w:val="%1.%2.%3.%4.%5"/>
      <w:lvlJc w:val="left"/>
      <w:pPr>
        <w:pStyle w:val="928"/>
      </w:pPr>
    </w:lvl>
    <w:lvl w:ilvl="5">
      <w:start w:val="1"/>
      <w:numFmt w:val="decimal"/>
      <w:isLgl w:val="false"/>
      <w:suff w:val="tab"/>
      <w:lvlText w:val="%1.%2.%3.%4.%5.%6"/>
      <w:lvlJc w:val="left"/>
      <w:pPr>
        <w:pStyle w:val="928"/>
      </w:pPr>
    </w:lvl>
    <w:lvl w:ilvl="6">
      <w:start w:val="1"/>
      <w:numFmt w:val="decimal"/>
      <w:isLgl w:val="false"/>
      <w:suff w:val="tab"/>
      <w:lvlText w:val="%1.%2.%3.%4.%5.%6.%7"/>
      <w:lvlJc w:val="left"/>
      <w:pPr>
        <w:pStyle w:val="928"/>
      </w:pPr>
    </w:lvl>
    <w:lvl w:ilvl="7">
      <w:start w:val="1"/>
      <w:numFmt w:val="decimal"/>
      <w:isLgl w:val="false"/>
      <w:suff w:val="tab"/>
      <w:lvlText w:val="%1.%2.%3.%4.%5.%6.%7.%8"/>
      <w:lvlJc w:val="left"/>
      <w:pPr>
        <w:pStyle w:val="928"/>
      </w:pPr>
    </w:lvl>
    <w:lvl w:ilvl="8">
      <w:start w:val="1"/>
      <w:numFmt w:val="decimal"/>
      <w:isLgl w:val="false"/>
      <w:suff w:val="tab"/>
      <w:lvlText w:val="%1.%2.%3.%4.%5.%6.%7.%8.%9"/>
      <w:lvlJc w:val="left"/>
      <w:pPr>
        <w:pStyle w:val="928"/>
      </w:pPr>
    </w:lvl>
  </w:abstractNum>
  <w:abstractNum w:abstractNumId="40">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36.%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41">
    <w:multiLevelType w:val="hybridMultilevel"/>
    <w:lvl w:ilvl="0">
      <w:start w:val="1"/>
      <w:numFmt w:val="decimal"/>
      <w:isLgl w:val="false"/>
      <w:suff w:val="nothing"/>
      <w:lvlText w:val="%1  "/>
      <w:lvlJc w:val="left"/>
      <w:pPr>
        <w:pStyle w:val="928"/>
        <w:ind w:left="0" w:firstLine="0"/>
      </w:pPr>
      <w:rPr>
        <w:rFonts w:ascii="Arial" w:hAnsi="Arial" w:eastAsia="黑体"/>
        <w:b w:val="0"/>
        <w:i w:val="0"/>
        <w:sz w:val="36"/>
        <w:szCs w:val="36"/>
      </w:rPr>
    </w:lvl>
    <w:lvl w:ilvl="1">
      <w:start w:val="1"/>
      <w:numFmt w:val="decimal"/>
      <w:isLgl w:val="false"/>
      <w:suff w:val="nothing"/>
      <w:lvlText w:val="%1.%2  "/>
      <w:lvlJc w:val="left"/>
      <w:pPr>
        <w:pStyle w:val="928"/>
        <w:ind w:left="0" w:firstLine="0"/>
      </w:pPr>
      <w:rPr>
        <w:rFonts w:ascii="Arial" w:hAnsi="Arial"/>
        <w:b w:val="0"/>
        <w:i w:val="0"/>
        <w:sz w:val="30"/>
        <w:szCs w:val="30"/>
      </w:rPr>
    </w:lvl>
    <w:lvl w:ilvl="2">
      <w:start w:val="1"/>
      <w:numFmt w:val="decimal"/>
      <w:isLgl w:val="false"/>
      <w:suff w:val="nothing"/>
      <w:lvlText w:val="%1.%2.%3  "/>
      <w:lvlJc w:val="left"/>
      <w:pPr>
        <w:pStyle w:val="928"/>
        <w:ind w:left="0" w:firstLine="0"/>
      </w:pPr>
      <w:rPr>
        <w:rFonts w:ascii="Arial" w:hAnsi="Arial"/>
        <w:b w:val="0"/>
        <w:i w:val="0"/>
        <w:sz w:val="24"/>
        <w:szCs w:val="24"/>
      </w:rPr>
    </w:lvl>
    <w:lvl w:ilvl="3">
      <w:start w:val="1"/>
      <w:numFmt w:val="decimal"/>
      <w:isLgl w:val="false"/>
      <w:suff w:val="nothing"/>
      <w:lvlText w:val="%1.%2.%3.%4  "/>
      <w:lvlJc w:val="left"/>
      <w:pPr>
        <w:pStyle w:val="928"/>
        <w:ind w:left="0" w:firstLine="0"/>
      </w:pPr>
      <w:rPr>
        <w:rFonts w:ascii="Arial" w:hAnsi="Arial"/>
        <w:b w:val="0"/>
        <w:i w:val="0"/>
        <w:sz w:val="21"/>
        <w:szCs w:val="21"/>
      </w:rPr>
    </w:lvl>
    <w:lvl w:ilvl="4">
      <w:start w:val="1"/>
      <w:numFmt w:val="decimal"/>
      <w:isLgl w:val="false"/>
      <w:suff w:val="tab"/>
      <w:lvlText w:val="%5."/>
      <w:lvlJc w:val="left"/>
      <w:pPr>
        <w:pStyle w:val="928"/>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928"/>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928"/>
        <w:ind w:left="1134" w:hanging="312"/>
        <w:tabs>
          <w:tab w:val="num" w:pos="1134" w:leader="none"/>
        </w:tabs>
      </w:pPr>
      <w:rPr>
        <w:rFonts w:ascii="Arial" w:hAnsi="Arial"/>
        <w:b w:val="0"/>
        <w:i w:val="0"/>
        <w:sz w:val="21"/>
        <w:szCs w:val="21"/>
      </w:rPr>
    </w:lvl>
    <w:lvl w:ilvl="7">
      <w:start w:val="2"/>
      <w:numFmt w:val="decimal"/>
      <w:pStyle w:val="1280"/>
      <w:isLgl w:val="false"/>
      <w:suff w:val="space"/>
      <w:lvlText w:val="图3-%8"/>
      <w:lvlJc w:val="center"/>
      <w:pPr>
        <w:pStyle w:val="928"/>
        <w:ind w:left="4066" w:firstLine="0"/>
      </w:pPr>
      <w:rPr>
        <w:rFonts w:ascii="Arial" w:hAnsi="Arial" w:eastAsia="黑体"/>
        <w:b w:val="0"/>
        <w:i w:val="0"/>
        <w:sz w:val="18"/>
        <w:szCs w:val="18"/>
      </w:rPr>
    </w:lvl>
    <w:lvl w:ilvl="8">
      <w:start w:val="1"/>
      <w:numFmt w:val="decimal"/>
      <w:isLgl w:val="false"/>
      <w:suff w:val="space"/>
      <w:lvlText w:val="表%9"/>
      <w:lvlJc w:val="center"/>
      <w:pPr>
        <w:pStyle w:val="928"/>
        <w:ind w:left="0" w:firstLine="0"/>
      </w:pPr>
      <w:rPr>
        <w:rFonts w:ascii="Arial" w:hAnsi="Arial" w:eastAsia="黑体"/>
        <w:b w:val="0"/>
        <w:i w:val="0"/>
        <w:sz w:val="18"/>
        <w:szCs w:val="18"/>
      </w:rPr>
    </w:lvl>
  </w:abstractNum>
  <w:abstractNum w:abstractNumId="42">
    <w:multiLevelType w:val="hybridMultilevel"/>
    <w:lvl w:ilvl="0">
      <w:start w:val="0"/>
      <w:numFmt w:val="bullet"/>
      <w:isLgl w:val="false"/>
      <w:suff w:val="tab"/>
      <w:lvlText w:val="-"/>
      <w:lvlJc w:val="left"/>
      <w:pPr>
        <w:pStyle w:val="928"/>
        <w:ind w:left="780" w:hanging="360"/>
      </w:pPr>
      <w:rPr>
        <w:rFonts w:hint="eastAsia" w:ascii="宋体" w:hAnsi="宋体" w:eastAsia="宋体" w:cs="Times New Roman"/>
      </w:rPr>
    </w:lvl>
    <w:lvl w:ilvl="1">
      <w:start w:val="1"/>
      <w:numFmt w:val="bullet"/>
      <w:isLgl w:val="false"/>
      <w:suff w:val="tab"/>
      <w:lvlText w:val=""/>
      <w:lvlJc w:val="left"/>
      <w:pPr>
        <w:pStyle w:val="928"/>
        <w:ind w:left="1260" w:hanging="420"/>
      </w:pPr>
      <w:rPr>
        <w:rFonts w:ascii="Wingdings" w:hAnsi="Wingdings"/>
      </w:rPr>
    </w:lvl>
    <w:lvl w:ilvl="2">
      <w:start w:val="1"/>
      <w:numFmt w:val="bullet"/>
      <w:pStyle w:val="1405"/>
      <w:isLgl w:val="false"/>
      <w:suff w:val="tab"/>
      <w:lvlText w:val=""/>
      <w:lvlJc w:val="left"/>
      <w:pPr>
        <w:pStyle w:val="928"/>
        <w:ind w:left="1680" w:hanging="420"/>
      </w:pPr>
      <w:rPr>
        <w:rFonts w:ascii="Wingdings" w:hAnsi="Wingdings"/>
      </w:rPr>
    </w:lvl>
    <w:lvl w:ilvl="3">
      <w:start w:val="1"/>
      <w:numFmt w:val="bullet"/>
      <w:isLgl w:val="false"/>
      <w:suff w:val="tab"/>
      <w:lvlText w:val=""/>
      <w:lvlJc w:val="left"/>
      <w:pPr>
        <w:pStyle w:val="928"/>
        <w:ind w:left="2100" w:hanging="420"/>
      </w:pPr>
      <w:rPr>
        <w:rFonts w:ascii="Wingdings" w:hAnsi="Wingdings"/>
      </w:rPr>
    </w:lvl>
    <w:lvl w:ilvl="4">
      <w:start w:val="1"/>
      <w:numFmt w:val="bullet"/>
      <w:isLgl w:val="false"/>
      <w:suff w:val="tab"/>
      <w:lvlText w:val=""/>
      <w:lvlJc w:val="left"/>
      <w:pPr>
        <w:pStyle w:val="928"/>
        <w:ind w:left="2520" w:hanging="420"/>
      </w:pPr>
      <w:rPr>
        <w:rFonts w:ascii="Wingdings" w:hAnsi="Wingdings"/>
      </w:rPr>
    </w:lvl>
    <w:lvl w:ilvl="5">
      <w:start w:val="1"/>
      <w:numFmt w:val="bullet"/>
      <w:isLgl w:val="false"/>
      <w:suff w:val="tab"/>
      <w:lvlText w:val=""/>
      <w:lvlJc w:val="left"/>
      <w:pPr>
        <w:pStyle w:val="928"/>
        <w:ind w:left="2940" w:hanging="420"/>
      </w:pPr>
      <w:rPr>
        <w:rFonts w:ascii="Wingdings" w:hAnsi="Wingdings"/>
      </w:rPr>
    </w:lvl>
    <w:lvl w:ilvl="6">
      <w:start w:val="1"/>
      <w:numFmt w:val="bullet"/>
      <w:isLgl w:val="false"/>
      <w:suff w:val="tab"/>
      <w:lvlText w:val=""/>
      <w:lvlJc w:val="left"/>
      <w:pPr>
        <w:pStyle w:val="928"/>
        <w:ind w:left="3360" w:hanging="420"/>
      </w:pPr>
      <w:rPr>
        <w:rFonts w:ascii="Wingdings" w:hAnsi="Wingdings"/>
      </w:rPr>
    </w:lvl>
    <w:lvl w:ilvl="7">
      <w:start w:val="1"/>
      <w:numFmt w:val="bullet"/>
      <w:isLgl w:val="false"/>
      <w:suff w:val="tab"/>
      <w:lvlText w:val=""/>
      <w:lvlJc w:val="left"/>
      <w:pPr>
        <w:pStyle w:val="928"/>
        <w:ind w:left="3780" w:hanging="420"/>
      </w:pPr>
      <w:rPr>
        <w:rFonts w:ascii="Wingdings" w:hAnsi="Wingdings"/>
      </w:rPr>
    </w:lvl>
    <w:lvl w:ilvl="8">
      <w:start w:val="1"/>
      <w:numFmt w:val="bullet"/>
      <w:isLgl w:val="false"/>
      <w:suff w:val="tab"/>
      <w:lvlText w:val=""/>
      <w:lvlJc w:val="left"/>
      <w:pPr>
        <w:pStyle w:val="928"/>
        <w:ind w:left="4200" w:hanging="420"/>
      </w:pPr>
      <w:rPr>
        <w:rFonts w:ascii="Wingdings" w:hAnsi="Wingdings"/>
      </w:rPr>
    </w:lvl>
  </w:abstractNum>
  <w:abstractNum w:abstractNumId="43">
    <w:multiLevelType w:val="hybridMultilevel"/>
    <w:lvl w:ilvl="0">
      <w:start w:val="1"/>
      <w:numFmt w:val="decimal"/>
      <w:isLgl w:val="false"/>
      <w:suff w:val="tab"/>
      <w:lvlText w:val="%1)"/>
      <w:lvlJc w:val="left"/>
      <w:pPr>
        <w:pStyle w:val="928"/>
        <w:ind w:left="420" w:hanging="420"/>
      </w:pPr>
      <w:rPr>
        <w:rFonts w:hint="eastAsia" w:ascii="宋体" w:hAnsi="宋体" w:eastAsia="宋体"/>
      </w:rPr>
    </w:lvl>
    <w:lvl w:ilvl="1">
      <w:start w:val="1"/>
      <w:numFmt w:val="lowerLetter"/>
      <w:isLgl w:val="false"/>
      <w:suff w:val="tab"/>
      <w:lvlText w:val="%2)"/>
      <w:lvlJc w:val="left"/>
      <w:pPr>
        <w:pStyle w:val="928"/>
        <w:ind w:left="840" w:hanging="420"/>
      </w:pPr>
      <w:rPr>
        <w:rFonts w:ascii="Times New Roman" w:hAnsi="Times New Roman" w:cs="Times New Roman"/>
      </w:rPr>
    </w:lvl>
    <w:lvl w:ilvl="2">
      <w:start w:val="1"/>
      <w:numFmt w:val="lowerRoman"/>
      <w:isLgl w:val="false"/>
      <w:suff w:val="tab"/>
      <w:lvlText w:val="%3."/>
      <w:lvlJc w:val="right"/>
      <w:pPr>
        <w:pStyle w:val="928"/>
        <w:ind w:left="1260" w:hanging="420"/>
      </w:pPr>
      <w:rPr>
        <w:rFonts w:ascii="Times New Roman" w:hAnsi="Times New Roman" w:cs="Times New Roman"/>
      </w:rPr>
    </w:lvl>
    <w:lvl w:ilvl="3">
      <w:start w:val="1"/>
      <w:numFmt w:val="decimal"/>
      <w:isLgl w:val="false"/>
      <w:suff w:val="tab"/>
      <w:lvlText w:val="%4."/>
      <w:lvlJc w:val="left"/>
      <w:pPr>
        <w:pStyle w:val="928"/>
        <w:ind w:left="1680" w:hanging="420"/>
      </w:pPr>
      <w:rPr>
        <w:rFonts w:ascii="Times New Roman" w:hAnsi="Times New Roman" w:cs="Times New Roman"/>
      </w:rPr>
    </w:lvl>
    <w:lvl w:ilvl="4">
      <w:start w:val="1"/>
      <w:numFmt w:val="lowerLetter"/>
      <w:isLgl w:val="false"/>
      <w:suff w:val="tab"/>
      <w:lvlText w:val="%5)"/>
      <w:lvlJc w:val="left"/>
      <w:pPr>
        <w:pStyle w:val="928"/>
        <w:ind w:left="2100" w:hanging="420"/>
      </w:pPr>
      <w:rPr>
        <w:rFonts w:ascii="Times New Roman" w:hAnsi="Times New Roman" w:cs="Times New Roman"/>
      </w:rPr>
    </w:lvl>
    <w:lvl w:ilvl="5">
      <w:start w:val="1"/>
      <w:numFmt w:val="lowerRoman"/>
      <w:isLgl w:val="false"/>
      <w:suff w:val="tab"/>
      <w:lvlText w:val="%6."/>
      <w:lvlJc w:val="right"/>
      <w:pPr>
        <w:pStyle w:val="928"/>
        <w:ind w:left="2520" w:hanging="420"/>
      </w:pPr>
      <w:rPr>
        <w:rFonts w:ascii="Times New Roman" w:hAnsi="Times New Roman" w:cs="Times New Roman"/>
      </w:rPr>
    </w:lvl>
    <w:lvl w:ilvl="6">
      <w:start w:val="1"/>
      <w:numFmt w:val="decimal"/>
      <w:isLgl w:val="false"/>
      <w:suff w:val="tab"/>
      <w:lvlText w:val="%7."/>
      <w:lvlJc w:val="left"/>
      <w:pPr>
        <w:pStyle w:val="928"/>
        <w:ind w:left="2940" w:hanging="420"/>
      </w:pPr>
      <w:rPr>
        <w:rFonts w:ascii="Times New Roman" w:hAnsi="Times New Roman" w:cs="Times New Roman"/>
      </w:rPr>
    </w:lvl>
    <w:lvl w:ilvl="7">
      <w:start w:val="1"/>
      <w:numFmt w:val="lowerLetter"/>
      <w:isLgl w:val="false"/>
      <w:suff w:val="tab"/>
      <w:lvlText w:val="%8)"/>
      <w:lvlJc w:val="left"/>
      <w:pPr>
        <w:pStyle w:val="928"/>
        <w:ind w:left="3360" w:hanging="420"/>
      </w:pPr>
      <w:rPr>
        <w:rFonts w:ascii="Times New Roman" w:hAnsi="Times New Roman" w:cs="Times New Roman"/>
      </w:rPr>
    </w:lvl>
    <w:lvl w:ilvl="8">
      <w:start w:val="1"/>
      <w:numFmt w:val="lowerRoman"/>
      <w:isLgl w:val="false"/>
      <w:suff w:val="tab"/>
      <w:lvlText w:val="%9."/>
      <w:lvlJc w:val="right"/>
      <w:pPr>
        <w:pStyle w:val="928"/>
        <w:ind w:left="3780" w:hanging="420"/>
      </w:pPr>
      <w:rPr>
        <w:rFonts w:ascii="Times New Roman" w:hAnsi="Times New Roman" w:cs="Times New Roman"/>
      </w:rPr>
    </w:lvl>
  </w:abstractNum>
  <w:abstractNum w:abstractNumId="44">
    <w:multiLevelType w:val="hybridMultilevel"/>
    <w:lvl w:ilvl="0">
      <w:start w:val="1"/>
      <w:numFmt w:val="decimal"/>
      <w:isLgl w:val="false"/>
      <w:suff w:val="tab"/>
      <w:lvlText w:val="%1)"/>
      <w:lvlJc w:val="left"/>
      <w:pPr>
        <w:pStyle w:val="928"/>
        <w:ind w:left="420" w:hanging="420"/>
      </w:pPr>
      <w:rPr>
        <w:rFonts w:ascii="Times New Roman" w:hAnsi="Times New Roman" w:cs="Times New Roman"/>
      </w:rPr>
    </w:lvl>
    <w:lvl w:ilvl="1">
      <w:start w:val="1"/>
      <w:numFmt w:val="lowerLetter"/>
      <w:isLgl w:val="false"/>
      <w:suff w:val="tab"/>
      <w:lvlText w:val="%2)"/>
      <w:lvlJc w:val="left"/>
      <w:pPr>
        <w:pStyle w:val="928"/>
        <w:ind w:left="840" w:hanging="420"/>
      </w:pPr>
      <w:rPr>
        <w:rFonts w:ascii="Times New Roman" w:hAnsi="Times New Roman" w:cs="Times New Roman"/>
      </w:rPr>
    </w:lvl>
    <w:lvl w:ilvl="2">
      <w:start w:val="1"/>
      <w:numFmt w:val="lowerRoman"/>
      <w:isLgl w:val="false"/>
      <w:suff w:val="tab"/>
      <w:lvlText w:val="%3."/>
      <w:lvlJc w:val="right"/>
      <w:pPr>
        <w:pStyle w:val="928"/>
        <w:ind w:left="1260" w:hanging="420"/>
      </w:pPr>
      <w:rPr>
        <w:rFonts w:ascii="Times New Roman" w:hAnsi="Times New Roman" w:cs="Times New Roman"/>
      </w:rPr>
    </w:lvl>
    <w:lvl w:ilvl="3">
      <w:start w:val="1"/>
      <w:numFmt w:val="decimal"/>
      <w:isLgl w:val="false"/>
      <w:suff w:val="tab"/>
      <w:lvlText w:val="%4."/>
      <w:lvlJc w:val="left"/>
      <w:pPr>
        <w:pStyle w:val="928"/>
        <w:ind w:left="1680" w:hanging="420"/>
      </w:pPr>
      <w:rPr>
        <w:rFonts w:ascii="Times New Roman" w:hAnsi="Times New Roman" w:cs="Times New Roman"/>
      </w:rPr>
    </w:lvl>
    <w:lvl w:ilvl="4">
      <w:start w:val="1"/>
      <w:numFmt w:val="lowerLetter"/>
      <w:isLgl w:val="false"/>
      <w:suff w:val="tab"/>
      <w:lvlText w:val="%5)"/>
      <w:lvlJc w:val="left"/>
      <w:pPr>
        <w:pStyle w:val="928"/>
        <w:ind w:left="2100" w:hanging="420"/>
      </w:pPr>
      <w:rPr>
        <w:rFonts w:ascii="Times New Roman" w:hAnsi="Times New Roman" w:cs="Times New Roman"/>
      </w:rPr>
    </w:lvl>
    <w:lvl w:ilvl="5">
      <w:start w:val="1"/>
      <w:numFmt w:val="lowerRoman"/>
      <w:isLgl w:val="false"/>
      <w:suff w:val="tab"/>
      <w:lvlText w:val="%6."/>
      <w:lvlJc w:val="right"/>
      <w:pPr>
        <w:pStyle w:val="928"/>
        <w:ind w:left="2520" w:hanging="420"/>
      </w:pPr>
      <w:rPr>
        <w:rFonts w:ascii="Times New Roman" w:hAnsi="Times New Roman" w:cs="Times New Roman"/>
      </w:rPr>
    </w:lvl>
    <w:lvl w:ilvl="6">
      <w:start w:val="1"/>
      <w:numFmt w:val="decimal"/>
      <w:isLgl w:val="false"/>
      <w:suff w:val="tab"/>
      <w:lvlText w:val="%7."/>
      <w:lvlJc w:val="left"/>
      <w:pPr>
        <w:pStyle w:val="928"/>
        <w:ind w:left="2940" w:hanging="420"/>
      </w:pPr>
      <w:rPr>
        <w:rFonts w:ascii="Times New Roman" w:hAnsi="Times New Roman" w:cs="Times New Roman"/>
      </w:rPr>
    </w:lvl>
    <w:lvl w:ilvl="7">
      <w:start w:val="1"/>
      <w:numFmt w:val="lowerLetter"/>
      <w:isLgl w:val="false"/>
      <w:suff w:val="tab"/>
      <w:lvlText w:val="%8)"/>
      <w:lvlJc w:val="left"/>
      <w:pPr>
        <w:pStyle w:val="928"/>
        <w:ind w:left="3360" w:hanging="420"/>
      </w:pPr>
      <w:rPr>
        <w:rFonts w:ascii="Times New Roman" w:hAnsi="Times New Roman" w:cs="Times New Roman"/>
      </w:rPr>
    </w:lvl>
    <w:lvl w:ilvl="8">
      <w:start w:val="1"/>
      <w:numFmt w:val="lowerRoman"/>
      <w:isLgl w:val="false"/>
      <w:suff w:val="tab"/>
      <w:lvlText w:val="%9."/>
      <w:lvlJc w:val="right"/>
      <w:pPr>
        <w:pStyle w:val="928"/>
        <w:ind w:left="3780" w:hanging="420"/>
      </w:pPr>
      <w:rPr>
        <w:rFonts w:ascii="Times New Roman" w:hAnsi="Times New Roman" w:cs="Times New Roman"/>
      </w:rPr>
    </w:lvl>
  </w:abstractNum>
  <w:abstractNum w:abstractNumId="45">
    <w:multiLevelType w:val="hybridMultilevel"/>
    <w:lvl w:ilvl="0">
      <w:start w:val="1"/>
      <w:numFmt w:val="decimal"/>
      <w:isLgl w:val="false"/>
      <w:suff w:val="space"/>
      <w:lvlText w:val="%1."/>
      <w:lvlJc w:val="left"/>
      <w:pPr>
        <w:pStyle w:val="928"/>
        <w:ind w:left="0" w:firstLine="0"/>
      </w:pPr>
      <w:rPr>
        <w:rFonts w:ascii="Times New Roman" w:hAnsi="Times New Roman" w:cs="Times New Roman"/>
      </w:rPr>
    </w:lvl>
    <w:lvl w:ilvl="1">
      <w:start w:val="1"/>
      <w:numFmt w:val="decimal"/>
      <w:isLgl w:val="false"/>
      <w:suff w:val="space"/>
      <w:lvlText w:val="%1.%2"/>
      <w:lvlJc w:val="left"/>
      <w:pPr>
        <w:pStyle w:val="928"/>
        <w:ind w:left="0" w:firstLine="113"/>
      </w:pPr>
      <w:rPr>
        <w:rFonts w:ascii="Times New Roman" w:hAnsi="Times New Roman" w:cs="Times New Roman"/>
        <w:b/>
        <w:bCs/>
      </w:rPr>
    </w:lvl>
    <w:lvl w:ilvl="2">
      <w:start w:val="1"/>
      <w:numFmt w:val="decimal"/>
      <w:isLgl w:val="false"/>
      <w:suff w:val="space"/>
      <w:lvlText w:val="%1.%2.%3"/>
      <w:lvlJc w:val="left"/>
      <w:pPr>
        <w:pStyle w:val="928"/>
        <w:ind w:left="0" w:firstLine="170"/>
      </w:pPr>
      <w:rPr>
        <w:rFonts w:hint="eastAsia" w:ascii="宋体" w:hAnsi="宋体" w:eastAsia="宋体"/>
      </w:rPr>
    </w:lvl>
    <w:lvl w:ilvl="3">
      <w:start w:val="1"/>
      <w:numFmt w:val="decimal"/>
      <w:isLgl w:val="false"/>
      <w:suff w:val="space"/>
      <w:lvlText w:val="%1.%2.%3.%4"/>
      <w:lvlJc w:val="left"/>
      <w:pPr>
        <w:pStyle w:val="928"/>
        <w:ind w:left="0" w:firstLine="227"/>
      </w:pPr>
      <w:rPr>
        <w:rFonts w:hint="eastAsia" w:ascii="宋体" w:hAnsi="宋体" w:eastAsia="宋体"/>
      </w:rPr>
    </w:lvl>
    <w:lvl w:ilvl="4">
      <w:start w:val="1"/>
      <w:numFmt w:val="decimal"/>
      <w:isLgl w:val="false"/>
      <w:suff w:val="tab"/>
      <w:lvlText w:val="%1.%2.%3.%4.%5"/>
      <w:lvlJc w:val="left"/>
      <w:pPr>
        <w:pStyle w:val="928"/>
        <w:ind w:left="2551" w:hanging="850"/>
      </w:pPr>
      <w:rPr>
        <w:rFonts w:hint="eastAsia" w:ascii="宋体" w:hAnsi="宋体" w:eastAsia="宋体"/>
      </w:rPr>
    </w:lvl>
    <w:lvl w:ilvl="5">
      <w:start w:val="1"/>
      <w:numFmt w:val="decimal"/>
      <w:isLgl w:val="false"/>
      <w:suff w:val="tab"/>
      <w:lvlText w:val="%1.%2.%3.%4.%5.%6"/>
      <w:lvlJc w:val="left"/>
      <w:pPr>
        <w:pStyle w:val="928"/>
        <w:ind w:left="3260" w:hanging="1134"/>
      </w:pPr>
      <w:rPr>
        <w:rFonts w:hint="eastAsia" w:ascii="宋体" w:hAnsi="宋体" w:eastAsia="宋体"/>
      </w:rPr>
    </w:lvl>
    <w:lvl w:ilvl="6">
      <w:start w:val="1"/>
      <w:numFmt w:val="decimal"/>
      <w:isLgl w:val="false"/>
      <w:suff w:val="tab"/>
      <w:lvlText w:val="%1.%2.%3.%4.%5.%6.%7"/>
      <w:lvlJc w:val="left"/>
      <w:pPr>
        <w:pStyle w:val="928"/>
        <w:ind w:left="3827" w:hanging="1276"/>
      </w:pPr>
      <w:rPr>
        <w:rFonts w:hint="eastAsia" w:ascii="宋体" w:hAnsi="宋体" w:eastAsia="宋体"/>
      </w:rPr>
    </w:lvl>
    <w:lvl w:ilvl="7">
      <w:start w:val="1"/>
      <w:numFmt w:val="decimal"/>
      <w:isLgl w:val="false"/>
      <w:suff w:val="tab"/>
      <w:lvlText w:val="%1.%2.%3.%4.%5.%6.%7.%8"/>
      <w:lvlJc w:val="left"/>
      <w:pPr>
        <w:pStyle w:val="928"/>
        <w:ind w:left="4394" w:hanging="1418"/>
      </w:pPr>
      <w:rPr>
        <w:rFonts w:hint="eastAsia" w:ascii="宋体" w:hAnsi="宋体" w:eastAsia="宋体"/>
      </w:rPr>
    </w:lvl>
    <w:lvl w:ilvl="8">
      <w:start w:val="1"/>
      <w:numFmt w:val="decimal"/>
      <w:isLgl w:val="false"/>
      <w:suff w:val="tab"/>
      <w:lvlText w:val="%1.%2.%3.%4.%5.%6.%7.%8.%9"/>
      <w:lvlJc w:val="left"/>
      <w:pPr>
        <w:pStyle w:val="928"/>
        <w:ind w:left="5102" w:hanging="1700"/>
      </w:pPr>
      <w:rPr>
        <w:rFonts w:hint="eastAsia" w:ascii="宋体" w:hAnsi="宋体" w:eastAsia="宋体"/>
      </w:rPr>
    </w:lvl>
  </w:abstractNum>
  <w:abstractNum w:abstractNumId="46">
    <w:multiLevelType w:val="hybridMultilevel"/>
    <w:lvl w:ilvl="0">
      <w:start w:val="1"/>
      <w:numFmt w:val="bullet"/>
      <w:pStyle w:val="1332"/>
      <w:isLgl w:val="false"/>
      <w:suff w:val="tab"/>
      <w:lvlText w:val=""/>
      <w:lvlJc w:val="left"/>
      <w:pPr>
        <w:pStyle w:val="928"/>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928"/>
        <w:ind w:left="840" w:hanging="420"/>
        <w:tabs>
          <w:tab w:val="num" w:pos="840" w:leader="none"/>
        </w:tabs>
      </w:pPr>
      <w:rPr>
        <w:rFonts w:ascii="Wingdings" w:hAnsi="Wingdings"/>
      </w:rPr>
    </w:lvl>
    <w:lvl w:ilvl="2">
      <w:start w:val="1"/>
      <w:numFmt w:val="bullet"/>
      <w:isLgl w:val="false"/>
      <w:suff w:val="tab"/>
      <w:lvlText w:val=""/>
      <w:lvlJc w:val="left"/>
      <w:pPr>
        <w:pStyle w:val="928"/>
        <w:ind w:left="1260" w:hanging="420"/>
        <w:tabs>
          <w:tab w:val="num" w:pos="1260" w:leader="none"/>
        </w:tabs>
      </w:pPr>
      <w:rPr>
        <w:rFonts w:ascii="Wingdings" w:hAnsi="Wingdings"/>
      </w:rPr>
    </w:lvl>
    <w:lvl w:ilvl="3">
      <w:start w:val="1"/>
      <w:numFmt w:val="bullet"/>
      <w:isLgl w:val="false"/>
      <w:suff w:val="tab"/>
      <w:lvlText w:val=""/>
      <w:lvlJc w:val="left"/>
      <w:pPr>
        <w:pStyle w:val="928"/>
        <w:ind w:left="1680" w:hanging="420"/>
        <w:tabs>
          <w:tab w:val="num" w:pos="1680" w:leader="none"/>
        </w:tabs>
      </w:pPr>
      <w:rPr>
        <w:rFonts w:ascii="Wingdings" w:hAnsi="Wingdings"/>
      </w:rPr>
    </w:lvl>
    <w:lvl w:ilvl="4">
      <w:start w:val="1"/>
      <w:numFmt w:val="bullet"/>
      <w:isLgl w:val="false"/>
      <w:suff w:val="tab"/>
      <w:lvlText w:val=""/>
      <w:lvlJc w:val="left"/>
      <w:pPr>
        <w:pStyle w:val="928"/>
        <w:ind w:left="2100" w:hanging="420"/>
        <w:tabs>
          <w:tab w:val="num" w:pos="2100" w:leader="none"/>
        </w:tabs>
      </w:pPr>
      <w:rPr>
        <w:rFonts w:ascii="Wingdings" w:hAnsi="Wingdings"/>
      </w:rPr>
    </w:lvl>
    <w:lvl w:ilvl="5">
      <w:start w:val="1"/>
      <w:numFmt w:val="bullet"/>
      <w:isLgl w:val="false"/>
      <w:suff w:val="tab"/>
      <w:lvlText w:val=""/>
      <w:lvlJc w:val="left"/>
      <w:pPr>
        <w:pStyle w:val="928"/>
        <w:ind w:left="2520" w:hanging="420"/>
        <w:tabs>
          <w:tab w:val="num" w:pos="2520" w:leader="none"/>
        </w:tabs>
      </w:pPr>
      <w:rPr>
        <w:rFonts w:ascii="Wingdings" w:hAnsi="Wingdings"/>
      </w:rPr>
    </w:lvl>
    <w:lvl w:ilvl="6">
      <w:start w:val="1"/>
      <w:numFmt w:val="bullet"/>
      <w:isLgl w:val="false"/>
      <w:suff w:val="tab"/>
      <w:lvlText w:val=""/>
      <w:lvlJc w:val="left"/>
      <w:pPr>
        <w:pStyle w:val="928"/>
        <w:ind w:left="2940" w:hanging="420"/>
        <w:tabs>
          <w:tab w:val="num" w:pos="2940" w:leader="none"/>
        </w:tabs>
      </w:pPr>
      <w:rPr>
        <w:rFonts w:ascii="Wingdings" w:hAnsi="Wingdings"/>
      </w:rPr>
    </w:lvl>
    <w:lvl w:ilvl="7">
      <w:start w:val="1"/>
      <w:numFmt w:val="bullet"/>
      <w:isLgl w:val="false"/>
      <w:suff w:val="tab"/>
      <w:lvlText w:val=""/>
      <w:lvlJc w:val="left"/>
      <w:pPr>
        <w:pStyle w:val="928"/>
        <w:ind w:left="3360" w:hanging="420"/>
        <w:tabs>
          <w:tab w:val="num" w:pos="3360" w:leader="none"/>
        </w:tabs>
      </w:pPr>
      <w:rPr>
        <w:rFonts w:ascii="Wingdings" w:hAnsi="Wingdings"/>
      </w:rPr>
    </w:lvl>
    <w:lvl w:ilvl="8">
      <w:start w:val="1"/>
      <w:numFmt w:val="bullet"/>
      <w:isLgl w:val="false"/>
      <w:suff w:val="tab"/>
      <w:lvlText w:val=""/>
      <w:lvlJc w:val="left"/>
      <w:pPr>
        <w:pStyle w:val="928"/>
        <w:ind w:left="3780" w:hanging="420"/>
        <w:tabs>
          <w:tab w:val="num" w:pos="3780" w:leader="none"/>
        </w:tabs>
      </w:pPr>
      <w:rPr>
        <w:rFonts w:ascii="Wingdings" w:hAnsi="Wingdings"/>
      </w:rPr>
    </w:lvl>
  </w:abstractNum>
  <w:abstractNum w:abstractNumId="47">
    <w:multiLevelType w:val="hybridMultilevel"/>
    <w:lvl w:ilvl="0">
      <w:start w:val="1"/>
      <w:numFmt w:val="decimal"/>
      <w:isLgl w:val="false"/>
      <w:suff w:val="tab"/>
      <w:lvlText w:val="%1)"/>
      <w:lvlJc w:val="left"/>
      <w:pPr>
        <w:pStyle w:val="928"/>
        <w:ind w:left="860" w:hanging="440"/>
      </w:pPr>
    </w:lvl>
    <w:lvl w:ilvl="1">
      <w:start w:val="1"/>
      <w:numFmt w:val="lowerLetter"/>
      <w:isLgl w:val="false"/>
      <w:suff w:val="tab"/>
      <w:lvlText w:val="%2)"/>
      <w:lvlJc w:val="left"/>
      <w:pPr>
        <w:pStyle w:val="928"/>
        <w:ind w:left="1300" w:hanging="440"/>
      </w:pPr>
    </w:lvl>
    <w:lvl w:ilvl="2">
      <w:start w:val="1"/>
      <w:numFmt w:val="lowerRoman"/>
      <w:isLgl w:val="false"/>
      <w:suff w:val="tab"/>
      <w:lvlText w:val="%3."/>
      <w:lvlJc w:val="right"/>
      <w:pPr>
        <w:pStyle w:val="928"/>
        <w:ind w:left="1740" w:hanging="440"/>
      </w:pPr>
    </w:lvl>
    <w:lvl w:ilvl="3">
      <w:start w:val="1"/>
      <w:numFmt w:val="decimal"/>
      <w:isLgl w:val="false"/>
      <w:suff w:val="tab"/>
      <w:lvlText w:val="%4."/>
      <w:lvlJc w:val="left"/>
      <w:pPr>
        <w:pStyle w:val="928"/>
        <w:ind w:left="2180" w:hanging="440"/>
      </w:pPr>
    </w:lvl>
    <w:lvl w:ilvl="4">
      <w:start w:val="1"/>
      <w:numFmt w:val="lowerLetter"/>
      <w:isLgl w:val="false"/>
      <w:suff w:val="tab"/>
      <w:lvlText w:val="%5)"/>
      <w:lvlJc w:val="left"/>
      <w:pPr>
        <w:pStyle w:val="928"/>
        <w:ind w:left="2620" w:hanging="440"/>
      </w:pPr>
    </w:lvl>
    <w:lvl w:ilvl="5">
      <w:start w:val="1"/>
      <w:numFmt w:val="lowerRoman"/>
      <w:isLgl w:val="false"/>
      <w:suff w:val="tab"/>
      <w:lvlText w:val="%6."/>
      <w:lvlJc w:val="right"/>
      <w:pPr>
        <w:pStyle w:val="928"/>
        <w:ind w:left="3060" w:hanging="440"/>
      </w:pPr>
    </w:lvl>
    <w:lvl w:ilvl="6">
      <w:start w:val="1"/>
      <w:numFmt w:val="decimal"/>
      <w:isLgl w:val="false"/>
      <w:suff w:val="tab"/>
      <w:lvlText w:val="%7."/>
      <w:lvlJc w:val="left"/>
      <w:pPr>
        <w:pStyle w:val="928"/>
        <w:ind w:left="3500" w:hanging="440"/>
      </w:pPr>
    </w:lvl>
    <w:lvl w:ilvl="7">
      <w:start w:val="1"/>
      <w:numFmt w:val="lowerLetter"/>
      <w:isLgl w:val="false"/>
      <w:suff w:val="tab"/>
      <w:lvlText w:val="%8)"/>
      <w:lvlJc w:val="left"/>
      <w:pPr>
        <w:pStyle w:val="928"/>
        <w:ind w:left="3940" w:hanging="440"/>
      </w:pPr>
    </w:lvl>
    <w:lvl w:ilvl="8">
      <w:start w:val="1"/>
      <w:numFmt w:val="lowerRoman"/>
      <w:isLgl w:val="false"/>
      <w:suff w:val="tab"/>
      <w:lvlText w:val="%9."/>
      <w:lvlJc w:val="right"/>
      <w:pPr>
        <w:pStyle w:val="928"/>
        <w:ind w:left="4380" w:hanging="440"/>
      </w:pPr>
    </w:lvl>
  </w:abstractNum>
  <w:abstractNum w:abstractNumId="48">
    <w:multiLevelType w:val="hybridMultilevel"/>
    <w:lvl w:ilvl="0">
      <w:start w:val="1"/>
      <w:numFmt w:val="decimal"/>
      <w:isLgl w:val="false"/>
      <w:suff w:val="tab"/>
      <w:lvlText w:val="%1)"/>
      <w:lvlJc w:val="left"/>
      <w:pPr>
        <w:pStyle w:val="928"/>
        <w:ind w:left="860" w:hanging="440"/>
      </w:pPr>
    </w:lvl>
    <w:lvl w:ilvl="1">
      <w:start w:val="1"/>
      <w:numFmt w:val="lowerLetter"/>
      <w:isLgl w:val="false"/>
      <w:suff w:val="tab"/>
      <w:lvlText w:val="%2)"/>
      <w:lvlJc w:val="left"/>
      <w:pPr>
        <w:pStyle w:val="928"/>
        <w:ind w:left="1300" w:hanging="440"/>
      </w:pPr>
    </w:lvl>
    <w:lvl w:ilvl="2">
      <w:start w:val="1"/>
      <w:numFmt w:val="lowerRoman"/>
      <w:isLgl w:val="false"/>
      <w:suff w:val="tab"/>
      <w:lvlText w:val="%3."/>
      <w:lvlJc w:val="right"/>
      <w:pPr>
        <w:pStyle w:val="928"/>
        <w:ind w:left="1740" w:hanging="440"/>
      </w:pPr>
    </w:lvl>
    <w:lvl w:ilvl="3">
      <w:start w:val="1"/>
      <w:numFmt w:val="decimal"/>
      <w:isLgl w:val="false"/>
      <w:suff w:val="tab"/>
      <w:lvlText w:val="%4."/>
      <w:lvlJc w:val="left"/>
      <w:pPr>
        <w:pStyle w:val="928"/>
        <w:ind w:left="2180" w:hanging="440"/>
      </w:pPr>
    </w:lvl>
    <w:lvl w:ilvl="4">
      <w:start w:val="1"/>
      <w:numFmt w:val="lowerLetter"/>
      <w:isLgl w:val="false"/>
      <w:suff w:val="tab"/>
      <w:lvlText w:val="%5)"/>
      <w:lvlJc w:val="left"/>
      <w:pPr>
        <w:pStyle w:val="928"/>
        <w:ind w:left="2620" w:hanging="440"/>
      </w:pPr>
    </w:lvl>
    <w:lvl w:ilvl="5">
      <w:start w:val="1"/>
      <w:numFmt w:val="lowerRoman"/>
      <w:isLgl w:val="false"/>
      <w:suff w:val="tab"/>
      <w:lvlText w:val="%6."/>
      <w:lvlJc w:val="right"/>
      <w:pPr>
        <w:pStyle w:val="928"/>
        <w:ind w:left="3060" w:hanging="440"/>
      </w:pPr>
    </w:lvl>
    <w:lvl w:ilvl="6">
      <w:start w:val="1"/>
      <w:numFmt w:val="decimal"/>
      <w:isLgl w:val="false"/>
      <w:suff w:val="tab"/>
      <w:lvlText w:val="%7."/>
      <w:lvlJc w:val="left"/>
      <w:pPr>
        <w:pStyle w:val="928"/>
        <w:ind w:left="3500" w:hanging="440"/>
      </w:pPr>
    </w:lvl>
    <w:lvl w:ilvl="7">
      <w:start w:val="1"/>
      <w:numFmt w:val="lowerLetter"/>
      <w:isLgl w:val="false"/>
      <w:suff w:val="tab"/>
      <w:lvlText w:val="%8)"/>
      <w:lvlJc w:val="left"/>
      <w:pPr>
        <w:pStyle w:val="928"/>
        <w:ind w:left="3940" w:hanging="440"/>
      </w:pPr>
    </w:lvl>
    <w:lvl w:ilvl="8">
      <w:start w:val="1"/>
      <w:numFmt w:val="lowerRoman"/>
      <w:isLgl w:val="false"/>
      <w:suff w:val="tab"/>
      <w:lvlText w:val="%9."/>
      <w:lvlJc w:val="right"/>
      <w:pPr>
        <w:pStyle w:val="928"/>
        <w:ind w:left="4380" w:hanging="440"/>
      </w:pPr>
    </w:lvl>
  </w:abstractNum>
  <w:abstractNum w:abstractNumId="49">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32.%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50">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22.%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51">
    <w:multiLevelType w:val="hybridMultilevel"/>
    <w:lvl w:ilvl="0">
      <w:start w:val="1"/>
      <w:numFmt w:val="decimal"/>
      <w:isLgl w:val="false"/>
      <w:suff w:val="tab"/>
      <w:lvlText w:val="%1."/>
      <w:lvlJc w:val="left"/>
      <w:pPr>
        <w:pStyle w:val="928"/>
        <w:ind w:left="440" w:hanging="440"/>
        <w:tabs>
          <w:tab w:val="num" w:pos="440" w:leader="none"/>
        </w:tabs>
      </w:pPr>
      <w:rPr>
        <w:rFonts w:ascii="Times New Roman" w:hAnsi="Times New Roman" w:cs="Times New Roman"/>
      </w:rPr>
    </w:lvl>
    <w:lvl w:ilvl="1">
      <w:start w:val="1"/>
      <w:numFmt w:val="lowerLetter"/>
      <w:isLgl w:val="false"/>
      <w:suff w:val="tab"/>
      <w:lvlText w:val="%2."/>
      <w:lvlJc w:val="left"/>
      <w:pPr>
        <w:pStyle w:val="928"/>
        <w:ind w:left="880" w:hanging="440"/>
        <w:tabs>
          <w:tab w:val="num" w:pos="880" w:leader="none"/>
        </w:tabs>
      </w:pPr>
      <w:rPr>
        <w:rFonts w:ascii="Times New Roman" w:hAnsi="Times New Roman" w:cs="Times New Roman"/>
      </w:rPr>
    </w:lvl>
    <w:lvl w:ilvl="2">
      <w:start w:val="1"/>
      <w:numFmt w:val="lowerRoman"/>
      <w:isLgl w:val="false"/>
      <w:suff w:val="tab"/>
      <w:lvlText w:val="%3."/>
      <w:lvlJc w:val="left"/>
      <w:pPr>
        <w:pStyle w:val="928"/>
        <w:ind w:left="1320" w:hanging="440"/>
        <w:tabs>
          <w:tab w:val="num" w:pos="1320" w:leader="none"/>
        </w:tabs>
      </w:pPr>
      <w:rPr>
        <w:rFonts w:ascii="Times New Roman" w:hAnsi="Times New Roman" w:cs="Times New Roman"/>
      </w:rPr>
    </w:lvl>
    <w:lvl w:ilvl="3">
      <w:start w:val="1"/>
      <w:numFmt w:val="decimal"/>
      <w:isLgl w:val="false"/>
      <w:suff w:val="tab"/>
      <w:lvlText w:val="%4."/>
      <w:lvlJc w:val="left"/>
      <w:pPr>
        <w:pStyle w:val="928"/>
        <w:ind w:left="1760" w:hanging="440"/>
        <w:tabs>
          <w:tab w:val="num" w:pos="1760" w:leader="none"/>
        </w:tabs>
      </w:pPr>
      <w:rPr>
        <w:rFonts w:ascii="Times New Roman" w:hAnsi="Times New Roman" w:cs="Times New Roman"/>
      </w:rPr>
    </w:lvl>
    <w:lvl w:ilvl="4">
      <w:start w:val="1"/>
      <w:numFmt w:val="lowerLetter"/>
      <w:isLgl w:val="false"/>
      <w:suff w:val="tab"/>
      <w:lvlText w:val="%5."/>
      <w:lvlJc w:val="left"/>
      <w:pPr>
        <w:pStyle w:val="928"/>
        <w:ind w:left="2200" w:hanging="440"/>
        <w:tabs>
          <w:tab w:val="num" w:pos="2200" w:leader="none"/>
        </w:tabs>
      </w:pPr>
      <w:rPr>
        <w:rFonts w:ascii="Times New Roman" w:hAnsi="Times New Roman" w:cs="Times New Roman"/>
      </w:rPr>
    </w:lvl>
    <w:lvl w:ilvl="5">
      <w:start w:val="1"/>
      <w:numFmt w:val="lowerRoman"/>
      <w:isLgl w:val="false"/>
      <w:suff w:val="tab"/>
      <w:lvlText w:val="%6."/>
      <w:lvlJc w:val="left"/>
      <w:pPr>
        <w:pStyle w:val="928"/>
        <w:ind w:left="2640" w:hanging="440"/>
        <w:tabs>
          <w:tab w:val="num" w:pos="2640" w:leader="none"/>
        </w:tabs>
      </w:pPr>
      <w:rPr>
        <w:rFonts w:ascii="Times New Roman" w:hAnsi="Times New Roman" w:cs="Times New Roman"/>
      </w:rPr>
    </w:lvl>
    <w:lvl w:ilvl="6">
      <w:start w:val="1"/>
      <w:numFmt w:val="decimal"/>
      <w:isLgl w:val="false"/>
      <w:suff w:val="tab"/>
      <w:lvlText w:val="%7."/>
      <w:lvlJc w:val="left"/>
      <w:pPr>
        <w:pStyle w:val="928"/>
        <w:ind w:left="3080" w:hanging="440"/>
        <w:tabs>
          <w:tab w:val="num" w:pos="3080" w:leader="none"/>
        </w:tabs>
      </w:pPr>
      <w:rPr>
        <w:rFonts w:ascii="Times New Roman" w:hAnsi="Times New Roman" w:cs="Times New Roman"/>
      </w:rPr>
    </w:lvl>
    <w:lvl w:ilvl="7">
      <w:start w:val="1"/>
      <w:numFmt w:val="lowerLetter"/>
      <w:isLgl w:val="false"/>
      <w:suff w:val="tab"/>
      <w:lvlText w:val="%8."/>
      <w:lvlJc w:val="left"/>
      <w:pPr>
        <w:pStyle w:val="928"/>
        <w:ind w:left="3520" w:hanging="440"/>
        <w:tabs>
          <w:tab w:val="num" w:pos="3520" w:leader="none"/>
        </w:tabs>
      </w:pPr>
      <w:rPr>
        <w:rFonts w:ascii="Times New Roman" w:hAnsi="Times New Roman" w:cs="Times New Roman"/>
      </w:rPr>
    </w:lvl>
    <w:lvl w:ilvl="8">
      <w:start w:val="1"/>
      <w:numFmt w:val="lowerRoman"/>
      <w:isLgl w:val="false"/>
      <w:suff w:val="tab"/>
      <w:lvlText w:val="%9."/>
      <w:lvlJc w:val="left"/>
      <w:pPr>
        <w:pStyle w:val="928"/>
        <w:ind w:left="3960" w:hanging="440"/>
        <w:tabs>
          <w:tab w:val="num" w:pos="3960" w:leader="none"/>
        </w:tabs>
      </w:pPr>
      <w:rPr>
        <w:rFonts w:ascii="Times New Roman" w:hAnsi="Times New Roman" w:cs="Times New Roman"/>
      </w:rPr>
    </w:lvl>
  </w:abstractNum>
  <w:abstractNum w:abstractNumId="52">
    <w:multiLevelType w:val="hybridMultilevel"/>
    <w:lvl w:ilvl="0">
      <w:start w:val="1"/>
      <w:numFmt w:val="decimal"/>
      <w:isLgl w:val="false"/>
      <w:suff w:val="tab"/>
      <w:lvlText w:val="20.%1"/>
      <w:lvlJc w:val="left"/>
      <w:pPr>
        <w:pStyle w:val="928"/>
        <w:ind w:left="440" w:hanging="440"/>
      </w:pPr>
      <w:rPr>
        <w:rFonts w:hint="eastAsia"/>
      </w:rPr>
    </w:lvl>
    <w:lvl w:ilvl="1">
      <w:start w:val="1"/>
      <w:numFmt w:val="lowerLetter"/>
      <w:isLgl w:val="false"/>
      <w:suff w:val="tab"/>
      <w:lvlText w:val="%2)"/>
      <w:lvlJc w:val="left"/>
      <w:pPr>
        <w:pStyle w:val="928"/>
        <w:ind w:left="880" w:hanging="440"/>
      </w:pPr>
    </w:lvl>
    <w:lvl w:ilvl="2">
      <w:start w:val="3"/>
      <w:numFmt w:val="decimal"/>
      <w:isLgl w:val="false"/>
      <w:suff w:val="tab"/>
      <w:lvlText w:val="%3、"/>
      <w:lvlJc w:val="left"/>
      <w:pPr>
        <w:pStyle w:val="928"/>
        <w:ind w:left="1240" w:hanging="360"/>
      </w:pPr>
    </w:lvl>
    <w:lvl w:ilvl="3">
      <w:start w:val="2"/>
      <w:numFmt w:val="japaneseCounting"/>
      <w:isLgl w:val="false"/>
      <w:suff w:val="tab"/>
      <w:lvlText w:val="%4、"/>
      <w:lvlJc w:val="left"/>
      <w:pPr>
        <w:pStyle w:val="928"/>
        <w:ind w:left="1770" w:hanging="45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abstractNum w:abstractNumId="53">
    <w:multiLevelType w:val="hybridMultilevel"/>
    <w:lvl w:ilvl="0">
      <w:start w:val="1"/>
      <w:numFmt w:val="decimal"/>
      <w:isLgl w:val="false"/>
      <w:suff w:val="tab"/>
      <w:lvlText w:val="%1)"/>
      <w:lvlJc w:val="left"/>
      <w:pPr>
        <w:pStyle w:val="928"/>
        <w:ind w:left="860" w:hanging="440"/>
      </w:pPr>
    </w:lvl>
    <w:lvl w:ilvl="1">
      <w:start w:val="1"/>
      <w:numFmt w:val="lowerLetter"/>
      <w:isLgl w:val="false"/>
      <w:suff w:val="tab"/>
      <w:lvlText w:val="%2)"/>
      <w:lvlJc w:val="left"/>
      <w:pPr>
        <w:pStyle w:val="928"/>
        <w:ind w:left="1300" w:hanging="440"/>
      </w:pPr>
    </w:lvl>
    <w:lvl w:ilvl="2">
      <w:start w:val="1"/>
      <w:numFmt w:val="lowerRoman"/>
      <w:isLgl w:val="false"/>
      <w:suff w:val="tab"/>
      <w:lvlText w:val="%3."/>
      <w:lvlJc w:val="right"/>
      <w:pPr>
        <w:pStyle w:val="928"/>
        <w:ind w:left="1740" w:hanging="440"/>
      </w:pPr>
    </w:lvl>
    <w:lvl w:ilvl="3">
      <w:start w:val="1"/>
      <w:numFmt w:val="decimal"/>
      <w:isLgl w:val="false"/>
      <w:suff w:val="tab"/>
      <w:lvlText w:val="%4."/>
      <w:lvlJc w:val="left"/>
      <w:pPr>
        <w:pStyle w:val="928"/>
        <w:ind w:left="2180" w:hanging="440"/>
      </w:pPr>
    </w:lvl>
    <w:lvl w:ilvl="4">
      <w:start w:val="1"/>
      <w:numFmt w:val="lowerLetter"/>
      <w:isLgl w:val="false"/>
      <w:suff w:val="tab"/>
      <w:lvlText w:val="%5)"/>
      <w:lvlJc w:val="left"/>
      <w:pPr>
        <w:pStyle w:val="928"/>
        <w:ind w:left="2620" w:hanging="440"/>
      </w:pPr>
    </w:lvl>
    <w:lvl w:ilvl="5">
      <w:start w:val="1"/>
      <w:numFmt w:val="lowerRoman"/>
      <w:isLgl w:val="false"/>
      <w:suff w:val="tab"/>
      <w:lvlText w:val="%6."/>
      <w:lvlJc w:val="right"/>
      <w:pPr>
        <w:pStyle w:val="928"/>
        <w:ind w:left="3060" w:hanging="440"/>
      </w:pPr>
    </w:lvl>
    <w:lvl w:ilvl="6">
      <w:start w:val="1"/>
      <w:numFmt w:val="decimal"/>
      <w:isLgl w:val="false"/>
      <w:suff w:val="tab"/>
      <w:lvlText w:val="%7."/>
      <w:lvlJc w:val="left"/>
      <w:pPr>
        <w:pStyle w:val="928"/>
        <w:ind w:left="3500" w:hanging="440"/>
      </w:pPr>
    </w:lvl>
    <w:lvl w:ilvl="7">
      <w:start w:val="1"/>
      <w:numFmt w:val="lowerLetter"/>
      <w:isLgl w:val="false"/>
      <w:suff w:val="tab"/>
      <w:lvlText w:val="%8)"/>
      <w:lvlJc w:val="left"/>
      <w:pPr>
        <w:pStyle w:val="928"/>
        <w:ind w:left="3940" w:hanging="440"/>
      </w:pPr>
    </w:lvl>
    <w:lvl w:ilvl="8">
      <w:start w:val="1"/>
      <w:numFmt w:val="lowerRoman"/>
      <w:isLgl w:val="false"/>
      <w:suff w:val="tab"/>
      <w:lvlText w:val="%9."/>
      <w:lvlJc w:val="right"/>
      <w:pPr>
        <w:pStyle w:val="928"/>
        <w:ind w:left="4380" w:hanging="440"/>
      </w:pPr>
    </w:lvl>
  </w:abstractNum>
  <w:abstractNum w:abstractNumId="54">
    <w:multiLevelType w:val="hybridMultilevel"/>
    <w:lvl w:ilvl="0">
      <w:start w:val="1"/>
      <w:numFmt w:val="decimal"/>
      <w:pStyle w:val="1331"/>
      <w:isLgl w:val="false"/>
      <w:suff w:val="tab"/>
      <w:lvlText w:val="%1."/>
      <w:lvlJc w:val="left"/>
      <w:pPr>
        <w:pStyle w:val="928"/>
        <w:ind w:left="425" w:hanging="425"/>
        <w:tabs>
          <w:tab w:val="num" w:pos="425" w:leader="none"/>
        </w:tabs>
      </w:pPr>
      <w:rPr>
        <w:rFonts w:hint="eastAsia"/>
      </w:rPr>
    </w:lvl>
    <w:lvl w:ilvl="1">
      <w:start w:val="1"/>
      <w:numFmt w:val="decimal"/>
      <w:isLgl w:val="false"/>
      <w:suff w:val="tab"/>
      <w:lvlText w:val="%1.%2"/>
      <w:lvlJc w:val="left"/>
      <w:pPr>
        <w:pStyle w:val="928"/>
        <w:ind w:left="567" w:hanging="567"/>
        <w:tabs>
          <w:tab w:val="num" w:pos="567" w:leader="none"/>
        </w:tabs>
      </w:pPr>
      <w:rPr>
        <w:rFonts w:hint="eastAsia"/>
      </w:rPr>
    </w:lvl>
    <w:lvl w:ilvl="2">
      <w:start w:val="1"/>
      <w:numFmt w:val="decimal"/>
      <w:isLgl w:val="false"/>
      <w:suff w:val="tab"/>
      <w:lvlText w:val="%1.%2.%3."/>
      <w:lvlJc w:val="left"/>
      <w:pPr>
        <w:pStyle w:val="928"/>
        <w:ind w:left="709" w:hanging="709"/>
        <w:tabs>
          <w:tab w:val="num" w:pos="709"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55">
    <w:multiLevelType w:val="hybridMultilevel"/>
    <w:lvl w:ilvl="0">
      <w:start w:val="1"/>
      <w:numFmt w:val="decimal"/>
      <w:isLgl w:val="false"/>
      <w:suff w:val="tab"/>
      <w:lvlText w:val="%1."/>
      <w:lvlJc w:val="left"/>
      <w:pPr>
        <w:pStyle w:val="928"/>
        <w:ind w:left="440" w:hanging="440"/>
        <w:tabs>
          <w:tab w:val="num" w:pos="440" w:leader="none"/>
        </w:tabs>
      </w:pPr>
      <w:rPr>
        <w:rFonts w:ascii="Times New Roman" w:hAnsi="Times New Roman" w:cs="Times New Roman"/>
      </w:rPr>
    </w:lvl>
    <w:lvl w:ilvl="1">
      <w:start w:val="1"/>
      <w:numFmt w:val="lowerLetter"/>
      <w:isLgl w:val="false"/>
      <w:suff w:val="tab"/>
      <w:lvlText w:val="%2."/>
      <w:lvlJc w:val="left"/>
      <w:pPr>
        <w:pStyle w:val="928"/>
        <w:ind w:left="880" w:hanging="440"/>
        <w:tabs>
          <w:tab w:val="num" w:pos="880" w:leader="none"/>
        </w:tabs>
      </w:pPr>
      <w:rPr>
        <w:rFonts w:ascii="Times New Roman" w:hAnsi="Times New Roman" w:cs="Times New Roman"/>
      </w:rPr>
    </w:lvl>
    <w:lvl w:ilvl="2">
      <w:start w:val="1"/>
      <w:numFmt w:val="lowerRoman"/>
      <w:isLgl w:val="false"/>
      <w:suff w:val="tab"/>
      <w:lvlText w:val="%3."/>
      <w:lvlJc w:val="left"/>
      <w:pPr>
        <w:pStyle w:val="928"/>
        <w:ind w:left="1320" w:hanging="440"/>
        <w:tabs>
          <w:tab w:val="num" w:pos="1320" w:leader="none"/>
        </w:tabs>
      </w:pPr>
      <w:rPr>
        <w:rFonts w:ascii="Times New Roman" w:hAnsi="Times New Roman" w:cs="Times New Roman"/>
      </w:rPr>
    </w:lvl>
    <w:lvl w:ilvl="3">
      <w:start w:val="1"/>
      <w:numFmt w:val="decimal"/>
      <w:isLgl w:val="false"/>
      <w:suff w:val="tab"/>
      <w:lvlText w:val="%4."/>
      <w:lvlJc w:val="left"/>
      <w:pPr>
        <w:pStyle w:val="928"/>
        <w:ind w:left="1760" w:hanging="440"/>
        <w:tabs>
          <w:tab w:val="num" w:pos="1760" w:leader="none"/>
        </w:tabs>
      </w:pPr>
      <w:rPr>
        <w:rFonts w:ascii="Times New Roman" w:hAnsi="Times New Roman" w:cs="Times New Roman"/>
      </w:rPr>
    </w:lvl>
    <w:lvl w:ilvl="4">
      <w:start w:val="1"/>
      <w:numFmt w:val="lowerLetter"/>
      <w:isLgl w:val="false"/>
      <w:suff w:val="tab"/>
      <w:lvlText w:val="%5."/>
      <w:lvlJc w:val="left"/>
      <w:pPr>
        <w:pStyle w:val="928"/>
        <w:ind w:left="2200" w:hanging="440"/>
        <w:tabs>
          <w:tab w:val="num" w:pos="2200" w:leader="none"/>
        </w:tabs>
      </w:pPr>
      <w:rPr>
        <w:rFonts w:ascii="Times New Roman" w:hAnsi="Times New Roman" w:cs="Times New Roman"/>
      </w:rPr>
    </w:lvl>
    <w:lvl w:ilvl="5">
      <w:start w:val="1"/>
      <w:numFmt w:val="lowerRoman"/>
      <w:isLgl w:val="false"/>
      <w:suff w:val="tab"/>
      <w:lvlText w:val="%6."/>
      <w:lvlJc w:val="left"/>
      <w:pPr>
        <w:pStyle w:val="928"/>
        <w:ind w:left="2640" w:hanging="440"/>
        <w:tabs>
          <w:tab w:val="num" w:pos="2640" w:leader="none"/>
        </w:tabs>
      </w:pPr>
      <w:rPr>
        <w:rFonts w:ascii="Times New Roman" w:hAnsi="Times New Roman" w:cs="Times New Roman"/>
      </w:rPr>
    </w:lvl>
    <w:lvl w:ilvl="6">
      <w:start w:val="1"/>
      <w:numFmt w:val="decimal"/>
      <w:isLgl w:val="false"/>
      <w:suff w:val="tab"/>
      <w:lvlText w:val="%7."/>
      <w:lvlJc w:val="left"/>
      <w:pPr>
        <w:pStyle w:val="928"/>
        <w:ind w:left="3080" w:hanging="440"/>
        <w:tabs>
          <w:tab w:val="num" w:pos="3080" w:leader="none"/>
        </w:tabs>
      </w:pPr>
      <w:rPr>
        <w:rFonts w:ascii="Times New Roman" w:hAnsi="Times New Roman" w:cs="Times New Roman"/>
      </w:rPr>
    </w:lvl>
    <w:lvl w:ilvl="7">
      <w:start w:val="1"/>
      <w:numFmt w:val="lowerLetter"/>
      <w:isLgl w:val="false"/>
      <w:suff w:val="tab"/>
      <w:lvlText w:val="%8."/>
      <w:lvlJc w:val="left"/>
      <w:pPr>
        <w:pStyle w:val="928"/>
        <w:ind w:left="3520" w:hanging="440"/>
        <w:tabs>
          <w:tab w:val="num" w:pos="3520" w:leader="none"/>
        </w:tabs>
      </w:pPr>
      <w:rPr>
        <w:rFonts w:ascii="Times New Roman" w:hAnsi="Times New Roman" w:cs="Times New Roman"/>
      </w:rPr>
    </w:lvl>
    <w:lvl w:ilvl="8">
      <w:start w:val="1"/>
      <w:numFmt w:val="lowerRoman"/>
      <w:isLgl w:val="false"/>
      <w:suff w:val="tab"/>
      <w:lvlText w:val="%9."/>
      <w:lvlJc w:val="left"/>
      <w:pPr>
        <w:pStyle w:val="928"/>
        <w:ind w:left="3960" w:hanging="440"/>
        <w:tabs>
          <w:tab w:val="num" w:pos="3960" w:leader="none"/>
        </w:tabs>
      </w:pPr>
      <w:rPr>
        <w:rFonts w:ascii="Times New Roman" w:hAnsi="Times New Roman" w:cs="Times New Roman"/>
      </w:rPr>
    </w:lvl>
  </w:abstractNum>
  <w:abstractNum w:abstractNumId="56">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33.%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57">
    <w:multiLevelType w:val="hybridMultilevel"/>
    <w:lvl w:ilvl="0">
      <w:start w:val="1"/>
      <w:numFmt w:val="decimal"/>
      <w:isLgl w:val="false"/>
      <w:suff w:val="tab"/>
      <w:lvlText w:val="%1)"/>
      <w:lvlJc w:val="left"/>
      <w:pPr>
        <w:pStyle w:val="928"/>
        <w:ind w:left="420" w:hanging="420"/>
      </w:pPr>
      <w:rPr>
        <w:rFonts w:hint="eastAsia" w:ascii="宋体" w:hAnsi="宋体" w:eastAsia="宋体"/>
      </w:rPr>
    </w:lvl>
    <w:lvl w:ilvl="1">
      <w:start w:val="1"/>
      <w:numFmt w:val="lowerLetter"/>
      <w:isLgl w:val="false"/>
      <w:suff w:val="tab"/>
      <w:lvlText w:val="%2)"/>
      <w:lvlJc w:val="left"/>
      <w:pPr>
        <w:pStyle w:val="928"/>
        <w:ind w:left="840" w:hanging="420"/>
      </w:pPr>
      <w:rPr>
        <w:rFonts w:ascii="Times New Roman" w:hAnsi="Times New Roman" w:cs="Times New Roman"/>
      </w:rPr>
    </w:lvl>
    <w:lvl w:ilvl="2">
      <w:start w:val="1"/>
      <w:numFmt w:val="lowerRoman"/>
      <w:isLgl w:val="false"/>
      <w:suff w:val="tab"/>
      <w:lvlText w:val="%3."/>
      <w:lvlJc w:val="right"/>
      <w:pPr>
        <w:pStyle w:val="928"/>
        <w:ind w:left="1260" w:hanging="420"/>
      </w:pPr>
      <w:rPr>
        <w:rFonts w:ascii="Times New Roman" w:hAnsi="Times New Roman" w:cs="Times New Roman"/>
      </w:rPr>
    </w:lvl>
    <w:lvl w:ilvl="3">
      <w:start w:val="1"/>
      <w:numFmt w:val="decimal"/>
      <w:isLgl w:val="false"/>
      <w:suff w:val="tab"/>
      <w:lvlText w:val="%4."/>
      <w:lvlJc w:val="left"/>
      <w:pPr>
        <w:pStyle w:val="928"/>
        <w:ind w:left="1680" w:hanging="420"/>
      </w:pPr>
      <w:rPr>
        <w:rFonts w:ascii="Times New Roman" w:hAnsi="Times New Roman" w:cs="Times New Roman"/>
      </w:rPr>
    </w:lvl>
    <w:lvl w:ilvl="4">
      <w:start w:val="1"/>
      <w:numFmt w:val="lowerLetter"/>
      <w:isLgl w:val="false"/>
      <w:suff w:val="tab"/>
      <w:lvlText w:val="%5)"/>
      <w:lvlJc w:val="left"/>
      <w:pPr>
        <w:pStyle w:val="928"/>
        <w:ind w:left="2100" w:hanging="420"/>
      </w:pPr>
      <w:rPr>
        <w:rFonts w:ascii="Times New Roman" w:hAnsi="Times New Roman" w:cs="Times New Roman"/>
      </w:rPr>
    </w:lvl>
    <w:lvl w:ilvl="5">
      <w:start w:val="1"/>
      <w:numFmt w:val="lowerRoman"/>
      <w:isLgl w:val="false"/>
      <w:suff w:val="tab"/>
      <w:lvlText w:val="%6."/>
      <w:lvlJc w:val="right"/>
      <w:pPr>
        <w:pStyle w:val="928"/>
        <w:ind w:left="2520" w:hanging="420"/>
      </w:pPr>
      <w:rPr>
        <w:rFonts w:ascii="Times New Roman" w:hAnsi="Times New Roman" w:cs="Times New Roman"/>
      </w:rPr>
    </w:lvl>
    <w:lvl w:ilvl="6">
      <w:start w:val="1"/>
      <w:numFmt w:val="decimal"/>
      <w:isLgl w:val="false"/>
      <w:suff w:val="tab"/>
      <w:lvlText w:val="%7."/>
      <w:lvlJc w:val="left"/>
      <w:pPr>
        <w:pStyle w:val="928"/>
        <w:ind w:left="2940" w:hanging="420"/>
      </w:pPr>
      <w:rPr>
        <w:rFonts w:ascii="Times New Roman" w:hAnsi="Times New Roman" w:cs="Times New Roman"/>
      </w:rPr>
    </w:lvl>
    <w:lvl w:ilvl="7">
      <w:start w:val="1"/>
      <w:numFmt w:val="lowerLetter"/>
      <w:isLgl w:val="false"/>
      <w:suff w:val="tab"/>
      <w:lvlText w:val="%8)"/>
      <w:lvlJc w:val="left"/>
      <w:pPr>
        <w:pStyle w:val="928"/>
        <w:ind w:left="3360" w:hanging="420"/>
      </w:pPr>
      <w:rPr>
        <w:rFonts w:ascii="Times New Roman" w:hAnsi="Times New Roman" w:cs="Times New Roman"/>
      </w:rPr>
    </w:lvl>
    <w:lvl w:ilvl="8">
      <w:start w:val="1"/>
      <w:numFmt w:val="lowerRoman"/>
      <w:isLgl w:val="false"/>
      <w:suff w:val="tab"/>
      <w:lvlText w:val="%9."/>
      <w:lvlJc w:val="right"/>
      <w:pPr>
        <w:pStyle w:val="928"/>
        <w:ind w:left="3780" w:hanging="420"/>
      </w:pPr>
      <w:rPr>
        <w:rFonts w:ascii="Times New Roman" w:hAnsi="Times New Roman" w:cs="Times New Roman"/>
      </w:rPr>
    </w:lvl>
  </w:abstractNum>
  <w:abstractNum w:abstractNumId="58">
    <w:multiLevelType w:val="hybridMultilevel"/>
    <w:lvl w:ilvl="0">
      <w:start w:val="1"/>
      <w:numFmt w:val="chineseCounting"/>
      <w:isLgl w:val="false"/>
      <w:suff w:val="nothing"/>
      <w:lvlText w:val="%1、"/>
      <w:lvlJc w:val="left"/>
      <w:pPr>
        <w:pStyle w:val="928"/>
        <w:ind w:left="0" w:firstLine="400"/>
      </w:pPr>
      <w:rPr>
        <w:rFonts w:hint="eastAsia" w:ascii="宋体" w:hAnsi="宋体" w:eastAsia="宋体"/>
      </w:rPr>
    </w:lvl>
    <w:lvl w:ilvl="1">
      <w:start w:val="1"/>
      <w:numFmt w:val="decimal"/>
      <w:isLgl w:val="false"/>
      <w:suff w:val="nothing"/>
      <w:lvlText w:val="%2．"/>
      <w:lvlJc w:val="left"/>
      <w:pPr>
        <w:pStyle w:val="928"/>
        <w:ind w:left="0" w:firstLine="400"/>
      </w:pPr>
      <w:rPr>
        <w:rFonts w:hint="eastAsia" w:ascii="宋体" w:hAnsi="宋体" w:eastAsia="宋体"/>
      </w:rPr>
    </w:lvl>
    <w:lvl w:ilvl="2">
      <w:start w:val="1"/>
      <w:numFmt w:val="decimal"/>
      <w:isLgl w:val="false"/>
      <w:suff w:val="nothing"/>
      <w:lvlText w:val="（%3）"/>
      <w:lvlJc w:val="left"/>
      <w:pPr>
        <w:pStyle w:val="928"/>
        <w:ind w:left="0" w:firstLine="402"/>
      </w:pPr>
      <w:rPr>
        <w:rFonts w:hint="eastAsia" w:ascii="宋体" w:hAnsi="宋体" w:eastAsia="宋体"/>
      </w:rPr>
    </w:lvl>
    <w:lvl w:ilvl="3">
      <w:start w:val="1"/>
      <w:numFmt w:val="decimalEnclosedCircleChinese"/>
      <w:isLgl w:val="false"/>
      <w:suff w:val="nothing"/>
      <w:lvlText w:val="%4 "/>
      <w:lvlJc w:val="left"/>
      <w:pPr>
        <w:pStyle w:val="928"/>
        <w:ind w:left="0" w:firstLine="402"/>
      </w:pPr>
      <w:rPr>
        <w:rFonts w:hint="eastAsia" w:ascii="宋体" w:hAnsi="宋体" w:eastAsia="宋体"/>
      </w:rPr>
    </w:lvl>
    <w:lvl w:ilvl="4">
      <w:start w:val="1"/>
      <w:numFmt w:val="decimal"/>
      <w:isLgl w:val="false"/>
      <w:suff w:val="nothing"/>
      <w:lvlText w:val="%5）"/>
      <w:lvlJc w:val="left"/>
      <w:pPr>
        <w:pStyle w:val="928"/>
        <w:ind w:left="0" w:firstLine="402"/>
      </w:pPr>
      <w:rPr>
        <w:rFonts w:hint="eastAsia" w:ascii="宋体" w:hAnsi="宋体" w:eastAsia="宋体"/>
      </w:rPr>
    </w:lvl>
    <w:lvl w:ilvl="5">
      <w:start w:val="1"/>
      <w:numFmt w:val="lowerLetter"/>
      <w:isLgl w:val="false"/>
      <w:suff w:val="nothing"/>
      <w:lvlText w:val="%6．"/>
      <w:lvlJc w:val="left"/>
      <w:pPr>
        <w:pStyle w:val="928"/>
        <w:ind w:left="0" w:firstLine="402"/>
      </w:pPr>
      <w:rPr>
        <w:rFonts w:hint="eastAsia" w:ascii="宋体" w:hAnsi="宋体" w:eastAsia="宋体"/>
      </w:rPr>
    </w:lvl>
    <w:lvl w:ilvl="6">
      <w:start w:val="1"/>
      <w:numFmt w:val="lowerLetter"/>
      <w:isLgl w:val="false"/>
      <w:suff w:val="nothing"/>
      <w:lvlText w:val="%7）"/>
      <w:lvlJc w:val="left"/>
      <w:pPr>
        <w:pStyle w:val="928"/>
        <w:ind w:left="0" w:firstLine="402"/>
      </w:pPr>
      <w:rPr>
        <w:rFonts w:hint="eastAsia" w:ascii="宋体" w:hAnsi="宋体" w:eastAsia="宋体"/>
      </w:rPr>
    </w:lvl>
    <w:lvl w:ilvl="7">
      <w:start w:val="1"/>
      <w:numFmt w:val="lowerRoman"/>
      <w:isLgl w:val="false"/>
      <w:suff w:val="nothing"/>
      <w:lvlText w:val="%8. "/>
      <w:lvlJc w:val="left"/>
      <w:pPr>
        <w:pStyle w:val="928"/>
        <w:ind w:left="0" w:firstLine="402"/>
      </w:pPr>
      <w:rPr>
        <w:rFonts w:hint="eastAsia" w:ascii="宋体" w:hAnsi="宋体" w:eastAsia="宋体"/>
      </w:rPr>
    </w:lvl>
    <w:lvl w:ilvl="8">
      <w:start w:val="1"/>
      <w:numFmt w:val="lowerRoman"/>
      <w:isLgl w:val="false"/>
      <w:suff w:val="nothing"/>
      <w:lvlText w:val="%9）"/>
      <w:lvlJc w:val="left"/>
      <w:pPr>
        <w:pStyle w:val="928"/>
        <w:ind w:left="0" w:firstLine="402"/>
      </w:pPr>
      <w:rPr>
        <w:rFonts w:hint="eastAsia" w:ascii="宋体" w:hAnsi="宋体" w:eastAsia="宋体"/>
      </w:rPr>
    </w:lvl>
  </w:abstractNum>
  <w:abstractNum w:abstractNumId="59">
    <w:multiLevelType w:val="hybridMultilevel"/>
    <w:lvl w:ilvl="0">
      <w:start w:val="1"/>
      <w:numFmt w:val="japaneseCounting"/>
      <w:pStyle w:val="1539"/>
      <w:isLgl w:val="false"/>
      <w:suff w:val="tab"/>
      <w:lvlText w:val="%1、"/>
      <w:lvlJc w:val="left"/>
      <w:pPr>
        <w:pStyle w:val="928"/>
        <w:ind w:left="720" w:hanging="720"/>
        <w:tabs>
          <w:tab w:val="num" w:pos="720" w:leader="none"/>
        </w:tabs>
      </w:pPr>
    </w:lvl>
    <w:lvl w:ilvl="1">
      <w:start w:val="1"/>
      <w:numFmt w:val="lowerLetter"/>
      <w:isLgl w:val="false"/>
      <w:suff w:val="tab"/>
      <w:lvlText w:val="%2)"/>
      <w:lvlJc w:val="left"/>
      <w:pPr>
        <w:pStyle w:val="928"/>
        <w:ind w:left="840" w:hanging="420"/>
        <w:tabs>
          <w:tab w:val="num" w:pos="840" w:leader="none"/>
        </w:tabs>
      </w:pPr>
    </w:lvl>
    <w:lvl w:ilvl="2">
      <w:start w:val="1"/>
      <w:numFmt w:val="lowerRoman"/>
      <w:isLgl w:val="false"/>
      <w:suff w:val="tab"/>
      <w:lvlText w:val="%3."/>
      <w:lvlJc w:val="right"/>
      <w:pPr>
        <w:pStyle w:val="928"/>
        <w:ind w:left="1260" w:hanging="420"/>
        <w:tabs>
          <w:tab w:val="num" w:pos="1260" w:leader="none"/>
        </w:tabs>
      </w:pPr>
    </w:lvl>
    <w:lvl w:ilvl="3">
      <w:start w:val="1"/>
      <w:numFmt w:val="decimal"/>
      <w:isLgl w:val="false"/>
      <w:suff w:val="tab"/>
      <w:lvlText w:val="%4."/>
      <w:lvlJc w:val="left"/>
      <w:pPr>
        <w:pStyle w:val="928"/>
        <w:ind w:left="1680" w:hanging="420"/>
        <w:tabs>
          <w:tab w:val="num" w:pos="1680" w:leader="none"/>
        </w:tabs>
      </w:pPr>
    </w:lvl>
    <w:lvl w:ilvl="4">
      <w:start w:val="1"/>
      <w:numFmt w:val="lowerLetter"/>
      <w:isLgl w:val="false"/>
      <w:suff w:val="tab"/>
      <w:lvlText w:val="%5)"/>
      <w:lvlJc w:val="left"/>
      <w:pPr>
        <w:pStyle w:val="928"/>
        <w:ind w:left="2100" w:hanging="420"/>
        <w:tabs>
          <w:tab w:val="num" w:pos="2100" w:leader="none"/>
        </w:tabs>
      </w:pPr>
    </w:lvl>
    <w:lvl w:ilvl="5">
      <w:start w:val="1"/>
      <w:numFmt w:val="lowerRoman"/>
      <w:isLgl w:val="false"/>
      <w:suff w:val="tab"/>
      <w:lvlText w:val="%6."/>
      <w:lvlJc w:val="right"/>
      <w:pPr>
        <w:pStyle w:val="928"/>
        <w:ind w:left="2520" w:hanging="420"/>
        <w:tabs>
          <w:tab w:val="num" w:pos="2520" w:leader="none"/>
        </w:tabs>
      </w:pPr>
    </w:lvl>
    <w:lvl w:ilvl="6">
      <w:start w:val="1"/>
      <w:numFmt w:val="decimal"/>
      <w:isLgl w:val="false"/>
      <w:suff w:val="tab"/>
      <w:lvlText w:val="%7."/>
      <w:lvlJc w:val="left"/>
      <w:pPr>
        <w:pStyle w:val="928"/>
        <w:ind w:left="2940" w:hanging="420"/>
        <w:tabs>
          <w:tab w:val="num" w:pos="2940" w:leader="none"/>
        </w:tabs>
      </w:pPr>
    </w:lvl>
    <w:lvl w:ilvl="7">
      <w:start w:val="1"/>
      <w:numFmt w:val="lowerLetter"/>
      <w:isLgl w:val="false"/>
      <w:suff w:val="tab"/>
      <w:lvlText w:val="%8)"/>
      <w:lvlJc w:val="left"/>
      <w:pPr>
        <w:pStyle w:val="928"/>
        <w:ind w:left="3360" w:hanging="420"/>
        <w:tabs>
          <w:tab w:val="num" w:pos="3360" w:leader="none"/>
        </w:tabs>
      </w:pPr>
    </w:lvl>
    <w:lvl w:ilvl="8">
      <w:start w:val="1"/>
      <w:numFmt w:val="lowerRoman"/>
      <w:isLgl w:val="false"/>
      <w:suff w:val="tab"/>
      <w:lvlText w:val="%9."/>
      <w:lvlJc w:val="right"/>
      <w:pPr>
        <w:pStyle w:val="928"/>
        <w:ind w:left="3780" w:hanging="420"/>
        <w:tabs>
          <w:tab w:val="num" w:pos="3780" w:leader="none"/>
        </w:tabs>
      </w:pPr>
    </w:lvl>
  </w:abstractNum>
  <w:abstractNum w:abstractNumId="60">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28.%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61">
    <w:multiLevelType w:val="hybridMultilevel"/>
    <w:lvl w:ilvl="0">
      <w:start w:val="1"/>
      <w:numFmt w:val="chineseCounting"/>
      <w:isLgl w:val="false"/>
      <w:suff w:val="nothing"/>
      <w:lvlText w:val="%1、"/>
      <w:lvlJc w:val="left"/>
      <w:pPr>
        <w:pStyle w:val="928"/>
        <w:ind w:left="0" w:firstLine="0"/>
      </w:pPr>
      <w:rPr>
        <w:rFonts w:hint="eastAsia" w:ascii="宋体" w:hAnsi="宋体" w:eastAsia="宋体"/>
      </w:rPr>
    </w:lvl>
    <w:lvl w:ilvl="1">
      <w:start w:val="1"/>
      <w:numFmt w:val="decimal"/>
      <w:isLgl w:val="false"/>
      <w:suff w:val="tab"/>
      <w:lvlText w:val="%2."/>
      <w:lvlJc w:val="left"/>
      <w:pPr>
        <w:pStyle w:val="928"/>
        <w:ind w:left="1440" w:hanging="360"/>
        <w:tabs>
          <w:tab w:val="num" w:pos="1440" w:leader="none"/>
        </w:tabs>
      </w:pPr>
      <w:rPr>
        <w:rFonts w:ascii="Times New Roman" w:hAnsi="Times New Roman" w:cs="Times New Roman"/>
      </w:rPr>
    </w:lvl>
    <w:lvl w:ilvl="2">
      <w:start w:val="1"/>
      <w:numFmt w:val="decimal"/>
      <w:isLgl w:val="false"/>
      <w:suff w:val="tab"/>
      <w:lvlText w:val="%3."/>
      <w:lvlJc w:val="left"/>
      <w:pPr>
        <w:pStyle w:val="928"/>
        <w:ind w:left="2160" w:hanging="360"/>
        <w:tabs>
          <w:tab w:val="num" w:pos="2160" w:leader="none"/>
        </w:tabs>
      </w:pPr>
      <w:rPr>
        <w:rFonts w:ascii="Times New Roman" w:hAnsi="Times New Roman" w:cs="Times New Roman"/>
      </w:rPr>
    </w:lvl>
    <w:lvl w:ilvl="3">
      <w:start w:val="1"/>
      <w:numFmt w:val="decimal"/>
      <w:isLgl w:val="false"/>
      <w:suff w:val="tab"/>
      <w:lvlText w:val="%4."/>
      <w:lvlJc w:val="left"/>
      <w:pPr>
        <w:pStyle w:val="928"/>
        <w:ind w:left="2880" w:hanging="360"/>
        <w:tabs>
          <w:tab w:val="num" w:pos="2880" w:leader="none"/>
        </w:tabs>
      </w:pPr>
      <w:rPr>
        <w:rFonts w:ascii="Times New Roman" w:hAnsi="Times New Roman" w:cs="Times New Roman"/>
      </w:rPr>
    </w:lvl>
    <w:lvl w:ilvl="4">
      <w:start w:val="1"/>
      <w:numFmt w:val="decimal"/>
      <w:isLgl w:val="false"/>
      <w:suff w:val="tab"/>
      <w:lvlText w:val="%5."/>
      <w:lvlJc w:val="left"/>
      <w:pPr>
        <w:pStyle w:val="928"/>
        <w:ind w:left="3600" w:hanging="360"/>
        <w:tabs>
          <w:tab w:val="num" w:pos="3600" w:leader="none"/>
        </w:tabs>
      </w:pPr>
      <w:rPr>
        <w:rFonts w:ascii="Times New Roman" w:hAnsi="Times New Roman" w:cs="Times New Roman"/>
      </w:rPr>
    </w:lvl>
    <w:lvl w:ilvl="5">
      <w:start w:val="1"/>
      <w:numFmt w:val="decimal"/>
      <w:isLgl w:val="false"/>
      <w:suff w:val="tab"/>
      <w:lvlText w:val="%6."/>
      <w:lvlJc w:val="left"/>
      <w:pPr>
        <w:pStyle w:val="928"/>
        <w:ind w:left="4320" w:hanging="360"/>
        <w:tabs>
          <w:tab w:val="num" w:pos="4320" w:leader="none"/>
        </w:tabs>
      </w:pPr>
      <w:rPr>
        <w:rFonts w:ascii="Times New Roman" w:hAnsi="Times New Roman" w:cs="Times New Roman"/>
      </w:rPr>
    </w:lvl>
    <w:lvl w:ilvl="6">
      <w:start w:val="1"/>
      <w:numFmt w:val="decimal"/>
      <w:isLgl w:val="false"/>
      <w:suff w:val="tab"/>
      <w:lvlText w:val="%7."/>
      <w:lvlJc w:val="left"/>
      <w:pPr>
        <w:pStyle w:val="928"/>
        <w:ind w:left="5040" w:hanging="360"/>
        <w:tabs>
          <w:tab w:val="num" w:pos="5040" w:leader="none"/>
        </w:tabs>
      </w:pPr>
      <w:rPr>
        <w:rFonts w:ascii="Times New Roman" w:hAnsi="Times New Roman" w:cs="Times New Roman"/>
      </w:rPr>
    </w:lvl>
    <w:lvl w:ilvl="7">
      <w:start w:val="1"/>
      <w:numFmt w:val="decimal"/>
      <w:isLgl w:val="false"/>
      <w:suff w:val="tab"/>
      <w:lvlText w:val="%8."/>
      <w:lvlJc w:val="left"/>
      <w:pPr>
        <w:pStyle w:val="928"/>
        <w:ind w:left="5760" w:hanging="360"/>
        <w:tabs>
          <w:tab w:val="num" w:pos="5760" w:leader="none"/>
        </w:tabs>
      </w:pPr>
      <w:rPr>
        <w:rFonts w:ascii="Times New Roman" w:hAnsi="Times New Roman" w:cs="Times New Roman"/>
      </w:rPr>
    </w:lvl>
    <w:lvl w:ilvl="8">
      <w:start w:val="1"/>
      <w:numFmt w:val="decimal"/>
      <w:isLgl w:val="false"/>
      <w:suff w:val="tab"/>
      <w:lvlText w:val="%9."/>
      <w:lvlJc w:val="left"/>
      <w:pPr>
        <w:pStyle w:val="928"/>
        <w:ind w:left="6480" w:hanging="360"/>
        <w:tabs>
          <w:tab w:val="num" w:pos="6480" w:leader="none"/>
        </w:tabs>
      </w:pPr>
      <w:rPr>
        <w:rFonts w:ascii="Times New Roman" w:hAnsi="Times New Roman" w:cs="Times New Roman"/>
      </w:rPr>
    </w:lvl>
  </w:abstractNum>
  <w:abstractNum w:abstractNumId="62">
    <w:multiLevelType w:val="hybridMultilevel"/>
    <w:lvl w:ilvl="0">
      <w:start w:val="1"/>
      <w:numFmt w:val="decimal"/>
      <w:pStyle w:val="929"/>
      <w:isLgl w:val="false"/>
      <w:suff w:val="tab"/>
      <w:lvlText w:val="%1"/>
      <w:lvlJc w:val="left"/>
      <w:pPr>
        <w:pStyle w:val="928"/>
        <w:ind w:left="432" w:hanging="432"/>
        <w:tabs>
          <w:tab w:val="num" w:pos="432" w:leader="none"/>
        </w:tabs>
      </w:pPr>
      <w:rPr>
        <w:rFonts w:hint="eastAsia"/>
      </w:rPr>
    </w:lvl>
    <w:lvl w:ilvl="1">
      <w:start w:val="1"/>
      <w:numFmt w:val="decimal"/>
      <w:pStyle w:val="930"/>
      <w:isLgl w:val="false"/>
      <w:suff w:val="tab"/>
      <w:lvlText w:val="%1."/>
      <w:lvlJc w:val="left"/>
      <w:pPr>
        <w:pStyle w:val="928"/>
        <w:ind w:left="576" w:hanging="576"/>
        <w:tabs>
          <w:tab w:val="num" w:pos="576" w:leader="none"/>
        </w:tabs>
      </w:pPr>
      <w:rPr>
        <w:rFonts w:hint="eastAsia"/>
      </w:rPr>
    </w:lvl>
    <w:lvl w:ilvl="2">
      <w:start w:val="1"/>
      <w:numFmt w:val="decimal"/>
      <w:pStyle w:val="931"/>
      <w:isLgl w:val="false"/>
      <w:suff w:val="tab"/>
      <w:lvlText w:val="%1.%2.%3"/>
      <w:lvlJc w:val="left"/>
      <w:pPr>
        <w:pStyle w:val="928"/>
        <w:ind w:left="720" w:hanging="720"/>
        <w:tabs>
          <w:tab w:val="num" w:pos="1080" w:leader="none"/>
        </w:tabs>
      </w:pPr>
      <w:rPr>
        <w:rFonts w:hint="eastAsia"/>
      </w:rPr>
    </w:lvl>
    <w:lvl w:ilvl="3">
      <w:start w:val="1"/>
      <w:numFmt w:val="decimal"/>
      <w:pStyle w:val="932"/>
      <w:isLgl w:val="false"/>
      <w:suff w:val="tab"/>
      <w:lvlText w:val="%1.%2.%3.%4"/>
      <w:lvlJc w:val="left"/>
      <w:pPr>
        <w:pStyle w:val="928"/>
        <w:ind w:left="864" w:hanging="864"/>
        <w:tabs>
          <w:tab w:val="num" w:pos="1440" w:leader="none"/>
        </w:tabs>
      </w:pPr>
      <w:rPr>
        <w:rFonts w:hint="eastAsia"/>
      </w:rPr>
    </w:lvl>
    <w:lvl w:ilvl="4">
      <w:start w:val="1"/>
      <w:numFmt w:val="decimal"/>
      <w:pStyle w:val="933"/>
      <w:isLgl w:val="false"/>
      <w:suff w:val="tab"/>
      <w:lvlText w:val="%1.%2.%3.%4.%5"/>
      <w:lvlJc w:val="left"/>
      <w:pPr>
        <w:pStyle w:val="928"/>
        <w:ind w:left="1008" w:hanging="1008"/>
        <w:tabs>
          <w:tab w:val="num" w:pos="1800" w:leader="none"/>
        </w:tabs>
      </w:pPr>
      <w:rPr>
        <w:rFonts w:hint="eastAsia"/>
      </w:rPr>
    </w:lvl>
    <w:lvl w:ilvl="5">
      <w:start w:val="1"/>
      <w:numFmt w:val="decimal"/>
      <w:pStyle w:val="934"/>
      <w:isLgl w:val="false"/>
      <w:suff w:val="tab"/>
      <w:lvlText w:val="%1.%2.%3.%4.%5.%6"/>
      <w:lvlJc w:val="left"/>
      <w:pPr>
        <w:pStyle w:val="928"/>
        <w:ind w:left="1152" w:hanging="1152"/>
        <w:tabs>
          <w:tab w:val="num" w:pos="1152" w:leader="none"/>
        </w:tabs>
      </w:pPr>
      <w:rPr>
        <w:rFonts w:hint="eastAsia"/>
      </w:rPr>
    </w:lvl>
    <w:lvl w:ilvl="6">
      <w:start w:val="1"/>
      <w:numFmt w:val="decimal"/>
      <w:pStyle w:val="935"/>
      <w:isLgl w:val="false"/>
      <w:suff w:val="tab"/>
      <w:lvlText w:val="%1.%2.%3.%4.%5.%6.%7"/>
      <w:lvlJc w:val="left"/>
      <w:pPr>
        <w:pStyle w:val="928"/>
        <w:ind w:left="1296" w:hanging="1296"/>
        <w:tabs>
          <w:tab w:val="num" w:pos="1296" w:leader="none"/>
        </w:tabs>
      </w:pPr>
      <w:rPr>
        <w:rFonts w:hint="eastAsia"/>
      </w:rPr>
    </w:lvl>
    <w:lvl w:ilvl="7">
      <w:start w:val="1"/>
      <w:numFmt w:val="decimal"/>
      <w:pStyle w:val="936"/>
      <w:isLgl w:val="false"/>
      <w:suff w:val="tab"/>
      <w:lvlText w:val="%1.%2.%3.%4.%5.%6.%7.%8"/>
      <w:lvlJc w:val="left"/>
      <w:pPr>
        <w:pStyle w:val="928"/>
        <w:ind w:left="1440" w:hanging="1440"/>
        <w:tabs>
          <w:tab w:val="num" w:pos="1440" w:leader="none"/>
        </w:tabs>
      </w:pPr>
      <w:rPr>
        <w:rFonts w:hint="eastAsia"/>
      </w:rPr>
    </w:lvl>
    <w:lvl w:ilvl="8">
      <w:start w:val="1"/>
      <w:numFmt w:val="decimal"/>
      <w:pStyle w:val="937"/>
      <w:isLgl w:val="false"/>
      <w:suff w:val="tab"/>
      <w:lvlText w:val="%1.%2.%3.%4.%5.%6.%7.%8.%9"/>
      <w:lvlJc w:val="left"/>
      <w:pPr>
        <w:pStyle w:val="928"/>
        <w:ind w:left="1584" w:hanging="1584"/>
        <w:tabs>
          <w:tab w:val="num" w:pos="1584" w:leader="none"/>
        </w:tabs>
      </w:pPr>
      <w:rPr>
        <w:rFonts w:hint="eastAsia"/>
      </w:rPr>
    </w:lvl>
  </w:abstractNum>
  <w:abstractNum w:abstractNumId="63">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35.%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64">
    <w:multiLevelType w:val="hybridMultilevel"/>
    <w:lvl w:ilvl="0">
      <w:start w:val="1"/>
      <w:numFmt w:val="decimal"/>
      <w:pStyle w:val="961"/>
      <w:isLgl w:val="false"/>
      <w:suff w:val="nothing"/>
      <w:lvlText w:val="%1"/>
      <w:lvlJc w:val="left"/>
      <w:pPr>
        <w:pStyle w:val="928"/>
        <w:ind w:left="0" w:firstLine="0"/>
      </w:pPr>
      <w:rPr>
        <w:rFonts w:ascii="Times New Roman" w:hAnsi="Times New Roman"/>
        <w:b/>
        <w:i w:val="0"/>
        <w:sz w:val="21"/>
      </w:rPr>
    </w:lvl>
    <w:lvl w:ilvl="1">
      <w:start w:val="1"/>
      <w:numFmt w:val="decimal"/>
      <w:pStyle w:val="1244"/>
      <w:isLgl w:val="false"/>
      <w:suff w:val="nothing"/>
      <w:lvlText w:val="%1%2　"/>
      <w:lvlJc w:val="left"/>
      <w:pPr>
        <w:pStyle w:val="928"/>
        <w:ind w:left="360" w:firstLine="0"/>
      </w:pPr>
      <w:rPr>
        <w:rFonts w:hint="eastAsia" w:ascii="黑体" w:hAnsi="Times New Roman" w:eastAsia="黑体"/>
        <w:b w:val="0"/>
        <w:i w:val="0"/>
        <w:sz w:val="21"/>
      </w:rPr>
    </w:lvl>
    <w:lvl w:ilvl="2">
      <w:start w:val="1"/>
      <w:numFmt w:val="decimal"/>
      <w:pStyle w:val="1323"/>
      <w:isLgl w:val="false"/>
      <w:suff w:val="nothing"/>
      <w:lvlText w:val="%1%2.%3　"/>
      <w:lvlJc w:val="left"/>
      <w:pPr>
        <w:pStyle w:val="928"/>
        <w:ind w:left="0" w:firstLine="0"/>
      </w:pPr>
      <w:rPr>
        <w:rFonts w:hint="eastAsia" w:ascii="黑体" w:hAnsi="Times New Roman" w:eastAsia="黑体"/>
        <w:b w:val="0"/>
        <w:i w:val="0"/>
        <w:sz w:val="21"/>
      </w:rPr>
    </w:lvl>
    <w:lvl w:ilvl="3">
      <w:start w:val="1"/>
      <w:numFmt w:val="decimal"/>
      <w:pStyle w:val="1267"/>
      <w:isLgl w:val="false"/>
      <w:suff w:val="nothing"/>
      <w:lvlText w:val="%1%2.%3.%4　"/>
      <w:lvlJc w:val="left"/>
      <w:pPr>
        <w:pStyle w:val="928"/>
        <w:ind w:left="540" w:firstLine="0"/>
      </w:pPr>
      <w:rPr>
        <w:rFonts w:hint="eastAsia" w:ascii="黑体" w:hAnsi="Times New Roman" w:eastAsia="黑体"/>
        <w:b w:val="0"/>
        <w:i w:val="0"/>
        <w:sz w:val="21"/>
      </w:rPr>
    </w:lvl>
    <w:lvl w:ilvl="4">
      <w:start w:val="1"/>
      <w:numFmt w:val="decimal"/>
      <w:pStyle w:val="1271"/>
      <w:isLgl w:val="false"/>
      <w:suff w:val="nothing"/>
      <w:lvlText w:val="%1%2.%3.%4.%5　"/>
      <w:lvlJc w:val="left"/>
      <w:pPr>
        <w:pStyle w:val="928"/>
        <w:ind w:left="0" w:firstLine="0"/>
      </w:pPr>
      <w:rPr>
        <w:rFonts w:hint="eastAsia" w:ascii="黑体" w:hAnsi="Times New Roman" w:eastAsia="黑体"/>
        <w:b w:val="0"/>
        <w:i w:val="0"/>
        <w:sz w:val="21"/>
      </w:rPr>
    </w:lvl>
    <w:lvl w:ilvl="5">
      <w:start w:val="1"/>
      <w:numFmt w:val="decimal"/>
      <w:pStyle w:val="1270"/>
      <w:isLgl w:val="false"/>
      <w:suff w:val="nothing"/>
      <w:lvlText w:val="%1%2.%3.%4.%5.%6　"/>
      <w:lvlJc w:val="left"/>
      <w:pPr>
        <w:pStyle w:val="928"/>
        <w:ind w:left="0" w:firstLine="0"/>
      </w:pPr>
      <w:rPr>
        <w:rFonts w:hint="eastAsia" w:ascii="黑体" w:hAnsi="Times New Roman" w:eastAsia="黑体"/>
        <w:b w:val="0"/>
        <w:i w:val="0"/>
        <w:sz w:val="21"/>
      </w:rPr>
    </w:lvl>
    <w:lvl w:ilvl="6">
      <w:start w:val="1"/>
      <w:numFmt w:val="decimal"/>
      <w:pStyle w:val="1269"/>
      <w:isLgl w:val="false"/>
      <w:suff w:val="nothing"/>
      <w:lvlText w:val="%1%2.%3.%4.%5.%6.%7　"/>
      <w:lvlJc w:val="left"/>
      <w:pPr>
        <w:pStyle w:val="928"/>
        <w:ind w:left="0" w:firstLine="0"/>
      </w:pPr>
      <w:rPr>
        <w:rFonts w:hint="eastAsia" w:ascii="黑体" w:hAnsi="Times New Roman" w:eastAsia="黑体"/>
        <w:b w:val="0"/>
        <w:i w:val="0"/>
        <w:sz w:val="21"/>
      </w:rPr>
    </w:lvl>
    <w:lvl w:ilvl="7">
      <w:start w:val="1"/>
      <w:numFmt w:val="decimal"/>
      <w:isLgl w:val="false"/>
      <w:suff w:val="tab"/>
      <w:lvlText w:val="%1.%2.%3.%4.%5.%6.%7.%8"/>
      <w:lvlJc w:val="left"/>
      <w:pPr>
        <w:pStyle w:val="928"/>
        <w:ind w:left="3969" w:hanging="1418"/>
        <w:tabs>
          <w:tab w:val="num" w:pos="4351" w:leader="none"/>
        </w:tabs>
      </w:pPr>
      <w:rPr>
        <w:rFonts w:hint="eastAsia"/>
      </w:rPr>
    </w:lvl>
    <w:lvl w:ilvl="8">
      <w:start w:val="1"/>
      <w:numFmt w:val="decimal"/>
      <w:isLgl w:val="false"/>
      <w:suff w:val="tab"/>
      <w:lvlText w:val="%1.%2.%3.%4.%5.%6.%7.%8.%9"/>
      <w:lvlJc w:val="left"/>
      <w:pPr>
        <w:pStyle w:val="928"/>
        <w:ind w:left="4677" w:hanging="1700"/>
        <w:tabs>
          <w:tab w:val="num" w:pos="4777" w:leader="none"/>
        </w:tabs>
      </w:pPr>
      <w:rPr>
        <w:rFonts w:hint="eastAsia"/>
      </w:rPr>
    </w:lvl>
  </w:abstractNum>
  <w:abstractNum w:abstractNumId="65">
    <w:multiLevelType w:val="hybridMultilevel"/>
    <w:lvl w:ilvl="0">
      <w:start w:val="1"/>
      <w:numFmt w:val="decimal"/>
      <w:isLgl w:val="false"/>
      <w:suff w:val="tab"/>
      <w:lvlText w:val="%1)"/>
      <w:lvlJc w:val="left"/>
      <w:pPr>
        <w:pStyle w:val="928"/>
        <w:ind w:left="420" w:hanging="420"/>
      </w:pPr>
      <w:rPr>
        <w:rFonts w:hint="eastAsia" w:ascii="宋体" w:hAnsi="宋体" w:eastAsia="宋体"/>
      </w:rPr>
    </w:lvl>
    <w:lvl w:ilvl="1">
      <w:start w:val="1"/>
      <w:numFmt w:val="lowerLetter"/>
      <w:isLgl w:val="false"/>
      <w:suff w:val="tab"/>
      <w:lvlText w:val="%2)"/>
      <w:lvlJc w:val="left"/>
      <w:pPr>
        <w:pStyle w:val="928"/>
        <w:ind w:left="840" w:hanging="420"/>
      </w:pPr>
      <w:rPr>
        <w:rFonts w:ascii="Times New Roman" w:hAnsi="Times New Roman" w:cs="Times New Roman"/>
      </w:rPr>
    </w:lvl>
    <w:lvl w:ilvl="2">
      <w:start w:val="1"/>
      <w:numFmt w:val="lowerRoman"/>
      <w:isLgl w:val="false"/>
      <w:suff w:val="tab"/>
      <w:lvlText w:val="%3."/>
      <w:lvlJc w:val="right"/>
      <w:pPr>
        <w:pStyle w:val="928"/>
        <w:ind w:left="1260" w:hanging="420"/>
      </w:pPr>
      <w:rPr>
        <w:rFonts w:ascii="Times New Roman" w:hAnsi="Times New Roman" w:cs="Times New Roman"/>
      </w:rPr>
    </w:lvl>
    <w:lvl w:ilvl="3">
      <w:start w:val="1"/>
      <w:numFmt w:val="decimal"/>
      <w:isLgl w:val="false"/>
      <w:suff w:val="tab"/>
      <w:lvlText w:val="%4."/>
      <w:lvlJc w:val="left"/>
      <w:pPr>
        <w:pStyle w:val="928"/>
        <w:ind w:left="1680" w:hanging="420"/>
      </w:pPr>
      <w:rPr>
        <w:rFonts w:ascii="Times New Roman" w:hAnsi="Times New Roman" w:cs="Times New Roman"/>
      </w:rPr>
    </w:lvl>
    <w:lvl w:ilvl="4">
      <w:start w:val="1"/>
      <w:numFmt w:val="lowerLetter"/>
      <w:isLgl w:val="false"/>
      <w:suff w:val="tab"/>
      <w:lvlText w:val="%5)"/>
      <w:lvlJc w:val="left"/>
      <w:pPr>
        <w:pStyle w:val="928"/>
        <w:ind w:left="2100" w:hanging="420"/>
      </w:pPr>
      <w:rPr>
        <w:rFonts w:ascii="Times New Roman" w:hAnsi="Times New Roman" w:cs="Times New Roman"/>
      </w:rPr>
    </w:lvl>
    <w:lvl w:ilvl="5">
      <w:start w:val="1"/>
      <w:numFmt w:val="lowerRoman"/>
      <w:isLgl w:val="false"/>
      <w:suff w:val="tab"/>
      <w:lvlText w:val="%6."/>
      <w:lvlJc w:val="right"/>
      <w:pPr>
        <w:pStyle w:val="928"/>
        <w:ind w:left="2520" w:hanging="420"/>
      </w:pPr>
      <w:rPr>
        <w:rFonts w:ascii="Times New Roman" w:hAnsi="Times New Roman" w:cs="Times New Roman"/>
      </w:rPr>
    </w:lvl>
    <w:lvl w:ilvl="6">
      <w:start w:val="1"/>
      <w:numFmt w:val="decimal"/>
      <w:isLgl w:val="false"/>
      <w:suff w:val="tab"/>
      <w:lvlText w:val="%7."/>
      <w:lvlJc w:val="left"/>
      <w:pPr>
        <w:pStyle w:val="928"/>
        <w:ind w:left="2940" w:hanging="420"/>
      </w:pPr>
      <w:rPr>
        <w:rFonts w:ascii="Times New Roman" w:hAnsi="Times New Roman" w:cs="Times New Roman"/>
      </w:rPr>
    </w:lvl>
    <w:lvl w:ilvl="7">
      <w:start w:val="1"/>
      <w:numFmt w:val="lowerLetter"/>
      <w:isLgl w:val="false"/>
      <w:suff w:val="tab"/>
      <w:lvlText w:val="%8)"/>
      <w:lvlJc w:val="left"/>
      <w:pPr>
        <w:pStyle w:val="928"/>
        <w:ind w:left="3360" w:hanging="420"/>
      </w:pPr>
      <w:rPr>
        <w:rFonts w:ascii="Times New Roman" w:hAnsi="Times New Roman" w:cs="Times New Roman"/>
      </w:rPr>
    </w:lvl>
    <w:lvl w:ilvl="8">
      <w:start w:val="1"/>
      <w:numFmt w:val="lowerRoman"/>
      <w:isLgl w:val="false"/>
      <w:suff w:val="tab"/>
      <w:lvlText w:val="%9."/>
      <w:lvlJc w:val="right"/>
      <w:pPr>
        <w:pStyle w:val="928"/>
        <w:ind w:left="3780" w:hanging="420"/>
      </w:pPr>
      <w:rPr>
        <w:rFonts w:ascii="Times New Roman" w:hAnsi="Times New Roman" w:cs="Times New Roman"/>
      </w:rPr>
    </w:lvl>
  </w:abstractNum>
  <w:abstractNum w:abstractNumId="66">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26.%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67">
    <w:multiLevelType w:val="hybridMultilevel"/>
    <w:lvl w:ilvl="0">
      <w:start w:val="1"/>
      <w:numFmt w:val="decimal"/>
      <w:isLgl w:val="false"/>
      <w:suff w:val="tab"/>
      <w:lvlText w:val="%1."/>
      <w:lvlJc w:val="left"/>
      <w:pPr>
        <w:pStyle w:val="928"/>
        <w:ind w:left="440" w:hanging="440"/>
        <w:tabs>
          <w:tab w:val="num" w:pos="440" w:leader="none"/>
        </w:tabs>
      </w:pPr>
      <w:rPr>
        <w:rFonts w:ascii="Times New Roman" w:hAnsi="Times New Roman" w:cs="Times New Roman"/>
      </w:rPr>
    </w:lvl>
    <w:lvl w:ilvl="1">
      <w:start w:val="1"/>
      <w:numFmt w:val="lowerLetter"/>
      <w:isLgl w:val="false"/>
      <w:suff w:val="tab"/>
      <w:lvlText w:val="%2."/>
      <w:lvlJc w:val="left"/>
      <w:pPr>
        <w:pStyle w:val="928"/>
        <w:ind w:left="880" w:hanging="440"/>
        <w:tabs>
          <w:tab w:val="num" w:pos="880" w:leader="none"/>
        </w:tabs>
      </w:pPr>
      <w:rPr>
        <w:rFonts w:ascii="Times New Roman" w:hAnsi="Times New Roman" w:cs="Times New Roman"/>
      </w:rPr>
    </w:lvl>
    <w:lvl w:ilvl="2">
      <w:start w:val="1"/>
      <w:numFmt w:val="lowerRoman"/>
      <w:isLgl w:val="false"/>
      <w:suff w:val="tab"/>
      <w:lvlText w:val="%3."/>
      <w:lvlJc w:val="left"/>
      <w:pPr>
        <w:pStyle w:val="928"/>
        <w:ind w:left="1320" w:hanging="440"/>
        <w:tabs>
          <w:tab w:val="num" w:pos="1320" w:leader="none"/>
        </w:tabs>
      </w:pPr>
      <w:rPr>
        <w:rFonts w:ascii="Times New Roman" w:hAnsi="Times New Roman" w:cs="Times New Roman"/>
      </w:rPr>
    </w:lvl>
    <w:lvl w:ilvl="3">
      <w:start w:val="1"/>
      <w:numFmt w:val="decimal"/>
      <w:isLgl w:val="false"/>
      <w:suff w:val="tab"/>
      <w:lvlText w:val="%4."/>
      <w:lvlJc w:val="left"/>
      <w:pPr>
        <w:pStyle w:val="928"/>
        <w:ind w:left="1760" w:hanging="440"/>
        <w:tabs>
          <w:tab w:val="num" w:pos="1760" w:leader="none"/>
        </w:tabs>
      </w:pPr>
      <w:rPr>
        <w:rFonts w:ascii="Times New Roman" w:hAnsi="Times New Roman" w:cs="Times New Roman"/>
      </w:rPr>
    </w:lvl>
    <w:lvl w:ilvl="4">
      <w:start w:val="1"/>
      <w:numFmt w:val="lowerLetter"/>
      <w:isLgl w:val="false"/>
      <w:suff w:val="tab"/>
      <w:lvlText w:val="%5."/>
      <w:lvlJc w:val="left"/>
      <w:pPr>
        <w:pStyle w:val="928"/>
        <w:ind w:left="2200" w:hanging="440"/>
        <w:tabs>
          <w:tab w:val="num" w:pos="2200" w:leader="none"/>
        </w:tabs>
      </w:pPr>
      <w:rPr>
        <w:rFonts w:ascii="Times New Roman" w:hAnsi="Times New Roman" w:cs="Times New Roman"/>
      </w:rPr>
    </w:lvl>
    <w:lvl w:ilvl="5">
      <w:start w:val="1"/>
      <w:numFmt w:val="lowerRoman"/>
      <w:isLgl w:val="false"/>
      <w:suff w:val="tab"/>
      <w:lvlText w:val="%6."/>
      <w:lvlJc w:val="left"/>
      <w:pPr>
        <w:pStyle w:val="928"/>
        <w:ind w:left="2640" w:hanging="440"/>
        <w:tabs>
          <w:tab w:val="num" w:pos="2640" w:leader="none"/>
        </w:tabs>
      </w:pPr>
      <w:rPr>
        <w:rFonts w:ascii="Times New Roman" w:hAnsi="Times New Roman" w:cs="Times New Roman"/>
      </w:rPr>
    </w:lvl>
    <w:lvl w:ilvl="6">
      <w:start w:val="1"/>
      <w:numFmt w:val="decimal"/>
      <w:isLgl w:val="false"/>
      <w:suff w:val="tab"/>
      <w:lvlText w:val="%7."/>
      <w:lvlJc w:val="left"/>
      <w:pPr>
        <w:pStyle w:val="928"/>
        <w:ind w:left="3080" w:hanging="440"/>
        <w:tabs>
          <w:tab w:val="num" w:pos="3080" w:leader="none"/>
        </w:tabs>
      </w:pPr>
      <w:rPr>
        <w:rFonts w:ascii="Times New Roman" w:hAnsi="Times New Roman" w:cs="Times New Roman"/>
      </w:rPr>
    </w:lvl>
    <w:lvl w:ilvl="7">
      <w:start w:val="1"/>
      <w:numFmt w:val="lowerLetter"/>
      <w:isLgl w:val="false"/>
      <w:suff w:val="tab"/>
      <w:lvlText w:val="%8."/>
      <w:lvlJc w:val="left"/>
      <w:pPr>
        <w:pStyle w:val="928"/>
        <w:ind w:left="3520" w:hanging="440"/>
        <w:tabs>
          <w:tab w:val="num" w:pos="3520" w:leader="none"/>
        </w:tabs>
      </w:pPr>
      <w:rPr>
        <w:rFonts w:ascii="Times New Roman" w:hAnsi="Times New Roman" w:cs="Times New Roman"/>
      </w:rPr>
    </w:lvl>
    <w:lvl w:ilvl="8">
      <w:start w:val="1"/>
      <w:numFmt w:val="lowerRoman"/>
      <w:isLgl w:val="false"/>
      <w:suff w:val="tab"/>
      <w:lvlText w:val="%9."/>
      <w:lvlJc w:val="left"/>
      <w:pPr>
        <w:pStyle w:val="928"/>
        <w:ind w:left="3960" w:hanging="440"/>
        <w:tabs>
          <w:tab w:val="num" w:pos="3960" w:leader="none"/>
        </w:tabs>
      </w:pPr>
      <w:rPr>
        <w:rFonts w:ascii="Times New Roman" w:hAnsi="Times New Roman" w:cs="Times New Roman"/>
      </w:rPr>
    </w:lvl>
  </w:abstractNum>
  <w:abstractNum w:abstractNumId="68">
    <w:multiLevelType w:val="hybridMultilevel"/>
    <w:lvl w:ilvl="0">
      <w:start w:val="13"/>
      <w:numFmt w:val="decimal"/>
      <w:isLgl w:val="false"/>
      <w:suff w:val="tab"/>
      <w:lvlText w:val="%1."/>
      <w:lvlJc w:val="left"/>
      <w:pPr>
        <w:pStyle w:val="928"/>
        <w:ind w:left="425" w:hanging="425"/>
        <w:tabs>
          <w:tab w:val="num" w:pos="425" w:leader="none"/>
        </w:tabs>
      </w:pPr>
      <w:rPr>
        <w:rFonts w:hint="eastAsia"/>
      </w:rPr>
    </w:lvl>
    <w:lvl w:ilvl="1">
      <w:start w:val="1"/>
      <w:numFmt w:val="decimal"/>
      <w:isLgl w:val="false"/>
      <w:suff w:val="tab"/>
      <w:lvlText w:val="%1.%2."/>
      <w:lvlJc w:val="left"/>
      <w:pPr>
        <w:pStyle w:val="928"/>
        <w:ind w:left="567" w:hanging="567"/>
        <w:tabs>
          <w:tab w:val="num" w:pos="567" w:leader="none"/>
        </w:tabs>
      </w:pPr>
      <w:rPr>
        <w:rFonts w:hint="eastAsia"/>
      </w:rPr>
    </w:lvl>
    <w:lvl w:ilvl="2">
      <w:start w:val="1"/>
      <w:numFmt w:val="decimal"/>
      <w:isLgl w:val="false"/>
      <w:suff w:val="tab"/>
      <w:lvlText w:val="%1.%2.%3."/>
      <w:lvlJc w:val="left"/>
      <w:pPr>
        <w:pStyle w:val="928"/>
        <w:ind w:left="709" w:hanging="709"/>
        <w:tabs>
          <w:tab w:val="num" w:pos="709"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pStyle w:val="1273"/>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69">
    <w:multiLevelType w:val="hybridMultilevel"/>
    <w:lvl w:ilvl="0">
      <w:start w:val="1"/>
      <w:numFmt w:val="decimal"/>
      <w:isLgl w:val="false"/>
      <w:suff w:val="tab"/>
      <w:lvlText w:val="19.%1"/>
      <w:lvlJc w:val="left"/>
      <w:pPr>
        <w:pStyle w:val="928"/>
        <w:ind w:left="440" w:hanging="440"/>
      </w:pPr>
      <w:rPr>
        <w:rFonts w:hint="eastAsia"/>
      </w:rPr>
    </w:lvl>
    <w:lvl w:ilvl="1">
      <w:start w:val="1"/>
      <w:numFmt w:val="lowerLetter"/>
      <w:isLgl w:val="false"/>
      <w:suff w:val="tab"/>
      <w:lvlText w:val="%2)"/>
      <w:lvlJc w:val="left"/>
      <w:pPr>
        <w:pStyle w:val="928"/>
        <w:ind w:left="880" w:hanging="440"/>
      </w:pPr>
    </w:lvl>
    <w:lvl w:ilvl="2">
      <w:start w:val="3"/>
      <w:numFmt w:val="japaneseCounting"/>
      <w:isLgl w:val="false"/>
      <w:suff w:val="tab"/>
      <w:lvlText w:val="%3、"/>
      <w:lvlJc w:val="left"/>
      <w:pPr>
        <w:pStyle w:val="928"/>
        <w:ind w:left="1300" w:hanging="42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abstractNum w:abstractNumId="70">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29.%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71">
    <w:multiLevelType w:val="hybridMultilevel"/>
    <w:lvl w:ilvl="0">
      <w:start w:val="1"/>
      <w:numFmt w:val="decimal"/>
      <w:isLgl w:val="false"/>
      <w:suff w:val="tab"/>
      <w:lvlText w:val="17.%1"/>
      <w:lvlJc w:val="left"/>
      <w:pPr>
        <w:pStyle w:val="928"/>
        <w:ind w:left="440" w:hanging="440"/>
      </w:pPr>
      <w:rPr>
        <w:rFonts w:hint="eastAsia"/>
      </w:r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abstractNum w:abstractNumId="72">
    <w:multiLevelType w:val="hybridMultilevel"/>
    <w:lvl w:ilvl="0">
      <w:start w:val="1"/>
      <w:numFmt w:val="decimal"/>
      <w:isLgl w:val="false"/>
      <w:suff w:val="tab"/>
      <w:lvlText w:val="18.%1"/>
      <w:lvlJc w:val="left"/>
      <w:pPr>
        <w:pStyle w:val="928"/>
        <w:ind w:left="440" w:hanging="440"/>
      </w:pPr>
      <w:rPr>
        <w:rFonts w:hint="eastAsia"/>
      </w:r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abstractNum w:abstractNumId="73">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31.%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74">
    <w:multiLevelType w:val="hybridMultilevel"/>
    <w:lvl w:ilvl="0">
      <w:start w:val="1"/>
      <w:numFmt w:val="bullet"/>
      <w:isLgl w:val="false"/>
      <w:suff w:val="tab"/>
      <w:lvlText w:val=""/>
      <w:lvlJc w:val="left"/>
      <w:pPr>
        <w:pStyle w:val="928"/>
        <w:ind w:left="900" w:hanging="420"/>
      </w:pPr>
      <w:rPr>
        <w:rFonts w:ascii="Wingdings" w:hAnsi="Wingdings" w:eastAsia="等线"/>
      </w:rPr>
    </w:lvl>
    <w:lvl w:ilvl="1">
      <w:start w:val="1"/>
      <w:numFmt w:val="bullet"/>
      <w:isLgl w:val="false"/>
      <w:suff w:val="tab"/>
      <w:lvlText w:val=""/>
      <w:lvlJc w:val="left"/>
      <w:pPr>
        <w:pStyle w:val="928"/>
        <w:ind w:left="1320" w:hanging="420"/>
      </w:pPr>
      <w:rPr>
        <w:rFonts w:ascii="Wingdings" w:hAnsi="Wingdings"/>
      </w:rPr>
    </w:lvl>
    <w:lvl w:ilvl="2">
      <w:start w:val="1"/>
      <w:numFmt w:val="bullet"/>
      <w:isLgl w:val="false"/>
      <w:suff w:val="tab"/>
      <w:lvlText w:val=""/>
      <w:lvlJc w:val="left"/>
      <w:pPr>
        <w:pStyle w:val="928"/>
        <w:ind w:left="1740" w:hanging="420"/>
      </w:pPr>
      <w:rPr>
        <w:rFonts w:ascii="Wingdings" w:hAnsi="Wingdings"/>
      </w:rPr>
    </w:lvl>
    <w:lvl w:ilvl="3">
      <w:start w:val="1"/>
      <w:numFmt w:val="bullet"/>
      <w:isLgl w:val="false"/>
      <w:suff w:val="tab"/>
      <w:lvlText w:val=""/>
      <w:lvlJc w:val="left"/>
      <w:pPr>
        <w:pStyle w:val="928"/>
        <w:ind w:left="2160" w:hanging="420"/>
      </w:pPr>
      <w:rPr>
        <w:rFonts w:ascii="Wingdings" w:hAnsi="Wingdings"/>
      </w:rPr>
    </w:lvl>
    <w:lvl w:ilvl="4">
      <w:start w:val="1"/>
      <w:numFmt w:val="bullet"/>
      <w:isLgl w:val="false"/>
      <w:suff w:val="tab"/>
      <w:lvlText w:val=""/>
      <w:lvlJc w:val="left"/>
      <w:pPr>
        <w:pStyle w:val="928"/>
        <w:ind w:left="2580" w:hanging="420"/>
      </w:pPr>
      <w:rPr>
        <w:rFonts w:ascii="Wingdings" w:hAnsi="Wingdings"/>
      </w:rPr>
    </w:lvl>
    <w:lvl w:ilvl="5">
      <w:start w:val="1"/>
      <w:numFmt w:val="bullet"/>
      <w:isLgl w:val="false"/>
      <w:suff w:val="tab"/>
      <w:lvlText w:val=""/>
      <w:lvlJc w:val="left"/>
      <w:pPr>
        <w:pStyle w:val="928"/>
        <w:ind w:left="3000" w:hanging="420"/>
      </w:pPr>
      <w:rPr>
        <w:rFonts w:ascii="Wingdings" w:hAnsi="Wingdings"/>
      </w:rPr>
    </w:lvl>
    <w:lvl w:ilvl="6">
      <w:start w:val="1"/>
      <w:numFmt w:val="bullet"/>
      <w:isLgl w:val="false"/>
      <w:suff w:val="tab"/>
      <w:lvlText w:val=""/>
      <w:lvlJc w:val="left"/>
      <w:pPr>
        <w:pStyle w:val="928"/>
        <w:ind w:left="3420" w:hanging="420"/>
      </w:pPr>
      <w:rPr>
        <w:rFonts w:ascii="Wingdings" w:hAnsi="Wingdings"/>
      </w:rPr>
    </w:lvl>
    <w:lvl w:ilvl="7">
      <w:start w:val="1"/>
      <w:numFmt w:val="bullet"/>
      <w:isLgl w:val="false"/>
      <w:suff w:val="tab"/>
      <w:lvlText w:val=""/>
      <w:lvlJc w:val="left"/>
      <w:pPr>
        <w:pStyle w:val="928"/>
        <w:ind w:left="3840" w:hanging="420"/>
      </w:pPr>
      <w:rPr>
        <w:rFonts w:ascii="Wingdings" w:hAnsi="Wingdings"/>
      </w:rPr>
    </w:lvl>
    <w:lvl w:ilvl="8">
      <w:start w:val="1"/>
      <w:numFmt w:val="bullet"/>
      <w:isLgl w:val="false"/>
      <w:suff w:val="tab"/>
      <w:lvlText w:val=""/>
      <w:lvlJc w:val="left"/>
      <w:pPr>
        <w:pStyle w:val="928"/>
        <w:ind w:left="4260" w:hanging="420"/>
      </w:pPr>
      <w:rPr>
        <w:rFonts w:ascii="Wingdings" w:hAnsi="Wingdings"/>
      </w:rPr>
    </w:lvl>
  </w:abstractNum>
  <w:abstractNum w:abstractNumId="75">
    <w:multiLevelType w:val="hybridMultilevel"/>
    <w:lvl w:ilvl="0">
      <w:start w:val="1"/>
      <w:numFmt w:val="decimal"/>
      <w:isLgl w:val="false"/>
      <w:suff w:val="tab"/>
      <w:lvlText w:val="%1."/>
      <w:lvlJc w:val="left"/>
      <w:pPr>
        <w:pStyle w:val="928"/>
        <w:ind w:left="2830" w:hanging="420"/>
      </w:pPr>
      <w:rPr>
        <w:rFonts w:ascii="Times New Roman" w:hAnsi="Times New Roman" w:cs="Times New Roman"/>
      </w:rPr>
    </w:lvl>
    <w:lvl w:ilvl="1">
      <w:start w:val="1"/>
      <w:numFmt w:val="lowerLetter"/>
      <w:isLgl w:val="false"/>
      <w:suff w:val="tab"/>
      <w:lvlText w:val="%2)"/>
      <w:lvlJc w:val="left"/>
      <w:pPr>
        <w:pStyle w:val="928"/>
        <w:ind w:left="1260" w:hanging="420"/>
      </w:pPr>
      <w:rPr>
        <w:rFonts w:ascii="Times New Roman" w:hAnsi="Times New Roman" w:cs="Times New Roman"/>
      </w:rPr>
    </w:lvl>
    <w:lvl w:ilvl="2">
      <w:start w:val="1"/>
      <w:numFmt w:val="lowerRoman"/>
      <w:isLgl w:val="false"/>
      <w:suff w:val="tab"/>
      <w:lvlText w:val="%3."/>
      <w:lvlJc w:val="right"/>
      <w:pPr>
        <w:pStyle w:val="928"/>
        <w:ind w:left="1680" w:hanging="420"/>
      </w:pPr>
      <w:rPr>
        <w:rFonts w:ascii="Times New Roman" w:hAnsi="Times New Roman" w:cs="Times New Roman"/>
      </w:rPr>
    </w:lvl>
    <w:lvl w:ilvl="3">
      <w:start w:val="1"/>
      <w:numFmt w:val="decimal"/>
      <w:isLgl w:val="false"/>
      <w:suff w:val="tab"/>
      <w:lvlText w:val="%4."/>
      <w:lvlJc w:val="left"/>
      <w:pPr>
        <w:pStyle w:val="928"/>
        <w:ind w:left="2100" w:hanging="420"/>
      </w:pPr>
      <w:rPr>
        <w:rFonts w:ascii="Times New Roman" w:hAnsi="Times New Roman" w:cs="Times New Roman"/>
      </w:rPr>
    </w:lvl>
    <w:lvl w:ilvl="4">
      <w:start w:val="1"/>
      <w:numFmt w:val="lowerLetter"/>
      <w:isLgl w:val="false"/>
      <w:suff w:val="tab"/>
      <w:lvlText w:val="%5)"/>
      <w:lvlJc w:val="left"/>
      <w:pPr>
        <w:pStyle w:val="928"/>
        <w:ind w:left="2520" w:hanging="420"/>
      </w:pPr>
      <w:rPr>
        <w:rFonts w:ascii="Times New Roman" w:hAnsi="Times New Roman" w:cs="Times New Roman"/>
      </w:rPr>
    </w:lvl>
    <w:lvl w:ilvl="5">
      <w:start w:val="1"/>
      <w:numFmt w:val="lowerRoman"/>
      <w:isLgl w:val="false"/>
      <w:suff w:val="tab"/>
      <w:lvlText w:val="%6."/>
      <w:lvlJc w:val="right"/>
      <w:pPr>
        <w:pStyle w:val="928"/>
        <w:ind w:left="2940" w:hanging="420"/>
      </w:pPr>
      <w:rPr>
        <w:rFonts w:ascii="Times New Roman" w:hAnsi="Times New Roman" w:cs="Times New Roman"/>
      </w:rPr>
    </w:lvl>
    <w:lvl w:ilvl="6">
      <w:start w:val="1"/>
      <w:numFmt w:val="decimal"/>
      <w:isLgl w:val="false"/>
      <w:suff w:val="tab"/>
      <w:lvlText w:val="%7."/>
      <w:lvlJc w:val="left"/>
      <w:pPr>
        <w:pStyle w:val="928"/>
        <w:ind w:left="3360" w:hanging="420"/>
      </w:pPr>
      <w:rPr>
        <w:rFonts w:ascii="Times New Roman" w:hAnsi="Times New Roman" w:cs="Times New Roman"/>
      </w:rPr>
    </w:lvl>
    <w:lvl w:ilvl="7">
      <w:start w:val="1"/>
      <w:numFmt w:val="lowerLetter"/>
      <w:isLgl w:val="false"/>
      <w:suff w:val="tab"/>
      <w:lvlText w:val="%8)"/>
      <w:lvlJc w:val="left"/>
      <w:pPr>
        <w:pStyle w:val="928"/>
        <w:ind w:left="3780" w:hanging="420"/>
      </w:pPr>
      <w:rPr>
        <w:rFonts w:ascii="Times New Roman" w:hAnsi="Times New Roman" w:cs="Times New Roman"/>
      </w:rPr>
    </w:lvl>
    <w:lvl w:ilvl="8">
      <w:start w:val="1"/>
      <w:numFmt w:val="lowerRoman"/>
      <w:isLgl w:val="false"/>
      <w:suff w:val="tab"/>
      <w:lvlText w:val="%9."/>
      <w:lvlJc w:val="right"/>
      <w:pPr>
        <w:pStyle w:val="928"/>
        <w:ind w:left="4200" w:hanging="420"/>
      </w:pPr>
      <w:rPr>
        <w:rFonts w:ascii="Times New Roman" w:hAnsi="Times New Roman" w:cs="Times New Roman"/>
      </w:rPr>
    </w:lvl>
  </w:abstractNum>
  <w:abstractNum w:abstractNumId="76">
    <w:multiLevelType w:val="hybridMultilevel"/>
    <w:lvl w:ilvl="0">
      <w:start w:val="1"/>
      <w:numFmt w:val="decimal"/>
      <w:isLgl w:val="false"/>
      <w:suff w:val="tab"/>
      <w:lvlText w:val="%1"/>
      <w:lvlJc w:val="left"/>
      <w:pPr>
        <w:pStyle w:val="928"/>
        <w:ind w:left="425" w:hanging="425"/>
      </w:pPr>
    </w:lvl>
    <w:lvl w:ilvl="1">
      <w:start w:val="1"/>
      <w:numFmt w:val="decimal"/>
      <w:isLgl w:val="false"/>
      <w:suff w:val="tab"/>
      <w:lvlText w:val="24.%2"/>
      <w:lvlJc w:val="left"/>
      <w:pPr>
        <w:pStyle w:val="928"/>
        <w:ind w:left="440" w:hanging="440"/>
      </w:pPr>
      <w:rPr>
        <w:rFonts w:hint="eastAsia"/>
      </w:rPr>
    </w:lvl>
    <w:lvl w:ilvl="2">
      <w:start w:val="1"/>
      <w:numFmt w:val="decimal"/>
      <w:isLgl w:val="false"/>
      <w:suff w:val="tab"/>
      <w:lvlText w:val="%1.%2.%3"/>
      <w:lvlJc w:val="left"/>
      <w:pPr>
        <w:pStyle w:val="928"/>
        <w:ind w:left="1418" w:hanging="567"/>
      </w:pPr>
    </w:lvl>
    <w:lvl w:ilvl="3">
      <w:start w:val="1"/>
      <w:numFmt w:val="decimal"/>
      <w:isLgl w:val="false"/>
      <w:suff w:val="tab"/>
      <w:lvlText w:val="%1.%2.%3.%4"/>
      <w:lvlJc w:val="left"/>
      <w:pPr>
        <w:pStyle w:val="928"/>
        <w:ind w:left="1984" w:hanging="708"/>
      </w:pPr>
    </w:lvl>
    <w:lvl w:ilvl="4">
      <w:start w:val="1"/>
      <w:numFmt w:val="decimal"/>
      <w:isLgl w:val="false"/>
      <w:suff w:val="tab"/>
      <w:lvlText w:val="%1.%2.%3.%4.%5"/>
      <w:lvlJc w:val="left"/>
      <w:pPr>
        <w:pStyle w:val="928"/>
        <w:ind w:left="2551" w:hanging="850"/>
      </w:pPr>
    </w:lvl>
    <w:lvl w:ilvl="5">
      <w:start w:val="1"/>
      <w:numFmt w:val="decimal"/>
      <w:isLgl w:val="false"/>
      <w:suff w:val="tab"/>
      <w:lvlText w:val="%1.%2.%3.%4.%5.%6"/>
      <w:lvlJc w:val="left"/>
      <w:pPr>
        <w:pStyle w:val="928"/>
        <w:ind w:left="3260" w:hanging="1134"/>
      </w:pPr>
    </w:lvl>
    <w:lvl w:ilvl="6">
      <w:start w:val="1"/>
      <w:numFmt w:val="decimal"/>
      <w:isLgl w:val="false"/>
      <w:suff w:val="tab"/>
      <w:lvlText w:val="%1.%2.%3.%4.%5.%6.%7"/>
      <w:lvlJc w:val="left"/>
      <w:pPr>
        <w:pStyle w:val="928"/>
        <w:ind w:left="3827" w:hanging="1276"/>
      </w:pPr>
    </w:lvl>
    <w:lvl w:ilvl="7">
      <w:start w:val="1"/>
      <w:numFmt w:val="decimal"/>
      <w:isLgl w:val="false"/>
      <w:suff w:val="tab"/>
      <w:lvlText w:val="%1.%2.%3.%4.%5.%6.%7.%8"/>
      <w:lvlJc w:val="left"/>
      <w:pPr>
        <w:pStyle w:val="928"/>
        <w:ind w:left="4394" w:hanging="1418"/>
      </w:pPr>
    </w:lvl>
    <w:lvl w:ilvl="8">
      <w:start w:val="1"/>
      <w:numFmt w:val="decimal"/>
      <w:isLgl w:val="false"/>
      <w:suff w:val="tab"/>
      <w:lvlText w:val="%1.%2.%3.%4.%5.%6.%7.%8.%9"/>
      <w:lvlJc w:val="left"/>
      <w:pPr>
        <w:pStyle w:val="928"/>
        <w:ind w:left="5102" w:hanging="1700"/>
      </w:pPr>
    </w:lvl>
  </w:abstractNum>
  <w:abstractNum w:abstractNumId="77">
    <w:multiLevelType w:val="hybridMultilevel"/>
    <w:lvl w:ilvl="0">
      <w:start w:val="1"/>
      <w:numFmt w:val="decimal"/>
      <w:isLgl w:val="false"/>
      <w:suff w:val="tab"/>
      <w:lvlText w:val="%1)"/>
      <w:lvlJc w:val="left"/>
      <w:pPr>
        <w:pStyle w:val="928"/>
        <w:ind w:left="860" w:hanging="440"/>
      </w:pPr>
    </w:lvl>
    <w:lvl w:ilvl="1">
      <w:start w:val="1"/>
      <w:numFmt w:val="lowerLetter"/>
      <w:isLgl w:val="false"/>
      <w:suff w:val="tab"/>
      <w:lvlText w:val="%2)"/>
      <w:lvlJc w:val="left"/>
      <w:pPr>
        <w:pStyle w:val="928"/>
        <w:ind w:left="1300" w:hanging="440"/>
      </w:pPr>
    </w:lvl>
    <w:lvl w:ilvl="2">
      <w:start w:val="1"/>
      <w:numFmt w:val="lowerRoman"/>
      <w:isLgl w:val="false"/>
      <w:suff w:val="tab"/>
      <w:lvlText w:val="%3."/>
      <w:lvlJc w:val="right"/>
      <w:pPr>
        <w:pStyle w:val="928"/>
        <w:ind w:left="1740" w:hanging="440"/>
      </w:pPr>
    </w:lvl>
    <w:lvl w:ilvl="3">
      <w:start w:val="1"/>
      <w:numFmt w:val="decimal"/>
      <w:isLgl w:val="false"/>
      <w:suff w:val="tab"/>
      <w:lvlText w:val="%4."/>
      <w:lvlJc w:val="left"/>
      <w:pPr>
        <w:pStyle w:val="928"/>
        <w:ind w:left="2180" w:hanging="440"/>
      </w:pPr>
    </w:lvl>
    <w:lvl w:ilvl="4">
      <w:start w:val="1"/>
      <w:numFmt w:val="lowerLetter"/>
      <w:isLgl w:val="false"/>
      <w:suff w:val="tab"/>
      <w:lvlText w:val="%5)"/>
      <w:lvlJc w:val="left"/>
      <w:pPr>
        <w:pStyle w:val="928"/>
        <w:ind w:left="2620" w:hanging="440"/>
      </w:pPr>
    </w:lvl>
    <w:lvl w:ilvl="5">
      <w:start w:val="1"/>
      <w:numFmt w:val="lowerRoman"/>
      <w:isLgl w:val="false"/>
      <w:suff w:val="tab"/>
      <w:lvlText w:val="%6."/>
      <w:lvlJc w:val="right"/>
      <w:pPr>
        <w:pStyle w:val="928"/>
        <w:ind w:left="3060" w:hanging="440"/>
      </w:pPr>
    </w:lvl>
    <w:lvl w:ilvl="6">
      <w:start w:val="1"/>
      <w:numFmt w:val="decimal"/>
      <w:isLgl w:val="false"/>
      <w:suff w:val="tab"/>
      <w:lvlText w:val="%7."/>
      <w:lvlJc w:val="left"/>
      <w:pPr>
        <w:pStyle w:val="928"/>
        <w:ind w:left="3500" w:hanging="440"/>
      </w:pPr>
    </w:lvl>
    <w:lvl w:ilvl="7">
      <w:start w:val="1"/>
      <w:numFmt w:val="lowerLetter"/>
      <w:isLgl w:val="false"/>
      <w:suff w:val="tab"/>
      <w:lvlText w:val="%8)"/>
      <w:lvlJc w:val="left"/>
      <w:pPr>
        <w:pStyle w:val="928"/>
        <w:ind w:left="3940" w:hanging="440"/>
      </w:pPr>
    </w:lvl>
    <w:lvl w:ilvl="8">
      <w:start w:val="1"/>
      <w:numFmt w:val="lowerRoman"/>
      <w:isLgl w:val="false"/>
      <w:suff w:val="tab"/>
      <w:lvlText w:val="%9."/>
      <w:lvlJc w:val="right"/>
      <w:pPr>
        <w:pStyle w:val="928"/>
        <w:ind w:left="4380" w:hanging="440"/>
      </w:pPr>
    </w:lvl>
  </w:abstractNum>
  <w:abstractNum w:abstractNumId="78">
    <w:multiLevelType w:val="hybridMultilevel"/>
    <w:lvl w:ilvl="0">
      <w:start w:val="1"/>
      <w:numFmt w:val="decimal"/>
      <w:isLgl w:val="false"/>
      <w:suff w:val="space"/>
      <w:lvlText w:val="%1."/>
      <w:lvlJc w:val="left"/>
      <w:pPr>
        <w:pStyle w:val="928"/>
        <w:ind w:left="0" w:firstLine="0"/>
      </w:pPr>
      <w:rPr>
        <w:rFonts w:ascii="Times New Roman" w:hAnsi="Times New Roman" w:cs="Times New Roman"/>
      </w:rPr>
    </w:lvl>
    <w:lvl w:ilvl="1">
      <w:start w:val="1"/>
      <w:numFmt w:val="decimal"/>
      <w:isLgl w:val="false"/>
      <w:suff w:val="space"/>
      <w:lvlText w:val="%1.%2"/>
      <w:lvlJc w:val="left"/>
      <w:pPr>
        <w:pStyle w:val="928"/>
        <w:ind w:left="0" w:firstLine="113"/>
      </w:pPr>
      <w:rPr>
        <w:rFonts w:ascii="Times New Roman" w:hAnsi="Times New Roman" w:cs="Times New Roman"/>
        <w:b/>
        <w:bCs/>
      </w:rPr>
    </w:lvl>
    <w:lvl w:ilvl="2">
      <w:start w:val="1"/>
      <w:numFmt w:val="decimal"/>
      <w:isLgl w:val="false"/>
      <w:suff w:val="space"/>
      <w:lvlText w:val="%1.%2.%3"/>
      <w:lvlJc w:val="left"/>
      <w:pPr>
        <w:pStyle w:val="928"/>
        <w:ind w:left="0" w:firstLine="170"/>
      </w:pPr>
      <w:rPr>
        <w:rFonts w:hint="eastAsia" w:ascii="宋体" w:hAnsi="宋体" w:eastAsia="宋体"/>
      </w:rPr>
    </w:lvl>
    <w:lvl w:ilvl="3">
      <w:start w:val="1"/>
      <w:numFmt w:val="decimal"/>
      <w:isLgl w:val="false"/>
      <w:suff w:val="space"/>
      <w:lvlText w:val="%1.%2.%3.%4"/>
      <w:lvlJc w:val="left"/>
      <w:pPr>
        <w:pStyle w:val="928"/>
        <w:ind w:left="0" w:firstLine="227"/>
      </w:pPr>
      <w:rPr>
        <w:rFonts w:hint="eastAsia" w:ascii="宋体" w:hAnsi="宋体" w:eastAsia="宋体"/>
      </w:rPr>
    </w:lvl>
    <w:lvl w:ilvl="4">
      <w:start w:val="1"/>
      <w:numFmt w:val="decimal"/>
      <w:isLgl w:val="false"/>
      <w:suff w:val="tab"/>
      <w:lvlText w:val="%1.%2.%3.%4.%5"/>
      <w:lvlJc w:val="left"/>
      <w:pPr>
        <w:pStyle w:val="928"/>
        <w:ind w:left="2551" w:hanging="850"/>
      </w:pPr>
      <w:rPr>
        <w:rFonts w:hint="eastAsia" w:ascii="宋体" w:hAnsi="宋体" w:eastAsia="宋体"/>
      </w:rPr>
    </w:lvl>
    <w:lvl w:ilvl="5">
      <w:start w:val="1"/>
      <w:numFmt w:val="decimal"/>
      <w:isLgl w:val="false"/>
      <w:suff w:val="tab"/>
      <w:lvlText w:val="%1.%2.%3.%4.%5.%6"/>
      <w:lvlJc w:val="left"/>
      <w:pPr>
        <w:pStyle w:val="928"/>
        <w:ind w:left="3260" w:hanging="1134"/>
      </w:pPr>
      <w:rPr>
        <w:rFonts w:hint="eastAsia" w:ascii="宋体" w:hAnsi="宋体" w:eastAsia="宋体"/>
      </w:rPr>
    </w:lvl>
    <w:lvl w:ilvl="6">
      <w:start w:val="1"/>
      <w:numFmt w:val="decimal"/>
      <w:isLgl w:val="false"/>
      <w:suff w:val="tab"/>
      <w:lvlText w:val="%1.%2.%3.%4.%5.%6.%7"/>
      <w:lvlJc w:val="left"/>
      <w:pPr>
        <w:pStyle w:val="928"/>
        <w:ind w:left="3827" w:hanging="1276"/>
      </w:pPr>
      <w:rPr>
        <w:rFonts w:hint="eastAsia" w:ascii="宋体" w:hAnsi="宋体" w:eastAsia="宋体"/>
      </w:rPr>
    </w:lvl>
    <w:lvl w:ilvl="7">
      <w:start w:val="1"/>
      <w:numFmt w:val="decimal"/>
      <w:isLgl w:val="false"/>
      <w:suff w:val="tab"/>
      <w:lvlText w:val="%1.%2.%3.%4.%5.%6.%7.%8"/>
      <w:lvlJc w:val="left"/>
      <w:pPr>
        <w:pStyle w:val="928"/>
        <w:ind w:left="4394" w:hanging="1418"/>
      </w:pPr>
      <w:rPr>
        <w:rFonts w:hint="eastAsia" w:ascii="宋体" w:hAnsi="宋体" w:eastAsia="宋体"/>
      </w:rPr>
    </w:lvl>
    <w:lvl w:ilvl="8">
      <w:start w:val="1"/>
      <w:numFmt w:val="decimal"/>
      <w:isLgl w:val="false"/>
      <w:suff w:val="tab"/>
      <w:lvlText w:val="%1.%2.%3.%4.%5.%6.%7.%8.%9"/>
      <w:lvlJc w:val="left"/>
      <w:pPr>
        <w:pStyle w:val="928"/>
        <w:ind w:left="5102" w:hanging="1700"/>
      </w:pPr>
      <w:rPr>
        <w:rFonts w:hint="eastAsia" w:ascii="宋体" w:hAnsi="宋体" w:eastAsia="宋体"/>
      </w:rPr>
    </w:lvl>
  </w:abstractNum>
  <w:num w:numId="1">
    <w:abstractNumId w:val="62"/>
  </w:num>
  <w:num w:numId="2">
    <w:abstractNumId w:val="64"/>
  </w:num>
  <w:num w:numId="3">
    <w:abstractNumId w:val="0"/>
  </w:num>
  <w:num w:numId="4">
    <w:abstractNumId w:val="30"/>
  </w:num>
  <w:num w:numId="5">
    <w:abstractNumId w:val="1"/>
  </w:num>
  <w:num w:numId="6">
    <w:abstractNumId w:val="19"/>
  </w:num>
  <w:num w:numId="7">
    <w:abstractNumId w:val="27"/>
  </w:num>
  <w:num w:numId="8">
    <w:abstractNumId w:val="68"/>
  </w:num>
  <w:num w:numId="9">
    <w:abstractNumId w:val="41"/>
  </w:num>
  <w:num w:numId="10">
    <w:abstractNumId w:val="46"/>
  </w:num>
  <w:num w:numId="11">
    <w:abstractNumId w:val="54"/>
  </w:num>
  <w:num w:numId="12">
    <w:abstractNumId w:val="17"/>
  </w:num>
  <w:num w:numId="13">
    <w:abstractNumId w:val="11"/>
  </w:num>
  <w:num w:numId="14">
    <w:abstractNumId w:val="42"/>
  </w:num>
  <w:num w:numId="15">
    <w:abstractNumId w:val="29"/>
  </w:num>
  <w:num w:numId="16">
    <w:abstractNumId w:val="8"/>
  </w:num>
  <w:num w:numId="17">
    <w:abstractNumId w:val="9"/>
  </w:num>
  <w:num w:numId="18">
    <w:abstractNumId w:val="16"/>
  </w:num>
  <w:num w:numId="19">
    <w:abstractNumId w:val="59"/>
  </w:num>
  <w:num w:numId="20">
    <w:abstractNumId w:val="39"/>
  </w:num>
  <w:num w:numId="21">
    <w:abstractNumId w:val="3"/>
  </w:num>
  <w:num w:numId="22">
    <w:abstractNumId w:val="71"/>
  </w:num>
  <w:num w:numId="23">
    <w:abstractNumId w:val="72"/>
  </w:num>
  <w:num w:numId="24">
    <w:abstractNumId w:val="69"/>
  </w:num>
  <w:num w:numId="25">
    <w:abstractNumId w:val="52"/>
  </w:num>
  <w:num w:numId="26">
    <w:abstractNumId w:val="50"/>
  </w:num>
  <w:num w:numId="27">
    <w:abstractNumId w:val="12"/>
  </w:num>
  <w:num w:numId="28">
    <w:abstractNumId w:val="76"/>
  </w:num>
  <w:num w:numId="29">
    <w:abstractNumId w:val="2"/>
  </w:num>
  <w:num w:numId="30">
    <w:abstractNumId w:val="66"/>
  </w:num>
  <w:num w:numId="31">
    <w:abstractNumId w:val="15"/>
  </w:num>
  <w:num w:numId="32">
    <w:abstractNumId w:val="60"/>
  </w:num>
  <w:num w:numId="33">
    <w:abstractNumId w:val="70"/>
  </w:num>
  <w:num w:numId="34">
    <w:abstractNumId w:val="26"/>
  </w:num>
  <w:num w:numId="35">
    <w:abstractNumId w:val="73"/>
  </w:num>
  <w:num w:numId="36">
    <w:abstractNumId w:val="49"/>
  </w:num>
  <w:num w:numId="37">
    <w:abstractNumId w:val="56"/>
  </w:num>
  <w:num w:numId="38">
    <w:abstractNumId w:val="6"/>
  </w:num>
  <w:num w:numId="39">
    <w:abstractNumId w:val="63"/>
  </w:num>
  <w:num w:numId="40">
    <w:abstractNumId w:val="40"/>
  </w:num>
  <w:num w:numId="41">
    <w:abstractNumId w:val="36"/>
  </w:num>
  <w:num w:numId="42">
    <w:abstractNumId w:val="10"/>
  </w:num>
  <w:num w:numId="43">
    <w:abstractNumId w:val="38"/>
  </w:num>
  <w:num w:numId="44">
    <w:abstractNumId w:val="13"/>
  </w:num>
  <w:num w:numId="45">
    <w:abstractNumId w:val="35"/>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num>
  <w:num w:numId="6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4"/>
  </w:num>
  <w:num w:numId="73">
    <w:abstractNumId w:val="47"/>
  </w:num>
  <w:num w:numId="74">
    <w:abstractNumId w:val="53"/>
  </w:num>
  <w:num w:numId="75">
    <w:abstractNumId w:val="14"/>
  </w:num>
  <w:num w:numId="76">
    <w:abstractNumId w:val="77"/>
  </w:num>
  <w:num w:numId="77">
    <w:abstractNumId w:val="24"/>
  </w:num>
  <w:num w:numId="78">
    <w:abstractNumId w:val="48"/>
  </w:num>
  <w:num w:numId="7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name w:val="Heading 1"/>
    <w:basedOn w:val="928"/>
    <w:next w:val="928"/>
    <w:link w:val="1543"/>
    <w:uiPriority w:val="9"/>
    <w:qFormat/>
    <w:pPr>
      <w:keepLines/>
      <w:keepNext/>
      <w:spacing w:before="480" w:after="200"/>
      <w:outlineLvl w:val="0"/>
    </w:pPr>
    <w:rPr>
      <w:rFonts w:ascii="Arial" w:hAnsi="Arial" w:eastAsia="Arial" w:cs="Arial"/>
      <w:sz w:val="40"/>
      <w:szCs w:val="40"/>
    </w:rPr>
  </w:style>
  <w:style w:type="paragraph" w:styleId="884">
    <w:name w:val="Heading 2"/>
    <w:basedOn w:val="928"/>
    <w:next w:val="928"/>
    <w:link w:val="1544"/>
    <w:uiPriority w:val="9"/>
    <w:unhideWhenUsed/>
    <w:qFormat/>
    <w:pPr>
      <w:keepLines/>
      <w:keepNext/>
      <w:spacing w:before="360" w:after="200"/>
      <w:outlineLvl w:val="1"/>
    </w:pPr>
    <w:rPr>
      <w:rFonts w:ascii="Arial" w:hAnsi="Arial" w:eastAsia="Arial" w:cs="Arial"/>
      <w:sz w:val="34"/>
    </w:rPr>
  </w:style>
  <w:style w:type="paragraph" w:styleId="885">
    <w:name w:val="Heading 3"/>
    <w:basedOn w:val="928"/>
    <w:next w:val="928"/>
    <w:link w:val="1545"/>
    <w:uiPriority w:val="9"/>
    <w:unhideWhenUsed/>
    <w:qFormat/>
    <w:pPr>
      <w:keepLines/>
      <w:keepNext/>
      <w:spacing w:before="320" w:after="200"/>
      <w:outlineLvl w:val="2"/>
    </w:pPr>
    <w:rPr>
      <w:rFonts w:ascii="Arial" w:hAnsi="Arial" w:eastAsia="Arial" w:cs="Arial"/>
      <w:sz w:val="30"/>
      <w:szCs w:val="30"/>
    </w:rPr>
  </w:style>
  <w:style w:type="paragraph" w:styleId="886">
    <w:name w:val="Heading 4"/>
    <w:basedOn w:val="928"/>
    <w:next w:val="928"/>
    <w:link w:val="1546"/>
    <w:uiPriority w:val="9"/>
    <w:unhideWhenUsed/>
    <w:qFormat/>
    <w:pPr>
      <w:keepLines/>
      <w:keepNext/>
      <w:spacing w:before="320" w:after="200"/>
      <w:outlineLvl w:val="3"/>
    </w:pPr>
    <w:rPr>
      <w:rFonts w:ascii="Arial" w:hAnsi="Arial" w:eastAsia="Arial" w:cs="Arial"/>
      <w:b/>
      <w:bCs/>
      <w:sz w:val="26"/>
      <w:szCs w:val="26"/>
    </w:rPr>
  </w:style>
  <w:style w:type="paragraph" w:styleId="887">
    <w:name w:val="Heading 5"/>
    <w:basedOn w:val="928"/>
    <w:next w:val="928"/>
    <w:link w:val="1547"/>
    <w:uiPriority w:val="9"/>
    <w:unhideWhenUsed/>
    <w:qFormat/>
    <w:pPr>
      <w:keepLines/>
      <w:keepNext/>
      <w:spacing w:before="320" w:after="200"/>
      <w:outlineLvl w:val="4"/>
    </w:pPr>
    <w:rPr>
      <w:rFonts w:ascii="Arial" w:hAnsi="Arial" w:eastAsia="Arial" w:cs="Arial"/>
      <w:b/>
      <w:bCs/>
      <w:sz w:val="24"/>
      <w:szCs w:val="24"/>
    </w:rPr>
  </w:style>
  <w:style w:type="paragraph" w:styleId="888">
    <w:name w:val="Heading 6"/>
    <w:basedOn w:val="928"/>
    <w:next w:val="928"/>
    <w:link w:val="1548"/>
    <w:uiPriority w:val="9"/>
    <w:unhideWhenUsed/>
    <w:qFormat/>
    <w:pPr>
      <w:keepLines/>
      <w:keepNext/>
      <w:spacing w:before="320" w:after="200"/>
      <w:outlineLvl w:val="5"/>
    </w:pPr>
    <w:rPr>
      <w:rFonts w:ascii="Arial" w:hAnsi="Arial" w:eastAsia="Arial" w:cs="Arial"/>
      <w:b/>
      <w:bCs/>
      <w:sz w:val="22"/>
      <w:szCs w:val="22"/>
    </w:rPr>
  </w:style>
  <w:style w:type="paragraph" w:styleId="889">
    <w:name w:val="Heading 7"/>
    <w:basedOn w:val="928"/>
    <w:next w:val="928"/>
    <w:link w:val="1549"/>
    <w:uiPriority w:val="9"/>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928"/>
    <w:next w:val="928"/>
    <w:link w:val="1550"/>
    <w:uiPriority w:val="9"/>
    <w:unhideWhenUsed/>
    <w:qFormat/>
    <w:pPr>
      <w:keepLines/>
      <w:keepNext/>
      <w:spacing w:before="320" w:after="200"/>
      <w:outlineLvl w:val="7"/>
    </w:pPr>
    <w:rPr>
      <w:rFonts w:ascii="Arial" w:hAnsi="Arial" w:eastAsia="Arial" w:cs="Arial"/>
      <w:i/>
      <w:iCs/>
      <w:sz w:val="22"/>
      <w:szCs w:val="22"/>
    </w:rPr>
  </w:style>
  <w:style w:type="paragraph" w:styleId="891">
    <w:name w:val="Heading 9"/>
    <w:basedOn w:val="928"/>
    <w:next w:val="928"/>
    <w:link w:val="1551"/>
    <w:uiPriority w:val="9"/>
    <w:unhideWhenUsed/>
    <w:qFormat/>
    <w:pPr>
      <w:keepLines/>
      <w:keepNext/>
      <w:spacing w:before="320" w:after="200"/>
      <w:outlineLvl w:val="8"/>
    </w:pPr>
    <w:rPr>
      <w:rFonts w:ascii="Arial" w:hAnsi="Arial" w:eastAsia="Arial" w:cs="Arial"/>
      <w:i/>
      <w:iCs/>
      <w:sz w:val="21"/>
      <w:szCs w:val="21"/>
    </w:rPr>
  </w:style>
  <w:style w:type="paragraph" w:styleId="892">
    <w:name w:val="List Paragraph"/>
    <w:basedOn w:val="928"/>
    <w:uiPriority w:val="34"/>
    <w:qFormat/>
    <w:pPr>
      <w:contextualSpacing/>
      <w:ind w:left="720"/>
    </w:pPr>
  </w:style>
  <w:style w:type="paragraph" w:styleId="893">
    <w:name w:val="No Spacing"/>
    <w:uiPriority w:val="1"/>
    <w:qFormat/>
    <w:pPr>
      <w:spacing w:before="0" w:after="0" w:line="240" w:lineRule="auto"/>
    </w:pPr>
  </w:style>
  <w:style w:type="paragraph" w:styleId="894">
    <w:name w:val="Title"/>
    <w:basedOn w:val="928"/>
    <w:next w:val="928"/>
    <w:link w:val="1552"/>
    <w:uiPriority w:val="10"/>
    <w:qFormat/>
    <w:pPr>
      <w:contextualSpacing/>
      <w:spacing w:before="300" w:after="200"/>
    </w:pPr>
    <w:rPr>
      <w:sz w:val="48"/>
      <w:szCs w:val="48"/>
    </w:rPr>
  </w:style>
  <w:style w:type="paragraph" w:styleId="895">
    <w:name w:val="Subtitle"/>
    <w:basedOn w:val="928"/>
    <w:next w:val="928"/>
    <w:link w:val="1553"/>
    <w:uiPriority w:val="11"/>
    <w:qFormat/>
    <w:pPr>
      <w:spacing w:before="200" w:after="200"/>
    </w:pPr>
    <w:rPr>
      <w:sz w:val="24"/>
      <w:szCs w:val="24"/>
    </w:rPr>
  </w:style>
  <w:style w:type="paragraph" w:styleId="896">
    <w:name w:val="Quote"/>
    <w:basedOn w:val="928"/>
    <w:next w:val="928"/>
    <w:link w:val="1554"/>
    <w:uiPriority w:val="29"/>
    <w:qFormat/>
    <w:pPr>
      <w:ind w:left="720" w:right="720"/>
    </w:pPr>
    <w:rPr>
      <w:i/>
    </w:rPr>
  </w:style>
  <w:style w:type="paragraph" w:styleId="897">
    <w:name w:val="Intense Quote"/>
    <w:basedOn w:val="928"/>
    <w:next w:val="928"/>
    <w:link w:val="15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8">
    <w:name w:val="Header"/>
    <w:basedOn w:val="928"/>
    <w:link w:val="1114"/>
    <w:uiPriority w:val="99"/>
    <w:unhideWhenUsed/>
    <w:pPr>
      <w:spacing w:after="0" w:line="240" w:lineRule="auto"/>
      <w:tabs>
        <w:tab w:val="center" w:pos="7143" w:leader="none"/>
        <w:tab w:val="right" w:pos="14287" w:leader="none"/>
      </w:tabs>
    </w:pPr>
  </w:style>
  <w:style w:type="paragraph" w:styleId="899">
    <w:name w:val="Footer"/>
    <w:basedOn w:val="928"/>
    <w:link w:val="1556"/>
    <w:uiPriority w:val="99"/>
    <w:unhideWhenUsed/>
    <w:pPr>
      <w:spacing w:after="0" w:line="240" w:lineRule="auto"/>
      <w:tabs>
        <w:tab w:val="center" w:pos="7143" w:leader="none"/>
        <w:tab w:val="right" w:pos="14287" w:leader="none"/>
      </w:tabs>
    </w:pPr>
  </w:style>
  <w:style w:type="paragraph" w:styleId="900">
    <w:name w:val="Caption"/>
    <w:basedOn w:val="928"/>
    <w:next w:val="928"/>
    <w:uiPriority w:val="35"/>
    <w:semiHidden/>
    <w:unhideWhenUsed/>
    <w:qFormat/>
    <w:pPr>
      <w:spacing w:line="276" w:lineRule="auto"/>
    </w:pPr>
    <w:rPr>
      <w:b/>
      <w:bCs/>
      <w:color w:val="4f81bd" w:themeColor="accent1"/>
      <w:sz w:val="18"/>
      <w:szCs w:val="18"/>
    </w:rPr>
  </w:style>
  <w:style w:type="table" w:styleId="9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1">
    <w:name w:val="Hyperlink"/>
    <w:uiPriority w:val="99"/>
    <w:unhideWhenUsed/>
    <w:rPr>
      <w:color w:val="0000ff" w:themeColor="hyperlink"/>
      <w:u w:val="single"/>
    </w:rPr>
  </w:style>
  <w:style w:type="paragraph" w:styleId="922">
    <w:name w:val="footnote text"/>
    <w:basedOn w:val="928"/>
    <w:link w:val="1576"/>
    <w:uiPriority w:val="99"/>
    <w:semiHidden/>
    <w:unhideWhenUsed/>
    <w:pPr>
      <w:spacing w:after="40" w:line="240" w:lineRule="auto"/>
    </w:pPr>
    <w:rPr>
      <w:sz w:val="18"/>
    </w:rPr>
  </w:style>
  <w:style w:type="character" w:styleId="923">
    <w:name w:val="footnote reference"/>
    <w:uiPriority w:val="99"/>
    <w:unhideWhenUsed/>
    <w:rPr>
      <w:vertAlign w:val="superscript"/>
    </w:rPr>
  </w:style>
  <w:style w:type="paragraph" w:styleId="924">
    <w:name w:val="endnote text"/>
    <w:basedOn w:val="928"/>
    <w:link w:val="1577"/>
    <w:uiPriority w:val="99"/>
    <w:semiHidden/>
    <w:unhideWhenUsed/>
    <w:pPr>
      <w:spacing w:after="0" w:line="240" w:lineRule="auto"/>
    </w:pPr>
    <w:rPr>
      <w:sz w:val="20"/>
    </w:rPr>
  </w:style>
  <w:style w:type="character" w:styleId="925">
    <w:name w:val="endnote reference"/>
    <w:uiPriority w:val="99"/>
    <w:semiHidden/>
    <w:unhideWhenUsed/>
    <w:rPr>
      <w:vertAlign w:val="superscript"/>
    </w:r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rFonts w:ascii="宋体" w:hAnsi="宋体"/>
      <w:sz w:val="24"/>
      <w:szCs w:val="24"/>
      <w:lang w:val="en-US" w:eastAsia="zh-CN" w:bidi="ar-SA"/>
    </w:rPr>
  </w:style>
  <w:style w:type="paragraph" w:styleId="929">
    <w:name w:val="标题 1"/>
    <w:basedOn w:val="928"/>
    <w:next w:val="928"/>
    <w:link w:val="941"/>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930">
    <w:name w:val="标题 2"/>
    <w:basedOn w:val="928"/>
    <w:next w:val="943"/>
    <w:link w:val="942"/>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931">
    <w:name w:val="标题 3"/>
    <w:basedOn w:val="928"/>
    <w:next w:val="943"/>
    <w:link w:val="945"/>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932">
    <w:name w:val="标题 4"/>
    <w:basedOn w:val="928"/>
    <w:next w:val="943"/>
    <w:link w:val="946"/>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933">
    <w:name w:val="标题 5"/>
    <w:basedOn w:val="928"/>
    <w:next w:val="943"/>
    <w:link w:val="947"/>
    <w:uiPriority w:val="99"/>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934">
    <w:name w:val="标题 6"/>
    <w:basedOn w:val="928"/>
    <w:next w:val="943"/>
    <w:link w:val="948"/>
    <w:uiPriority w:val="9"/>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935">
    <w:name w:val="标题 7"/>
    <w:basedOn w:val="928"/>
    <w:next w:val="943"/>
    <w:link w:val="949"/>
    <w:uiPriority w:val="9"/>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936">
    <w:name w:val="标题 8"/>
    <w:basedOn w:val="928"/>
    <w:next w:val="943"/>
    <w:link w:val="950"/>
    <w:uiPriority w:val="9"/>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937">
    <w:name w:val="标题 9"/>
    <w:basedOn w:val="928"/>
    <w:next w:val="943"/>
    <w:link w:val="951"/>
    <w:uiPriority w:val="9"/>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938">
    <w:name w:val="默认段落字体"/>
    <w:next w:val="938"/>
    <w:link w:val="928"/>
    <w:semiHidden/>
  </w:style>
  <w:style w:type="table" w:styleId="939">
    <w:name w:val="普通表格"/>
    <w:next w:val="939"/>
    <w:link w:val="928"/>
    <w:semiHidden/>
    <w:tblPr/>
  </w:style>
  <w:style w:type="numbering" w:styleId="940">
    <w:name w:val="无列表"/>
    <w:next w:val="940"/>
    <w:link w:val="928"/>
    <w:uiPriority w:val="99"/>
    <w:semiHidden/>
    <w:unhideWhenUsed/>
  </w:style>
  <w:style w:type="character" w:styleId="941">
    <w:name w:val="标题 1 字符"/>
    <w:next w:val="941"/>
    <w:link w:val="929"/>
    <w:qFormat/>
    <w:rPr>
      <w:b/>
      <w:sz w:val="44"/>
    </w:rPr>
  </w:style>
  <w:style w:type="character" w:styleId="942">
    <w:name w:val="标题 2 字符"/>
    <w:next w:val="942"/>
    <w:link w:val="930"/>
    <w:qFormat/>
    <w:rPr>
      <w:rFonts w:ascii="Arial" w:hAnsi="Arial" w:eastAsia="黑体"/>
      <w:b/>
      <w:sz w:val="32"/>
    </w:rPr>
  </w:style>
  <w:style w:type="paragraph" w:styleId="943">
    <w:name w:val="正文缩进"/>
    <w:basedOn w:val="928"/>
    <w:next w:val="943"/>
    <w:link w:val="944"/>
    <w:qFormat/>
    <w:pPr>
      <w:ind w:firstLine="420"/>
      <w:jc w:val="left"/>
    </w:pPr>
    <w:rPr>
      <w:rFonts w:ascii="Times New Roman" w:hAnsi="Times New Roman" w:eastAsia="楷体_GB2312"/>
      <w:szCs w:val="20"/>
    </w:rPr>
  </w:style>
  <w:style w:type="character" w:styleId="944">
    <w:name w:val="正文缩进 字符"/>
    <w:next w:val="944"/>
    <w:link w:val="943"/>
    <w:qFormat/>
    <w:rPr>
      <w:rFonts w:eastAsia="楷体_GB2312"/>
      <w:sz w:val="24"/>
    </w:rPr>
  </w:style>
  <w:style w:type="character" w:styleId="945">
    <w:name w:val="标题 3 字符"/>
    <w:next w:val="945"/>
    <w:link w:val="931"/>
    <w:qFormat/>
    <w:rPr>
      <w:b/>
      <w:sz w:val="32"/>
    </w:rPr>
  </w:style>
  <w:style w:type="character" w:styleId="946">
    <w:name w:val="标题 4 字符"/>
    <w:next w:val="946"/>
    <w:link w:val="932"/>
    <w:qFormat/>
    <w:rPr>
      <w:rFonts w:ascii="Arial" w:hAnsi="Arial" w:eastAsia="黑体"/>
      <w:b/>
      <w:sz w:val="28"/>
    </w:rPr>
  </w:style>
  <w:style w:type="character" w:styleId="947">
    <w:name w:val="标题 5 字符"/>
    <w:next w:val="947"/>
    <w:link w:val="933"/>
    <w:uiPriority w:val="99"/>
    <w:qFormat/>
    <w:rPr>
      <w:b/>
      <w:sz w:val="28"/>
    </w:rPr>
  </w:style>
  <w:style w:type="character" w:styleId="948">
    <w:name w:val="标题 6 字符"/>
    <w:next w:val="948"/>
    <w:link w:val="934"/>
    <w:uiPriority w:val="9"/>
    <w:qFormat/>
    <w:rPr>
      <w:rFonts w:ascii="Arial" w:hAnsi="Arial" w:eastAsia="黑体"/>
      <w:b/>
      <w:sz w:val="24"/>
    </w:rPr>
  </w:style>
  <w:style w:type="character" w:styleId="949">
    <w:name w:val="标题 7 字符"/>
    <w:next w:val="949"/>
    <w:link w:val="935"/>
    <w:uiPriority w:val="9"/>
    <w:qFormat/>
    <w:rPr>
      <w:b/>
      <w:sz w:val="24"/>
    </w:rPr>
  </w:style>
  <w:style w:type="character" w:styleId="950">
    <w:name w:val="标题 8 字符"/>
    <w:next w:val="950"/>
    <w:link w:val="936"/>
    <w:uiPriority w:val="9"/>
    <w:qFormat/>
    <w:rPr>
      <w:rFonts w:ascii="Arial" w:hAnsi="Arial" w:eastAsia="黑体"/>
      <w:sz w:val="24"/>
    </w:rPr>
  </w:style>
  <w:style w:type="character" w:styleId="951">
    <w:name w:val="标题 9 字符"/>
    <w:next w:val="951"/>
    <w:link w:val="937"/>
    <w:uiPriority w:val="9"/>
    <w:qFormat/>
    <w:rPr>
      <w:rFonts w:ascii="Arial" w:hAnsi="Arial" w:eastAsia="黑体"/>
      <w:sz w:val="21"/>
    </w:rPr>
  </w:style>
  <w:style w:type="paragraph" w:styleId="952">
    <w:name w:val="toc 7"/>
    <w:basedOn w:val="928"/>
    <w:next w:val="928"/>
    <w:link w:val="928"/>
    <w:uiPriority w:val="39"/>
    <w:qFormat/>
    <w:pPr>
      <w:ind w:left="1260"/>
      <w:jc w:val="left"/>
    </w:pPr>
    <w:rPr>
      <w:rFonts w:ascii="Times New Roman" w:hAnsi="Times New Roman"/>
      <w:sz w:val="18"/>
      <w:szCs w:val="18"/>
    </w:rPr>
  </w:style>
  <w:style w:type="paragraph" w:styleId="953">
    <w:name w:val="注释标题"/>
    <w:basedOn w:val="928"/>
    <w:next w:val="928"/>
    <w:link w:val="954"/>
    <w:pPr>
      <w:jc w:val="center"/>
    </w:pPr>
    <w:rPr>
      <w:rFonts w:ascii="Times New Roman" w:hAnsi="Times New Roman"/>
      <w:sz w:val="20"/>
      <w:szCs w:val="20"/>
    </w:rPr>
  </w:style>
  <w:style w:type="character" w:styleId="954">
    <w:name w:val="注释标题 字符"/>
    <w:next w:val="954"/>
    <w:link w:val="953"/>
    <w:rPr>
      <w:rFonts w:eastAsia="宋体"/>
      <w:lang w:bidi="ar-SA"/>
    </w:rPr>
  </w:style>
  <w:style w:type="paragraph" w:styleId="955">
    <w:name w:val="列表编号"/>
    <w:basedOn w:val="928"/>
    <w:next w:val="955"/>
    <w:link w:val="928"/>
    <w:pPr>
      <w:ind w:left="420" w:hanging="420"/>
      <w:tabs>
        <w:tab w:val="left" w:pos="420" w:leader="none"/>
      </w:tabs>
    </w:pPr>
    <w:rPr>
      <w:rFonts w:ascii="Times New Roman" w:hAnsi="Times New Roman"/>
      <w:sz w:val="21"/>
    </w:rPr>
  </w:style>
  <w:style w:type="paragraph" w:styleId="956">
    <w:name w:val="题注"/>
    <w:basedOn w:val="928"/>
    <w:next w:val="928"/>
    <w:link w:val="957"/>
    <w:uiPriority w:val="99"/>
    <w:qFormat/>
    <w:pPr>
      <w:spacing w:before="152" w:after="160"/>
    </w:pPr>
    <w:rPr>
      <w:rFonts w:ascii="Arial" w:hAnsi="Arial" w:eastAsia="黑体" w:cs="Arial"/>
      <w:sz w:val="20"/>
      <w:szCs w:val="20"/>
    </w:rPr>
  </w:style>
  <w:style w:type="character" w:styleId="957">
    <w:name w:val="题注 字符"/>
    <w:next w:val="957"/>
    <w:link w:val="956"/>
    <w:rPr>
      <w:rFonts w:ascii="Arial" w:hAnsi="Arial" w:eastAsia="黑体" w:cs="Arial"/>
      <w:lang w:val="en-US" w:eastAsia="zh-CN" w:bidi="ar-SA"/>
    </w:rPr>
  </w:style>
  <w:style w:type="paragraph" w:styleId="958">
    <w:name w:val="列表项目符号"/>
    <w:basedOn w:val="928"/>
    <w:next w:val="958"/>
    <w:link w:val="928"/>
    <w:pPr>
      <w:ind w:left="357" w:hanging="357"/>
      <w:spacing w:line="500" w:lineRule="exact"/>
      <w:tabs>
        <w:tab w:val="left" w:pos="420" w:leader="none"/>
      </w:tabs>
    </w:pPr>
    <w:rPr>
      <w:rFonts w:ascii="Times New Roman" w:hAnsi="Times New Roman"/>
      <w:szCs w:val="20"/>
    </w:rPr>
  </w:style>
  <w:style w:type="paragraph" w:styleId="959">
    <w:name w:val="文档结构图"/>
    <w:basedOn w:val="928"/>
    <w:next w:val="959"/>
    <w:link w:val="960"/>
    <w:uiPriority w:val="99"/>
    <w:qFormat/>
    <w:pPr>
      <w:shd w:val="clear" w:color="auto" w:fill="000080"/>
    </w:pPr>
  </w:style>
  <w:style w:type="character" w:styleId="960">
    <w:name w:val="文档结构图 字符"/>
    <w:next w:val="960"/>
    <w:link w:val="959"/>
    <w:rPr>
      <w:rFonts w:ascii="宋体" w:hAnsi="宋体" w:eastAsia="宋体"/>
      <w:sz w:val="24"/>
      <w:szCs w:val="24"/>
      <w:lang w:val="en-US" w:eastAsia="zh-CN" w:bidi="ar-SA"/>
    </w:rPr>
  </w:style>
  <w:style w:type="paragraph" w:styleId="961">
    <w:name w:val="批注文字"/>
    <w:basedOn w:val="928"/>
    <w:next w:val="961"/>
    <w:link w:val="962"/>
    <w:qFormat/>
    <w:pPr>
      <w:numPr>
        <w:ilvl w:val="0"/>
        <w:numId w:val="2"/>
      </w:numPr>
      <w:ind w:left="200"/>
      <w:jc w:val="left"/>
      <w:spacing w:before="50" w:after="50"/>
      <w:widowControl/>
    </w:pPr>
    <w:rPr>
      <w:rFonts w:ascii="Times New Roman" w:hAnsi="Times New Roman"/>
      <w:sz w:val="21"/>
      <w:szCs w:val="18"/>
    </w:rPr>
  </w:style>
  <w:style w:type="character" w:styleId="962">
    <w:name w:val="批注文字 字符"/>
    <w:next w:val="962"/>
    <w:link w:val="961"/>
    <w:rPr>
      <w:sz w:val="21"/>
      <w:szCs w:val="18"/>
    </w:rPr>
  </w:style>
  <w:style w:type="paragraph" w:styleId="963">
    <w:name w:val="称呼"/>
    <w:basedOn w:val="928"/>
    <w:next w:val="928"/>
    <w:link w:val="928"/>
    <w:rPr>
      <w:rFonts w:ascii="Times New Roman" w:hAnsi="Times New Roman" w:eastAsia="黑体"/>
    </w:rPr>
  </w:style>
  <w:style w:type="paragraph" w:styleId="964">
    <w:name w:val="正文文本 3"/>
    <w:basedOn w:val="928"/>
    <w:next w:val="964"/>
    <w:link w:val="928"/>
    <w:pPr>
      <w:spacing w:after="120"/>
    </w:pPr>
    <w:rPr>
      <w:rFonts w:ascii="Times New Roman" w:hAnsi="Times New Roman"/>
      <w:sz w:val="16"/>
      <w:szCs w:val="16"/>
    </w:rPr>
  </w:style>
  <w:style w:type="paragraph" w:styleId="965">
    <w:name w:val="正文文本"/>
    <w:basedOn w:val="928"/>
    <w:next w:val="965"/>
    <w:link w:val="966"/>
    <w:qFormat/>
    <w:rPr>
      <w:rFonts w:ascii="Times New Roman" w:hAnsi="Times New Roman"/>
    </w:rPr>
  </w:style>
  <w:style w:type="character" w:styleId="966">
    <w:name w:val="正文文本 字符"/>
    <w:next w:val="966"/>
    <w:link w:val="965"/>
    <w:qFormat/>
    <w:rPr>
      <w:sz w:val="24"/>
      <w:szCs w:val="24"/>
    </w:rPr>
  </w:style>
  <w:style w:type="paragraph" w:styleId="967">
    <w:name w:val="正文文本缩进"/>
    <w:basedOn w:val="928"/>
    <w:next w:val="967"/>
    <w:link w:val="968"/>
    <w:qFormat/>
    <w:pPr>
      <w:ind w:firstLine="420"/>
      <w:spacing w:line="360" w:lineRule="exact"/>
    </w:pPr>
    <w:rPr>
      <w:szCs w:val="21"/>
    </w:rPr>
  </w:style>
  <w:style w:type="character" w:styleId="968">
    <w:name w:val="正文文本缩进 字符"/>
    <w:next w:val="968"/>
    <w:link w:val="967"/>
    <w:uiPriority w:val="99"/>
    <w:rPr>
      <w:rFonts w:ascii="宋体" w:hAnsi="宋体" w:eastAsia="宋体"/>
      <w:sz w:val="24"/>
      <w:szCs w:val="21"/>
      <w:lang w:val="en-US" w:eastAsia="zh-CN" w:bidi="ar-SA"/>
    </w:rPr>
  </w:style>
  <w:style w:type="paragraph" w:styleId="969">
    <w:name w:val="列表 2"/>
    <w:basedOn w:val="928"/>
    <w:next w:val="969"/>
    <w:link w:val="928"/>
    <w:pPr>
      <w:ind w:left="100" w:hanging="200"/>
    </w:pPr>
    <w:rPr>
      <w:rFonts w:ascii="Times New Roman" w:hAnsi="Times New Roman"/>
      <w:sz w:val="21"/>
    </w:rPr>
  </w:style>
  <w:style w:type="paragraph" w:styleId="970">
    <w:name w:val="文本块"/>
    <w:basedOn w:val="928"/>
    <w:next w:val="970"/>
    <w:link w:val="928"/>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971">
    <w:name w:val="toc 5"/>
    <w:basedOn w:val="928"/>
    <w:next w:val="928"/>
    <w:link w:val="928"/>
    <w:uiPriority w:val="39"/>
    <w:qFormat/>
    <w:pPr>
      <w:ind w:left="840"/>
      <w:jc w:val="left"/>
    </w:pPr>
    <w:rPr>
      <w:rFonts w:ascii="Times New Roman" w:hAnsi="Times New Roman"/>
      <w:sz w:val="18"/>
      <w:szCs w:val="18"/>
    </w:rPr>
  </w:style>
  <w:style w:type="paragraph" w:styleId="972">
    <w:name w:val="toc 3"/>
    <w:basedOn w:val="928"/>
    <w:next w:val="928"/>
    <w:link w:val="928"/>
    <w:uiPriority w:val="39"/>
    <w:qFormat/>
    <w:pPr>
      <w:ind w:left="840"/>
    </w:pPr>
    <w:rPr>
      <w:rFonts w:ascii="Times New Roman" w:hAnsi="Times New Roman"/>
      <w:sz w:val="21"/>
    </w:rPr>
  </w:style>
  <w:style w:type="paragraph" w:styleId="973">
    <w:name w:val="纯文本"/>
    <w:basedOn w:val="928"/>
    <w:next w:val="973"/>
    <w:link w:val="974"/>
    <w:qFormat/>
    <w:pPr>
      <w:jc w:val="left"/>
      <w:widowControl/>
    </w:pPr>
    <w:rPr>
      <w:rFonts w:hAnsi="Courier New"/>
      <w:sz w:val="21"/>
      <w:szCs w:val="21"/>
    </w:rPr>
  </w:style>
  <w:style w:type="character" w:styleId="974">
    <w:name w:val="纯文本 字符"/>
    <w:next w:val="974"/>
    <w:link w:val="973"/>
    <w:qFormat/>
    <w:rPr>
      <w:rFonts w:ascii="宋体" w:hAnsi="Courier New" w:eastAsia="宋体"/>
      <w:sz w:val="21"/>
      <w:szCs w:val="21"/>
      <w:lang w:val="en-US" w:eastAsia="zh-CN" w:bidi="ar-SA"/>
    </w:rPr>
  </w:style>
  <w:style w:type="paragraph" w:styleId="975">
    <w:name w:val="列表编号 4"/>
    <w:basedOn w:val="928"/>
    <w:next w:val="975"/>
    <w:link w:val="928"/>
    <w:unhideWhenUsed/>
    <w:pPr>
      <w:numPr>
        <w:ilvl w:val="0"/>
        <w:numId w:val="3"/>
      </w:numPr>
      <w:contextualSpacing/>
      <w:tabs>
        <w:tab w:val="left" w:pos="1620" w:leader="none"/>
      </w:tabs>
    </w:pPr>
    <w:rPr>
      <w:rFonts w:ascii="Times New Roman" w:hAnsi="Times New Roman"/>
      <w:sz w:val="21"/>
    </w:rPr>
  </w:style>
  <w:style w:type="paragraph" w:styleId="976">
    <w:name w:val="toc 8"/>
    <w:basedOn w:val="928"/>
    <w:next w:val="928"/>
    <w:link w:val="928"/>
    <w:uiPriority w:val="39"/>
    <w:qFormat/>
    <w:pPr>
      <w:ind w:left="1470"/>
      <w:jc w:val="left"/>
    </w:pPr>
    <w:rPr>
      <w:rFonts w:ascii="Times New Roman" w:hAnsi="Times New Roman"/>
      <w:sz w:val="18"/>
      <w:szCs w:val="18"/>
    </w:rPr>
  </w:style>
  <w:style w:type="paragraph" w:styleId="977">
    <w:name w:val="日期"/>
    <w:basedOn w:val="928"/>
    <w:next w:val="928"/>
    <w:link w:val="978"/>
    <w:rPr>
      <w:rFonts w:eastAsia="楷体_GB2312"/>
      <w:szCs w:val="20"/>
    </w:rPr>
  </w:style>
  <w:style w:type="character" w:styleId="978">
    <w:name w:val="日期 字符"/>
    <w:next w:val="978"/>
    <w:link w:val="977"/>
    <w:semiHidden/>
    <w:rPr>
      <w:rFonts w:ascii="宋体" w:hAnsi="宋体" w:eastAsia="楷体_GB2312"/>
      <w:sz w:val="24"/>
      <w:lang w:val="en-US" w:eastAsia="zh-CN" w:bidi="ar-SA"/>
    </w:rPr>
  </w:style>
  <w:style w:type="paragraph" w:styleId="979">
    <w:name w:val="正文文本缩进 2"/>
    <w:basedOn w:val="928"/>
    <w:next w:val="979"/>
    <w:link w:val="980"/>
    <w:pPr>
      <w:ind w:left="1" w:firstLine="480"/>
      <w:spacing w:line="400" w:lineRule="exact"/>
      <w:tabs>
        <w:tab w:val="left" w:pos="360" w:leader="none"/>
      </w:tabs>
    </w:pPr>
    <w:rPr>
      <w:rFonts w:ascii="Times New Roman" w:hAnsi="Times New Roman"/>
    </w:rPr>
  </w:style>
  <w:style w:type="character" w:styleId="980">
    <w:name w:val="正文文本缩进 2 字符"/>
    <w:next w:val="980"/>
    <w:link w:val="979"/>
    <w:rPr>
      <w:rFonts w:eastAsia="宋体"/>
      <w:sz w:val="24"/>
      <w:szCs w:val="24"/>
      <w:lang w:val="en-US" w:eastAsia="zh-CN" w:bidi="ar-SA"/>
    </w:rPr>
  </w:style>
  <w:style w:type="paragraph" w:styleId="981">
    <w:name w:val="尾注文本"/>
    <w:basedOn w:val="928"/>
    <w:next w:val="981"/>
    <w:link w:val="982"/>
    <w:uiPriority w:val="99"/>
    <w:unhideWhenUsed/>
    <w:qFormat/>
    <w:pPr>
      <w:jc w:val="left"/>
      <w:widowControl/>
    </w:pPr>
    <w:rPr>
      <w:rFonts w:ascii="Arial" w:hAnsi="Arial" w:eastAsia="Arial" w:cs="Times New Roman"/>
      <w:sz w:val="20"/>
      <w:szCs w:val="22"/>
      <w:lang w:eastAsia="en-US"/>
    </w:rPr>
  </w:style>
  <w:style w:type="character" w:styleId="982">
    <w:name w:val="尾注文本 字符"/>
    <w:next w:val="982"/>
    <w:link w:val="981"/>
    <w:uiPriority w:val="99"/>
    <w:qFormat/>
    <w:rPr>
      <w:rFonts w:ascii="Arial" w:hAnsi="Arial" w:eastAsia="Arial"/>
      <w:szCs w:val="22"/>
      <w:lang w:eastAsia="en-US"/>
    </w:rPr>
  </w:style>
  <w:style w:type="paragraph" w:styleId="983">
    <w:name w:val="批注框文本"/>
    <w:basedOn w:val="928"/>
    <w:next w:val="983"/>
    <w:link w:val="984"/>
    <w:uiPriority w:val="99"/>
    <w:semiHidden/>
    <w:qFormat/>
    <w:rPr>
      <w:rFonts w:ascii="Times New Roman" w:hAnsi="Times New Roman"/>
      <w:sz w:val="18"/>
      <w:szCs w:val="18"/>
    </w:rPr>
  </w:style>
  <w:style w:type="character" w:styleId="984">
    <w:name w:val="批注框文本 字符"/>
    <w:next w:val="984"/>
    <w:link w:val="983"/>
    <w:uiPriority w:val="99"/>
    <w:qFormat/>
    <w:rPr>
      <w:rFonts w:eastAsia="宋体"/>
      <w:sz w:val="18"/>
      <w:szCs w:val="18"/>
      <w:lang w:val="en-US" w:eastAsia="zh-CN" w:bidi="ar-SA"/>
    </w:rPr>
  </w:style>
  <w:style w:type="paragraph" w:styleId="985">
    <w:name w:val="页脚"/>
    <w:basedOn w:val="928"/>
    <w:next w:val="985"/>
    <w:link w:val="986"/>
    <w:uiPriority w:val="99"/>
    <w:qFormat/>
    <w:pPr>
      <w:jc w:val="left"/>
      <w:tabs>
        <w:tab w:val="center" w:pos="4153" w:leader="none"/>
        <w:tab w:val="right" w:pos="8306" w:leader="none"/>
      </w:tabs>
    </w:pPr>
    <w:rPr>
      <w:rFonts w:ascii="Times New Roman" w:hAnsi="Times New Roman"/>
      <w:sz w:val="18"/>
      <w:szCs w:val="18"/>
    </w:rPr>
  </w:style>
  <w:style w:type="character" w:styleId="986">
    <w:name w:val="页脚 字符"/>
    <w:next w:val="986"/>
    <w:link w:val="985"/>
    <w:uiPriority w:val="99"/>
    <w:qFormat/>
    <w:rPr>
      <w:rFonts w:eastAsia="宋体"/>
      <w:sz w:val="18"/>
      <w:szCs w:val="18"/>
      <w:lang w:val="en-US" w:eastAsia="zh-CN" w:bidi="ar-SA"/>
    </w:rPr>
  </w:style>
  <w:style w:type="paragraph" w:styleId="987">
    <w:name w:val="页眉"/>
    <w:basedOn w:val="928"/>
    <w:next w:val="987"/>
    <w:link w:val="988"/>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8">
    <w:name w:val="页眉 字符"/>
    <w:next w:val="988"/>
    <w:link w:val="987"/>
    <w:uiPriority w:val="99"/>
    <w:qFormat/>
    <w:rPr>
      <w:rFonts w:eastAsia="宋体"/>
      <w:sz w:val="18"/>
      <w:szCs w:val="18"/>
      <w:lang w:val="en-US" w:eastAsia="zh-CN" w:bidi="ar-SA"/>
    </w:rPr>
  </w:style>
  <w:style w:type="paragraph" w:styleId="989">
    <w:name w:val="toc 1"/>
    <w:basedOn w:val="928"/>
    <w:next w:val="928"/>
    <w:link w:val="928"/>
    <w:uiPriority w:val="39"/>
    <w:qFormat/>
    <w:pPr>
      <w:jc w:val="left"/>
    </w:pPr>
    <w:rPr>
      <w:rFonts w:ascii="Times New Roman" w:hAnsi="Times New Roman" w:eastAsia="楷体_GB2312"/>
      <w:szCs w:val="20"/>
    </w:rPr>
  </w:style>
  <w:style w:type="paragraph" w:styleId="990">
    <w:name w:val="toc 4"/>
    <w:basedOn w:val="928"/>
    <w:next w:val="928"/>
    <w:link w:val="928"/>
    <w:uiPriority w:val="39"/>
    <w:qFormat/>
    <w:pPr>
      <w:ind w:left="630"/>
      <w:jc w:val="left"/>
    </w:pPr>
    <w:rPr>
      <w:rFonts w:ascii="Times New Roman" w:hAnsi="Times New Roman"/>
      <w:sz w:val="18"/>
      <w:szCs w:val="18"/>
    </w:rPr>
  </w:style>
  <w:style w:type="paragraph" w:styleId="991">
    <w:name w:val="索引标题"/>
    <w:basedOn w:val="928"/>
    <w:next w:val="992"/>
    <w:link w:val="928"/>
    <w:semiHidden/>
    <w:rPr>
      <w:rFonts w:ascii="Times New Roman" w:hAnsi="Times New Roman"/>
      <w:szCs w:val="20"/>
    </w:rPr>
  </w:style>
  <w:style w:type="paragraph" w:styleId="992">
    <w:name w:val="索引 1"/>
    <w:basedOn w:val="928"/>
    <w:next w:val="928"/>
    <w:link w:val="928"/>
    <w:semiHidden/>
    <w:rPr>
      <w:rFonts w:ascii="Times New Roman" w:hAnsi="Times New Roman"/>
      <w:sz w:val="21"/>
    </w:rPr>
  </w:style>
  <w:style w:type="paragraph" w:styleId="993">
    <w:name w:val="副标题"/>
    <w:basedOn w:val="928"/>
    <w:next w:val="928"/>
    <w:link w:val="994"/>
    <w:uiPriority w:val="11"/>
    <w:qFormat/>
    <w:pPr>
      <w:jc w:val="center"/>
      <w:spacing w:before="240" w:after="60" w:line="312" w:lineRule="auto"/>
      <w:outlineLvl w:val="1"/>
    </w:pPr>
    <w:rPr>
      <w:rFonts w:ascii="Cambria" w:hAnsi="Cambria"/>
      <w:b/>
      <w:bCs/>
      <w:sz w:val="32"/>
      <w:szCs w:val="32"/>
    </w:rPr>
  </w:style>
  <w:style w:type="character" w:styleId="994">
    <w:name w:val="副标题 字符"/>
    <w:next w:val="994"/>
    <w:link w:val="993"/>
    <w:uiPriority w:val="11"/>
    <w:qFormat/>
    <w:rPr>
      <w:rFonts w:ascii="Cambria" w:hAnsi="Cambria"/>
      <w:b/>
      <w:bCs/>
      <w:sz w:val="32"/>
      <w:szCs w:val="32"/>
    </w:rPr>
  </w:style>
  <w:style w:type="paragraph" w:styleId="995">
    <w:name w:val="列表"/>
    <w:basedOn w:val="928"/>
    <w:next w:val="995"/>
    <w:link w:val="928"/>
    <w:pPr>
      <w:ind w:left="200" w:hanging="200"/>
    </w:pPr>
    <w:rPr>
      <w:rFonts w:ascii="Times New Roman" w:hAnsi="Times New Roman"/>
      <w:sz w:val="21"/>
    </w:rPr>
  </w:style>
  <w:style w:type="paragraph" w:styleId="996">
    <w:name w:val="脚注文本"/>
    <w:basedOn w:val="928"/>
    <w:next w:val="996"/>
    <w:link w:val="997"/>
    <w:uiPriority w:val="99"/>
    <w:unhideWhenUsed/>
    <w:qFormat/>
    <w:pPr>
      <w:jc w:val="left"/>
      <w:spacing w:after="40"/>
      <w:widowControl/>
    </w:pPr>
    <w:rPr>
      <w:rFonts w:ascii="Arial" w:hAnsi="Arial" w:eastAsia="Arial" w:cs="Times New Roman"/>
      <w:sz w:val="18"/>
      <w:szCs w:val="22"/>
      <w:lang w:eastAsia="en-US"/>
    </w:rPr>
  </w:style>
  <w:style w:type="character" w:styleId="997">
    <w:name w:val="脚注文本 字符"/>
    <w:next w:val="997"/>
    <w:link w:val="996"/>
    <w:uiPriority w:val="99"/>
    <w:qFormat/>
    <w:rPr>
      <w:rFonts w:ascii="Arial" w:hAnsi="Arial" w:eastAsia="Arial"/>
      <w:sz w:val="18"/>
      <w:szCs w:val="22"/>
      <w:lang w:eastAsia="en-US"/>
    </w:rPr>
  </w:style>
  <w:style w:type="paragraph" w:styleId="998">
    <w:name w:val="toc 6"/>
    <w:basedOn w:val="928"/>
    <w:next w:val="928"/>
    <w:link w:val="928"/>
    <w:uiPriority w:val="39"/>
    <w:qFormat/>
    <w:pPr>
      <w:ind w:left="1050"/>
      <w:jc w:val="left"/>
    </w:pPr>
    <w:rPr>
      <w:rFonts w:ascii="Times New Roman" w:hAnsi="Times New Roman"/>
      <w:sz w:val="18"/>
      <w:szCs w:val="18"/>
    </w:rPr>
  </w:style>
  <w:style w:type="paragraph" w:styleId="999">
    <w:name w:val="正文文本缩进 3"/>
    <w:basedOn w:val="928"/>
    <w:next w:val="999"/>
    <w:link w:val="1000"/>
    <w:uiPriority w:val="99"/>
    <w:qFormat/>
    <w:pPr>
      <w:ind w:firstLine="480"/>
      <w:spacing w:line="400" w:lineRule="exact"/>
    </w:pPr>
    <w:rPr>
      <w:rFonts w:ascii="Times New Roman" w:hAnsi="Times New Roman"/>
    </w:rPr>
  </w:style>
  <w:style w:type="character" w:styleId="1000">
    <w:name w:val="正文文本缩进 3 字符"/>
    <w:next w:val="1000"/>
    <w:link w:val="999"/>
    <w:uiPriority w:val="99"/>
    <w:rPr>
      <w:rFonts w:eastAsia="宋体"/>
      <w:sz w:val="24"/>
      <w:szCs w:val="24"/>
      <w:lang w:val="en-US" w:eastAsia="zh-CN" w:bidi="ar-SA"/>
    </w:rPr>
  </w:style>
  <w:style w:type="paragraph" w:styleId="1001">
    <w:name w:val="图表目录"/>
    <w:basedOn w:val="928"/>
    <w:next w:val="928"/>
    <w:link w:val="928"/>
    <w:uiPriority w:val="99"/>
    <w:unhideWhenUsed/>
    <w:qFormat/>
    <w:pPr>
      <w:jc w:val="left"/>
      <w:spacing w:line="276" w:lineRule="auto"/>
      <w:widowControl/>
    </w:pPr>
    <w:rPr>
      <w:rFonts w:ascii="Arial" w:hAnsi="Arial" w:eastAsia="Arial" w:cs="Times New Roman"/>
      <w:sz w:val="22"/>
      <w:szCs w:val="22"/>
      <w:lang w:eastAsia="en-US"/>
    </w:rPr>
  </w:style>
  <w:style w:type="paragraph" w:styleId="1002">
    <w:name w:val="toc 2"/>
    <w:basedOn w:val="928"/>
    <w:next w:val="928"/>
    <w:link w:val="928"/>
    <w:uiPriority w:val="39"/>
    <w:qFormat/>
    <w:pPr>
      <w:ind w:left="420"/>
    </w:pPr>
    <w:rPr>
      <w:rFonts w:ascii="Times New Roman" w:hAnsi="Times New Roman"/>
      <w:sz w:val="21"/>
    </w:rPr>
  </w:style>
  <w:style w:type="paragraph" w:styleId="1003">
    <w:name w:val="toc 9"/>
    <w:basedOn w:val="928"/>
    <w:next w:val="928"/>
    <w:link w:val="928"/>
    <w:uiPriority w:val="39"/>
    <w:qFormat/>
    <w:pPr>
      <w:ind w:left="1680"/>
      <w:jc w:val="left"/>
    </w:pPr>
    <w:rPr>
      <w:rFonts w:ascii="Times New Roman" w:hAnsi="Times New Roman"/>
      <w:sz w:val="18"/>
      <w:szCs w:val="18"/>
    </w:rPr>
  </w:style>
  <w:style w:type="paragraph" w:styleId="1004">
    <w:name w:val="正文文本 2"/>
    <w:basedOn w:val="928"/>
    <w:next w:val="1004"/>
    <w:link w:val="928"/>
    <w:pPr>
      <w:numPr>
        <w:ilvl w:val="0"/>
        <w:numId w:val="4"/>
      </w:numPr>
      <w:ind w:left="0" w:firstLine="0"/>
      <w:spacing w:after="120" w:line="480" w:lineRule="auto"/>
      <w:tabs>
        <w:tab w:val="clear" w:pos="737" w:leader="none"/>
      </w:tabs>
    </w:pPr>
  </w:style>
  <w:style w:type="paragraph" w:styleId="1005">
    <w:name w:val="HTML 预设格式"/>
    <w:basedOn w:val="928"/>
    <w:next w:val="1005"/>
    <w:link w:val="10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1006">
    <w:name w:val="HTML 预设格式 字符"/>
    <w:next w:val="1006"/>
    <w:link w:val="1005"/>
    <w:semiHidden/>
    <w:rPr>
      <w:rFonts w:ascii="Arial Unicode MS" w:hAnsi="Arial Unicode MS" w:eastAsia="Arial Unicode MS"/>
      <w:lang w:bidi="ar-SA"/>
    </w:rPr>
  </w:style>
  <w:style w:type="paragraph" w:styleId="1007">
    <w:name w:val="普通(网站)"/>
    <w:basedOn w:val="928"/>
    <w:next w:val="1007"/>
    <w:link w:val="928"/>
    <w:qFormat/>
    <w:pPr>
      <w:ind w:left="15" w:right="15"/>
      <w:jc w:val="left"/>
      <w:spacing w:before="60" w:after="60" w:line="312" w:lineRule="auto"/>
      <w:widowControl/>
    </w:pPr>
    <w:rPr>
      <w:rFonts w:ascii="Arial Unicode MS" w:hAnsi="Arial Unicode MS" w:eastAsia="Arial Unicode MS"/>
    </w:rPr>
  </w:style>
  <w:style w:type="paragraph" w:styleId="1008">
    <w:name w:val="标题"/>
    <w:basedOn w:val="928"/>
    <w:next w:val="1008"/>
    <w:link w:val="1009"/>
    <w:uiPriority w:val="10"/>
    <w:qFormat/>
    <w:pPr>
      <w:jc w:val="center"/>
      <w:spacing w:before="156"/>
    </w:pPr>
    <w:rPr>
      <w:rFonts w:ascii="Times New Roman" w:hAnsi="Times New Roman" w:eastAsia="黑体"/>
      <w:b/>
      <w:bCs/>
      <w:sz w:val="32"/>
    </w:rPr>
  </w:style>
  <w:style w:type="character" w:styleId="1009">
    <w:name w:val="标题 字符"/>
    <w:next w:val="1009"/>
    <w:link w:val="1008"/>
    <w:uiPriority w:val="10"/>
    <w:qFormat/>
    <w:rPr>
      <w:rFonts w:eastAsia="黑体"/>
      <w:b/>
      <w:bCs/>
      <w:sz w:val="32"/>
      <w:szCs w:val="24"/>
      <w:lang w:val="en-US" w:eastAsia="zh-CN" w:bidi="ar-SA"/>
    </w:rPr>
  </w:style>
  <w:style w:type="paragraph" w:styleId="1010">
    <w:name w:val="批注主题"/>
    <w:basedOn w:val="961"/>
    <w:next w:val="961"/>
    <w:link w:val="1011"/>
    <w:uiPriority w:val="99"/>
    <w:semiHidden/>
    <w:qFormat/>
    <w:pPr>
      <w:numPr>
        <w:ilvl w:val="5"/>
        <w:numId w:val="0"/>
      </w:numPr>
      <w:ind w:left="200"/>
    </w:pPr>
    <w:rPr>
      <w:b/>
      <w:bCs/>
    </w:rPr>
  </w:style>
  <w:style w:type="character" w:styleId="1011">
    <w:name w:val="批注主题 字符"/>
    <w:next w:val="1011"/>
    <w:link w:val="1010"/>
    <w:uiPriority w:val="99"/>
    <w:semiHidden/>
    <w:rPr>
      <w:b/>
      <w:bCs/>
      <w:sz w:val="21"/>
      <w:szCs w:val="18"/>
    </w:rPr>
  </w:style>
  <w:style w:type="paragraph" w:styleId="1012">
    <w:name w:val="正文文本首行缩进"/>
    <w:basedOn w:val="965"/>
    <w:next w:val="1012"/>
    <w:link w:val="1013"/>
    <w:pPr>
      <w:ind w:firstLine="420"/>
      <w:spacing w:after="120"/>
    </w:pPr>
    <w:rPr>
      <w:sz w:val="21"/>
    </w:rPr>
  </w:style>
  <w:style w:type="character" w:styleId="1013">
    <w:name w:val="正文文本首行缩进 字符"/>
    <w:next w:val="1013"/>
    <w:link w:val="1012"/>
    <w:rPr>
      <w:rFonts w:eastAsia="宋体"/>
      <w:sz w:val="21"/>
      <w:szCs w:val="24"/>
      <w:lang w:val="en-US" w:eastAsia="zh-CN" w:bidi="ar-SA"/>
    </w:rPr>
  </w:style>
  <w:style w:type="paragraph" w:styleId="1014">
    <w:name w:val="正文文本首行缩进 2"/>
    <w:basedOn w:val="967"/>
    <w:next w:val="1014"/>
    <w:link w:val="928"/>
    <w:uiPriority w:val="99"/>
    <w:qFormat/>
    <w:pPr>
      <w:ind w:left="420"/>
      <w:spacing w:after="120" w:line="360" w:lineRule="auto"/>
    </w:pPr>
    <w:rPr>
      <w:rFonts w:ascii="Times New Roman" w:hAnsi="Times New Roman"/>
      <w:sz w:val="21"/>
      <w:szCs w:val="20"/>
    </w:rPr>
  </w:style>
  <w:style w:type="table" w:styleId="1015">
    <w:name w:val="网格型"/>
    <w:basedOn w:val="939"/>
    <w:next w:val="1015"/>
    <w:link w:val="928"/>
    <w:uiPriority w:val="39"/>
    <w:pPr>
      <w:jc w:val="both"/>
      <w:widowControl w:val="off"/>
    </w:pPr>
    <w:tblPr/>
  </w:style>
  <w:style w:type="table" w:styleId="1016">
    <w:name w:val="网格型 7"/>
    <w:basedOn w:val="939"/>
    <w:next w:val="1016"/>
    <w:link w:val="928"/>
    <w:pPr>
      <w:jc w:val="both"/>
      <w:spacing w:line="360" w:lineRule="auto"/>
      <w:widowControl w:val="off"/>
    </w:pPr>
    <w:rPr>
      <w:b/>
      <w:bCs/>
    </w:rPr>
    <w:tblPr/>
  </w:style>
  <w:style w:type="character" w:styleId="1017">
    <w:name w:val="要点"/>
    <w:next w:val="1017"/>
    <w:link w:val="928"/>
    <w:qFormat/>
    <w:rPr>
      <w:b/>
      <w:bCs/>
    </w:rPr>
  </w:style>
  <w:style w:type="character" w:styleId="1018">
    <w:name w:val="尾注引用"/>
    <w:next w:val="1018"/>
    <w:link w:val="928"/>
    <w:uiPriority w:val="99"/>
    <w:unhideWhenUsed/>
    <w:qFormat/>
    <w:rPr>
      <w:vertAlign w:val="superscript"/>
    </w:rPr>
  </w:style>
  <w:style w:type="character" w:styleId="1019">
    <w:name w:val="页码"/>
    <w:next w:val="1019"/>
    <w:link w:val="928"/>
  </w:style>
  <w:style w:type="character" w:styleId="1020">
    <w:name w:val="访问过的超链接"/>
    <w:next w:val="1020"/>
    <w:link w:val="928"/>
    <w:rPr>
      <w:rFonts w:hint="eastAsia" w:ascii="微软雅黑" w:hAnsi="微软雅黑" w:eastAsia="微软雅黑" w:cs="微软雅黑"/>
      <w:color w:val="000000"/>
      <w:u w:val="none"/>
    </w:rPr>
  </w:style>
  <w:style w:type="character" w:styleId="1021">
    <w:name w:val="强调"/>
    <w:next w:val="1021"/>
    <w:link w:val="928"/>
    <w:qFormat/>
    <w:rPr>
      <w:i/>
      <w:iCs/>
    </w:rPr>
  </w:style>
  <w:style w:type="character" w:styleId="1022">
    <w:name w:val="HTML 缩写"/>
    <w:next w:val="1022"/>
    <w:link w:val="928"/>
  </w:style>
  <w:style w:type="character" w:styleId="1023">
    <w:name w:val="超链接"/>
    <w:next w:val="1023"/>
    <w:link w:val="928"/>
    <w:uiPriority w:val="99"/>
    <w:qFormat/>
    <w:rPr>
      <w:rFonts w:cs="Times New Roman"/>
      <w:color w:val="0000ff"/>
      <w:u w:val="single"/>
    </w:rPr>
  </w:style>
  <w:style w:type="character" w:styleId="1024">
    <w:name w:val="批注引用"/>
    <w:next w:val="1024"/>
    <w:link w:val="928"/>
    <w:uiPriority w:val="99"/>
    <w:qFormat/>
    <w:rPr>
      <w:sz w:val="21"/>
      <w:szCs w:val="21"/>
    </w:rPr>
  </w:style>
  <w:style w:type="character" w:styleId="1025">
    <w:name w:val="脚注引用"/>
    <w:next w:val="1025"/>
    <w:link w:val="928"/>
    <w:uiPriority w:val="99"/>
    <w:unhideWhenUsed/>
    <w:qFormat/>
    <w:rPr>
      <w:vertAlign w:val="superscript"/>
    </w:rPr>
  </w:style>
  <w:style w:type="character" w:styleId="1026">
    <w:name w:val="style11"/>
    <w:next w:val="1026"/>
    <w:link w:val="928"/>
    <w:rPr>
      <w:rFonts w:ascii="Arial" w:hAnsi="Arial" w:cs="Arial"/>
    </w:rPr>
  </w:style>
  <w:style w:type="character" w:styleId="1027">
    <w:name w:val=" Char Char7"/>
    <w:next w:val="1027"/>
    <w:link w:val="928"/>
    <w:rPr>
      <w:rFonts w:ascii="宋体" w:hAnsi="宋体" w:eastAsia="宋体" w:cs="Times New Roman"/>
      <w:sz w:val="24"/>
      <w:szCs w:val="24"/>
    </w:rPr>
  </w:style>
  <w:style w:type="character" w:styleId="1028">
    <w:name w:val="def正文 Char"/>
    <w:next w:val="1028"/>
    <w:link w:val="1029"/>
    <w:rPr>
      <w:rFonts w:eastAsia="宋体"/>
      <w:b/>
      <w:sz w:val="21"/>
      <w:szCs w:val="21"/>
      <w:lang w:bidi="ar-SA"/>
    </w:rPr>
  </w:style>
  <w:style w:type="paragraph" w:styleId="1029">
    <w:name w:val="def正文"/>
    <w:basedOn w:val="965"/>
    <w:next w:val="1029"/>
    <w:link w:val="1028"/>
    <w:pPr>
      <w:jc w:val="center"/>
      <w:spacing w:before="50"/>
      <w:widowControl/>
    </w:pPr>
    <w:rPr>
      <w:b/>
      <w:sz w:val="21"/>
      <w:szCs w:val="21"/>
    </w:rPr>
  </w:style>
  <w:style w:type="character" w:styleId="1030">
    <w:name w:val="不明显强调"/>
    <w:next w:val="1030"/>
    <w:link w:val="928"/>
    <w:qFormat/>
    <w:rPr>
      <w:i/>
      <w:iCs/>
      <w:color w:val="808080"/>
    </w:rPr>
  </w:style>
  <w:style w:type="character" w:styleId="1031">
    <w:name w:val="l31"/>
    <w:next w:val="1031"/>
    <w:link w:val="928"/>
    <w:rPr>
      <w:color w:val="999999"/>
    </w:rPr>
  </w:style>
  <w:style w:type="character" w:styleId="1032">
    <w:name w:val="标题 3 Char"/>
    <w:next w:val="1032"/>
    <w:link w:val="928"/>
    <w:rPr>
      <w:rFonts w:eastAsia="宋体"/>
      <w:b/>
      <w:bCs/>
      <w:sz w:val="32"/>
      <w:szCs w:val="32"/>
      <w:lang w:val="en-US" w:eastAsia="zh-CN" w:bidi="ar-SA"/>
    </w:rPr>
  </w:style>
  <w:style w:type="character" w:styleId="1033">
    <w:name w:val="starting4"/>
    <w:next w:val="1033"/>
    <w:link w:val="928"/>
    <w:rPr>
      <w:color w:val="339900"/>
    </w:rPr>
  </w:style>
  <w:style w:type="character" w:styleId="1034">
    <w:name w:val="buvis1"/>
    <w:next w:val="1034"/>
    <w:link w:val="928"/>
    <w:rPr>
      <w:color w:val="cc0000"/>
    </w:rPr>
  </w:style>
  <w:style w:type="character" w:styleId="1035">
    <w:name w:val="word21"/>
    <w:next w:val="1035"/>
    <w:link w:val="928"/>
    <w:rPr>
      <w:rFonts w:ascii="宋体" w:hAnsi="宋体" w:eastAsia="宋体"/>
      <w:sz w:val="20"/>
    </w:rPr>
  </w:style>
  <w:style w:type="character" w:styleId="1036">
    <w:name w:val="red1"/>
    <w:next w:val="1036"/>
    <w:link w:val="928"/>
    <w:rPr>
      <w:rFonts w:ascii="Verdana" w:hAnsi="Verdana"/>
      <w:color w:val="cc0000"/>
      <w:sz w:val="18"/>
      <w:szCs w:val="18"/>
    </w:rPr>
  </w:style>
  <w:style w:type="character" w:styleId="1037">
    <w:name w:val="over1"/>
    <w:next w:val="1037"/>
    <w:link w:val="928"/>
    <w:rPr>
      <w:color w:val="b60000"/>
    </w:rPr>
  </w:style>
  <w:style w:type="character" w:styleId="1038">
    <w:name w:val="l2"/>
    <w:next w:val="1038"/>
    <w:link w:val="928"/>
    <w:rPr>
      <w:color w:val="999999"/>
    </w:rPr>
  </w:style>
  <w:style w:type="character" w:styleId="1039">
    <w:name w:val="starting1"/>
    <w:next w:val="1039"/>
    <w:link w:val="928"/>
    <w:rPr>
      <w:color w:val="b60000"/>
    </w:rPr>
  </w:style>
  <w:style w:type="character" w:styleId="1040">
    <w:name w:val="datetime"/>
    <w:next w:val="1040"/>
    <w:link w:val="928"/>
    <w:rPr>
      <w:rFonts w:ascii="Arial" w:hAnsi="Arial" w:cs="Arial"/>
      <w:color w:val="999999"/>
      <w:sz w:val="21"/>
      <w:szCs w:val="21"/>
    </w:rPr>
  </w:style>
  <w:style w:type="character" w:styleId="1041">
    <w:name w:val="px141"/>
    <w:next w:val="1041"/>
    <w:link w:val="928"/>
    <w:rPr>
      <w:rFonts w:ascii="ˎ̥" w:hAnsi="ˎ̥"/>
      <w:sz w:val="21"/>
      <w:szCs w:val="21"/>
    </w:rPr>
  </w:style>
  <w:style w:type="character" w:styleId="1042">
    <w:name w:val="grame"/>
    <w:next w:val="1042"/>
    <w:link w:val="928"/>
  </w:style>
  <w:style w:type="character" w:styleId="1043">
    <w:name w:val="明显引用 字符"/>
    <w:next w:val="1043"/>
    <w:link w:val="1044"/>
    <w:uiPriority w:val="30"/>
    <w:qFormat/>
    <w:rPr>
      <w:rFonts w:eastAsia="宋体"/>
      <w:b/>
      <w:bCs/>
      <w:i/>
      <w:iCs/>
      <w:color w:val="4f81bd"/>
      <w:sz w:val="24"/>
      <w:szCs w:val="24"/>
      <w:lang w:bidi="ar-SA"/>
    </w:rPr>
  </w:style>
  <w:style w:type="paragraph" w:styleId="1044">
    <w:name w:val="明显引用"/>
    <w:basedOn w:val="928"/>
    <w:next w:val="928"/>
    <w:link w:val="1043"/>
    <w:uiPriority w:val="30"/>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1045">
    <w:name w:val="textb1"/>
    <w:next w:val="1045"/>
    <w:link w:val="928"/>
    <w:rPr>
      <w:b/>
      <w:bCs/>
      <w:color w:val="ff6600"/>
      <w:sz w:val="20"/>
      <w:szCs w:val="20"/>
    </w:rPr>
  </w:style>
  <w:style w:type="character" w:styleId="1046">
    <w:name w:val="tit21"/>
    <w:next w:val="1046"/>
    <w:link w:val="928"/>
    <w:rPr>
      <w:color w:val="b60000"/>
      <w:sz w:val="27"/>
      <w:szCs w:val="27"/>
      <w:shd w:val="clear" w:color="auto" w:fill="ffffff"/>
    </w:rPr>
  </w:style>
  <w:style w:type="character" w:styleId="1047">
    <w:name w:val="short_text"/>
    <w:next w:val="1047"/>
    <w:link w:val="928"/>
  </w:style>
  <w:style w:type="character" w:styleId="1048">
    <w:name w:val="明显参考"/>
    <w:next w:val="1048"/>
    <w:link w:val="928"/>
    <w:qFormat/>
    <w:rPr>
      <w:b/>
      <w:bCs/>
      <w:smallCaps/>
      <w:color w:val="c0504d"/>
      <w:spacing w:val="5"/>
      <w:u w:val="single"/>
    </w:rPr>
  </w:style>
  <w:style w:type="character" w:styleId="1049">
    <w:name w:val="l61"/>
    <w:next w:val="1049"/>
    <w:link w:val="928"/>
    <w:rPr>
      <w:color w:val="999999"/>
    </w:rPr>
  </w:style>
  <w:style w:type="character" w:styleId="1050">
    <w:name w:val="num71"/>
    <w:next w:val="1050"/>
    <w:link w:val="928"/>
  </w:style>
  <w:style w:type="character" w:styleId="1051">
    <w:name w:val="msg-box33"/>
    <w:next w:val="1051"/>
    <w:link w:val="928"/>
  </w:style>
  <w:style w:type="character" w:styleId="1052">
    <w:name w:val="num41"/>
    <w:next w:val="1052"/>
    <w:link w:val="928"/>
  </w:style>
  <w:style w:type="character" w:styleId="1053">
    <w:name w:val="标题 1.1 Char,h2 Char,H2 Char,Title2 Char,l2 Char,Underrubrik1 Char,prop2 Char,Chapter Title Char,sect 1.2 Char,DO NOT USE_h2 Char,chn Char,Chapter Number/Appendix Letter Char,2nd level Char,Titre2 Char,2 Char,Header 2 Char,Heading2 Char,No Number Char"/>
    <w:next w:val="1053"/>
    <w:link w:val="928"/>
    <w:rPr>
      <w:rFonts w:ascii="Arial" w:hAnsi="Arial" w:eastAsia="黑体"/>
      <w:b/>
      <w:bCs/>
      <w:sz w:val="32"/>
      <w:szCs w:val="32"/>
      <w:lang w:val="en-US" w:eastAsia="zh-CN" w:bidi="ar-SA"/>
    </w:rPr>
  </w:style>
  <w:style w:type="character" w:styleId="1054">
    <w:name w:val="标题 4 + 宋体 Char,小四 Char,行距: 1.5 倍行距 Char"/>
    <w:next w:val="1054"/>
    <w:link w:val="1055"/>
    <w:rPr>
      <w:rFonts w:ascii="宋体" w:hAnsi="宋体" w:eastAsia="宋体"/>
      <w:b/>
      <w:bCs/>
      <w:sz w:val="24"/>
      <w:szCs w:val="24"/>
      <w:lang w:bidi="ar-SA"/>
    </w:rPr>
  </w:style>
  <w:style w:type="paragraph" w:styleId="1055">
    <w:name w:val="标题 4 + 宋体"/>
    <w:basedOn w:val="932"/>
    <w:next w:val="1055"/>
    <w:link w:val="1054"/>
    <w:pPr>
      <w:numPr>
        <w:ilvl w:val="0"/>
        <w:numId w:val="0"/>
      </w:numPr>
      <w:spacing w:line="360" w:lineRule="auto"/>
      <w:tabs>
        <w:tab w:val="left" w:pos="1440" w:leader="none"/>
      </w:tabs>
    </w:pPr>
    <w:rPr>
      <w:rFonts w:ascii="宋体" w:hAnsi="宋体" w:eastAsia="宋体"/>
      <w:bCs/>
      <w:sz w:val="24"/>
      <w:szCs w:val="24"/>
    </w:rPr>
  </w:style>
  <w:style w:type="character" w:styleId="1056">
    <w:name w:val="tit18"/>
    <w:next w:val="1056"/>
    <w:link w:val="928"/>
    <w:rPr>
      <w:color w:val="b60000"/>
    </w:rPr>
  </w:style>
  <w:style w:type="character" w:styleId="1057">
    <w:name w:val="over2"/>
    <w:next w:val="1057"/>
    <w:link w:val="928"/>
  </w:style>
  <w:style w:type="character" w:styleId="1058">
    <w:name w:val="text-01"/>
    <w:next w:val="1058"/>
    <w:link w:val="928"/>
    <w:rPr>
      <w:rFonts w:ascii="Verdana" w:hAnsi="Verdana"/>
      <w:sz w:val="18"/>
      <w:szCs w:val="18"/>
    </w:rPr>
  </w:style>
  <w:style w:type="character" w:styleId="1059">
    <w:name w:val="省厅正文 Char"/>
    <w:next w:val="1059"/>
    <w:link w:val="1060"/>
    <w:rPr>
      <w:rFonts w:eastAsia="仿宋_GB2312"/>
      <w:sz w:val="32"/>
      <w:szCs w:val="32"/>
      <w:lang w:val="en-US" w:eastAsia="zh-CN" w:bidi="ar-SA"/>
    </w:rPr>
  </w:style>
  <w:style w:type="paragraph" w:styleId="1060">
    <w:name w:val="省厅正文"/>
    <w:basedOn w:val="928"/>
    <w:next w:val="1060"/>
    <w:link w:val="1059"/>
    <w:qFormat/>
    <w:pPr>
      <w:ind w:firstLine="640"/>
      <w:spacing w:line="336" w:lineRule="auto"/>
    </w:pPr>
    <w:rPr>
      <w:rFonts w:ascii="Times New Roman" w:hAnsi="Times New Roman" w:eastAsia="仿宋_GB2312"/>
      <w:sz w:val="32"/>
      <w:szCs w:val="32"/>
    </w:rPr>
  </w:style>
  <w:style w:type="character" w:styleId="1061">
    <w:name w:val="starting2"/>
    <w:next w:val="1061"/>
    <w:link w:val="928"/>
    <w:rPr>
      <w:color w:val="339900"/>
    </w:rPr>
  </w:style>
  <w:style w:type="character" w:styleId="1062">
    <w:name w:val="mesg-myd"/>
    <w:next w:val="1062"/>
    <w:link w:val="928"/>
    <w:rPr>
      <w:color w:val="ee0000"/>
    </w:rPr>
  </w:style>
  <w:style w:type="character" w:styleId="1063">
    <w:name w:val="apple-converted-space"/>
    <w:next w:val="1063"/>
    <w:link w:val="928"/>
  </w:style>
  <w:style w:type="character" w:styleId="1064">
    <w:name w:val="正文（缩进） Char2"/>
    <w:next w:val="1064"/>
    <w:link w:val="928"/>
    <w:rPr>
      <w:rFonts w:ascii="Times New Roman" w:hAnsi="Times New Roman" w:eastAsia="宋体" w:cs="Times New Roman"/>
      <w:sz w:val="24"/>
      <w:szCs w:val="24"/>
    </w:rPr>
  </w:style>
  <w:style w:type="character" w:styleId="1065">
    <w:name w:val="l11"/>
    <w:next w:val="1065"/>
    <w:link w:val="928"/>
    <w:rPr>
      <w:color w:val="999999"/>
    </w:rPr>
  </w:style>
  <w:style w:type="character" w:styleId="1066">
    <w:name w:val="name1"/>
    <w:next w:val="1066"/>
    <w:link w:val="928"/>
    <w:rPr>
      <w:color w:val="000000"/>
      <w:sz w:val="39"/>
      <w:szCs w:val="39"/>
    </w:rPr>
  </w:style>
  <w:style w:type="character" w:styleId="1067">
    <w:name w:val="nostart3"/>
    <w:next w:val="1067"/>
    <w:link w:val="928"/>
    <w:rPr>
      <w:color w:val="ff0000"/>
    </w:rPr>
  </w:style>
  <w:style w:type="character" w:styleId="1068">
    <w:name w:val="paragraph1 Char"/>
    <w:next w:val="1068"/>
    <w:link w:val="1069"/>
    <w:rPr>
      <w:rFonts w:eastAsia="宋体"/>
      <w:sz w:val="24"/>
      <w:szCs w:val="24"/>
      <w:lang w:bidi="ar-SA"/>
    </w:rPr>
  </w:style>
  <w:style w:type="paragraph" w:styleId="1069">
    <w:name w:val="paragraph1"/>
    <w:basedOn w:val="928"/>
    <w:next w:val="1069"/>
    <w:link w:val="1068"/>
    <w:pPr>
      <w:ind w:firstLine="480"/>
      <w:spacing w:after="93" w:line="360" w:lineRule="auto"/>
    </w:pPr>
    <w:rPr>
      <w:rFonts w:ascii="Times New Roman" w:hAnsi="Times New Roman"/>
    </w:rPr>
  </w:style>
  <w:style w:type="character" w:styleId="1070">
    <w:name w:val="p141"/>
    <w:next w:val="1070"/>
    <w:link w:val="928"/>
    <w:rPr>
      <w:color w:val="000000"/>
      <w:sz w:val="28"/>
      <w:szCs w:val="28"/>
      <w:u w:val="none"/>
    </w:rPr>
  </w:style>
  <w:style w:type="character" w:styleId="1071">
    <w:name w:val="px14"/>
    <w:next w:val="1071"/>
    <w:link w:val="928"/>
  </w:style>
  <w:style w:type="character" w:styleId="1072">
    <w:name w:val="Note description Char"/>
    <w:next w:val="1072"/>
    <w:link w:val="1073"/>
    <w:rPr>
      <w:rFonts w:eastAsia="楷体_GB2312"/>
      <w:sz w:val="21"/>
      <w:szCs w:val="18"/>
      <w:lang w:val="en-US" w:eastAsia="zh-CN" w:bidi="ar-SA"/>
    </w:rPr>
  </w:style>
  <w:style w:type="paragraph" w:styleId="1073">
    <w:name w:val="Note description"/>
    <w:basedOn w:val="928"/>
    <w:next w:val="943"/>
    <w:link w:val="1072"/>
    <w:pPr>
      <w:ind w:left="420"/>
      <w:spacing w:after="100"/>
      <w:widowControl/>
      <w:pBdr>
        <w:bottom w:val="single" w:color="000000" w:sz="8" w:space="1"/>
      </w:pBdr>
    </w:pPr>
    <w:rPr>
      <w:rFonts w:ascii="Times New Roman" w:hAnsi="Times New Roman" w:eastAsia="楷体_GB2312"/>
      <w:sz w:val="21"/>
      <w:szCs w:val="18"/>
    </w:rPr>
  </w:style>
  <w:style w:type="character" w:styleId="1074">
    <w:name w:val="p21"/>
    <w:next w:val="1074"/>
    <w:link w:val="928"/>
    <w:rPr>
      <w:rFonts w:ascii="ˎ̥" w:hAnsi="ˎ̥"/>
      <w:sz w:val="20"/>
      <w:szCs w:val="20"/>
    </w:rPr>
  </w:style>
  <w:style w:type="character" w:styleId="1075">
    <w:name w:val="font_blue1"/>
    <w:next w:val="1075"/>
    <w:link w:val="928"/>
    <w:rPr>
      <w:b/>
      <w:bCs/>
      <w:color w:val="0070bc"/>
      <w:sz w:val="24"/>
      <w:szCs w:val="24"/>
      <w:u w:val="none"/>
    </w:rPr>
  </w:style>
  <w:style w:type="character" w:styleId="1076">
    <w:name w:val="num81"/>
    <w:next w:val="1076"/>
    <w:link w:val="928"/>
  </w:style>
  <w:style w:type="character" w:styleId="1077">
    <w:name w:val="blue1"/>
    <w:next w:val="1077"/>
    <w:link w:val="928"/>
    <w:rPr>
      <w:rFonts w:hint="eastAsia" w:ascii="宋体" w:hAnsi="宋体" w:eastAsia="宋体"/>
      <w:b/>
      <w:bCs/>
      <w:color w:val="0099cc"/>
      <w:sz w:val="27"/>
      <w:szCs w:val="27"/>
    </w:rPr>
  </w:style>
  <w:style w:type="character" w:styleId="1078">
    <w:name w:val="starting3"/>
    <w:next w:val="1078"/>
    <w:link w:val="928"/>
  </w:style>
  <w:style w:type="character" w:styleId="1079">
    <w:name w:val="over"/>
    <w:next w:val="1079"/>
    <w:link w:val="928"/>
    <w:rPr>
      <w:color w:val="999999"/>
    </w:rPr>
  </w:style>
  <w:style w:type="character" w:styleId="1080">
    <w:name w:val="书籍标题"/>
    <w:next w:val="1080"/>
    <w:link w:val="928"/>
    <w:qFormat/>
    <w:rPr>
      <w:b/>
      <w:bCs/>
      <w:smallCaps/>
      <w:spacing w:val="5"/>
    </w:rPr>
  </w:style>
  <w:style w:type="character" w:styleId="1081">
    <w:name w:val="jg"/>
    <w:next w:val="1081"/>
    <w:link w:val="928"/>
  </w:style>
  <w:style w:type="character" w:styleId="1082">
    <w:name w:val="xl25"/>
    <w:next w:val="1082"/>
    <w:link w:val="928"/>
  </w:style>
  <w:style w:type="character" w:styleId="1083">
    <w:name w:val="普通文字 Char Char Char"/>
    <w:next w:val="1083"/>
    <w:link w:val="928"/>
    <w:rPr>
      <w:rFonts w:ascii="宋体" w:hAnsi="Courier New" w:eastAsia="楷体_GB2312"/>
      <w:sz w:val="28"/>
    </w:rPr>
  </w:style>
  <w:style w:type="character" w:styleId="1084">
    <w:name w:val="Default Char"/>
    <w:next w:val="1084"/>
    <w:link w:val="1085"/>
    <w:rPr>
      <w:color w:val="000000"/>
      <w:sz w:val="24"/>
      <w:szCs w:val="24"/>
      <w:lang w:val="en-US" w:eastAsia="zh-CN" w:bidi="ar-SA"/>
    </w:rPr>
  </w:style>
  <w:style w:type="paragraph" w:styleId="1085">
    <w:name w:val="Default"/>
    <w:next w:val="1085"/>
    <w:link w:val="1084"/>
    <w:pPr>
      <w:widowControl w:val="off"/>
    </w:pPr>
    <w:rPr>
      <w:color w:val="000000"/>
      <w:sz w:val="24"/>
      <w:szCs w:val="24"/>
      <w:lang w:val="en-US" w:eastAsia="zh-CN" w:bidi="ar-SA"/>
    </w:rPr>
  </w:style>
  <w:style w:type="character" w:styleId="1086">
    <w:name w:val="txt"/>
    <w:next w:val="1086"/>
    <w:link w:val="928"/>
    <w:rPr>
      <w:color w:val="c0c0c0"/>
    </w:rPr>
  </w:style>
  <w:style w:type="character" w:styleId="1087">
    <w:name w:val="word1"/>
    <w:next w:val="1087"/>
    <w:link w:val="928"/>
    <w:rPr>
      <w:rFonts w:ascii="ˎ̥" w:hAnsi="ˎ̥"/>
      <w:color w:val="000000"/>
      <w:sz w:val="18"/>
      <w:szCs w:val="18"/>
    </w:rPr>
  </w:style>
  <w:style w:type="character" w:styleId="1088">
    <w:name w:val="lh131"/>
    <w:next w:val="1088"/>
    <w:link w:val="928"/>
    <w:rPr>
      <w:rFonts w:eastAsia="宋体"/>
      <w:sz w:val="24"/>
      <w:szCs w:val="24"/>
      <w:lang w:val="en-US" w:eastAsia="zh-CN" w:bidi="ar-SA"/>
    </w:rPr>
  </w:style>
  <w:style w:type="character" w:styleId="1089">
    <w:name w:val="明显强调"/>
    <w:next w:val="1089"/>
    <w:link w:val="928"/>
    <w:qFormat/>
    <w:rPr>
      <w:b/>
      <w:bCs/>
      <w:i/>
      <w:iCs/>
      <w:color w:val="4f81bd"/>
    </w:rPr>
  </w:style>
  <w:style w:type="character" w:styleId="1090">
    <w:name w:val="text1"/>
    <w:next w:val="1090"/>
    <w:link w:val="928"/>
    <w:rPr>
      <w:rFonts w:ascii="ˎ̥" w:hAnsi="ˎ̥"/>
      <w:color w:val="000000"/>
      <w:sz w:val="18"/>
      <w:szCs w:val="18"/>
    </w:rPr>
  </w:style>
  <w:style w:type="character" w:styleId="1091">
    <w:name w:val="正文1 Char"/>
    <w:next w:val="1091"/>
    <w:link w:val="928"/>
    <w:rPr>
      <w:rFonts w:eastAsia="宋体"/>
      <w:bCs/>
      <w:color w:val="000000"/>
      <w:sz w:val="24"/>
      <w:szCs w:val="32"/>
      <w:lang w:val="en-US" w:eastAsia="zh-CN" w:bidi="ar-SA"/>
    </w:rPr>
  </w:style>
  <w:style w:type="character" w:styleId="1092">
    <w:name w:val="zs"/>
    <w:next w:val="1092"/>
    <w:link w:val="928"/>
    <w:rPr>
      <w:color w:val="8d744b"/>
      <w:sz w:val="18"/>
      <w:szCs w:val="18"/>
    </w:rPr>
  </w:style>
  <w:style w:type="character" w:styleId="1093">
    <w:name w:val="num61"/>
    <w:next w:val="1093"/>
    <w:link w:val="928"/>
  </w:style>
  <w:style w:type="character" w:styleId="1094">
    <w:name w:val="over3"/>
    <w:next w:val="1094"/>
    <w:link w:val="928"/>
    <w:rPr>
      <w:color w:val="b60000"/>
    </w:rPr>
  </w:style>
  <w:style w:type="character" w:styleId="1095">
    <w:name w:val="明显参考1,替换"/>
    <w:next w:val="1095"/>
    <w:link w:val="928"/>
    <w:rPr>
      <w:b/>
      <w:bCs/>
      <w:smallCaps/>
      <w:color w:val="da1f28"/>
      <w:spacing w:val="5"/>
      <w:u w:val="single"/>
    </w:rPr>
  </w:style>
  <w:style w:type="character" w:styleId="1096">
    <w:name w:val="表格"/>
    <w:next w:val="1096"/>
    <w:link w:val="928"/>
    <w:rPr>
      <w:rFonts w:ascii="宋体" w:hAnsi="宋体" w:eastAsia="宋体"/>
      <w:spacing w:val="0"/>
      <w:position w:val="0"/>
      <w:sz w:val="21"/>
      <w:szCs w:val="21"/>
    </w:rPr>
  </w:style>
  <w:style w:type="character" w:styleId="1097">
    <w:name w:val="tit17"/>
    <w:next w:val="1097"/>
    <w:link w:val="928"/>
    <w:rPr>
      <w:color w:val="b60000"/>
    </w:rPr>
  </w:style>
  <w:style w:type="character" w:styleId="1098">
    <w:name w:val="c2"/>
    <w:next w:val="1098"/>
    <w:link w:val="928"/>
  </w:style>
  <w:style w:type="character" w:styleId="1099">
    <w:name w:val="img2"/>
    <w:next w:val="1099"/>
    <w:link w:val="928"/>
  </w:style>
  <w:style w:type="character" w:styleId="1100">
    <w:name w:val="nr1"/>
    <w:next w:val="1100"/>
    <w:link w:val="928"/>
    <w:rPr>
      <w:color w:val="666666"/>
      <w:sz w:val="18"/>
      <w:szCs w:val="18"/>
      <w:u w:val="none"/>
    </w:rPr>
  </w:style>
  <w:style w:type="character" w:styleId="1101">
    <w:name w:val="Footer Char"/>
    <w:next w:val="1101"/>
    <w:link w:val="928"/>
    <w:uiPriority w:val="99"/>
    <w:qFormat/>
    <w:rPr>
      <w:rFonts w:cs="Times New Roman"/>
      <w:sz w:val="18"/>
      <w:szCs w:val="18"/>
    </w:rPr>
  </w:style>
  <w:style w:type="character" w:styleId="1102">
    <w:name w:val="方案正文 Char"/>
    <w:next w:val="1102"/>
    <w:link w:val="1103"/>
    <w:rPr>
      <w:rFonts w:ascii="宋体" w:hAnsi="宋体" w:eastAsia="宋体" w:cs="Arial"/>
      <w:bCs/>
      <w:sz w:val="24"/>
      <w:lang w:val="en-US" w:eastAsia="en-US" w:bidi="en-US"/>
    </w:rPr>
  </w:style>
  <w:style w:type="paragraph" w:styleId="1103">
    <w:name w:val="方案正文"/>
    <w:basedOn w:val="928"/>
    <w:next w:val="1103"/>
    <w:link w:val="1102"/>
    <w:qFormat/>
    <w:pPr>
      <w:ind w:firstLine="480"/>
      <w:jc w:val="left"/>
      <w:spacing w:line="360" w:lineRule="auto"/>
      <w:widowControl/>
    </w:pPr>
    <w:rPr>
      <w:rFonts w:cs="Arial"/>
      <w:bCs/>
      <w:szCs w:val="20"/>
      <w:lang w:eastAsia="en-US" w:bidi="en-US"/>
    </w:rPr>
  </w:style>
  <w:style w:type="character" w:styleId="1104">
    <w:name w:val="tit19"/>
    <w:next w:val="1104"/>
    <w:link w:val="928"/>
    <w:rPr>
      <w:color w:val="ffffff"/>
    </w:rPr>
  </w:style>
  <w:style w:type="character" w:styleId="1105">
    <w:name w:val="job"/>
    <w:next w:val="1105"/>
    <w:link w:val="928"/>
  </w:style>
  <w:style w:type="character" w:styleId="1106">
    <w:name w:val="正文文本缩进 3 Char1"/>
    <w:next w:val="1106"/>
    <w:link w:val="928"/>
    <w:rPr>
      <w:sz w:val="16"/>
      <w:szCs w:val="16"/>
    </w:rPr>
  </w:style>
  <w:style w:type="character" w:styleId="1107">
    <w:name w:val="ft Char,ft1 Char,table Char,heading 9 Char,t Char,table left Char,tl Char,HF Char,figures Char,9 Char,Appendix Char,Code eg's Char,PIM 9 Char,h9 Char,Legal Level 1.1.1.1. Char,huh Char,不用9 Char,(use for tables) Char,标 Char,三级标题 Char,liste[3] Char"/>
    <w:next w:val="1107"/>
    <w:link w:val="928"/>
    <w:rPr>
      <w:rFonts w:ascii="Arial" w:hAnsi="Arial" w:eastAsia="黑体"/>
      <w:szCs w:val="21"/>
    </w:rPr>
  </w:style>
  <w:style w:type="character" w:styleId="1108">
    <w:name w:val="nostart2"/>
    <w:next w:val="1108"/>
    <w:link w:val="928"/>
  </w:style>
  <w:style w:type="character" w:styleId="1109">
    <w:name w:val="zw"/>
    <w:next w:val="1109"/>
    <w:link w:val="928"/>
    <w:rPr>
      <w:color w:val="bd1e22"/>
      <w:sz w:val="22"/>
      <w:szCs w:val="22"/>
    </w:rPr>
  </w:style>
  <w:style w:type="character" w:styleId="1110">
    <w:name w:val="H5 Char Char"/>
    <w:next w:val="1110"/>
    <w:link w:val="928"/>
    <w:rPr>
      <w:rFonts w:ascii="宋体" w:hAnsi="宋体" w:eastAsia="黑体" w:cs="宋体"/>
      <w:b/>
      <w:sz w:val="28"/>
      <w:szCs w:val="28"/>
    </w:rPr>
  </w:style>
  <w:style w:type="character" w:styleId="1111">
    <w:name w:val="引用 字符"/>
    <w:next w:val="1111"/>
    <w:link w:val="1112"/>
    <w:uiPriority w:val="29"/>
    <w:qFormat/>
    <w:rPr>
      <w:rFonts w:eastAsia="宋体"/>
      <w:i/>
      <w:iCs/>
      <w:color w:val="000000"/>
      <w:sz w:val="24"/>
      <w:szCs w:val="24"/>
      <w:lang w:bidi="ar-SA"/>
    </w:rPr>
  </w:style>
  <w:style w:type="paragraph" w:styleId="1112">
    <w:name w:val="引用"/>
    <w:basedOn w:val="928"/>
    <w:next w:val="928"/>
    <w:link w:val="1111"/>
    <w:uiPriority w:val="29"/>
    <w:qFormat/>
    <w:pPr>
      <w:spacing w:line="360" w:lineRule="auto"/>
    </w:pPr>
    <w:rPr>
      <w:rFonts w:ascii="Times New Roman" w:hAnsi="Times New Roman"/>
      <w:i/>
      <w:iCs/>
      <w:color w:val="000000"/>
    </w:rPr>
  </w:style>
  <w:style w:type="character" w:styleId="1113">
    <w:name w:val="Footer-Even Char,Alt+J Char,footer odd Char,fo Char,odd Char,footer Final Char,Footer1 Char Char"/>
    <w:next w:val="1113"/>
    <w:link w:val="928"/>
    <w:rPr>
      <w:rFonts w:ascii="Times New Roman" w:hAnsi="Times New Roman" w:eastAsia="宋体" w:cs="Times New Roman"/>
      <w:sz w:val="18"/>
      <w:szCs w:val="18"/>
    </w:rPr>
  </w:style>
  <w:style w:type="character" w:styleId="1114">
    <w:name w:val="Header Char"/>
    <w:next w:val="1114"/>
    <w:link w:val="928"/>
    <w:uiPriority w:val="99"/>
    <w:rPr>
      <w:rFonts w:cs="Times New Roman"/>
      <w:sz w:val="18"/>
      <w:szCs w:val="18"/>
    </w:rPr>
  </w:style>
  <w:style w:type="character" w:styleId="1115">
    <w:name w:val="red"/>
    <w:next w:val="1115"/>
    <w:link w:val="928"/>
    <w:rPr>
      <w:rFonts w:ascii="Arial" w:hAnsi="Arial" w:cs="Arial"/>
      <w:color w:val="e50000"/>
    </w:rPr>
  </w:style>
  <w:style w:type="character" w:styleId="1116">
    <w:name w:val="c1"/>
    <w:next w:val="1116"/>
    <w:link w:val="928"/>
  </w:style>
  <w:style w:type="character" w:styleId="1117">
    <w:name w:val="List Paragraph Char"/>
    <w:next w:val="1117"/>
    <w:link w:val="1118"/>
    <w:rPr>
      <w:rFonts w:ascii="宋体" w:hAnsi="宋体" w:eastAsia="宋体"/>
      <w:sz w:val="24"/>
      <w:lang w:bidi="ar-SA"/>
    </w:rPr>
  </w:style>
  <w:style w:type="paragraph" w:styleId="1118">
    <w:name w:val="List Paragraph1"/>
    <w:basedOn w:val="928"/>
    <w:next w:val="1118"/>
    <w:link w:val="1117"/>
    <w:qFormat/>
    <w:pPr>
      <w:ind w:firstLine="420"/>
    </w:pPr>
    <w:rPr>
      <w:szCs w:val="20"/>
    </w:rPr>
  </w:style>
  <w:style w:type="character" w:styleId="1119">
    <w:name w:val="标题 3 Char Char"/>
    <w:next w:val="1119"/>
    <w:link w:val="928"/>
    <w:rPr>
      <w:rFonts w:eastAsia="宋体"/>
      <w:sz w:val="30"/>
    </w:rPr>
  </w:style>
  <w:style w:type="character" w:styleId="1120">
    <w:name w:val="正文（缩进） Char"/>
    <w:next w:val="1120"/>
    <w:link w:val="1121"/>
    <w:rPr>
      <w:rFonts w:eastAsia="宋体"/>
      <w:sz w:val="24"/>
      <w:szCs w:val="24"/>
      <w:lang w:val="en-US" w:eastAsia="zh-CN" w:bidi="ar-SA"/>
    </w:rPr>
  </w:style>
  <w:style w:type="paragraph" w:styleId="1121">
    <w:name w:val="正文（缩进）"/>
    <w:basedOn w:val="928"/>
    <w:next w:val="1121"/>
    <w:link w:val="1120"/>
    <w:pPr>
      <w:ind w:firstLine="480"/>
      <w:spacing w:before="156" w:after="156" w:line="360" w:lineRule="auto"/>
    </w:pPr>
    <w:rPr>
      <w:rFonts w:ascii="Times New Roman" w:hAnsi="Times New Roman"/>
    </w:rPr>
  </w:style>
  <w:style w:type="character" w:styleId="1122">
    <w:name w:val="常规 Char"/>
    <w:next w:val="1122"/>
    <w:link w:val="1123"/>
    <w:rPr>
      <w:rFonts w:eastAsia="宋体"/>
      <w:sz w:val="21"/>
      <w:szCs w:val="21"/>
      <w:lang w:val="en-US" w:eastAsia="zh-CN" w:bidi="ar-SA"/>
    </w:rPr>
  </w:style>
  <w:style w:type="paragraph" w:styleId="1123">
    <w:name w:val="常规"/>
    <w:basedOn w:val="928"/>
    <w:next w:val="1123"/>
    <w:link w:val="1122"/>
    <w:pPr>
      <w:ind w:left="1134"/>
      <w:spacing w:before="100" w:after="100"/>
    </w:pPr>
    <w:rPr>
      <w:rFonts w:ascii="Times New Roman" w:hAnsi="Times New Roman"/>
      <w:sz w:val="21"/>
      <w:szCs w:val="21"/>
    </w:rPr>
  </w:style>
  <w:style w:type="character" w:styleId="1124">
    <w:name w:val="Item step Char"/>
    <w:next w:val="1124"/>
    <w:link w:val="1125"/>
    <w:rPr>
      <w:sz w:val="21"/>
      <w:szCs w:val="21"/>
    </w:rPr>
  </w:style>
  <w:style w:type="paragraph" w:styleId="1125">
    <w:name w:val="Item step"/>
    <w:basedOn w:val="928"/>
    <w:next w:val="1125"/>
    <w:link w:val="1124"/>
    <w:pPr>
      <w:ind w:left="737" w:hanging="317"/>
      <w:tabs>
        <w:tab w:val="left" w:pos="737" w:leader="none"/>
      </w:tabs>
    </w:pPr>
    <w:rPr>
      <w:rFonts w:ascii="Times New Roman" w:hAnsi="Times New Roman"/>
      <w:sz w:val="21"/>
      <w:szCs w:val="21"/>
    </w:rPr>
  </w:style>
  <w:style w:type="character" w:styleId="1126">
    <w:name w:val="正文缩进 Char Char"/>
    <w:next w:val="1126"/>
    <w:link w:val="928"/>
    <w:rPr>
      <w:rFonts w:eastAsia="宋体"/>
      <w:sz w:val="21"/>
      <w:szCs w:val="24"/>
      <w:lang w:val="en-US" w:eastAsia="zh-CN" w:bidi="ar-SA"/>
    </w:rPr>
  </w:style>
  <w:style w:type="character" w:styleId="1127">
    <w:name w:val="msg-box30"/>
    <w:next w:val="1127"/>
    <w:link w:val="928"/>
  </w:style>
  <w:style w:type="character" w:styleId="1128">
    <w:name w:val="style791"/>
    <w:next w:val="1128"/>
    <w:link w:val="928"/>
  </w:style>
  <w:style w:type="character" w:styleId="1129">
    <w:name w:val="unit"/>
    <w:next w:val="1129"/>
    <w:link w:val="928"/>
    <w:rPr>
      <w:color w:val="999999"/>
    </w:rPr>
  </w:style>
  <w:style w:type="character" w:styleId="1130">
    <w:name w:val="img_title11"/>
    <w:next w:val="1130"/>
    <w:link w:val="928"/>
    <w:rPr>
      <w:vanish/>
    </w:rPr>
  </w:style>
  <w:style w:type="character" w:styleId="1131">
    <w:name w:val="普通文字 Char1,普通文字 Char Char,纯文本 Char1 Char Char Char,纯文本 Char Char Char Char Char,纯文本 Char Char1 Char,纯文本 Char1 Char Char1,纯文本 Char Char Char Char Char1"/>
    <w:next w:val="1131"/>
    <w:link w:val="928"/>
    <w:rPr>
      <w:rFonts w:ascii="宋体" w:hAnsi="Courier New" w:eastAsia="宋体" w:cs="Times New Roman"/>
      <w:sz w:val="18"/>
      <w:szCs w:val="20"/>
    </w:rPr>
  </w:style>
  <w:style w:type="character" w:styleId="1132">
    <w:name w:val="large1"/>
    <w:next w:val="1132"/>
    <w:link w:val="928"/>
    <w:rPr>
      <w:rFonts w:hint="eastAsia" w:ascii="宋体" w:hAnsi="宋体" w:eastAsia="宋体"/>
      <w:sz w:val="22"/>
      <w:szCs w:val="22"/>
    </w:rPr>
  </w:style>
  <w:style w:type="character" w:styleId="1133">
    <w:name w:val="buvis"/>
    <w:next w:val="1133"/>
    <w:link w:val="928"/>
    <w:rPr>
      <w:color w:val="999999"/>
    </w:rPr>
  </w:style>
  <w:style w:type="character" w:styleId="1134">
    <w:name w:val="不明显参考"/>
    <w:next w:val="1134"/>
    <w:link w:val="928"/>
    <w:qFormat/>
    <w:rPr>
      <w:smallCaps/>
      <w:color w:val="c0504d"/>
      <w:u w:val="single"/>
    </w:rPr>
  </w:style>
  <w:style w:type="character" w:styleId="1135">
    <w:name w:val="p05"/>
    <w:next w:val="1135"/>
    <w:link w:val="928"/>
  </w:style>
  <w:style w:type="character" w:styleId="1136">
    <w:name w:val="style1 style3"/>
    <w:next w:val="1136"/>
    <w:link w:val="928"/>
  </w:style>
  <w:style w:type="character" w:styleId="1137">
    <w:name w:val="starting"/>
    <w:next w:val="1137"/>
    <w:link w:val="928"/>
  </w:style>
  <w:style w:type="character" w:styleId="1138">
    <w:name w:val="num27"/>
    <w:next w:val="1138"/>
    <w:link w:val="928"/>
  </w:style>
  <w:style w:type="character" w:styleId="1139">
    <w:name w:val="正文首行缩进 Char"/>
    <w:next w:val="1139"/>
    <w:link w:val="928"/>
    <w:semiHidden/>
    <w:rPr>
      <w:rFonts w:ascii="Times New Roman" w:hAnsi="Times New Roman" w:eastAsia="宋体" w:cs="Times New Roman"/>
      <w:sz w:val="24"/>
      <w:szCs w:val="24"/>
    </w:rPr>
  </w:style>
  <w:style w:type="character" w:styleId="1140">
    <w:name w:val="tit22"/>
    <w:next w:val="1140"/>
    <w:link w:val="928"/>
    <w:rPr>
      <w:color w:val="04a06c"/>
    </w:rPr>
  </w:style>
  <w:style w:type="character" w:styleId="1141">
    <w:name w:val="span_sort1"/>
    <w:next w:val="1141"/>
    <w:link w:val="928"/>
    <w:rPr>
      <w:color w:val="ffffff"/>
    </w:rPr>
  </w:style>
  <w:style w:type="character" w:styleId="1142">
    <w:name w:val="body-cn-black2"/>
    <w:next w:val="1142"/>
    <w:link w:val="928"/>
    <w:rPr>
      <w:color w:val="000000"/>
      <w:sz w:val="18"/>
      <w:szCs w:val="18"/>
    </w:rPr>
  </w:style>
  <w:style w:type="character" w:styleId="1143">
    <w:name w:val="c3"/>
    <w:next w:val="1143"/>
    <w:link w:val="928"/>
  </w:style>
  <w:style w:type="character" w:styleId="1144">
    <w:name w:val="txt1"/>
    <w:next w:val="1144"/>
    <w:link w:val="928"/>
  </w:style>
  <w:style w:type="character" w:styleId="1145">
    <w:name w:val="l7"/>
    <w:next w:val="1145"/>
    <w:link w:val="928"/>
    <w:rPr>
      <w:color w:val="999999"/>
    </w:rPr>
  </w:style>
  <w:style w:type="character" w:styleId="1146">
    <w:name w:val="themebody1"/>
    <w:next w:val="1146"/>
    <w:link w:val="928"/>
    <w:rPr>
      <w:color w:val="ffffff"/>
    </w:rPr>
  </w:style>
  <w:style w:type="character" w:styleId="1147">
    <w:name w:val="Item List Char"/>
    <w:next w:val="1147"/>
    <w:link w:val="1148"/>
    <w:rPr>
      <w:sz w:val="21"/>
      <w:szCs w:val="24"/>
    </w:rPr>
  </w:style>
  <w:style w:type="paragraph" w:styleId="1148">
    <w:name w:val="Item List"/>
    <w:basedOn w:val="928"/>
    <w:next w:val="1148"/>
    <w:link w:val="1147"/>
    <w:pPr>
      <w:numPr>
        <w:ilvl w:val="0"/>
        <w:numId w:val="5"/>
      </w:numPr>
      <w:ind w:left="1701" w:hanging="567"/>
      <w:jc w:val="left"/>
      <w:spacing w:after="50"/>
      <w:tabs>
        <w:tab w:val="left" w:pos="420" w:leader="none"/>
      </w:tabs>
    </w:pPr>
    <w:rPr>
      <w:rFonts w:ascii="Times New Roman" w:hAnsi="Times New Roman"/>
      <w:sz w:val="21"/>
    </w:rPr>
  </w:style>
  <w:style w:type="character" w:styleId="1149">
    <w:name w:val="span_param1"/>
    <w:next w:val="1149"/>
    <w:link w:val="928"/>
  </w:style>
  <w:style w:type="character" w:styleId="1150">
    <w:name w:val="num31"/>
    <w:next w:val="1150"/>
    <w:link w:val="928"/>
  </w:style>
  <w:style w:type="character" w:styleId="1151">
    <w:name w:val="name2"/>
    <w:next w:val="1151"/>
    <w:link w:val="928"/>
    <w:rPr>
      <w:color w:val="695435"/>
      <w:sz w:val="24"/>
      <w:szCs w:val="24"/>
    </w:rPr>
  </w:style>
  <w:style w:type="character" w:styleId="1152">
    <w:name w:val="l5"/>
    <w:next w:val="1152"/>
    <w:link w:val="928"/>
    <w:rPr>
      <w:color w:val="999999"/>
    </w:rPr>
  </w:style>
  <w:style w:type="character" w:styleId="1153">
    <w:name w:val="编写说明 Char"/>
    <w:next w:val="1153"/>
    <w:link w:val="1154"/>
    <w:rPr>
      <w:rFonts w:eastAsia="宋体"/>
      <w:i/>
      <w:color w:val="0000ff"/>
      <w:sz w:val="21"/>
      <w:szCs w:val="24"/>
      <w:lang w:val="en-US" w:eastAsia="zh-CN" w:bidi="ar-SA"/>
    </w:rPr>
  </w:style>
  <w:style w:type="paragraph" w:styleId="1154">
    <w:name w:val="编写说明"/>
    <w:basedOn w:val="928"/>
    <w:next w:val="943"/>
    <w:link w:val="1153"/>
    <w:pPr>
      <w:widowControl/>
    </w:pPr>
    <w:rPr>
      <w:rFonts w:ascii="Times New Roman" w:hAnsi="Times New Roman"/>
      <w:i/>
      <w:color w:val="0000ff"/>
      <w:sz w:val="21"/>
    </w:rPr>
  </w:style>
  <w:style w:type="character" w:styleId="1155">
    <w:name w:val="tit20"/>
    <w:next w:val="1155"/>
    <w:link w:val="928"/>
    <w:rPr>
      <w:color w:val="b60000"/>
    </w:rPr>
  </w:style>
  <w:style w:type="character" w:styleId="1156">
    <w:name w:val="列表段落 字符"/>
    <w:next w:val="1156"/>
    <w:link w:val="1157"/>
    <w:rPr>
      <w:rFonts w:ascii="Calibri" w:hAnsi="Calibri" w:eastAsia="宋体"/>
      <w:sz w:val="24"/>
      <w:szCs w:val="22"/>
      <w:lang w:val="en-US" w:eastAsia="zh-CN" w:bidi="ar-SA"/>
    </w:rPr>
  </w:style>
  <w:style w:type="paragraph" w:styleId="1157">
    <w:name w:val="列表段落"/>
    <w:basedOn w:val="928"/>
    <w:next w:val="1157"/>
    <w:link w:val="1156"/>
    <w:uiPriority w:val="34"/>
    <w:qFormat/>
    <w:pPr>
      <w:ind w:firstLine="420"/>
      <w:spacing w:line="360" w:lineRule="auto"/>
    </w:pPr>
    <w:rPr>
      <w:rFonts w:ascii="Calibri" w:hAnsi="Calibri"/>
      <w:szCs w:val="22"/>
    </w:rPr>
  </w:style>
  <w:style w:type="character" w:styleId="1158">
    <w:name w:val="name"/>
    <w:next w:val="1158"/>
    <w:link w:val="928"/>
    <w:rPr>
      <w:color w:val="444444"/>
      <w:sz w:val="21"/>
      <w:szCs w:val="21"/>
    </w:rPr>
  </w:style>
  <w:style w:type="character" w:styleId="1159">
    <w:name w:val="msg-box32"/>
    <w:next w:val="1159"/>
    <w:link w:val="928"/>
  </w:style>
  <w:style w:type="character" w:styleId="1160">
    <w:name w:val="lh151"/>
    <w:next w:val="1160"/>
    <w:link w:val="928"/>
    <w:rPr>
      <w:color w:val="666666"/>
    </w:rPr>
  </w:style>
  <w:style w:type="character" w:styleId="1161">
    <w:name w:val="样式 宋体 小四"/>
    <w:next w:val="1161"/>
    <w:link w:val="928"/>
    <w:rPr>
      <w:rFonts w:ascii="宋体" w:hAnsi="宋体"/>
      <w:sz w:val="24"/>
    </w:rPr>
  </w:style>
  <w:style w:type="character" w:styleId="1162">
    <w:name w:val="PI Char Char"/>
    <w:next w:val="1162"/>
    <w:link w:val="928"/>
    <w:rPr>
      <w:rFonts w:ascii="Times New Roman" w:hAnsi="Times New Roman" w:eastAsia="宋体" w:cs="Times New Roman"/>
      <w:szCs w:val="24"/>
    </w:rPr>
  </w:style>
  <w:style w:type="character" w:styleId="1163">
    <w:name w:val="l4"/>
    <w:next w:val="1163"/>
    <w:link w:val="928"/>
    <w:rPr>
      <w:color w:val="999999"/>
    </w:rPr>
  </w:style>
  <w:style w:type="character" w:styleId="1164">
    <w:name w:val="tit16"/>
    <w:next w:val="1164"/>
    <w:link w:val="928"/>
    <w:rPr>
      <w:b/>
      <w:color w:val="b60000"/>
    </w:rPr>
  </w:style>
  <w:style w:type="character" w:styleId="1165">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165"/>
    <w:link w:val="928"/>
    <w:rPr>
      <w:b/>
      <w:bCs/>
      <w:sz w:val="44"/>
      <w:szCs w:val="44"/>
    </w:rPr>
  </w:style>
  <w:style w:type="character" w:styleId="1166">
    <w:name w:val="msg-box31"/>
    <w:next w:val="1166"/>
    <w:link w:val="928"/>
  </w:style>
  <w:style w:type="character" w:styleId="1167">
    <w:name w:val="tt Char,tt1 Char,Figure Char,heading 8 Char,No num/gap Char,h8 Char,ctp Char,Caption text (page-wide) Char,Center Bold Char,ITT t8 Char,PA Appendix Minor Char,Center Bold1 Char,Center Bold2 Char,Center Bold3 Char,Center Bold4 Char,Center Bold5 Char"/>
    <w:next w:val="1167"/>
    <w:link w:val="928"/>
    <w:rPr>
      <w:rFonts w:ascii="Arial" w:hAnsi="Arial" w:eastAsia="黑体"/>
      <w:sz w:val="24"/>
      <w:szCs w:val="24"/>
    </w:rPr>
  </w:style>
  <w:style w:type="character" w:styleId="1168">
    <w:name w:val="img_title10"/>
    <w:next w:val="1168"/>
    <w:link w:val="928"/>
    <w:rPr>
      <w:vanish/>
    </w:rPr>
  </w:style>
  <w:style w:type="character" w:styleId="1169">
    <w:name w:val="num51"/>
    <w:next w:val="1169"/>
    <w:link w:val="928"/>
  </w:style>
  <w:style w:type="character" w:styleId="1170">
    <w:name w:val="规范正文 Char"/>
    <w:next w:val="1170"/>
    <w:link w:val="1171"/>
    <w:rPr>
      <w:rFonts w:eastAsia="宋体"/>
      <w:sz w:val="24"/>
      <w:lang w:val="en-US" w:eastAsia="zh-CN" w:bidi="ar-SA"/>
    </w:rPr>
  </w:style>
  <w:style w:type="paragraph" w:styleId="1171">
    <w:name w:val="规范正文"/>
    <w:basedOn w:val="928"/>
    <w:next w:val="1171"/>
    <w:link w:val="1170"/>
    <w:pPr>
      <w:ind w:left="480"/>
      <w:spacing w:line="360" w:lineRule="auto"/>
    </w:pPr>
    <w:rPr>
      <w:rFonts w:ascii="Times New Roman" w:hAnsi="Times New Roman"/>
      <w:szCs w:val="20"/>
    </w:rPr>
  </w:style>
  <w:style w:type="character" w:styleId="1172">
    <w:name w:val="Plain Text Char Char"/>
    <w:next w:val="1172"/>
    <w:link w:val="1173"/>
    <w:rPr>
      <w:rFonts w:ascii="宋体" w:hAnsi="Courier New" w:eastAsia="楷体_GB2312"/>
      <w:sz w:val="26"/>
      <w:lang w:val="en-US" w:eastAsia="zh-CN" w:bidi="ar-SA"/>
    </w:rPr>
  </w:style>
  <w:style w:type="paragraph" w:styleId="1173">
    <w:name w:val="纯文本1"/>
    <w:basedOn w:val="928"/>
    <w:next w:val="1173"/>
    <w:link w:val="1172"/>
    <w:qFormat/>
    <w:rPr>
      <w:rFonts w:hAnsi="Courier New" w:eastAsia="楷体_GB2312"/>
      <w:sz w:val="26"/>
      <w:szCs w:val="20"/>
    </w:rPr>
  </w:style>
  <w:style w:type="character" w:styleId="1174">
    <w:name w:val="标题 3 Char Char Char Char Char Char Char"/>
    <w:next w:val="1174"/>
    <w:link w:val="928"/>
    <w:rPr>
      <w:rFonts w:eastAsia="宋体"/>
      <w:b/>
      <w:bCs/>
      <w:sz w:val="32"/>
      <w:szCs w:val="32"/>
      <w:lang w:val="en-US" w:eastAsia="zh-CN" w:bidi="ar-SA"/>
    </w:rPr>
  </w:style>
  <w:style w:type="character" w:styleId="1175">
    <w:name w:val="p121"/>
    <w:next w:val="1175"/>
    <w:link w:val="928"/>
    <w:uiPriority w:val="99"/>
    <w:rPr>
      <w:rFonts w:cs="Times New Roman"/>
      <w:sz w:val="24"/>
      <w:szCs w:val="24"/>
      <w:u w:val="none"/>
    </w:rPr>
  </w:style>
  <w:style w:type="character" w:styleId="1176">
    <w:name w:val="bsharetext"/>
    <w:next w:val="1176"/>
    <w:link w:val="928"/>
  </w:style>
  <w:style w:type="character" w:styleId="1177">
    <w:name w:val="并列 Char Char"/>
    <w:next w:val="1177"/>
    <w:link w:val="928"/>
    <w:rPr>
      <w:rFonts w:eastAsia="宋体"/>
      <w:sz w:val="24"/>
      <w:szCs w:val="24"/>
      <w:lang w:val="en-US" w:eastAsia="zh-CN" w:bidi="ar-SA"/>
    </w:rPr>
  </w:style>
  <w:style w:type="character" w:styleId="1178">
    <w:name w:val=" Char Char14"/>
    <w:next w:val="1178"/>
    <w:link w:val="928"/>
    <w:semiHidden/>
    <w:rPr>
      <w:rFonts w:ascii="Times New Roman" w:hAnsi="Times New Roman" w:eastAsia="宋体" w:cs="Times New Roman"/>
      <w:szCs w:val="24"/>
    </w:rPr>
  </w:style>
  <w:style w:type="character" w:styleId="1179">
    <w:name w:val="Item list Char"/>
    <w:next w:val="1179"/>
    <w:link w:val="1180"/>
    <w:rPr>
      <w:sz w:val="21"/>
      <w:szCs w:val="18"/>
    </w:rPr>
  </w:style>
  <w:style w:type="paragraph" w:styleId="1180">
    <w:name w:val="Item list"/>
    <w:basedOn w:val="928"/>
    <w:next w:val="1180"/>
    <w:link w:val="1179"/>
    <w:pPr>
      <w:numPr>
        <w:ilvl w:val="0"/>
        <w:numId w:val="6"/>
      </w:numPr>
      <w:widowControl/>
      <w:tabs>
        <w:tab w:val="left" w:pos="720" w:leader="none"/>
      </w:tabs>
    </w:pPr>
    <w:rPr>
      <w:rFonts w:ascii="Times New Roman" w:hAnsi="Times New Roman"/>
      <w:sz w:val="21"/>
      <w:szCs w:val="18"/>
    </w:rPr>
  </w:style>
  <w:style w:type="character" w:styleId="1181">
    <w:name w:val="FtrF Char,Footer-Even Char Char"/>
    <w:next w:val="1181"/>
    <w:link w:val="928"/>
    <w:rPr>
      <w:sz w:val="18"/>
      <w:szCs w:val="18"/>
    </w:rPr>
  </w:style>
  <w:style w:type="character" w:styleId="1182">
    <w:name w:val="h7 Char,st Char,SDL title Char,NICMAN Heading 7 Char,PIM 7 Char,letter list Char,Para no numbering Char,cnc Char,Caption number (column-wide) Char,ITT t7 Char,PA Appendix Major Char,lettered list Char,letter list1 Char,lettered list1 Char,正文七级标题 Char"/>
    <w:next w:val="1182"/>
    <w:link w:val="928"/>
    <w:rPr>
      <w:rFonts w:ascii="Times New Roman" w:hAnsi="Times New Roman"/>
      <w:b/>
      <w:bCs/>
      <w:sz w:val="24"/>
      <w:szCs w:val="24"/>
    </w:rPr>
  </w:style>
  <w:style w:type="character" w:styleId="1183">
    <w:name w:val="xl26"/>
    <w:next w:val="1183"/>
    <w:link w:val="928"/>
  </w:style>
  <w:style w:type="character" w:styleId="1184">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184"/>
    <w:link w:val="928"/>
    <w:rPr>
      <w:rFonts w:eastAsia="宋体"/>
      <w:sz w:val="21"/>
      <w:szCs w:val="24"/>
      <w:lang w:val="en-US" w:eastAsia="zh-CN" w:bidi="ar-SA"/>
    </w:rPr>
  </w:style>
  <w:style w:type="character" w:styleId="1185">
    <w:name w:val="font61"/>
    <w:next w:val="1185"/>
    <w:link w:val="928"/>
    <w:qFormat/>
    <w:rPr>
      <w:rFonts w:hint="eastAsia" w:ascii="宋体" w:hAnsi="宋体" w:eastAsia="宋体" w:cs="宋体"/>
      <w:color w:val="000000"/>
      <w:sz w:val="24"/>
      <w:szCs w:val="24"/>
      <w:u w:val="none"/>
    </w:rPr>
  </w:style>
  <w:style w:type="character" w:styleId="1186">
    <w:name w:val="a41"/>
    <w:next w:val="1186"/>
    <w:link w:val="928"/>
    <w:rPr>
      <w:color w:val="666666"/>
      <w:sz w:val="20"/>
      <w:szCs w:val="20"/>
    </w:rPr>
  </w:style>
  <w:style w:type="character" w:styleId="1187">
    <w:name w:val="HTML Preformatted Char"/>
    <w:next w:val="1187"/>
    <w:link w:val="928"/>
    <w:semiHidden/>
    <w:rPr>
      <w:rFonts w:ascii="黑体" w:hAnsi="Courier New" w:eastAsia="黑体" w:cs="Courier New"/>
      <w:sz w:val="20"/>
      <w:szCs w:val="20"/>
    </w:rPr>
  </w:style>
  <w:style w:type="character" w:styleId="1188">
    <w:name w:val="sub-title1"/>
    <w:next w:val="1188"/>
    <w:link w:val="928"/>
    <w:rPr>
      <w:rFonts w:ascii="Arial" w:hAnsi="Arial" w:cs="Arial"/>
      <w:b/>
      <w:bCs/>
      <w:color w:val="666666"/>
      <w:sz w:val="20"/>
      <w:szCs w:val="20"/>
      <w:shd w:val="clear" w:color="auto" w:fill="dddcde"/>
    </w:rPr>
  </w:style>
  <w:style w:type="character" w:styleId="1189">
    <w:name w:val="nostart"/>
    <w:next w:val="1189"/>
    <w:link w:val="928"/>
    <w:rPr>
      <w:color w:val="b60000"/>
    </w:rPr>
  </w:style>
  <w:style w:type="character" w:styleId="1190">
    <w:name w:val="span_paramvalue"/>
    <w:next w:val="1190"/>
    <w:link w:val="928"/>
  </w:style>
  <w:style w:type="character" w:styleId="1191">
    <w:name w:val="shixiao"/>
    <w:next w:val="1191"/>
    <w:link w:val="928"/>
  </w:style>
  <w:style w:type="character" w:styleId="1192">
    <w:name w:val="wz2"/>
    <w:next w:val="1192"/>
    <w:link w:val="928"/>
    <w:rPr>
      <w:color w:val="666666"/>
      <w:sz w:val="20"/>
      <w:szCs w:val="20"/>
    </w:rPr>
  </w:style>
  <w:style w:type="character" w:styleId="1193">
    <w:name w:val="img_title12"/>
    <w:next w:val="1193"/>
    <w:link w:val="928"/>
    <w:rPr>
      <w:vanish/>
    </w:rPr>
  </w:style>
  <w:style w:type="character" w:styleId="1194">
    <w:name w:val="小标题 Char"/>
    <w:next w:val="1194"/>
    <w:link w:val="928"/>
    <w:rPr>
      <w:rFonts w:ascii="宋体" w:hAnsi="宋体" w:eastAsia="宋体"/>
      <w:b/>
      <w:bCs/>
      <w:color w:val="000000"/>
      <w:spacing w:val="20"/>
      <w:sz w:val="24"/>
      <w:szCs w:val="32"/>
      <w:lang w:val="en-US" w:eastAsia="zh-CN" w:bidi="ar-SA"/>
    </w:rPr>
  </w:style>
  <w:style w:type="character" w:styleId="1195">
    <w:name w:val="img_title13"/>
    <w:next w:val="1195"/>
    <w:link w:val="928"/>
    <w:rPr>
      <w:vanish/>
    </w:rPr>
  </w:style>
  <w:style w:type="character" w:styleId="1196">
    <w:name w:val=" Char Char9"/>
    <w:next w:val="1196"/>
    <w:link w:val="928"/>
    <w:rPr>
      <w:rFonts w:ascii="Times New Roman" w:hAnsi="Times New Roman" w:eastAsia="宋体" w:cs="Times New Roman"/>
      <w:sz w:val="18"/>
      <w:szCs w:val="18"/>
    </w:rPr>
  </w:style>
  <w:style w:type="character" w:styleId="1197">
    <w:name w:val=" Char Char13"/>
    <w:next w:val="1197"/>
    <w:link w:val="928"/>
    <w:rPr>
      <w:rFonts w:ascii="宋体" w:hAnsi="Times New Roman" w:eastAsia="宋体" w:cs="Times New Roman"/>
      <w:sz w:val="18"/>
      <w:szCs w:val="18"/>
    </w:rPr>
  </w:style>
  <w:style w:type="character" w:styleId="1198">
    <w:name w:val="nostart1"/>
    <w:next w:val="1198"/>
    <w:link w:val="928"/>
    <w:rPr>
      <w:color w:val="ff0000"/>
    </w:rPr>
  </w:style>
  <w:style w:type="character" w:styleId="1199">
    <w:name w:val="style1"/>
    <w:next w:val="1199"/>
    <w:link w:val="928"/>
  </w:style>
  <w:style w:type="character" w:styleId="1200">
    <w:name w:val="para1"/>
    <w:next w:val="1200"/>
    <w:link w:val="928"/>
    <w:rPr>
      <w:rFonts w:ascii="Arial" w:hAnsi="Arial" w:cs="Arial"/>
      <w:sz w:val="18"/>
      <w:szCs w:val="18"/>
    </w:rPr>
  </w:style>
  <w:style w:type="character" w:styleId="1201">
    <w:name w:val="f14b1"/>
    <w:next w:val="1201"/>
    <w:link w:val="928"/>
    <w:rPr>
      <w:rFonts w:ascii="??" w:hAnsi="??"/>
      <w:b/>
      <w:bCs/>
      <w:color w:val="333333"/>
      <w:sz w:val="28"/>
      <w:szCs w:val="28"/>
    </w:rPr>
  </w:style>
  <w:style w:type="character" w:styleId="1202">
    <w:name w:val="q1"/>
    <w:next w:val="1202"/>
    <w:link w:val="928"/>
  </w:style>
  <w:style w:type="character" w:styleId="1203">
    <w:name w:val="ca-0"/>
    <w:next w:val="1203"/>
    <w:link w:val="928"/>
    <w:rPr>
      <w:rFonts w:cs="Times New Roman"/>
    </w:rPr>
  </w:style>
  <w:style w:type="character" w:styleId="1204">
    <w:name w:val="job1"/>
    <w:next w:val="1204"/>
    <w:link w:val="928"/>
  </w:style>
  <w:style w:type="character" w:styleId="1205">
    <w:name w:val="华宇段落1 Char Char"/>
    <w:next w:val="1205"/>
    <w:link w:val="1206"/>
    <w:rPr>
      <w:rFonts w:eastAsia="宋体"/>
      <w:bCs/>
      <w:sz w:val="24"/>
      <w:szCs w:val="24"/>
      <w:lang w:val="en-US" w:eastAsia="zh-CN" w:bidi="ar-SA"/>
    </w:rPr>
  </w:style>
  <w:style w:type="paragraph" w:styleId="1206">
    <w:name w:val="华宇段落1 Char"/>
    <w:basedOn w:val="928"/>
    <w:next w:val="1206"/>
    <w:link w:val="1205"/>
    <w:pPr>
      <w:ind w:firstLine="200"/>
      <w:spacing w:line="360" w:lineRule="auto"/>
    </w:pPr>
    <w:rPr>
      <w:rFonts w:ascii="Times New Roman" w:hAnsi="Times New Roman"/>
      <w:bCs/>
    </w:rPr>
  </w:style>
  <w:style w:type="paragraph" w:styleId="1207">
    <w:name w:val="font7"/>
    <w:basedOn w:val="928"/>
    <w:next w:val="1207"/>
    <w:link w:val="928"/>
    <w:pPr>
      <w:jc w:val="left"/>
      <w:spacing w:before="100" w:beforeAutospacing="1" w:after="100" w:afterAutospacing="1"/>
      <w:widowControl/>
    </w:pPr>
    <w:rPr>
      <w:rFonts w:ascii="微软雅黑" w:eastAsia="微软雅黑" w:cs="宋体"/>
      <w:sz w:val="18"/>
      <w:szCs w:val="18"/>
    </w:rPr>
  </w:style>
  <w:style w:type="paragraph" w:styleId="1208">
    <w:name w:val="font17"/>
    <w:basedOn w:val="928"/>
    <w:next w:val="1208"/>
    <w:link w:val="928"/>
    <w:pPr>
      <w:jc w:val="left"/>
      <w:spacing w:before="100" w:beforeAutospacing="1" w:after="100" w:afterAutospacing="1"/>
      <w:widowControl/>
    </w:pPr>
    <w:rPr>
      <w:rFonts w:cs="宋体"/>
      <w:b/>
      <w:bCs/>
      <w:sz w:val="18"/>
      <w:szCs w:val="18"/>
    </w:rPr>
  </w:style>
  <w:style w:type="paragraph" w:styleId="1209">
    <w:name w:val="xl155"/>
    <w:basedOn w:val="928"/>
    <w:next w:val="1209"/>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10">
    <w:name w:val="xl213"/>
    <w:basedOn w:val="928"/>
    <w:next w:val="1210"/>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11">
    <w:name w:val="样式 首行缩进:  1.48 厘米"/>
    <w:basedOn w:val="928"/>
    <w:next w:val="1211"/>
    <w:link w:val="928"/>
    <w:pPr>
      <w:ind w:firstLine="200"/>
    </w:pPr>
    <w:rPr>
      <w:rFonts w:ascii="Times New Roman" w:hAnsi="Times New Roman" w:cs="宋体"/>
      <w:sz w:val="21"/>
      <w:szCs w:val="20"/>
    </w:rPr>
  </w:style>
  <w:style w:type="paragraph" w:styleId="1212">
    <w:name w:val="Code in Table"/>
    <w:basedOn w:val="928"/>
    <w:next w:val="1212"/>
    <w:link w:val="928"/>
    <w:pPr>
      <w:shd w:val="clear" w:color="auto" w:fill="f3f3f3"/>
    </w:pPr>
    <w:rPr>
      <w:rFonts w:ascii="Courier New" w:hAnsi="Courier New"/>
      <w:sz w:val="18"/>
    </w:rPr>
  </w:style>
  <w:style w:type="paragraph" w:styleId="1213">
    <w:name w:val="font18"/>
    <w:basedOn w:val="928"/>
    <w:next w:val="1213"/>
    <w:link w:val="928"/>
    <w:pPr>
      <w:jc w:val="left"/>
      <w:spacing w:before="100" w:beforeAutospacing="1" w:after="100" w:afterAutospacing="1"/>
      <w:widowControl/>
    </w:pPr>
    <w:rPr>
      <w:rFonts w:cs="宋体"/>
      <w:sz w:val="18"/>
      <w:szCs w:val="18"/>
    </w:rPr>
  </w:style>
  <w:style w:type="paragraph" w:styleId="1214">
    <w:name w:val="Char2"/>
    <w:basedOn w:val="928"/>
    <w:next w:val="1214"/>
    <w:link w:val="928"/>
    <w:pPr>
      <w:jc w:val="left"/>
      <w:spacing w:after="160" w:line="240" w:lineRule="exact"/>
      <w:widowControl/>
    </w:pPr>
    <w:rPr>
      <w:rFonts w:ascii="Verdana" w:hAnsi="Verdana"/>
      <w:sz w:val="21"/>
      <w:szCs w:val="20"/>
      <w:lang w:eastAsia="en-US"/>
    </w:rPr>
  </w:style>
  <w:style w:type="paragraph" w:styleId="1215">
    <w:name w:val="xl196"/>
    <w:basedOn w:val="928"/>
    <w:next w:val="1215"/>
    <w:link w:val="928"/>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16">
    <w:name w:val="xl178"/>
    <w:basedOn w:val="928"/>
    <w:next w:val="121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7">
    <w:name w:val="font12"/>
    <w:basedOn w:val="928"/>
    <w:next w:val="1217"/>
    <w:link w:val="928"/>
    <w:pPr>
      <w:jc w:val="left"/>
      <w:spacing w:before="100" w:beforeAutospacing="1" w:after="100" w:afterAutospacing="1"/>
      <w:widowControl/>
    </w:pPr>
    <w:rPr>
      <w:rFonts w:cs="宋体"/>
      <w:sz w:val="18"/>
      <w:szCs w:val="18"/>
    </w:rPr>
  </w:style>
  <w:style w:type="paragraph" w:styleId="1218">
    <w:name w:val="xl112"/>
    <w:basedOn w:val="928"/>
    <w:next w:val="1218"/>
    <w:link w:val="92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19">
    <w:name w:val="xl124"/>
    <w:basedOn w:val="928"/>
    <w:next w:val="1219"/>
    <w:link w:val="928"/>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20">
    <w:name w:val="xl85"/>
    <w:basedOn w:val="928"/>
    <w:next w:val="1220"/>
    <w:link w:val="928"/>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21">
    <w:name w:val="xl138"/>
    <w:basedOn w:val="928"/>
    <w:next w:val="1221"/>
    <w:link w:val="928"/>
    <w:pPr>
      <w:jc w:val="left"/>
      <w:spacing w:before="100" w:beforeAutospacing="1" w:after="100" w:afterAutospacing="1"/>
      <w:widowControl/>
    </w:pPr>
    <w:rPr>
      <w:rFonts w:cs="宋体"/>
      <w:sz w:val="18"/>
      <w:szCs w:val="18"/>
    </w:rPr>
  </w:style>
  <w:style w:type="paragraph" w:styleId="1222">
    <w:name w:val="xl156"/>
    <w:basedOn w:val="928"/>
    <w:next w:val="1222"/>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23">
    <w:name w:val="2-2"/>
    <w:basedOn w:val="928"/>
    <w:next w:val="1223"/>
    <w:link w:val="928"/>
    <w:pPr>
      <w:ind w:firstLine="422"/>
      <w:tabs>
        <w:tab w:val="left" w:pos="8820" w:leader="middleDot"/>
      </w:tabs>
    </w:pPr>
    <w:rPr>
      <w:rFonts w:ascii="Times New Roman" w:hAnsi="Times New Roman"/>
      <w:b/>
      <w:sz w:val="21"/>
    </w:rPr>
  </w:style>
  <w:style w:type="paragraph" w:styleId="1224">
    <w:name w:val="font24"/>
    <w:basedOn w:val="928"/>
    <w:next w:val="1224"/>
    <w:link w:val="928"/>
    <w:pPr>
      <w:jc w:val="left"/>
      <w:spacing w:before="100" w:beforeAutospacing="1" w:after="100" w:afterAutospacing="1"/>
      <w:widowControl/>
    </w:pPr>
    <w:rPr>
      <w:rFonts w:cs="宋体"/>
      <w:sz w:val="18"/>
      <w:szCs w:val="18"/>
    </w:rPr>
  </w:style>
  <w:style w:type="paragraph" w:styleId="1225">
    <w:name w:val="hide"/>
    <w:basedOn w:val="928"/>
    <w:next w:val="1225"/>
    <w:link w:val="928"/>
    <w:pPr>
      <w:jc w:val="left"/>
      <w:spacing w:before="100" w:beforeAutospacing="1" w:after="100" w:afterAutospacing="1"/>
      <w:widowControl/>
    </w:pPr>
    <w:rPr>
      <w:rFonts w:cs="宋体"/>
      <w:vanish/>
    </w:rPr>
  </w:style>
  <w:style w:type="paragraph" w:styleId="1226">
    <w:name w:val="font23"/>
    <w:basedOn w:val="928"/>
    <w:next w:val="1226"/>
    <w:link w:val="928"/>
    <w:pPr>
      <w:jc w:val="left"/>
      <w:spacing w:before="100" w:beforeAutospacing="1" w:after="100" w:afterAutospacing="1"/>
      <w:widowControl/>
    </w:pPr>
    <w:rPr>
      <w:rFonts w:cs="宋体"/>
      <w:sz w:val="20"/>
      <w:szCs w:val="20"/>
    </w:rPr>
  </w:style>
  <w:style w:type="paragraph" w:styleId="1227">
    <w:name w:val="xl182"/>
    <w:basedOn w:val="928"/>
    <w:next w:val="1227"/>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8">
    <w:name w:val="xl216"/>
    <w:basedOn w:val="928"/>
    <w:next w:val="1228"/>
    <w:link w:val="928"/>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29">
    <w:name w:val="Char6"/>
    <w:basedOn w:val="928"/>
    <w:next w:val="1229"/>
    <w:link w:val="928"/>
    <w:pPr>
      <w:jc w:val="left"/>
      <w:spacing w:after="160" w:line="240" w:lineRule="exact"/>
      <w:widowControl/>
    </w:pPr>
    <w:rPr>
      <w:rFonts w:ascii="Verdana" w:hAnsi="Verdana"/>
      <w:sz w:val="21"/>
      <w:szCs w:val="20"/>
      <w:lang w:eastAsia="en-US"/>
    </w:rPr>
  </w:style>
  <w:style w:type="paragraph" w:styleId="1230">
    <w:name w:val="样式 标题 2H2Heading 2 HiddenHeading 2 CCBSheading 22nd levelh...1"/>
    <w:basedOn w:val="930"/>
    <w:next w:val="1230"/>
    <w:link w:val="928"/>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231">
    <w:name w:val="纯文本2"/>
    <w:basedOn w:val="928"/>
    <w:next w:val="1231"/>
    <w:link w:val="928"/>
    <w:qFormat/>
    <w:rPr>
      <w:rFonts w:hAnsi="Courier New" w:eastAsia="楷体_GB2312"/>
      <w:sz w:val="26"/>
      <w:szCs w:val="20"/>
    </w:rPr>
  </w:style>
  <w:style w:type="paragraph" w:styleId="1232">
    <w:name w:val=" Char2"/>
    <w:basedOn w:val="928"/>
    <w:next w:val="1232"/>
    <w:link w:val="928"/>
    <w:rPr>
      <w:rFonts w:ascii="Tahoma" w:hAnsi="Tahoma" w:eastAsia="仿宋_GB2312"/>
      <w:color w:val="000000"/>
      <w:szCs w:val="20"/>
    </w:rPr>
  </w:style>
  <w:style w:type="paragraph" w:styleId="1233">
    <w:name w:val="xl88"/>
    <w:basedOn w:val="928"/>
    <w:next w:val="1233"/>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34">
    <w:name w:val="xl181"/>
    <w:basedOn w:val="928"/>
    <w:next w:val="1234"/>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5">
    <w:name w:val="Item List in Table"/>
    <w:basedOn w:val="928"/>
    <w:next w:val="1235"/>
    <w:link w:val="928"/>
    <w:pPr>
      <w:numPr>
        <w:ilvl w:val="0"/>
        <w:numId w:val="7"/>
      </w:numPr>
      <w:jc w:val="left"/>
      <w:tabs>
        <w:tab w:val="left" w:pos="425" w:leader="none"/>
        <w:tab w:val="left" w:pos="709" w:leader="none"/>
      </w:tabs>
    </w:pPr>
    <w:rPr>
      <w:rFonts w:ascii="Times New Roman" w:hAnsi="Times New Roman"/>
      <w:sz w:val="21"/>
    </w:rPr>
  </w:style>
  <w:style w:type="paragraph" w:styleId="1236">
    <w:name w:val="xl162"/>
    <w:basedOn w:val="928"/>
    <w:next w:val="123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7">
    <w:name w:val="Code"/>
    <w:basedOn w:val="1123"/>
    <w:next w:val="1237"/>
    <w:link w:val="928"/>
    <w:pPr>
      <w:jc w:val="left"/>
      <w:spacing w:before="0" w:after="0"/>
      <w:shd w:val="clear" w:color="auto" w:fill="f3f3f3"/>
    </w:pPr>
    <w:rPr>
      <w:rFonts w:ascii="Courier New" w:hAnsi="Courier New"/>
      <w:sz w:val="18"/>
      <w:szCs w:val="18"/>
    </w:rPr>
  </w:style>
  <w:style w:type="paragraph" w:styleId="1238">
    <w:name w:val="xl74"/>
    <w:basedOn w:val="928"/>
    <w:next w:val="1238"/>
    <w:link w:val="928"/>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39">
    <w:name w:val="xl180"/>
    <w:basedOn w:val="928"/>
    <w:next w:val="1239"/>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0">
    <w:name w:val="xl63"/>
    <w:basedOn w:val="928"/>
    <w:next w:val="1240"/>
    <w:link w:val="928"/>
    <w:pPr>
      <w:jc w:val="left"/>
      <w:spacing w:before="100" w:beforeAutospacing="1" w:after="100" w:afterAutospacing="1"/>
      <w:widowControl/>
    </w:pPr>
    <w:rPr>
      <w:rFonts w:ascii="微软雅黑" w:hAnsi="微软雅黑" w:eastAsia="微软雅黑" w:cs="宋体"/>
      <w:sz w:val="20"/>
      <w:szCs w:val="20"/>
    </w:rPr>
  </w:style>
  <w:style w:type="paragraph" w:styleId="1241">
    <w:name w:val="xl140"/>
    <w:basedOn w:val="928"/>
    <w:next w:val="1241"/>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2">
    <w:name w:val="表内正文"/>
    <w:next w:val="1242"/>
    <w:link w:val="928"/>
    <w:pPr>
      <w:ind w:firstLine="480"/>
      <w:spacing w:line="560" w:lineRule="exact"/>
    </w:pPr>
    <w:rPr>
      <w:rFonts w:ascii="宋体" w:hAnsi="宋体"/>
      <w:sz w:val="24"/>
      <w:lang w:val="en-US" w:eastAsia="zh-CN" w:bidi="ar-SA"/>
    </w:rPr>
  </w:style>
  <w:style w:type="paragraph" w:styleId="1243">
    <w:name w:val="xl158"/>
    <w:basedOn w:val="928"/>
    <w:next w:val="1243"/>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44">
    <w:name w:val=" Char1"/>
    <w:basedOn w:val="928"/>
    <w:next w:val="1244"/>
    <w:link w:val="928"/>
    <w:pPr>
      <w:numPr>
        <w:ilvl w:val="1"/>
        <w:numId w:val="2"/>
      </w:numPr>
      <w:ind w:left="0"/>
      <w:jc w:val="left"/>
    </w:pPr>
    <w:rPr>
      <w:rFonts w:ascii="仿宋_GB2312" w:hAnsi="Times New Roman" w:eastAsia="仿宋_GB2312"/>
      <w:b/>
      <w:sz w:val="32"/>
      <w:szCs w:val="32"/>
    </w:rPr>
  </w:style>
  <w:style w:type="paragraph" w:styleId="1245">
    <w:name w:val="00"/>
    <w:basedOn w:val="928"/>
    <w:next w:val="1245"/>
    <w:link w:val="928"/>
    <w:pPr>
      <w:jc w:val="left"/>
    </w:pPr>
    <w:rPr>
      <w:rFonts w:ascii="黑体" w:hAnsi="Times New Roman" w:eastAsia="黑体"/>
      <w:b/>
      <w:bCs/>
      <w:sz w:val="20"/>
      <w:szCs w:val="20"/>
    </w:rPr>
  </w:style>
  <w:style w:type="paragraph" w:styleId="1246">
    <w:name w:val="xl75"/>
    <w:basedOn w:val="928"/>
    <w:next w:val="1246"/>
    <w:link w:val="928"/>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47">
    <w:name w:val="xl101"/>
    <w:basedOn w:val="928"/>
    <w:next w:val="1247"/>
    <w:link w:val="92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48">
    <w:name w:val="Char"/>
    <w:basedOn w:val="928"/>
    <w:next w:val="1248"/>
    <w:link w:val="928"/>
    <w:pPr>
      <w:jc w:val="left"/>
      <w:spacing w:after="160" w:line="240" w:lineRule="exact"/>
      <w:widowControl/>
    </w:pPr>
    <w:rPr>
      <w:rFonts w:ascii="Times New Roman" w:hAnsi="Times New Roman"/>
      <w:sz w:val="21"/>
    </w:rPr>
  </w:style>
  <w:style w:type="paragraph" w:styleId="1249">
    <w:name w:val="解决方案部文档"/>
    <w:basedOn w:val="928"/>
    <w:next w:val="1249"/>
    <w:link w:val="928"/>
    <w:pPr>
      <w:jc w:val="center"/>
    </w:pPr>
    <w:rPr>
      <w:rFonts w:ascii="Times New Roman" w:hAnsi="Times New Roman" w:eastAsia="华文仿宋"/>
      <w:sz w:val="28"/>
    </w:rPr>
  </w:style>
  <w:style w:type="paragraph" w:styleId="1250">
    <w:name w:val="xl190"/>
    <w:basedOn w:val="928"/>
    <w:next w:val="1250"/>
    <w:link w:val="928"/>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51">
    <w:name w:val="xl132"/>
    <w:basedOn w:val="928"/>
    <w:next w:val="1251"/>
    <w:link w:val="92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52">
    <w:name w:val="xl73"/>
    <w:basedOn w:val="928"/>
    <w:next w:val="1252"/>
    <w:link w:val="928"/>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53">
    <w:name w:val="默认段落字体 Para Char Char Char Char Char Char Char Char Char1 Char Char Char Char"/>
    <w:basedOn w:val="928"/>
    <w:next w:val="1253"/>
    <w:link w:val="928"/>
    <w:rPr>
      <w:rFonts w:ascii="Tahoma" w:hAnsi="Tahoma"/>
      <w:szCs w:val="20"/>
    </w:rPr>
  </w:style>
  <w:style w:type="paragraph" w:styleId="1254">
    <w:name w:val="xl171"/>
    <w:basedOn w:val="928"/>
    <w:next w:val="1254"/>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5">
    <w:name w:val="xl121"/>
    <w:basedOn w:val="928"/>
    <w:next w:val="1255"/>
    <w:link w:val="928"/>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56">
    <w:name w:val="xl212"/>
    <w:basedOn w:val="928"/>
    <w:next w:val="125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57">
    <w:name w:val="xl107"/>
    <w:basedOn w:val="928"/>
    <w:next w:val="1257"/>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58">
    <w:name w:val="body_text"/>
    <w:basedOn w:val="928"/>
    <w:next w:val="1258"/>
    <w:link w:val="928"/>
    <w:pPr>
      <w:spacing w:before="100" w:beforeAutospacing="1" w:after="100" w:afterAutospacing="1" w:line="320" w:lineRule="atLeast"/>
      <w:widowControl/>
    </w:pPr>
    <w:rPr>
      <w:rFonts w:ascii="ˎ̥" w:hAnsi="ˎ̥" w:cs="宋体"/>
      <w:sz w:val="20"/>
      <w:szCs w:val="20"/>
    </w:rPr>
  </w:style>
  <w:style w:type="paragraph" w:styleId="1259">
    <w:name w:val="正文L"/>
    <w:basedOn w:val="928"/>
    <w:next w:val="1259"/>
    <w:link w:val="928"/>
    <w:pPr>
      <w:ind w:firstLine="510"/>
      <w:jc w:val="left"/>
      <w:spacing w:line="540" w:lineRule="exact"/>
      <w:tabs>
        <w:tab w:val="left" w:pos="120" w:leader="none"/>
      </w:tabs>
    </w:pPr>
    <w:rPr>
      <w:rFonts w:ascii="仿宋_GB2312" w:hAnsi="Times New Roman" w:eastAsia="仿宋_GB2312"/>
      <w:sz w:val="23"/>
      <w:szCs w:val="20"/>
    </w:rPr>
  </w:style>
  <w:style w:type="paragraph" w:styleId="1260">
    <w:name w:val=" Char Char Char Char1 Char Char Char"/>
    <w:basedOn w:val="959"/>
    <w:next w:val="1260"/>
    <w:link w:val="928"/>
    <w:pPr>
      <w:ind w:firstLine="454"/>
      <w:jc w:val="left"/>
      <w:widowControl/>
    </w:pPr>
    <w:rPr>
      <w:rFonts w:ascii="Tahoma" w:hAnsi="Tahoma" w:cs="宋体"/>
      <w:sz w:val="21"/>
      <w:szCs w:val="20"/>
    </w:rPr>
  </w:style>
  <w:style w:type="paragraph" w:styleId="1261">
    <w:name w:val="style41"/>
    <w:basedOn w:val="928"/>
    <w:next w:val="1261"/>
    <w:link w:val="928"/>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62">
    <w:name w:val="xl204"/>
    <w:basedOn w:val="928"/>
    <w:next w:val="1262"/>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63">
    <w:name w:val="样式 (中文) 黑体 二号 居中"/>
    <w:basedOn w:val="928"/>
    <w:next w:val="1263"/>
    <w:link w:val="928"/>
    <w:pPr>
      <w:jc w:val="center"/>
      <w:widowControl/>
    </w:pPr>
    <w:rPr>
      <w:rFonts w:ascii="Times New Roman" w:hAnsi="Times New Roman" w:eastAsia="黑体"/>
      <w:sz w:val="44"/>
      <w:szCs w:val="20"/>
    </w:rPr>
  </w:style>
  <w:style w:type="paragraph" w:styleId="1264">
    <w:name w:val="正文1"/>
    <w:basedOn w:val="928"/>
    <w:next w:val="1264"/>
    <w:link w:val="928"/>
    <w:pPr>
      <w:ind w:firstLine="540"/>
    </w:pPr>
    <w:rPr>
      <w:rFonts w:ascii="Times New Roman" w:hAnsi="Times New Roman"/>
      <w:szCs w:val="20"/>
    </w:rPr>
  </w:style>
  <w:style w:type="paragraph" w:styleId="1265">
    <w:name w:val="xl183"/>
    <w:basedOn w:val="928"/>
    <w:next w:val="1265"/>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6">
    <w:name w:val="xl118"/>
    <w:basedOn w:val="928"/>
    <w:next w:val="1266"/>
    <w:link w:val="928"/>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67">
    <w:name w:val="章标题"/>
    <w:next w:val="928"/>
    <w:link w:val="928"/>
    <w:pPr>
      <w:numPr>
        <w:ilvl w:val="3"/>
        <w:numId w:val="2"/>
      </w:numPr>
      <w:ind w:left="360"/>
      <w:spacing w:before="50" w:after="50"/>
      <w:outlineLvl w:val="1"/>
    </w:pPr>
    <w:rPr>
      <w:rFonts w:ascii="黑体" w:eastAsia="黑体"/>
      <w:sz w:val="24"/>
      <w:lang w:val="en-US" w:eastAsia="zh-CN" w:bidi="ar-SA"/>
    </w:rPr>
  </w:style>
  <w:style w:type="paragraph" w:styleId="1268">
    <w:name w:val="xl179"/>
    <w:basedOn w:val="928"/>
    <w:next w:val="1268"/>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9">
    <w:name w:val="三级条标题"/>
    <w:basedOn w:val="1270"/>
    <w:next w:val="928"/>
    <w:link w:val="928"/>
    <w:pPr>
      <w:numPr>
        <w:ilvl w:val="6"/>
        <w:numId w:val="2"/>
      </w:numPr>
      <w:outlineLvl w:val="4"/>
    </w:pPr>
  </w:style>
  <w:style w:type="paragraph" w:styleId="1270">
    <w:name w:val="二级条标题"/>
    <w:basedOn w:val="1271"/>
    <w:next w:val="928"/>
    <w:link w:val="928"/>
    <w:pPr>
      <w:numPr>
        <w:ilvl w:val="5"/>
        <w:numId w:val="2"/>
      </w:numPr>
      <w:ind w:left="540"/>
      <w:outlineLvl w:val="3"/>
    </w:pPr>
  </w:style>
  <w:style w:type="paragraph" w:styleId="1271">
    <w:name w:val="一级条标题"/>
    <w:basedOn w:val="1267"/>
    <w:next w:val="928"/>
    <w:link w:val="928"/>
    <w:pPr>
      <w:numPr>
        <w:ilvl w:val="4"/>
        <w:numId w:val="2"/>
      </w:numPr>
      <w:spacing w:before="0" w:after="0"/>
      <w:outlineLvl w:val="2"/>
    </w:pPr>
  </w:style>
  <w:style w:type="paragraph" w:styleId="1272">
    <w:name w:val="四级条标题"/>
    <w:basedOn w:val="1269"/>
    <w:next w:val="928"/>
    <w:link w:val="928"/>
    <w:pPr>
      <w:outlineLvl w:val="5"/>
    </w:pPr>
  </w:style>
  <w:style w:type="paragraph" w:styleId="1273">
    <w:name w:val="五级条标题"/>
    <w:basedOn w:val="1272"/>
    <w:next w:val="928"/>
    <w:link w:val="928"/>
    <w:pPr>
      <w:numPr>
        <w:ilvl w:val="6"/>
        <w:numId w:val="8"/>
      </w:numPr>
      <w:tabs>
        <w:tab w:val="left" w:pos="1276" w:leader="none"/>
      </w:tabs>
      <w:outlineLvl w:val="6"/>
    </w:pPr>
  </w:style>
  <w:style w:type="paragraph" w:styleId="1274">
    <w:name w:val="D正文"/>
    <w:basedOn w:val="1014"/>
    <w:next w:val="1274"/>
    <w:link w:val="928"/>
    <w:pPr>
      <w:ind w:left="0" w:firstLine="200"/>
      <w:spacing w:before="100" w:beforeAutospacing="1" w:after="100" w:afterAutospacing="1"/>
    </w:pPr>
    <w:rPr>
      <w:sz w:val="24"/>
      <w:szCs w:val="24"/>
    </w:rPr>
  </w:style>
  <w:style w:type="paragraph" w:styleId="1275">
    <w:name w:val="xl103"/>
    <w:basedOn w:val="928"/>
    <w:next w:val="1275"/>
    <w:link w:val="928"/>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76">
    <w:name w:val="xl137"/>
    <w:basedOn w:val="928"/>
    <w:next w:val="1276"/>
    <w:link w:val="92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77">
    <w:name w:val="修订记录"/>
    <w:basedOn w:val="928"/>
    <w:next w:val="943"/>
    <w:link w:val="928"/>
    <w:pPr>
      <w:jc w:val="center"/>
    </w:pPr>
    <w:rPr>
      <w:rFonts w:ascii="Arial" w:hAnsi="Arial" w:eastAsia="黑体"/>
      <w:sz w:val="28"/>
    </w:rPr>
  </w:style>
  <w:style w:type="paragraph" w:styleId="1278">
    <w:name w:val="CM51"/>
    <w:basedOn w:val="1085"/>
    <w:next w:val="1085"/>
    <w:link w:val="928"/>
    <w:pPr>
      <w:spacing w:after="103"/>
    </w:pPr>
    <w:rPr>
      <w:rFonts w:ascii="黑体" w:hAnsi="Calibri" w:eastAsia="黑体"/>
      <w:color w:val="000000"/>
    </w:rPr>
  </w:style>
  <w:style w:type="paragraph" w:styleId="1279">
    <w:name w:val="xl96"/>
    <w:basedOn w:val="928"/>
    <w:next w:val="1279"/>
    <w:link w:val="928"/>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80">
    <w:name w:val="Char Char Char Char Char Char Char"/>
    <w:basedOn w:val="928"/>
    <w:next w:val="1280"/>
    <w:link w:val="928"/>
    <w:pPr>
      <w:numPr>
        <w:ilvl w:val="7"/>
        <w:numId w:val="9"/>
      </w:numPr>
      <w:ind w:left="0"/>
    </w:pPr>
    <w:rPr>
      <w:rFonts w:ascii="Tahoma" w:hAnsi="Tahoma"/>
      <w:szCs w:val="20"/>
    </w:rPr>
  </w:style>
  <w:style w:type="paragraph" w:styleId="1281">
    <w:name w:val="z-窗体底端"/>
    <w:basedOn w:val="928"/>
    <w:next w:val="928"/>
    <w:link w:val="928"/>
    <w:pPr>
      <w:jc w:val="center"/>
      <w:widowControl/>
      <w:pBdr>
        <w:top w:val="single" w:color="000000" w:sz="6" w:space="1"/>
      </w:pBdr>
    </w:pPr>
    <w:rPr>
      <w:rFonts w:ascii="Arial" w:hAnsi="Arial" w:cs="Arial"/>
      <w:vanish/>
      <w:sz w:val="16"/>
      <w:szCs w:val="16"/>
    </w:rPr>
  </w:style>
  <w:style w:type="paragraph" w:styleId="1282">
    <w:name w:val="博康文档样式"/>
    <w:basedOn w:val="928"/>
    <w:next w:val="1282"/>
    <w:link w:val="928"/>
    <w:pPr>
      <w:ind w:firstLine="480"/>
      <w:spacing w:line="360" w:lineRule="auto"/>
    </w:pPr>
    <w:rPr>
      <w:rFonts w:ascii="Times New Roman" w:hAnsi="Times New Roman"/>
    </w:rPr>
  </w:style>
  <w:style w:type="paragraph" w:styleId="1283">
    <w:name w:val="TOC 标题"/>
    <w:basedOn w:val="929"/>
    <w:next w:val="928"/>
    <w:link w:val="928"/>
    <w:uiPriority w:val="39"/>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284">
    <w:name w:val="xl150"/>
    <w:basedOn w:val="928"/>
    <w:next w:val="1284"/>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5">
    <w:name w:val="xl123"/>
    <w:basedOn w:val="928"/>
    <w:next w:val="1285"/>
    <w:link w:val="928"/>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86">
    <w:name w:val="HR-18"/>
    <w:basedOn w:val="928"/>
    <w:next w:val="928"/>
    <w:link w:val="928"/>
    <w:pPr>
      <w:jc w:val="left"/>
      <w:widowControl/>
    </w:pPr>
    <w:rPr>
      <w:rFonts w:ascii="Arial" w:hAnsi="Arial"/>
      <w:sz w:val="36"/>
      <w:szCs w:val="20"/>
      <w:lang w:val="en-AU" w:eastAsia="en-US"/>
    </w:rPr>
  </w:style>
  <w:style w:type="paragraph" w:styleId="1287">
    <w:name w:val="xl95"/>
    <w:basedOn w:val="928"/>
    <w:next w:val="1287"/>
    <w:link w:val="928"/>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288">
    <w:name w:val="xl135"/>
    <w:basedOn w:val="928"/>
    <w:next w:val="1288"/>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289">
    <w:name w:val="Char1 Char Char Char"/>
    <w:basedOn w:val="928"/>
    <w:next w:val="1289"/>
    <w:link w:val="928"/>
    <w:rPr>
      <w:rFonts w:ascii="Tahoma" w:hAnsi="Tahoma"/>
      <w:szCs w:val="20"/>
    </w:rPr>
  </w:style>
  <w:style w:type="paragraph" w:styleId="1290">
    <w:name w:val="普通(Web)1"/>
    <w:basedOn w:val="928"/>
    <w:next w:val="1007"/>
    <w:link w:val="928"/>
    <w:pPr>
      <w:jc w:val="left"/>
      <w:spacing w:before="100" w:beforeAutospacing="1" w:after="100" w:afterAutospacing="1"/>
      <w:widowControl/>
    </w:pPr>
    <w:rPr>
      <w:color w:val="000000"/>
    </w:rPr>
  </w:style>
  <w:style w:type="paragraph" w:styleId="1291">
    <w:name w:val="xl203"/>
    <w:basedOn w:val="928"/>
    <w:next w:val="1291"/>
    <w:link w:val="928"/>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292">
    <w:name w:val="表格文字"/>
    <w:basedOn w:val="928"/>
    <w:next w:val="1292"/>
    <w:link w:val="928"/>
    <w:rPr>
      <w:rFonts w:ascii="Times New Roman" w:hAnsi="Times New Roman"/>
      <w:sz w:val="21"/>
    </w:rPr>
  </w:style>
  <w:style w:type="paragraph" w:styleId="1293">
    <w:name w:val="font20"/>
    <w:basedOn w:val="928"/>
    <w:next w:val="1293"/>
    <w:link w:val="928"/>
    <w:pPr>
      <w:jc w:val="left"/>
      <w:spacing w:before="100" w:beforeAutospacing="1" w:after="100" w:afterAutospacing="1"/>
      <w:widowControl/>
    </w:pPr>
    <w:rPr>
      <w:rFonts w:ascii="Times New Roman" w:hAnsi="Times New Roman"/>
      <w:sz w:val="20"/>
      <w:szCs w:val="20"/>
    </w:rPr>
  </w:style>
  <w:style w:type="paragraph" w:styleId="1294">
    <w:name w:val="xl141"/>
    <w:basedOn w:val="928"/>
    <w:next w:val="1294"/>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95">
    <w:name w:val="xl114"/>
    <w:basedOn w:val="928"/>
    <w:next w:val="1295"/>
    <w:link w:val="92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296">
    <w:name w:val="xl200"/>
    <w:basedOn w:val="928"/>
    <w:next w:val="1296"/>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97">
    <w:name w:val="图5"/>
    <w:basedOn w:val="928"/>
    <w:next w:val="1297"/>
    <w:link w:val="928"/>
    <w:pPr>
      <w:jc w:val="center"/>
      <w:spacing w:line="220" w:lineRule="atLeast"/>
    </w:pPr>
    <w:rPr>
      <w:rFonts w:hint="eastAsia" w:ascii="仿宋_GB2312" w:hAnsi="Times New Roman" w:eastAsia="仿宋_GB2312"/>
      <w:sz w:val="21"/>
      <w:szCs w:val="20"/>
    </w:rPr>
  </w:style>
  <w:style w:type="paragraph" w:styleId="1298">
    <w:name w:val="xl78"/>
    <w:basedOn w:val="928"/>
    <w:next w:val="1298"/>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9">
    <w:name w:val="xl93"/>
    <w:basedOn w:val="928"/>
    <w:next w:val="1299"/>
    <w:link w:val="92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00">
    <w:name w:val="插图题注"/>
    <w:next w:val="928"/>
    <w:link w:val="928"/>
    <w:pPr>
      <w:numPr>
        <w:ilvl w:val="7"/>
        <w:numId w:val="6"/>
      </w:numPr>
      <w:jc w:val="center"/>
      <w:spacing w:after="240"/>
      <w:tabs>
        <w:tab w:val="left" w:pos="3360" w:leader="none"/>
      </w:tabs>
    </w:pPr>
    <w:rPr>
      <w:rFonts w:ascii="Arial" w:hAnsi="Arial"/>
      <w:sz w:val="18"/>
      <w:szCs w:val="18"/>
      <w:lang w:val="en-US" w:eastAsia="zh-CN" w:bidi="ar-SA"/>
    </w:rPr>
  </w:style>
  <w:style w:type="paragraph" w:styleId="1301">
    <w:name w:val="xl199"/>
    <w:basedOn w:val="928"/>
    <w:next w:val="1301"/>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02">
    <w:name w:val="font19"/>
    <w:basedOn w:val="928"/>
    <w:next w:val="1302"/>
    <w:link w:val="928"/>
    <w:pPr>
      <w:jc w:val="left"/>
      <w:spacing w:before="100" w:beforeAutospacing="1" w:after="100" w:afterAutospacing="1"/>
      <w:widowControl/>
    </w:pPr>
    <w:rPr>
      <w:rFonts w:cs="宋体"/>
      <w:b/>
      <w:bCs/>
      <w:sz w:val="18"/>
      <w:szCs w:val="18"/>
    </w:rPr>
  </w:style>
  <w:style w:type="paragraph" w:styleId="1303">
    <w:name w:val="xl69"/>
    <w:basedOn w:val="928"/>
    <w:next w:val="1303"/>
    <w:link w:val="92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04">
    <w:name w:val="font6"/>
    <w:basedOn w:val="928"/>
    <w:next w:val="1304"/>
    <w:link w:val="928"/>
    <w:pPr>
      <w:jc w:val="left"/>
      <w:spacing w:before="100" w:beforeAutospacing="1" w:after="100" w:afterAutospacing="1"/>
      <w:widowControl/>
    </w:pPr>
    <w:rPr>
      <w:rFonts w:cs="宋体"/>
      <w:sz w:val="18"/>
      <w:szCs w:val="18"/>
    </w:rPr>
  </w:style>
  <w:style w:type="paragraph" w:styleId="1305">
    <w:name w:val="Plain Text1"/>
    <w:basedOn w:val="928"/>
    <w:next w:val="1305"/>
    <w:link w:val="928"/>
    <w:rPr>
      <w:rFonts w:hAnsi="Courier New" w:eastAsia="楷体_GB2312"/>
      <w:sz w:val="28"/>
      <w:szCs w:val="20"/>
    </w:rPr>
  </w:style>
  <w:style w:type="paragraph" w:styleId="1306">
    <w:name w:val="xl100"/>
    <w:basedOn w:val="928"/>
    <w:next w:val="1306"/>
    <w:link w:val="928"/>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07">
    <w:name w:val="xl167"/>
    <w:basedOn w:val="928"/>
    <w:next w:val="1307"/>
    <w:link w:val="92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08">
    <w:name w:val="缺省文本"/>
    <w:basedOn w:val="928"/>
    <w:next w:val="1308"/>
    <w:link w:val="928"/>
    <w:pPr>
      <w:jc w:val="left"/>
      <w:spacing w:line="360" w:lineRule="auto"/>
    </w:pPr>
    <w:rPr>
      <w:rFonts w:ascii="Times New Roman" w:hAnsi="Times New Roman"/>
      <w:sz w:val="21"/>
      <w:szCs w:val="20"/>
    </w:rPr>
  </w:style>
  <w:style w:type="paragraph" w:styleId="1309">
    <w:name w:val="样式 段 + 四号 首行缩进:  2 字符 行距: 1.5 倍行距"/>
    <w:basedOn w:val="928"/>
    <w:next w:val="1309"/>
    <w:link w:val="928"/>
    <w:pPr>
      <w:ind w:firstLine="560"/>
      <w:spacing w:line="360" w:lineRule="auto"/>
      <w:widowControl/>
    </w:pPr>
    <w:rPr>
      <w:rFonts w:hAnsi="Times New Roman" w:cs="宋体"/>
      <w:szCs w:val="20"/>
    </w:rPr>
  </w:style>
  <w:style w:type="paragraph" w:styleId="1310">
    <w:name w:val="xl120"/>
    <w:basedOn w:val="928"/>
    <w:next w:val="1310"/>
    <w:link w:val="92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11">
    <w:name w:val="xl131"/>
    <w:basedOn w:val="928"/>
    <w:next w:val="1311"/>
    <w:link w:val="928"/>
    <w:pPr>
      <w:jc w:val="left"/>
      <w:spacing w:before="100" w:beforeAutospacing="1" w:after="100" w:afterAutospacing="1"/>
      <w:widowControl/>
    </w:pPr>
    <w:rPr>
      <w:rFonts w:cs="宋体"/>
      <w:sz w:val="18"/>
      <w:szCs w:val="18"/>
    </w:rPr>
  </w:style>
  <w:style w:type="paragraph" w:styleId="1312">
    <w:name w:val="xl152"/>
    <w:basedOn w:val="928"/>
    <w:next w:val="1312"/>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13">
    <w:name w:val="5B"/>
    <w:next w:val="1313"/>
    <w:link w:val="928"/>
    <w:pPr>
      <w:jc w:val="both"/>
      <w:widowControl w:val="off"/>
    </w:pPr>
    <w:rPr>
      <w:rFonts w:ascii="宋体"/>
      <w:color w:val="000000"/>
      <w:sz w:val="18"/>
      <w:szCs w:val="18"/>
      <w:lang w:val="en-US" w:eastAsia="zh-CN" w:bidi="ar-SA"/>
    </w:rPr>
  </w:style>
  <w:style w:type="paragraph" w:styleId="1314">
    <w:name w:val="font22"/>
    <w:basedOn w:val="928"/>
    <w:next w:val="1314"/>
    <w:link w:val="928"/>
    <w:pPr>
      <w:jc w:val="left"/>
      <w:spacing w:before="100" w:beforeAutospacing="1" w:after="100" w:afterAutospacing="1"/>
      <w:widowControl/>
    </w:pPr>
    <w:rPr>
      <w:rFonts w:cs="宋体"/>
      <w:sz w:val="18"/>
      <w:szCs w:val="18"/>
    </w:rPr>
  </w:style>
  <w:style w:type="paragraph" w:styleId="1315">
    <w:name w:val="Plain Text"/>
    <w:basedOn w:val="928"/>
    <w:next w:val="1315"/>
    <w:link w:val="928"/>
    <w:qFormat/>
    <w:rPr>
      <w:rFonts w:hAnsi="Courier New" w:eastAsia="楷体_GB2312"/>
      <w:sz w:val="26"/>
      <w:szCs w:val="20"/>
    </w:rPr>
  </w:style>
  <w:style w:type="paragraph" w:styleId="1316">
    <w:name w:val="xl99"/>
    <w:basedOn w:val="928"/>
    <w:next w:val="1316"/>
    <w:link w:val="92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17">
    <w:name w:val="xl154"/>
    <w:basedOn w:val="928"/>
    <w:next w:val="1317"/>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8">
    <w:name w:val="xl84"/>
    <w:basedOn w:val="928"/>
    <w:next w:val="1318"/>
    <w:link w:val="928"/>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19">
    <w:name w:val="xl174"/>
    <w:basedOn w:val="928"/>
    <w:next w:val="1319"/>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0">
    <w:name w:val="a4"/>
    <w:basedOn w:val="928"/>
    <w:next w:val="1320"/>
    <w:link w:val="928"/>
    <w:pPr>
      <w:jc w:val="left"/>
      <w:spacing w:before="100" w:beforeAutospacing="1" w:after="100" w:afterAutospacing="1"/>
      <w:widowControl/>
    </w:pPr>
    <w:rPr>
      <w:color w:val="666666"/>
      <w:sz w:val="20"/>
      <w:szCs w:val="20"/>
    </w:rPr>
  </w:style>
  <w:style w:type="paragraph" w:styleId="1321">
    <w:name w:val="正文 New"/>
    <w:next w:val="1321"/>
    <w:link w:val="928"/>
    <w:qFormat/>
    <w:pPr>
      <w:jc w:val="both"/>
      <w:widowControl w:val="off"/>
    </w:pPr>
    <w:rPr>
      <w:rFonts w:ascii="宋体" w:hAnsi="宋体" w:cs="宋体"/>
      <w:sz w:val="21"/>
      <w:szCs w:val="24"/>
      <w:lang w:val="en-US" w:eastAsia="zh-CN" w:bidi="ar-SA"/>
    </w:rPr>
  </w:style>
  <w:style w:type="paragraph" w:styleId="1322">
    <w:name w:val="xl194"/>
    <w:basedOn w:val="928"/>
    <w:next w:val="1322"/>
    <w:link w:val="928"/>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23">
    <w:name w:val="前言、引言标题"/>
    <w:next w:val="928"/>
    <w:link w:val="928"/>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324">
    <w:name w:val="font5"/>
    <w:basedOn w:val="928"/>
    <w:next w:val="1324"/>
    <w:link w:val="928"/>
    <w:pPr>
      <w:jc w:val="left"/>
      <w:spacing w:before="100" w:beforeAutospacing="1" w:after="100" w:afterAutospacing="1"/>
      <w:widowControl/>
    </w:pPr>
    <w:rPr>
      <w:rFonts w:cs="宋体"/>
      <w:sz w:val="18"/>
      <w:szCs w:val="18"/>
    </w:rPr>
  </w:style>
  <w:style w:type="paragraph" w:styleId="1325">
    <w:name w:val="xl164"/>
    <w:basedOn w:val="928"/>
    <w:next w:val="1325"/>
    <w:link w:val="928"/>
    <w:pPr>
      <w:jc w:val="left"/>
      <w:spacing w:before="100" w:beforeAutospacing="1" w:after="100" w:afterAutospacing="1"/>
      <w:widowControl/>
    </w:pPr>
    <w:rPr>
      <w:rFonts w:ascii="Courier New" w:hAnsi="Courier New" w:cs="Courier New"/>
    </w:rPr>
  </w:style>
  <w:style w:type="paragraph" w:styleId="1326">
    <w:name w:val="P1"/>
    <w:next w:val="1326"/>
    <w:link w:val="928"/>
    <w:pPr>
      <w:ind w:left="2304" w:hanging="576"/>
      <w:jc w:val="both"/>
      <w:spacing w:after="240" w:line="0" w:lineRule="atLeast"/>
      <w:widowControl w:val="off"/>
    </w:pPr>
    <w:rPr>
      <w:rFonts w:eastAsia="全真中明體"/>
      <w:spacing w:val="30"/>
      <w:sz w:val="24"/>
      <w:lang w:val="en-GB" w:eastAsia="zh-TW" w:bidi="ar-SA"/>
    </w:rPr>
  </w:style>
  <w:style w:type="paragraph" w:styleId="1327">
    <w:name w:val="定货2"/>
    <w:next w:val="1327"/>
    <w:link w:val="928"/>
    <w:pPr>
      <w:jc w:val="both"/>
      <w:spacing w:line="230" w:lineRule="atLeast"/>
      <w:widowControl w:val="off"/>
    </w:pPr>
    <w:rPr>
      <w:rFonts w:ascii="宋体"/>
      <w:sz w:val="18"/>
      <w:szCs w:val="18"/>
      <w:lang w:val="en-US" w:eastAsia="zh-CN" w:bidi="ar-SA"/>
    </w:rPr>
  </w:style>
  <w:style w:type="paragraph" w:styleId="1328">
    <w:name w:val="xl94"/>
    <w:basedOn w:val="928"/>
    <w:next w:val="1328"/>
    <w:link w:val="92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29">
    <w:name w:val="xl80"/>
    <w:basedOn w:val="928"/>
    <w:next w:val="1329"/>
    <w:link w:val="928"/>
    <w:pPr>
      <w:jc w:val="left"/>
      <w:spacing w:before="100" w:beforeAutospacing="1" w:after="100" w:afterAutospacing="1"/>
      <w:widowControl/>
    </w:pPr>
    <w:rPr>
      <w:rFonts w:ascii="微软雅黑" w:hAnsi="微软雅黑" w:eastAsia="微软雅黑" w:cs="宋体"/>
      <w:sz w:val="20"/>
      <w:szCs w:val="20"/>
    </w:rPr>
  </w:style>
  <w:style w:type="paragraph" w:styleId="1330">
    <w:name w:val="P3"/>
    <w:next w:val="1330"/>
    <w:link w:val="928"/>
    <w:pPr>
      <w:ind w:left="2880" w:hanging="576"/>
      <w:jc w:val="both"/>
      <w:spacing w:after="240" w:line="0" w:lineRule="atLeast"/>
      <w:widowControl w:val="off"/>
    </w:pPr>
    <w:rPr>
      <w:rFonts w:eastAsia="全真中明體"/>
      <w:spacing w:val="30"/>
      <w:sz w:val="24"/>
      <w:lang w:val="en-GB" w:eastAsia="zh-TW" w:bidi="ar-SA"/>
    </w:rPr>
  </w:style>
  <w:style w:type="paragraph" w:styleId="1331">
    <w:name w:val="说明"/>
    <w:basedOn w:val="1332"/>
    <w:next w:val="1123"/>
    <w:link w:val="928"/>
    <w:pPr>
      <w:numPr>
        <w:ilvl w:val="0"/>
        <w:numId w:val="11"/>
      </w:numPr>
      <w:shd w:val="clear" w:color="auto" w:fill="ffffaf"/>
      <w:tabs>
        <w:tab w:val="left" w:pos="425" w:leader="none"/>
      </w:tabs>
    </w:pPr>
  </w:style>
  <w:style w:type="paragraph" w:styleId="1332">
    <w:name w:val="建议"/>
    <w:basedOn w:val="1123"/>
    <w:next w:val="1123"/>
    <w:link w:val="928"/>
    <w:pPr>
      <w:numPr>
        <w:ilvl w:val="0"/>
        <w:numId w:val="10"/>
      </w:numPr>
      <w:ind w:left="425" w:hanging="425"/>
      <w:spacing w:before="312" w:after="312"/>
      <w:shd w:val="clear" w:color="auto" w:fill="d1ffd1"/>
      <w:tabs>
        <w:tab w:val="left" w:pos="425" w:leader="none"/>
      </w:tabs>
    </w:pPr>
    <w:rPr>
      <w:rFonts w:eastAsia="楷体_GB2312"/>
    </w:rPr>
  </w:style>
  <w:style w:type="paragraph" w:styleId="1333">
    <w:name w:val="xl157"/>
    <w:basedOn w:val="928"/>
    <w:next w:val="1333"/>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4">
    <w:name w:val="style79"/>
    <w:basedOn w:val="928"/>
    <w:next w:val="1334"/>
    <w:link w:val="928"/>
    <w:pPr>
      <w:jc w:val="left"/>
      <w:spacing w:before="100" w:beforeAutospacing="1" w:after="100" w:afterAutospacing="1"/>
      <w:widowControl/>
    </w:pPr>
    <w:rPr>
      <w:rFonts w:ascii="Arial Unicode MS" w:hAnsi="Arial Unicode MS" w:eastAsia="Arial Unicode MS" w:cs="Arial Unicode MS"/>
    </w:rPr>
  </w:style>
  <w:style w:type="paragraph" w:styleId="1335">
    <w:name w:val="符号列表"/>
    <w:basedOn w:val="928"/>
    <w:next w:val="1335"/>
    <w:link w:val="928"/>
    <w:uiPriority w:val="34"/>
    <w:qFormat/>
    <w:pPr>
      <w:ind w:left="420" w:hanging="420"/>
      <w:spacing w:line="440" w:lineRule="exact"/>
      <w:tabs>
        <w:tab w:val="left" w:pos="420" w:leader="none"/>
      </w:tabs>
    </w:pPr>
    <w:rPr>
      <w:rFonts w:ascii="Times New Roman" w:hAnsi="Times New Roman"/>
      <w:szCs w:val="20"/>
    </w:rPr>
  </w:style>
  <w:style w:type="paragraph" w:styleId="1336">
    <w:name w:val="xl159"/>
    <w:basedOn w:val="928"/>
    <w:next w:val="133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37">
    <w:name w:val="xl211"/>
    <w:basedOn w:val="928"/>
    <w:next w:val="1337"/>
    <w:link w:val="928"/>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38">
    <w:name w:val="正文格式"/>
    <w:basedOn w:val="928"/>
    <w:next w:val="1338"/>
    <w:link w:val="928"/>
    <w:pPr>
      <w:ind w:firstLine="480"/>
      <w:jc w:val="left"/>
      <w:spacing w:line="360" w:lineRule="auto"/>
      <w:widowControl/>
    </w:pPr>
    <w:rPr>
      <w:bCs/>
      <w:color w:val="000000"/>
    </w:rPr>
  </w:style>
  <w:style w:type="paragraph" w:styleId="1339">
    <w:name w:val="正文0"/>
    <w:basedOn w:val="928"/>
    <w:next w:val="1339"/>
    <w:link w:val="928"/>
    <w:pPr>
      <w:ind w:left="215" w:firstLine="431"/>
      <w:spacing w:before="120" w:line="360" w:lineRule="auto"/>
    </w:pPr>
    <w:rPr>
      <w:rFonts w:ascii="Times New Roman" w:hAnsi="Times New Roman"/>
      <w:szCs w:val="20"/>
    </w:rPr>
  </w:style>
  <w:style w:type="paragraph" w:styleId="1340">
    <w:name w:val="警告"/>
    <w:basedOn w:val="1332"/>
    <w:next w:val="1123"/>
    <w:link w:val="928"/>
    <w:pPr>
      <w:shd w:val="clear" w:color="auto" w:fill="ffd1d1"/>
      <w:tabs>
        <w:tab w:val="left" w:pos="425" w:leader="none"/>
      </w:tabs>
    </w:pPr>
  </w:style>
  <w:style w:type="paragraph" w:styleId="1341">
    <w:name w:val="Char4"/>
    <w:basedOn w:val="928"/>
    <w:next w:val="1341"/>
    <w:link w:val="928"/>
    <w:pPr>
      <w:jc w:val="left"/>
      <w:spacing w:after="160" w:line="240" w:lineRule="exact"/>
      <w:widowControl/>
    </w:pPr>
    <w:rPr>
      <w:rFonts w:ascii="Verdana" w:hAnsi="Verdana"/>
      <w:sz w:val="21"/>
      <w:szCs w:val="20"/>
      <w:lang w:eastAsia="en-US"/>
    </w:rPr>
  </w:style>
  <w:style w:type="paragraph" w:styleId="1342">
    <w:name w:val="xl109"/>
    <w:basedOn w:val="928"/>
    <w:next w:val="1342"/>
    <w:link w:val="928"/>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43">
    <w:name w:val=" Char Char Char"/>
    <w:basedOn w:val="928"/>
    <w:next w:val="1343"/>
    <w:link w:val="928"/>
    <w:pPr>
      <w:ind w:left="720" w:hanging="720"/>
      <w:tabs>
        <w:tab w:val="left" w:pos="720" w:leader="none"/>
      </w:tabs>
    </w:pPr>
    <w:rPr>
      <w:rFonts w:ascii="Times New Roman" w:hAnsi="Times New Roman"/>
    </w:rPr>
  </w:style>
  <w:style w:type="paragraph" w:styleId="1344">
    <w:name w:val="font25"/>
    <w:basedOn w:val="928"/>
    <w:next w:val="1344"/>
    <w:link w:val="928"/>
    <w:pPr>
      <w:jc w:val="left"/>
      <w:spacing w:before="100" w:beforeAutospacing="1" w:after="100" w:afterAutospacing="1"/>
      <w:widowControl/>
    </w:pPr>
    <w:rPr>
      <w:rFonts w:cs="宋体"/>
      <w:sz w:val="18"/>
      <w:szCs w:val="18"/>
    </w:rPr>
  </w:style>
  <w:style w:type="paragraph" w:styleId="1345">
    <w:name w:val="font14"/>
    <w:basedOn w:val="928"/>
    <w:next w:val="1345"/>
    <w:link w:val="928"/>
    <w:pPr>
      <w:jc w:val="left"/>
      <w:spacing w:before="100" w:beforeAutospacing="1" w:after="100" w:afterAutospacing="1"/>
      <w:widowControl/>
    </w:pPr>
    <w:rPr>
      <w:rFonts w:cs="宋体"/>
      <w:b/>
      <w:bCs/>
      <w:sz w:val="18"/>
      <w:szCs w:val="18"/>
    </w:rPr>
  </w:style>
  <w:style w:type="paragraph" w:styleId="1346">
    <w:name w:val="xl115"/>
    <w:basedOn w:val="928"/>
    <w:next w:val="1346"/>
    <w:link w:val="928"/>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47">
    <w:name w:val="text"/>
    <w:basedOn w:val="928"/>
    <w:next w:val="1347"/>
    <w:link w:val="928"/>
    <w:pPr>
      <w:jc w:val="left"/>
      <w:spacing w:before="100" w:beforeAutospacing="1" w:after="100" w:afterAutospacing="1"/>
      <w:widowControl/>
    </w:pPr>
    <w:rPr>
      <w:rFonts w:ascii="ˎ̥" w:hAnsi="ˎ̥" w:cs="宋体"/>
      <w:color w:val="000000"/>
      <w:sz w:val="18"/>
      <w:szCs w:val="18"/>
    </w:rPr>
  </w:style>
  <w:style w:type="paragraph" w:styleId="1348">
    <w:name w:val="项目介绍"/>
    <w:basedOn w:val="928"/>
    <w:next w:val="1348"/>
    <w:link w:val="928"/>
    <w:pPr>
      <w:jc w:val="left"/>
      <w:widowControl/>
      <w:tabs>
        <w:tab w:val="left" w:pos="5000" w:leader="none"/>
        <w:tab w:val="left" w:pos="5600" w:leader="none"/>
      </w:tabs>
    </w:pPr>
    <w:rPr>
      <w:rFonts w:ascii="Times New Roman" w:hAnsi="Times New Roman" w:eastAsia="楷体_GB2312"/>
      <w:szCs w:val="20"/>
    </w:rPr>
  </w:style>
  <w:style w:type="paragraph" w:styleId="1349">
    <w:name w:val="font13"/>
    <w:basedOn w:val="928"/>
    <w:next w:val="1349"/>
    <w:link w:val="928"/>
    <w:pPr>
      <w:jc w:val="left"/>
      <w:spacing w:before="100" w:beforeAutospacing="1" w:after="100" w:afterAutospacing="1"/>
      <w:widowControl/>
    </w:pPr>
    <w:rPr>
      <w:rFonts w:cs="宋体"/>
      <w:sz w:val="18"/>
      <w:szCs w:val="18"/>
    </w:rPr>
  </w:style>
  <w:style w:type="paragraph" w:styleId="1350">
    <w:name w:val="并列"/>
    <w:basedOn w:val="928"/>
    <w:next w:val="1350"/>
    <w:link w:val="928"/>
    <w:pPr>
      <w:numPr>
        <w:ilvl w:val="0"/>
        <w:numId w:val="12"/>
      </w:numPr>
      <w:spacing w:line="440" w:lineRule="exact"/>
      <w:tabs>
        <w:tab w:val="left" w:pos="482" w:leader="none"/>
      </w:tabs>
      <w:outlineLvl w:val="8"/>
    </w:pPr>
    <w:rPr>
      <w:rFonts w:ascii="Times New Roman" w:hAnsi="Times New Roman"/>
    </w:rPr>
  </w:style>
  <w:style w:type="paragraph" w:styleId="1351">
    <w:name w:val="Char Char Char Char"/>
    <w:basedOn w:val="959"/>
    <w:next w:val="1351"/>
    <w:link w:val="928"/>
    <w:pPr>
      <w:spacing w:line="360" w:lineRule="auto"/>
    </w:pPr>
    <w:rPr>
      <w:rFonts w:ascii="Tahoma" w:hAnsi="Tahoma"/>
    </w:rPr>
  </w:style>
  <w:style w:type="paragraph" w:styleId="1352">
    <w:name w:val="目  录"/>
    <w:basedOn w:val="928"/>
    <w:next w:val="989"/>
    <w:link w:val="928"/>
    <w:pPr>
      <w:ind w:left="200"/>
      <w:jc w:val="center"/>
      <w:spacing w:before="50" w:after="50"/>
      <w:widowControl/>
    </w:pPr>
    <w:rPr>
      <w:rFonts w:ascii="Times New Roman" w:hAnsi="Times New Roman" w:eastAsia="黑体"/>
      <w:sz w:val="32"/>
      <w:szCs w:val="18"/>
    </w:rPr>
  </w:style>
  <w:style w:type="paragraph" w:styleId="1353">
    <w:name w:val="xl72"/>
    <w:basedOn w:val="928"/>
    <w:next w:val="1353"/>
    <w:link w:val="92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54">
    <w:name w:val="8"/>
    <w:next w:val="1354"/>
    <w:link w:val="928"/>
    <w:pPr>
      <w:jc w:val="right"/>
      <w:spacing w:line="240" w:lineRule="atLeast"/>
      <w:widowControl w:val="off"/>
    </w:pPr>
    <w:rPr>
      <w:rFonts w:ascii="宋体"/>
      <w:sz w:val="18"/>
      <w:szCs w:val="18"/>
      <w:lang w:val="en-US" w:eastAsia="zh-CN" w:bidi="ar-SA"/>
    </w:rPr>
  </w:style>
  <w:style w:type="paragraph" w:styleId="1355">
    <w:name w:val="xl148"/>
    <w:basedOn w:val="928"/>
    <w:next w:val="1355"/>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56">
    <w:name w:val="xl172"/>
    <w:basedOn w:val="928"/>
    <w:next w:val="135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7">
    <w:name w:val="xl168"/>
    <w:basedOn w:val="928"/>
    <w:next w:val="1357"/>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8">
    <w:name w:val="xl151"/>
    <w:basedOn w:val="928"/>
    <w:next w:val="1358"/>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59">
    <w:name w:val="无间隔"/>
    <w:next w:val="1359"/>
    <w:link w:val="928"/>
    <w:uiPriority w:val="1"/>
    <w:qFormat/>
    <w:pPr>
      <w:jc w:val="both"/>
      <w:widowControl w:val="off"/>
    </w:pPr>
    <w:rPr>
      <w:sz w:val="24"/>
      <w:szCs w:val="24"/>
      <w:lang w:val="en-US" w:eastAsia="zh-CN" w:bidi="ar-SA"/>
    </w:rPr>
  </w:style>
  <w:style w:type="paragraph" w:styleId="1360">
    <w:name w:val="font8"/>
    <w:basedOn w:val="928"/>
    <w:next w:val="1360"/>
    <w:link w:val="928"/>
    <w:pPr>
      <w:jc w:val="left"/>
      <w:spacing w:before="100" w:beforeAutospacing="1" w:after="100" w:afterAutospacing="1"/>
      <w:widowControl/>
    </w:pPr>
    <w:rPr>
      <w:rFonts w:ascii="微软雅黑" w:eastAsia="微软雅黑" w:cs="宋体"/>
      <w:sz w:val="18"/>
      <w:szCs w:val="18"/>
    </w:rPr>
  </w:style>
  <w:style w:type="paragraph" w:styleId="1361">
    <w:name w:val="xl98"/>
    <w:basedOn w:val="928"/>
    <w:next w:val="1361"/>
    <w:link w:val="92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62">
    <w:name w:val="xl146"/>
    <w:basedOn w:val="928"/>
    <w:next w:val="1362"/>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63">
    <w:name w:val=" Char"/>
    <w:basedOn w:val="959"/>
    <w:next w:val="1363"/>
    <w:link w:val="928"/>
    <w:pPr>
      <w:spacing w:line="360" w:lineRule="auto"/>
    </w:pPr>
    <w:rPr>
      <w:rFonts w:ascii="Tahoma" w:hAnsi="Tahoma"/>
    </w:rPr>
  </w:style>
  <w:style w:type="paragraph" w:styleId="1364">
    <w:name w:val="jwm12"/>
    <w:basedOn w:val="928"/>
    <w:next w:val="1364"/>
    <w:link w:val="928"/>
    <w:pPr>
      <w:jc w:val="left"/>
      <w:spacing w:before="100" w:beforeAutospacing="1" w:after="100" w:afterAutospacing="1"/>
      <w:widowControl/>
    </w:pPr>
    <w:rPr>
      <w:rFonts w:cs="宋体"/>
    </w:rPr>
  </w:style>
  <w:style w:type="paragraph" w:styleId="1365">
    <w:name w:val="Figure"/>
    <w:basedOn w:val="928"/>
    <w:next w:val="928"/>
    <w:link w:val="928"/>
    <w:pPr>
      <w:ind w:left="200"/>
      <w:jc w:val="center"/>
      <w:keepLines/>
      <w:keepNext/>
      <w:widowControl/>
    </w:pPr>
    <w:rPr>
      <w:rFonts w:ascii="Times New Roman" w:hAnsi="Times New Roman"/>
      <w:sz w:val="21"/>
      <w:szCs w:val="18"/>
    </w:rPr>
  </w:style>
  <w:style w:type="paragraph" w:styleId="1366">
    <w:name w:val="汉议细等线简8"/>
    <w:next w:val="1366"/>
    <w:link w:val="928"/>
    <w:pPr>
      <w:jc w:val="both"/>
      <w:spacing w:line="260" w:lineRule="atLeast"/>
      <w:widowControl w:val="off"/>
    </w:pPr>
    <w:rPr>
      <w:rFonts w:ascii="汉仪细等线简" w:eastAsia="汉仪细等线简"/>
      <w:color w:val="000000"/>
      <w:sz w:val="16"/>
      <w:szCs w:val="16"/>
      <w:lang w:val="en-US" w:eastAsia="zh-CN" w:bidi="ar-SA"/>
    </w:rPr>
  </w:style>
  <w:style w:type="paragraph" w:styleId="1367">
    <w:name w:val="Figure Description"/>
    <w:basedOn w:val="1365"/>
    <w:next w:val="943"/>
    <w:link w:val="928"/>
    <w:pPr>
      <w:numPr>
        <w:ilvl w:val="4"/>
        <w:numId w:val="6"/>
      </w:numPr>
      <w:spacing w:after="50"/>
      <w:tabs>
        <w:tab w:val="left" w:pos="2100" w:leader="none"/>
      </w:tabs>
    </w:pPr>
    <w:rPr>
      <w:sz w:val="18"/>
    </w:rPr>
  </w:style>
  <w:style w:type="paragraph" w:styleId="1368">
    <w:name w:val="xl163"/>
    <w:basedOn w:val="928"/>
    <w:next w:val="1368"/>
    <w:link w:val="928"/>
    <w:pPr>
      <w:jc w:val="left"/>
      <w:spacing w:before="100" w:beforeAutospacing="1" w:after="100" w:afterAutospacing="1"/>
      <w:widowControl/>
    </w:pPr>
    <w:rPr>
      <w:rFonts w:ascii="Courier New" w:hAnsi="Courier New" w:cs="Courier New"/>
    </w:rPr>
  </w:style>
  <w:style w:type="paragraph" w:styleId="1369">
    <w:name w:val="表格 居中"/>
    <w:basedOn w:val="928"/>
    <w:next w:val="1369"/>
    <w:link w:val="928"/>
    <w:pPr>
      <w:jc w:val="center"/>
    </w:pPr>
    <w:rPr>
      <w:rFonts w:ascii="Times New Roman" w:hAnsi="Times New Roman"/>
      <w:sz w:val="21"/>
      <w:szCs w:val="20"/>
    </w:rPr>
  </w:style>
  <w:style w:type="paragraph" w:styleId="1370">
    <w:name w:val="xl209"/>
    <w:basedOn w:val="928"/>
    <w:next w:val="1370"/>
    <w:link w:val="928"/>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71">
    <w:name w:val="xl142"/>
    <w:basedOn w:val="928"/>
    <w:next w:val="1371"/>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2">
    <w:name w:val="正文3"/>
    <w:basedOn w:val="928"/>
    <w:next w:val="1372"/>
    <w:link w:val="928"/>
    <w:pPr>
      <w:ind w:left="420" w:hanging="420"/>
      <w:spacing w:before="120" w:line="300" w:lineRule="auto"/>
      <w:tabs>
        <w:tab w:val="left" w:pos="420" w:leader="none"/>
      </w:tabs>
    </w:pPr>
    <w:rPr>
      <w:rFonts w:hAnsi="Arial"/>
      <w:szCs w:val="20"/>
    </w:rPr>
  </w:style>
  <w:style w:type="paragraph" w:styleId="1373">
    <w:name w:val="正文缩进1"/>
    <w:basedOn w:val="928"/>
    <w:next w:val="1373"/>
    <w:link w:val="928"/>
    <w:pPr>
      <w:ind w:firstLine="420"/>
      <w:jc w:val="left"/>
    </w:pPr>
    <w:rPr>
      <w:rFonts w:eastAsia="楷体_GB2312"/>
      <w:szCs w:val="21"/>
    </w:rPr>
  </w:style>
  <w:style w:type="paragraph" w:styleId="1374">
    <w:name w:val="条例"/>
    <w:basedOn w:val="928"/>
    <w:next w:val="1374"/>
    <w:link w:val="928"/>
    <w:pPr>
      <w:ind w:left="2" w:right="210" w:firstLine="2"/>
      <w:keepLines/>
      <w:spacing w:line="320" w:lineRule="exact"/>
      <w:widowControl/>
    </w:pPr>
    <w:rPr>
      <w:szCs w:val="20"/>
    </w:rPr>
  </w:style>
  <w:style w:type="paragraph" w:styleId="1375">
    <w:name w:val="xl68"/>
    <w:basedOn w:val="928"/>
    <w:next w:val="1375"/>
    <w:link w:val="92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76">
    <w:name w:val="Char1"/>
    <w:basedOn w:val="928"/>
    <w:next w:val="1376"/>
    <w:link w:val="928"/>
    <w:pPr>
      <w:jc w:val="left"/>
      <w:spacing w:after="160" w:line="240" w:lineRule="exact"/>
      <w:widowControl/>
    </w:pPr>
    <w:rPr>
      <w:rFonts w:ascii="Times New Roman" w:hAnsi="Times New Roman"/>
      <w:sz w:val="21"/>
    </w:rPr>
  </w:style>
  <w:style w:type="paragraph" w:styleId="1377">
    <w:name w:val="afont"/>
    <w:basedOn w:val="928"/>
    <w:next w:val="1377"/>
    <w:link w:val="928"/>
    <w:pPr>
      <w:jc w:val="left"/>
      <w:spacing w:before="100" w:after="100" w:line="285" w:lineRule="atLeast"/>
      <w:widowControl/>
    </w:pPr>
    <w:rPr>
      <w:sz w:val="18"/>
      <w:szCs w:val="20"/>
    </w:rPr>
  </w:style>
  <w:style w:type="paragraph" w:styleId="1378">
    <w:name w:val="小标题"/>
    <w:basedOn w:val="1264"/>
    <w:next w:val="1264"/>
    <w:link w:val="928"/>
    <w:pPr>
      <w:ind w:firstLine="0"/>
      <w:spacing w:line="360" w:lineRule="auto"/>
    </w:pPr>
    <w:rPr>
      <w:rFonts w:ascii="宋体" w:hAnsi="宋体"/>
      <w:b/>
      <w:bCs/>
      <w:color w:val="000000"/>
      <w:szCs w:val="32"/>
    </w:rPr>
  </w:style>
  <w:style w:type="paragraph" w:styleId="1379">
    <w:name w:val="xl153"/>
    <w:basedOn w:val="928"/>
    <w:next w:val="1379"/>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0">
    <w:name w:val="正文段"/>
    <w:basedOn w:val="928"/>
    <w:next w:val="1380"/>
    <w:link w:val="928"/>
    <w:pPr>
      <w:ind w:firstLine="454"/>
      <w:spacing w:after="240" w:line="240" w:lineRule="atLeast"/>
      <w:widowControl/>
    </w:pPr>
    <w:rPr>
      <w:rFonts w:hAnsi="Times New Roman"/>
      <w:szCs w:val="20"/>
    </w:rPr>
  </w:style>
  <w:style w:type="paragraph" w:styleId="1381">
    <w:name w:val="xl188"/>
    <w:basedOn w:val="928"/>
    <w:next w:val="1381"/>
    <w:link w:val="928"/>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82">
    <w:name w:val="纯文本3"/>
    <w:basedOn w:val="928"/>
    <w:next w:val="1382"/>
    <w:link w:val="928"/>
    <w:qFormat/>
    <w:rPr>
      <w:rFonts w:hAnsi="Courier New" w:eastAsia="楷体_GB2312"/>
      <w:sz w:val="28"/>
      <w:szCs w:val="20"/>
    </w:rPr>
  </w:style>
  <w:style w:type="paragraph" w:styleId="1383">
    <w:name w:val="xl64"/>
    <w:basedOn w:val="928"/>
    <w:next w:val="1383"/>
    <w:link w:val="92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84">
    <w:name w:val="xl170"/>
    <w:basedOn w:val="928"/>
    <w:next w:val="1384"/>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5">
    <w:name w:val="xl217"/>
    <w:basedOn w:val="928"/>
    <w:next w:val="1385"/>
    <w:link w:val="928"/>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86">
    <w:name w:val="xl161"/>
    <w:basedOn w:val="928"/>
    <w:next w:val="138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87">
    <w:name w:val="Block"/>
    <w:basedOn w:val="928"/>
    <w:next w:val="1123"/>
    <w:link w:val="928"/>
    <w:rPr>
      <w:rFonts w:ascii="Arial" w:hAnsi="Arial" w:eastAsia="楷体_GB2312"/>
      <w:color w:val="000080"/>
      <w:sz w:val="28"/>
      <w:szCs w:val="28"/>
    </w:rPr>
  </w:style>
  <w:style w:type="paragraph" w:styleId="1388">
    <w:name w:val="xl113"/>
    <w:basedOn w:val="928"/>
    <w:next w:val="1388"/>
    <w:link w:val="92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89">
    <w:name w:val="9"/>
    <w:next w:val="1389"/>
    <w:link w:val="928"/>
    <w:pPr>
      <w:jc w:val="both"/>
      <w:widowControl w:val="off"/>
    </w:pPr>
    <w:rPr>
      <w:rFonts w:ascii="宋体"/>
      <w:b/>
      <w:bCs/>
      <w:color w:val="000000"/>
      <w:spacing w:val="15"/>
      <w:sz w:val="18"/>
      <w:szCs w:val="18"/>
      <w:lang w:val="en-US" w:eastAsia="zh-CN" w:bidi="ar-SA"/>
    </w:rPr>
  </w:style>
  <w:style w:type="paragraph" w:styleId="1390">
    <w:name w:val="Item list in table"/>
    <w:basedOn w:val="928"/>
    <w:next w:val="1390"/>
    <w:link w:val="928"/>
    <w:pPr>
      <w:numPr>
        <w:ilvl w:val="0"/>
        <w:numId w:val="13"/>
      </w:numPr>
      <w:widowControl/>
      <w:tabs>
        <w:tab w:val="left" w:pos="420" w:leader="none"/>
      </w:tabs>
    </w:pPr>
    <w:rPr>
      <w:rFonts w:ascii="Times New Roman" w:hAnsi="Times New Roman"/>
      <w:sz w:val="18"/>
      <w:szCs w:val="18"/>
    </w:rPr>
  </w:style>
  <w:style w:type="paragraph" w:styleId="1391">
    <w:name w:val="xl205"/>
    <w:basedOn w:val="928"/>
    <w:next w:val="1391"/>
    <w:link w:val="928"/>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392">
    <w:name w:val="样式 标题 2 + 首行缩进:  0.62 字符"/>
    <w:basedOn w:val="930"/>
    <w:next w:val="1392"/>
    <w:link w:val="928"/>
    <w:pPr>
      <w:numPr>
        <w:ilvl w:val="0"/>
        <w:numId w:val="0"/>
      </w:numPr>
      <w:ind w:firstLine="187"/>
      <w:spacing w:line="360" w:lineRule="auto"/>
      <w:tabs>
        <w:tab w:val="left" w:pos="576" w:leader="none"/>
      </w:tabs>
    </w:pPr>
    <w:rPr>
      <w:rFonts w:cs="宋体"/>
      <w:bCs/>
      <w:sz w:val="30"/>
    </w:rPr>
  </w:style>
  <w:style w:type="paragraph" w:styleId="1393">
    <w:name w:val="样式 标题 2H2Heading 2 HiddenHeading 2 CCBSheading 22nd levelh..."/>
    <w:basedOn w:val="930"/>
    <w:next w:val="1393"/>
    <w:link w:val="928"/>
    <w:pPr>
      <w:numPr>
        <w:ilvl w:val="1"/>
        <w:numId w:val="0"/>
      </w:numPr>
      <w:ind w:left="576" w:hanging="576"/>
      <w:spacing w:before="120" w:after="120" w:line="240" w:lineRule="auto"/>
      <w:tabs>
        <w:tab w:val="left" w:pos="576" w:leader="none"/>
      </w:tabs>
    </w:pPr>
    <w:rPr>
      <w:rFonts w:cs="宋体"/>
      <w:b w:val="0"/>
      <w:sz w:val="28"/>
      <w:szCs w:val="28"/>
    </w:rPr>
  </w:style>
  <w:style w:type="paragraph" w:styleId="1394">
    <w:name w:val="修订"/>
    <w:next w:val="1394"/>
    <w:link w:val="928"/>
    <w:semiHidden/>
    <w:rPr>
      <w:rFonts w:ascii="Arial" w:hAnsi="Arial"/>
      <w:sz w:val="24"/>
      <w:szCs w:val="24"/>
      <w:lang w:val="en-US" w:eastAsia="zh-CN" w:bidi="ar-SA"/>
    </w:rPr>
  </w:style>
  <w:style w:type="paragraph" w:styleId="1395">
    <w:name w:val="style6"/>
    <w:basedOn w:val="928"/>
    <w:next w:val="1395"/>
    <w:link w:val="928"/>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96">
    <w:name w:val="xl134"/>
    <w:basedOn w:val="928"/>
    <w:next w:val="1396"/>
    <w:link w:val="92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97">
    <w:name w:val="xl173"/>
    <w:basedOn w:val="928"/>
    <w:next w:val="1397"/>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398">
    <w:name w:val="xl91"/>
    <w:basedOn w:val="928"/>
    <w:next w:val="1398"/>
    <w:link w:val="928"/>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399">
    <w:name w:val="xl79"/>
    <w:basedOn w:val="928"/>
    <w:next w:val="1399"/>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00">
    <w:name w:val="xl143"/>
    <w:basedOn w:val="928"/>
    <w:next w:val="1400"/>
    <w:link w:val="928"/>
    <w:pPr>
      <w:jc w:val="left"/>
      <w:spacing w:before="100" w:beforeAutospacing="1" w:after="100" w:afterAutospacing="1"/>
      <w:widowControl/>
    </w:pPr>
    <w:rPr>
      <w:rFonts w:ascii="楷体" w:hAnsi="楷体" w:eastAsia="楷体" w:cs="宋体"/>
    </w:rPr>
  </w:style>
  <w:style w:type="paragraph" w:styleId="1401">
    <w:name w:val="xl145"/>
    <w:basedOn w:val="928"/>
    <w:next w:val="1401"/>
    <w:link w:val="92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02">
    <w:name w:val="xl175"/>
    <w:basedOn w:val="928"/>
    <w:next w:val="1402"/>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3">
    <w:name w:val="xl195"/>
    <w:basedOn w:val="928"/>
    <w:next w:val="1403"/>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4">
    <w:name w:val="xl176"/>
    <w:basedOn w:val="928"/>
    <w:next w:val="1404"/>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5">
    <w:name w:val="标题3"/>
    <w:basedOn w:val="931"/>
    <w:next w:val="1405"/>
    <w:link w:val="928"/>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406">
    <w:name w:val="项目符号2"/>
    <w:basedOn w:val="928"/>
    <w:next w:val="1406"/>
    <w:link w:val="928"/>
    <w:pPr>
      <w:spacing w:line="360" w:lineRule="auto"/>
    </w:pPr>
    <w:rPr>
      <w:rFonts w:ascii="Times New Roman" w:hAnsi="Times New Roman"/>
      <w:szCs w:val="20"/>
    </w:rPr>
  </w:style>
  <w:style w:type="paragraph" w:styleId="1407">
    <w:name w:val="小四 段落 宋体 Char Char"/>
    <w:basedOn w:val="955"/>
    <w:next w:val="1407"/>
    <w:link w:val="928"/>
    <w:pPr>
      <w:ind w:left="0" w:right="113" w:firstLine="425"/>
      <w:jc w:val="left"/>
      <w:spacing w:line="360" w:lineRule="auto"/>
      <w:tabs>
        <w:tab w:val="clear" w:pos="420" w:leader="none"/>
      </w:tabs>
    </w:pPr>
    <w:rPr>
      <w:sz w:val="24"/>
    </w:rPr>
  </w:style>
  <w:style w:type="paragraph" w:styleId="1408">
    <w:name w:val="xl125"/>
    <w:basedOn w:val="928"/>
    <w:next w:val="1408"/>
    <w:link w:val="928"/>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09">
    <w:name w:val="font11"/>
    <w:basedOn w:val="928"/>
    <w:next w:val="1409"/>
    <w:link w:val="928"/>
    <w:pPr>
      <w:jc w:val="left"/>
      <w:spacing w:before="100" w:beforeAutospacing="1" w:after="100" w:afterAutospacing="1"/>
      <w:widowControl/>
    </w:pPr>
    <w:rPr>
      <w:rFonts w:cs="宋体"/>
      <w:sz w:val="18"/>
      <w:szCs w:val="18"/>
    </w:rPr>
  </w:style>
  <w:style w:type="paragraph" w:styleId="1410">
    <w:name w:val="xl70"/>
    <w:basedOn w:val="928"/>
    <w:next w:val="1410"/>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1">
    <w:name w:val=" Char Char Char Char"/>
    <w:basedOn w:val="928"/>
    <w:next w:val="1411"/>
    <w:link w:val="928"/>
    <w:semiHidden/>
    <w:pPr>
      <w:jc w:val="left"/>
      <w:spacing w:after="160" w:line="240" w:lineRule="exact"/>
      <w:widowControl/>
    </w:pPr>
    <w:rPr>
      <w:rFonts w:ascii="Verdana" w:hAnsi="Verdana"/>
      <w:sz w:val="20"/>
      <w:szCs w:val="20"/>
      <w:lang w:eastAsia="en-US"/>
    </w:rPr>
  </w:style>
  <w:style w:type="paragraph" w:styleId="1412">
    <w:name w:val="news"/>
    <w:basedOn w:val="928"/>
    <w:next w:val="1412"/>
    <w:link w:val="928"/>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13">
    <w:name w:val="font15"/>
    <w:basedOn w:val="928"/>
    <w:next w:val="1413"/>
    <w:link w:val="928"/>
    <w:pPr>
      <w:jc w:val="left"/>
      <w:spacing w:before="100" w:beforeAutospacing="1" w:after="100" w:afterAutospacing="1"/>
      <w:widowControl/>
    </w:pPr>
    <w:rPr>
      <w:rFonts w:cs="宋体"/>
      <w:sz w:val="18"/>
      <w:szCs w:val="18"/>
    </w:rPr>
  </w:style>
  <w:style w:type="paragraph" w:styleId="1414">
    <w:name w:val="gray"/>
    <w:basedOn w:val="928"/>
    <w:next w:val="1414"/>
    <w:link w:val="928"/>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15">
    <w:name w:val="xl187"/>
    <w:basedOn w:val="928"/>
    <w:next w:val="1415"/>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6">
    <w:name w:val="xl144"/>
    <w:basedOn w:val="928"/>
    <w:next w:val="1416"/>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17">
    <w:name w:val="标准正文中缩进"/>
    <w:basedOn w:val="928"/>
    <w:next w:val="1417"/>
    <w:link w:val="928"/>
    <w:pPr>
      <w:ind w:firstLine="200"/>
      <w:jc w:val="left"/>
      <w:spacing w:line="420" w:lineRule="exact"/>
    </w:pPr>
    <w:rPr>
      <w:rFonts w:ascii="Times New Roman" w:hAnsi="Times New Roman"/>
    </w:rPr>
  </w:style>
  <w:style w:type="paragraph" w:styleId="1418">
    <w:name w:val="xl191"/>
    <w:basedOn w:val="928"/>
    <w:next w:val="1418"/>
    <w:link w:val="928"/>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19">
    <w:name w:val="11"/>
    <w:next w:val="1419"/>
    <w:link w:val="928"/>
    <w:pPr>
      <w:ind w:firstLine="369"/>
      <w:jc w:val="both"/>
      <w:widowControl w:val="off"/>
    </w:pPr>
    <w:rPr>
      <w:rFonts w:ascii="宋体"/>
      <w:color w:val="000000"/>
      <w:sz w:val="18"/>
      <w:szCs w:val="18"/>
      <w:lang w:val="en-US" w:eastAsia="zh-CN" w:bidi="ar-SA"/>
    </w:rPr>
  </w:style>
  <w:style w:type="paragraph" w:styleId="1420">
    <w:name w:val="xl214"/>
    <w:basedOn w:val="928"/>
    <w:next w:val="1420"/>
    <w:link w:val="928"/>
    <w:pPr>
      <w:jc w:val="left"/>
      <w:spacing w:before="100" w:beforeAutospacing="1" w:after="100" w:afterAutospacing="1"/>
      <w:widowControl/>
    </w:pPr>
    <w:rPr>
      <w:rFonts w:ascii="Courier New" w:hAnsi="Courier New" w:cs="Courier New"/>
    </w:rPr>
  </w:style>
  <w:style w:type="paragraph" w:styleId="1421">
    <w:name w:val="Default Paragraph Font Para Char"/>
    <w:basedOn w:val="928"/>
    <w:next w:val="1421"/>
    <w:link w:val="928"/>
    <w:semiHidden/>
    <w:pPr>
      <w:jc w:val="left"/>
      <w:spacing w:after="160" w:line="240" w:lineRule="exact"/>
      <w:widowControl/>
    </w:pPr>
    <w:rPr>
      <w:rFonts w:ascii="Verdana" w:hAnsi="Verdana"/>
      <w:sz w:val="20"/>
      <w:szCs w:val="20"/>
      <w:lang w:eastAsia="en-US"/>
    </w:rPr>
  </w:style>
  <w:style w:type="paragraph" w:styleId="1422">
    <w:name w:val="xl65"/>
    <w:basedOn w:val="928"/>
    <w:next w:val="1422"/>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23">
    <w:name w:val="格式３"/>
    <w:basedOn w:val="928"/>
    <w:next w:val="1423"/>
    <w:link w:val="928"/>
    <w:qFormat/>
    <w:pPr>
      <w:ind w:left="600" w:hanging="600"/>
      <w:spacing w:line="420" w:lineRule="exact"/>
    </w:pPr>
    <w:rPr>
      <w:rFonts w:ascii="宋体" w:hAnsi="宋体"/>
      <w:color w:val="000000"/>
      <w:sz w:val="24"/>
      <w:szCs w:val="20"/>
    </w:rPr>
  </w:style>
  <w:style w:type="paragraph" w:styleId="1424">
    <w:name w:val="样式1"/>
    <w:basedOn w:val="928"/>
    <w:next w:val="1424"/>
    <w:link w:val="928"/>
    <w:pPr>
      <w:ind w:firstLine="480"/>
      <w:jc w:val="left"/>
      <w:spacing w:line="360" w:lineRule="auto"/>
      <w:widowControl/>
    </w:pPr>
    <w:rPr>
      <w:rFonts w:ascii="Calibri" w:hAnsi="Calibri"/>
      <w:bCs/>
      <w:szCs w:val="20"/>
      <w:lang w:eastAsia="en-US" w:bidi="en-US"/>
    </w:rPr>
  </w:style>
  <w:style w:type="paragraph" w:styleId="1425">
    <w:name w:val="Table description"/>
    <w:basedOn w:val="928"/>
    <w:next w:val="943"/>
    <w:link w:val="928"/>
    <w:pPr>
      <w:numPr>
        <w:ilvl w:val="5"/>
        <w:numId w:val="6"/>
      </w:numPr>
      <w:jc w:val="center"/>
      <w:keepLines/>
      <w:keepNext/>
      <w:widowControl/>
      <w:tabs>
        <w:tab w:val="left" w:pos="2520" w:leader="none"/>
      </w:tabs>
    </w:pPr>
    <w:rPr>
      <w:rFonts w:ascii="Times New Roman" w:hAnsi="Times New Roman"/>
      <w:sz w:val="21"/>
      <w:szCs w:val="18"/>
    </w:rPr>
  </w:style>
  <w:style w:type="paragraph" w:styleId="1426">
    <w:name w:val="Body Text1"/>
    <w:basedOn w:val="928"/>
    <w:next w:val="1426"/>
    <w:link w:val="928"/>
    <w:pPr>
      <w:spacing w:line="360" w:lineRule="auto"/>
    </w:pPr>
    <w:rPr>
      <w:rFonts w:hAnsi="Times New Roman"/>
    </w:rPr>
  </w:style>
  <w:style w:type="paragraph" w:styleId="1427">
    <w:name w:val="附件标题"/>
    <w:basedOn w:val="928"/>
    <w:next w:val="1427"/>
    <w:link w:val="928"/>
    <w:pPr>
      <w:jc w:val="center"/>
      <w:spacing w:line="360" w:lineRule="auto"/>
    </w:pPr>
    <w:rPr>
      <w:rFonts w:ascii="Arial" w:hAnsi="Arial" w:eastAsia="黑体"/>
    </w:rPr>
  </w:style>
  <w:style w:type="paragraph" w:styleId="1428">
    <w:name w:val="普通正文"/>
    <w:basedOn w:val="928"/>
    <w:next w:val="1428"/>
    <w:link w:val="928"/>
    <w:pPr>
      <w:ind w:firstLine="480"/>
      <w:jc w:val="left"/>
      <w:spacing w:before="120" w:after="120" w:line="360" w:lineRule="auto"/>
    </w:pPr>
    <w:rPr>
      <w:rFonts w:ascii="Arial" w:hAnsi="Arial"/>
    </w:rPr>
  </w:style>
  <w:style w:type="paragraph" w:styleId="1429">
    <w:name w:val="xl122"/>
    <w:basedOn w:val="928"/>
    <w:next w:val="1429"/>
    <w:link w:val="928"/>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30">
    <w:name w:val="xl169"/>
    <w:basedOn w:val="928"/>
    <w:next w:val="1430"/>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1">
    <w:name w:val="xl193"/>
    <w:basedOn w:val="928"/>
    <w:next w:val="1431"/>
    <w:link w:val="928"/>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32">
    <w:name w:val="font9"/>
    <w:basedOn w:val="928"/>
    <w:next w:val="1432"/>
    <w:link w:val="928"/>
    <w:pPr>
      <w:jc w:val="left"/>
      <w:spacing w:before="100" w:beforeAutospacing="1" w:after="100" w:afterAutospacing="1"/>
      <w:widowControl/>
    </w:pPr>
    <w:rPr>
      <w:rFonts w:cs="宋体"/>
      <w:sz w:val="18"/>
      <w:szCs w:val="18"/>
    </w:rPr>
  </w:style>
  <w:style w:type="paragraph" w:styleId="1433">
    <w:name w:val="Char5"/>
    <w:basedOn w:val="928"/>
    <w:next w:val="1433"/>
    <w:link w:val="928"/>
    <w:pPr>
      <w:jc w:val="left"/>
      <w:spacing w:after="160" w:line="240" w:lineRule="exact"/>
      <w:widowControl/>
    </w:pPr>
    <w:rPr>
      <w:rFonts w:ascii="Verdana" w:hAnsi="Verdana"/>
      <w:sz w:val="21"/>
      <w:szCs w:val="20"/>
      <w:lang w:eastAsia="en-US"/>
    </w:rPr>
  </w:style>
  <w:style w:type="paragraph" w:styleId="1434">
    <w:name w:val="样式 样式 标题 3 + 首行缩进:  2 字符 + 首行缩进:  2 字符"/>
    <w:basedOn w:val="928"/>
    <w:next w:val="1434"/>
    <w:link w:val="928"/>
    <w:pPr>
      <w:keepLines/>
      <w:keepNext/>
      <w:spacing w:before="260" w:after="260"/>
      <w:outlineLvl w:val="2"/>
    </w:pPr>
    <w:rPr>
      <w:rFonts w:ascii="Times New Roman" w:hAnsi="Times New Roman" w:cs="宋体"/>
      <w:b/>
      <w:bCs/>
      <w:sz w:val="30"/>
      <w:szCs w:val="20"/>
    </w:rPr>
  </w:style>
  <w:style w:type="paragraph" w:styleId="1435">
    <w:name w:val="xl92"/>
    <w:basedOn w:val="928"/>
    <w:next w:val="1435"/>
    <w:link w:val="92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36">
    <w:name w:val="xl197"/>
    <w:basedOn w:val="928"/>
    <w:next w:val="1436"/>
    <w:link w:val="928"/>
    <w:pPr>
      <w:jc w:val="left"/>
      <w:spacing w:before="100" w:beforeAutospacing="1" w:after="100" w:afterAutospacing="1"/>
      <w:widowControl/>
    </w:pPr>
    <w:rPr>
      <w:rFonts w:ascii="Courier New" w:hAnsi="Courier New" w:cs="Courier New"/>
      <w:sz w:val="20"/>
      <w:szCs w:val="20"/>
    </w:rPr>
  </w:style>
  <w:style w:type="paragraph" w:styleId="1437">
    <w:name w:val="5"/>
    <w:basedOn w:val="928"/>
    <w:next w:val="1437"/>
    <w:link w:val="928"/>
    <w:pPr>
      <w:jc w:val="left"/>
    </w:pPr>
    <w:rPr>
      <w:rFonts w:hAnsi="Times New Roman"/>
      <w:b/>
      <w:bCs/>
      <w:sz w:val="18"/>
      <w:szCs w:val="18"/>
    </w:rPr>
  </w:style>
  <w:style w:type="paragraph" w:styleId="1438">
    <w:name w:val="xl166"/>
    <w:basedOn w:val="928"/>
    <w:next w:val="1438"/>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39">
    <w:name w:val="diy"/>
    <w:basedOn w:val="928"/>
    <w:next w:val="1439"/>
    <w:link w:val="928"/>
    <w:pPr>
      <w:ind w:firstLine="480"/>
      <w:spacing w:before="163" w:after="163" w:line="300" w:lineRule="auto"/>
      <w:tabs>
        <w:tab w:val="right" w:pos="9030" w:leader="middleDot"/>
      </w:tabs>
    </w:pPr>
  </w:style>
  <w:style w:type="paragraph" w:styleId="1440">
    <w:name w:val="xl104"/>
    <w:basedOn w:val="928"/>
    <w:next w:val="1440"/>
    <w:link w:val="928"/>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41">
    <w:name w:val="xl202"/>
    <w:basedOn w:val="928"/>
    <w:next w:val="1441"/>
    <w:link w:val="928"/>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42">
    <w:name w:val="产品描述"/>
    <w:next w:val="1442"/>
    <w:link w:val="928"/>
    <w:pPr>
      <w:ind w:firstLine="397"/>
      <w:jc w:val="both"/>
      <w:spacing w:line="270" w:lineRule="atLeast"/>
      <w:widowControl w:val="off"/>
    </w:pPr>
    <w:rPr>
      <w:rFonts w:ascii="宋体"/>
      <w:sz w:val="18"/>
      <w:szCs w:val="18"/>
      <w:lang w:val="en-US" w:eastAsia="zh-CN" w:bidi="ar-SA"/>
    </w:rPr>
  </w:style>
  <w:style w:type="paragraph" w:styleId="1443">
    <w:name w:val="xl133"/>
    <w:basedOn w:val="928"/>
    <w:next w:val="1443"/>
    <w:link w:val="92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44">
    <w:name w:val="Normal1"/>
    <w:next w:val="1444"/>
    <w:link w:val="928"/>
    <w:pPr>
      <w:spacing w:line="360" w:lineRule="atLeast"/>
      <w:widowControl w:val="off"/>
    </w:pPr>
    <w:rPr>
      <w:rFonts w:ascii="宋体"/>
      <w:sz w:val="24"/>
      <w:lang w:val="en-US" w:eastAsia="zh-CN" w:bidi="ar-SA"/>
    </w:rPr>
  </w:style>
  <w:style w:type="paragraph" w:styleId="1445">
    <w:name w:val="Char Char Char"/>
    <w:basedOn w:val="928"/>
    <w:next w:val="1445"/>
    <w:link w:val="928"/>
    <w:rPr>
      <w:rFonts w:ascii="Tahoma" w:hAnsi="Tahoma"/>
      <w:sz w:val="21"/>
      <w:szCs w:val="20"/>
    </w:rPr>
  </w:style>
  <w:style w:type="paragraph" w:styleId="1446">
    <w:name w:val="xl119"/>
    <w:basedOn w:val="928"/>
    <w:next w:val="1446"/>
    <w:link w:val="92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47">
    <w:name w:val="默认段落字体 Para Char Char Char Char Char Char Char"/>
    <w:basedOn w:val="928"/>
    <w:next w:val="1447"/>
    <w:link w:val="928"/>
    <w:rPr>
      <w:rFonts w:ascii="Tahoma" w:hAnsi="Tahoma"/>
      <w:szCs w:val="20"/>
    </w:rPr>
  </w:style>
  <w:style w:type="paragraph" w:styleId="1448">
    <w:name w:val="附件(1)"/>
    <w:basedOn w:val="928"/>
    <w:next w:val="1448"/>
    <w:link w:val="928"/>
    <w:pPr>
      <w:ind w:left="432" w:hanging="432"/>
      <w:spacing w:line="360" w:lineRule="auto"/>
      <w:tabs>
        <w:tab w:val="left" w:pos="1080" w:leader="none"/>
      </w:tabs>
    </w:pPr>
    <w:rPr>
      <w:rFonts w:ascii="Times New Roman" w:hAnsi="Times New Roman"/>
    </w:rPr>
  </w:style>
  <w:style w:type="paragraph" w:styleId="1449">
    <w:name w:val="附件圈"/>
    <w:basedOn w:val="1448"/>
    <w:next w:val="1449"/>
    <w:link w:val="928"/>
    <w:pPr>
      <w:numPr>
        <w:ilvl w:val="0"/>
        <w:numId w:val="15"/>
      </w:numPr>
      <w:tabs>
        <w:tab w:val="left" w:pos="1080" w:leader="none"/>
      </w:tabs>
    </w:pPr>
  </w:style>
  <w:style w:type="paragraph" w:styleId="1450">
    <w:name w:val="样式 正文文本缩进 2 + Century Gothic 四号 行距: 多倍行距 1.75 字行"/>
    <w:basedOn w:val="928"/>
    <w:next w:val="1450"/>
    <w:link w:val="928"/>
    <w:pPr>
      <w:ind w:firstLine="207"/>
      <w:spacing w:line="396" w:lineRule="auto"/>
    </w:pPr>
    <w:rPr>
      <w:rFonts w:ascii="Century Gothic" w:hAnsi="Times New Roman" w:cs="宋体"/>
      <w:sz w:val="28"/>
      <w:szCs w:val="20"/>
    </w:rPr>
  </w:style>
  <w:style w:type="paragraph" w:styleId="1451">
    <w:name w:val="xl189"/>
    <w:basedOn w:val="928"/>
    <w:next w:val="1451"/>
    <w:link w:val="928"/>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52">
    <w:name w:val="style2"/>
    <w:basedOn w:val="928"/>
    <w:next w:val="1452"/>
    <w:link w:val="928"/>
    <w:pPr>
      <w:jc w:val="left"/>
      <w:spacing w:before="100" w:beforeAutospacing="1" w:after="100" w:afterAutospacing="1"/>
      <w:widowControl/>
    </w:pPr>
    <w:rPr>
      <w:rFonts w:cs="宋体"/>
    </w:rPr>
  </w:style>
  <w:style w:type="paragraph" w:styleId="1453">
    <w:name w:val="xl76"/>
    <w:basedOn w:val="928"/>
    <w:next w:val="1453"/>
    <w:link w:val="928"/>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54">
    <w:name w:val="段"/>
    <w:next w:val="1454"/>
    <w:link w:val="928"/>
    <w:qFormat/>
    <w:pPr>
      <w:ind w:firstLine="200"/>
      <w:jc w:val="both"/>
    </w:pPr>
    <w:rPr>
      <w:rFonts w:ascii="宋体"/>
      <w:sz w:val="21"/>
      <w:lang w:val="en-US" w:eastAsia="zh-CN" w:bidi="ar-SA"/>
    </w:rPr>
  </w:style>
  <w:style w:type="paragraph" w:styleId="1455">
    <w:name w:val="正文2"/>
    <w:basedOn w:val="928"/>
    <w:next w:val="1455"/>
    <w:link w:val="928"/>
    <w:pPr>
      <w:ind w:firstLine="200"/>
      <w:jc w:val="left"/>
      <w:spacing w:after="160" w:line="360" w:lineRule="auto"/>
      <w:widowControl/>
    </w:pPr>
    <w:rPr>
      <w:rFonts w:ascii="Verdana" w:hAnsi="Verdana" w:eastAsia="黑体"/>
      <w:sz w:val="21"/>
      <w:szCs w:val="20"/>
      <w:lang w:eastAsia="en-US"/>
    </w:rPr>
  </w:style>
  <w:style w:type="paragraph" w:styleId="1456">
    <w:name w:val="font10"/>
    <w:basedOn w:val="928"/>
    <w:next w:val="1456"/>
    <w:link w:val="928"/>
    <w:pPr>
      <w:jc w:val="left"/>
      <w:spacing w:before="100" w:beforeAutospacing="1" w:after="100" w:afterAutospacing="1"/>
      <w:widowControl/>
    </w:pPr>
    <w:rPr>
      <w:rFonts w:ascii="Times New Roman" w:hAnsi="Times New Roman"/>
      <w:b/>
      <w:bCs/>
      <w:sz w:val="22"/>
      <w:szCs w:val="22"/>
    </w:rPr>
  </w:style>
  <w:style w:type="paragraph" w:styleId="1457">
    <w:name w:val="xl81"/>
    <w:basedOn w:val="928"/>
    <w:next w:val="1457"/>
    <w:link w:val="928"/>
    <w:pPr>
      <w:jc w:val="center"/>
      <w:spacing w:before="100" w:beforeAutospacing="1" w:after="100" w:afterAutospacing="1"/>
      <w:widowControl/>
    </w:pPr>
    <w:rPr>
      <w:rFonts w:ascii="微软雅黑" w:hAnsi="微软雅黑" w:eastAsia="微软雅黑" w:cs="宋体"/>
      <w:sz w:val="20"/>
      <w:szCs w:val="20"/>
    </w:rPr>
  </w:style>
  <w:style w:type="paragraph" w:styleId="1458">
    <w:name w:val="xl207"/>
    <w:basedOn w:val="928"/>
    <w:next w:val="1458"/>
    <w:link w:val="928"/>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59">
    <w:name w:val="xl83"/>
    <w:basedOn w:val="928"/>
    <w:next w:val="1459"/>
    <w:link w:val="9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0">
    <w:name w:val="正文四号"/>
    <w:basedOn w:val="928"/>
    <w:next w:val="1460"/>
    <w:link w:val="928"/>
    <w:qFormat/>
    <w:pPr>
      <w:ind w:firstLine="200"/>
      <w:spacing w:line="360" w:lineRule="auto"/>
    </w:pPr>
    <w:rPr>
      <w:rFonts w:ascii="Times New Roman" w:hAnsi="Times New Roman" w:eastAsia="仿宋_GB2312" w:cs="宋体"/>
      <w:sz w:val="28"/>
      <w:szCs w:val="20"/>
    </w:rPr>
  </w:style>
  <w:style w:type="paragraph" w:styleId="1461">
    <w:name w:val="xl215"/>
    <w:basedOn w:val="928"/>
    <w:next w:val="1461"/>
    <w:link w:val="92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62">
    <w:name w:val="xl89"/>
    <w:basedOn w:val="928"/>
    <w:next w:val="1462"/>
    <w:link w:val="928"/>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63">
    <w:name w:val="段落1"/>
    <w:basedOn w:val="928"/>
    <w:next w:val="1463"/>
    <w:link w:val="928"/>
    <w:pPr>
      <w:ind w:right="23"/>
      <w:spacing w:before="120" w:after="156" w:line="360" w:lineRule="auto"/>
    </w:pPr>
    <w:rPr>
      <w:b/>
      <w:bCs/>
    </w:rPr>
  </w:style>
  <w:style w:type="paragraph" w:styleId="1464">
    <w:name w:val="xl160"/>
    <w:basedOn w:val="928"/>
    <w:next w:val="1464"/>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65">
    <w:name w:val="附件1."/>
    <w:basedOn w:val="929"/>
    <w:next w:val="1465"/>
    <w:link w:val="928"/>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466">
    <w:name w:val="xl198"/>
    <w:basedOn w:val="928"/>
    <w:next w:val="146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67">
    <w:name w:val="Char7"/>
    <w:basedOn w:val="928"/>
    <w:next w:val="1467"/>
    <w:link w:val="928"/>
    <w:pPr>
      <w:jc w:val="left"/>
      <w:spacing w:after="160" w:line="240" w:lineRule="exact"/>
      <w:widowControl/>
    </w:pPr>
    <w:rPr>
      <w:rFonts w:ascii="Verdana" w:hAnsi="Verdana"/>
      <w:sz w:val="21"/>
      <w:szCs w:val="20"/>
      <w:lang w:eastAsia="en-US"/>
    </w:rPr>
  </w:style>
  <w:style w:type="paragraph" w:styleId="1468">
    <w:name w:val="xl77"/>
    <w:basedOn w:val="928"/>
    <w:next w:val="1468"/>
    <w:link w:val="928"/>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69">
    <w:name w:val="文档标题"/>
    <w:basedOn w:val="928"/>
    <w:next w:val="1469"/>
    <w:link w:val="928"/>
    <w:pPr>
      <w:jc w:val="center"/>
      <w:spacing w:before="300" w:after="300" w:line="360" w:lineRule="auto"/>
      <w:tabs>
        <w:tab w:val="left" w:pos="0" w:leader="none"/>
      </w:tabs>
    </w:pPr>
    <w:rPr>
      <w:rFonts w:ascii="Arial" w:hAnsi="Arial" w:eastAsia="黑体"/>
      <w:sz w:val="36"/>
      <w:szCs w:val="36"/>
    </w:rPr>
  </w:style>
  <w:style w:type="paragraph" w:styleId="1470">
    <w:name w:val="其他标准称谓"/>
    <w:next w:val="1470"/>
    <w:link w:val="928"/>
    <w:pPr>
      <w:jc w:val="both"/>
      <w:spacing w:line="0" w:lineRule="atLeast"/>
    </w:pPr>
    <w:rPr>
      <w:rFonts w:ascii="黑体" w:hAnsi="宋体" w:eastAsia="黑体"/>
      <w:sz w:val="52"/>
      <w:lang w:val="en-US" w:eastAsia="zh-CN" w:bidi="ar-SA"/>
    </w:rPr>
  </w:style>
  <w:style w:type="paragraph" w:styleId="1471">
    <w:name w:val="xl206"/>
    <w:basedOn w:val="928"/>
    <w:next w:val="1471"/>
    <w:link w:val="928"/>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72">
    <w:name w:val="Table Heading"/>
    <w:basedOn w:val="928"/>
    <w:next w:val="1472"/>
    <w:link w:val="928"/>
    <w:pPr>
      <w:jc w:val="center"/>
    </w:pPr>
    <w:rPr>
      <w:rFonts w:ascii="Arial" w:hAnsi="Arial" w:eastAsia="黑体"/>
      <w:b/>
      <w:sz w:val="21"/>
    </w:rPr>
  </w:style>
  <w:style w:type="paragraph" w:styleId="1473">
    <w:name w:val="xl102"/>
    <w:basedOn w:val="928"/>
    <w:next w:val="1473"/>
    <w:link w:val="928"/>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74">
    <w:name w:val="样式 列表项目符号 + 段前: 0.5 行 段后: 0.25 行 + 段前: 0.25 行 段后: 0.25 行"/>
    <w:basedOn w:val="928"/>
    <w:next w:val="1474"/>
    <w:link w:val="928"/>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75">
    <w:name w:val="表格1"/>
    <w:basedOn w:val="928"/>
    <w:next w:val="1475"/>
    <w:link w:val="928"/>
    <w:pPr>
      <w:jc w:val="left"/>
      <w:spacing w:line="440" w:lineRule="exact"/>
    </w:pPr>
    <w:rPr>
      <w:sz w:val="21"/>
      <w:szCs w:val="20"/>
    </w:rPr>
  </w:style>
  <w:style w:type="paragraph" w:styleId="1476">
    <w:name w:val="xl201"/>
    <w:basedOn w:val="928"/>
    <w:next w:val="1476"/>
    <w:link w:val="928"/>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77">
    <w:name w:val="xl218"/>
    <w:basedOn w:val="928"/>
    <w:next w:val="1477"/>
    <w:link w:val="928"/>
    <w:pPr>
      <w:jc w:val="center"/>
      <w:spacing w:before="100" w:beforeAutospacing="1" w:after="100" w:afterAutospacing="1"/>
      <w:widowControl/>
    </w:pPr>
    <w:rPr>
      <w:rFonts w:ascii="Courier New" w:hAnsi="Courier New" w:cs="Courier New"/>
    </w:rPr>
  </w:style>
  <w:style w:type="paragraph" w:styleId="1478">
    <w:name w:val="Item Step"/>
    <w:basedOn w:val="928"/>
    <w:next w:val="1478"/>
    <w:link w:val="928"/>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479">
    <w:name w:val="样式2"/>
    <w:basedOn w:val="931"/>
    <w:next w:val="1479"/>
    <w:link w:val="928"/>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480">
    <w:name w:val="段 Char"/>
    <w:next w:val="1480"/>
    <w:link w:val="928"/>
    <w:pPr>
      <w:ind w:firstLine="200"/>
      <w:jc w:val="both"/>
    </w:pPr>
    <w:rPr>
      <w:rFonts w:ascii="宋体"/>
      <w:sz w:val="21"/>
      <w:lang w:val="en-US" w:eastAsia="zh-CN" w:bidi="ar-SA"/>
    </w:rPr>
  </w:style>
  <w:style w:type="paragraph" w:styleId="1481">
    <w:name w:val="xl186"/>
    <w:basedOn w:val="928"/>
    <w:next w:val="1481"/>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82">
    <w:name w:val="xl71"/>
    <w:basedOn w:val="928"/>
    <w:next w:val="1482"/>
    <w:link w:val="92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83">
    <w:name w:val=" Char Char1 Char Char Char Char"/>
    <w:basedOn w:val="959"/>
    <w:next w:val="1483"/>
    <w:link w:val="928"/>
    <w:pPr>
      <w:spacing w:line="360" w:lineRule="auto"/>
    </w:pPr>
    <w:rPr>
      <w:rFonts w:ascii="Tahoma" w:hAnsi="Tahoma"/>
    </w:rPr>
  </w:style>
  <w:style w:type="paragraph" w:styleId="1484">
    <w:name w:val="_Style 12"/>
    <w:basedOn w:val="959"/>
    <w:next w:val="1484"/>
    <w:link w:val="928"/>
    <w:pPr>
      <w:spacing w:line="360" w:lineRule="auto"/>
    </w:pPr>
    <w:rPr>
      <w:rFonts w:ascii="Times New Roman" w:hAnsi="Times New Roman"/>
      <w:sz w:val="21"/>
    </w:rPr>
  </w:style>
  <w:style w:type="paragraph" w:styleId="1485">
    <w:name w:val="xl86"/>
    <w:basedOn w:val="928"/>
    <w:next w:val="1485"/>
    <w:link w:val="928"/>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86">
    <w:name w:val="项目"/>
    <w:basedOn w:val="928"/>
    <w:next w:val="1486"/>
    <w:link w:val="928"/>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487">
    <w:name w:val="目录"/>
    <w:basedOn w:val="928"/>
    <w:next w:val="1123"/>
    <w:link w:val="928"/>
    <w:pPr>
      <w:jc w:val="center"/>
      <w:pageBreakBefore/>
      <w:spacing w:before="600" w:after="360" w:line="480" w:lineRule="auto"/>
    </w:pPr>
    <w:rPr>
      <w:rFonts w:ascii="Times New Roman" w:hAnsi="Times New Roman" w:eastAsia="楷体_GB2312"/>
      <w:spacing w:val="200"/>
      <w:sz w:val="36"/>
      <w:szCs w:val="32"/>
    </w:rPr>
  </w:style>
  <w:style w:type="paragraph" w:styleId="1488">
    <w:name w:val="文件名"/>
    <w:basedOn w:val="1487"/>
    <w:next w:val="1123"/>
    <w:link w:val="928"/>
    <w:pPr>
      <w:pageBreakBefore w:val="0"/>
    </w:pPr>
    <w:rPr>
      <w:spacing w:val="0"/>
      <w:sz w:val="52"/>
      <w:szCs w:val="44"/>
    </w:rPr>
  </w:style>
  <w:style w:type="paragraph" w:styleId="1489">
    <w:name w:val="6"/>
    <w:basedOn w:val="1437"/>
    <w:next w:val="1489"/>
    <w:link w:val="928"/>
    <w:pPr>
      <w:jc w:val="both"/>
      <w:spacing w:line="270" w:lineRule="atLeast"/>
    </w:pPr>
    <w:rPr>
      <w:b w:val="0"/>
      <w:bCs w:val="0"/>
    </w:rPr>
  </w:style>
  <w:style w:type="paragraph" w:styleId="1490">
    <w:name w:val="p0"/>
    <w:basedOn w:val="928"/>
    <w:next w:val="1490"/>
    <w:link w:val="928"/>
    <w:qFormat/>
    <w:pPr>
      <w:jc w:val="left"/>
      <w:spacing w:before="100" w:beforeAutospacing="1" w:after="100" w:afterAutospacing="1"/>
      <w:widowControl/>
    </w:pPr>
    <w:rPr>
      <w:rFonts w:cs="宋体"/>
    </w:rPr>
  </w:style>
  <w:style w:type="paragraph" w:styleId="1491">
    <w:name w:val="xl184"/>
    <w:basedOn w:val="928"/>
    <w:next w:val="1491"/>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92">
    <w:name w:val="1 Char Char Char Char"/>
    <w:basedOn w:val="928"/>
    <w:next w:val="1492"/>
    <w:link w:val="928"/>
    <w:rPr>
      <w:rFonts w:ascii="Tahoma" w:hAnsi="Tahoma"/>
      <w:szCs w:val="20"/>
    </w:rPr>
  </w:style>
  <w:style w:type="paragraph" w:styleId="1493">
    <w:name w:val="xl97"/>
    <w:basedOn w:val="928"/>
    <w:next w:val="1493"/>
    <w:link w:val="928"/>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94">
    <w:name w:val="xl111"/>
    <w:basedOn w:val="928"/>
    <w:next w:val="1494"/>
    <w:link w:val="92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95">
    <w:name w:val="xl108"/>
    <w:basedOn w:val="928"/>
    <w:next w:val="1495"/>
    <w:link w:val="928"/>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496">
    <w:name w:val="Char3"/>
    <w:basedOn w:val="928"/>
    <w:next w:val="1496"/>
    <w:link w:val="928"/>
    <w:pPr>
      <w:jc w:val="left"/>
      <w:spacing w:after="160" w:line="240" w:lineRule="exact"/>
      <w:widowControl/>
    </w:pPr>
    <w:rPr>
      <w:rFonts w:ascii="Verdana" w:hAnsi="Verdana"/>
      <w:sz w:val="21"/>
      <w:szCs w:val="20"/>
      <w:lang w:eastAsia="en-US"/>
    </w:rPr>
  </w:style>
  <w:style w:type="paragraph" w:styleId="1497">
    <w:name w:val="7"/>
    <w:basedOn w:val="928"/>
    <w:next w:val="999"/>
    <w:link w:val="928"/>
    <w:pPr>
      <w:ind w:firstLine="560"/>
      <w:spacing w:line="440" w:lineRule="exact"/>
    </w:pPr>
    <w:rPr>
      <w:rFonts w:ascii="Times New Roman" w:hAnsi="Times New Roman"/>
      <w:sz w:val="21"/>
    </w:rPr>
  </w:style>
  <w:style w:type="paragraph" w:styleId="1498">
    <w:name w:val="xl147"/>
    <w:basedOn w:val="928"/>
    <w:next w:val="1498"/>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99">
    <w:name w:val="xl106"/>
    <w:basedOn w:val="928"/>
    <w:next w:val="1499"/>
    <w:link w:val="928"/>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00">
    <w:name w:val="xl165"/>
    <w:basedOn w:val="928"/>
    <w:next w:val="1500"/>
    <w:link w:val="928"/>
    <w:pPr>
      <w:jc w:val="left"/>
      <w:spacing w:before="100" w:beforeAutospacing="1" w:after="100" w:afterAutospacing="1"/>
      <w:widowControl/>
    </w:pPr>
    <w:rPr>
      <w:rFonts w:ascii="Courier New" w:hAnsi="Courier New" w:cs="Courier New"/>
    </w:rPr>
  </w:style>
  <w:style w:type="paragraph" w:styleId="1501">
    <w:name w:val="表格题注"/>
    <w:next w:val="928"/>
    <w:link w:val="928"/>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502">
    <w:name w:val="xl105"/>
    <w:basedOn w:val="928"/>
    <w:next w:val="1502"/>
    <w:link w:val="928"/>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03">
    <w:name w:val="Table Text"/>
    <w:basedOn w:val="928"/>
    <w:next w:val="1503"/>
    <w:link w:val="928"/>
    <w:qFormat/>
    <w:rPr>
      <w:rFonts w:ascii="Times New Roman" w:hAnsi="Times New Roman"/>
      <w:sz w:val="18"/>
    </w:rPr>
  </w:style>
  <w:style w:type="paragraph" w:styleId="1504">
    <w:name w:val="Item Step in Table"/>
    <w:basedOn w:val="928"/>
    <w:next w:val="1504"/>
    <w:link w:val="928"/>
    <w:pPr>
      <w:numPr>
        <w:ilvl w:val="0"/>
        <w:numId w:val="18"/>
      </w:numPr>
      <w:ind w:left="425" w:hanging="425"/>
      <w:jc w:val="left"/>
      <w:tabs>
        <w:tab w:val="left" w:pos="425" w:leader="none"/>
      </w:tabs>
    </w:pPr>
    <w:rPr>
      <w:rFonts w:ascii="Times New Roman" w:hAnsi="Times New Roman"/>
      <w:sz w:val="21"/>
    </w:rPr>
  </w:style>
  <w:style w:type="paragraph" w:styleId="1505">
    <w:name w:val="xl82"/>
    <w:basedOn w:val="928"/>
    <w:next w:val="1505"/>
    <w:link w:val="928"/>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06">
    <w:name w:val="南通方案正文"/>
    <w:basedOn w:val="928"/>
    <w:next w:val="1506"/>
    <w:link w:val="928"/>
    <w:pPr>
      <w:ind w:firstLine="480"/>
      <w:jc w:val="left"/>
      <w:spacing w:line="360" w:lineRule="auto"/>
      <w:widowControl/>
    </w:pPr>
    <w:rPr>
      <w:rFonts w:cs="宋体"/>
      <w:szCs w:val="20"/>
    </w:rPr>
  </w:style>
  <w:style w:type="paragraph" w:styleId="1507">
    <w:name w:val="xl116"/>
    <w:basedOn w:val="928"/>
    <w:next w:val="1507"/>
    <w:link w:val="928"/>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08">
    <w:name w:val="xl66"/>
    <w:basedOn w:val="928"/>
    <w:next w:val="1508"/>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9">
    <w:name w:val="xl90"/>
    <w:basedOn w:val="928"/>
    <w:next w:val="1509"/>
    <w:link w:val="928"/>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10">
    <w:name w:val="xl177"/>
    <w:basedOn w:val="928"/>
    <w:next w:val="1510"/>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11">
    <w:name w:val="Char Char2 Char"/>
    <w:basedOn w:val="928"/>
    <w:next w:val="1511"/>
    <w:link w:val="928"/>
    <w:pPr>
      <w:ind w:left="390" w:hanging="390"/>
      <w:keepLines/>
      <w:keepNext/>
      <w:pageBreakBefore/>
      <w:tabs>
        <w:tab w:val="left" w:pos="390" w:leader="none"/>
      </w:tabs>
    </w:pPr>
    <w:rPr>
      <w:rFonts w:ascii="Tahoma" w:hAnsi="Tahoma"/>
      <w:szCs w:val="20"/>
    </w:rPr>
  </w:style>
  <w:style w:type="paragraph" w:styleId="1512">
    <w:name w:val="xl192"/>
    <w:basedOn w:val="928"/>
    <w:next w:val="1512"/>
    <w:link w:val="928"/>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13">
    <w:name w:val="xl139"/>
    <w:basedOn w:val="928"/>
    <w:next w:val="1513"/>
    <w:link w:val="92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14">
    <w:name w:val="xl208"/>
    <w:basedOn w:val="928"/>
    <w:next w:val="1514"/>
    <w:link w:val="928"/>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15">
    <w:name w:val="xl110"/>
    <w:basedOn w:val="928"/>
    <w:next w:val="1515"/>
    <w:link w:val="928"/>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16">
    <w:name w:val="xl136"/>
    <w:basedOn w:val="928"/>
    <w:next w:val="1516"/>
    <w:link w:val="92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17">
    <w:name w:val="font16"/>
    <w:basedOn w:val="928"/>
    <w:next w:val="1517"/>
    <w:link w:val="928"/>
    <w:pPr>
      <w:jc w:val="left"/>
      <w:spacing w:before="100" w:beforeAutospacing="1" w:after="100" w:afterAutospacing="1"/>
      <w:widowControl/>
    </w:pPr>
    <w:rPr>
      <w:rFonts w:cs="宋体"/>
      <w:sz w:val="18"/>
      <w:szCs w:val="18"/>
    </w:rPr>
  </w:style>
  <w:style w:type="paragraph" w:styleId="1518">
    <w:name w:val="xl67"/>
    <w:basedOn w:val="928"/>
    <w:next w:val="1518"/>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19">
    <w:name w:val="xl24"/>
    <w:basedOn w:val="928"/>
    <w:next w:val="1519"/>
    <w:link w:val="928"/>
    <w:pPr>
      <w:jc w:val="center"/>
      <w:spacing w:before="100" w:beforeAutospacing="1" w:after="100" w:afterAutospacing="1"/>
      <w:widowControl/>
    </w:pPr>
    <w:rPr>
      <w:rFonts w:hint="eastAsia"/>
    </w:rPr>
  </w:style>
  <w:style w:type="paragraph" w:styleId="1520">
    <w:name w:val="xl185"/>
    <w:basedOn w:val="928"/>
    <w:next w:val="1520"/>
    <w:link w:val="9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1">
    <w:name w:val="列出段落1"/>
    <w:basedOn w:val="928"/>
    <w:next w:val="1521"/>
    <w:link w:val="928"/>
    <w:uiPriority w:val="34"/>
    <w:qFormat/>
    <w:pPr>
      <w:ind w:firstLine="420"/>
    </w:pPr>
    <w:rPr>
      <w:rFonts w:ascii="Calibri" w:hAnsi="Calibri"/>
      <w:sz w:val="21"/>
      <w:szCs w:val="22"/>
    </w:rPr>
  </w:style>
  <w:style w:type="paragraph" w:styleId="1522">
    <w:name w:val=" Char1 Char Char Char Char Char Char"/>
    <w:basedOn w:val="928"/>
    <w:next w:val="1522"/>
    <w:link w:val="928"/>
    <w:rPr>
      <w:rFonts w:ascii="Tahoma" w:hAnsi="Tahoma"/>
      <w:szCs w:val="20"/>
    </w:rPr>
  </w:style>
  <w:style w:type="paragraph" w:styleId="1523">
    <w:name w:val="xl149"/>
    <w:basedOn w:val="928"/>
    <w:next w:val="1523"/>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24">
    <w:name w:val="封面标题"/>
    <w:basedOn w:val="928"/>
    <w:next w:val="1524"/>
    <w:link w:val="928"/>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525">
    <w:name w:val="word"/>
    <w:basedOn w:val="928"/>
    <w:next w:val="1525"/>
    <w:link w:val="928"/>
    <w:pPr>
      <w:jc w:val="left"/>
      <w:spacing w:before="100" w:beforeAutospacing="1" w:after="100" w:afterAutospacing="1" w:line="270" w:lineRule="atLeast"/>
      <w:widowControl/>
    </w:pPr>
    <w:rPr>
      <w:rFonts w:ascii="ˎ̥" w:hAnsi="ˎ̥" w:cs="宋体"/>
      <w:color w:val="000000"/>
      <w:sz w:val="18"/>
      <w:szCs w:val="18"/>
    </w:rPr>
  </w:style>
  <w:style w:type="paragraph" w:styleId="1526">
    <w:name w:val="font21"/>
    <w:basedOn w:val="928"/>
    <w:next w:val="1526"/>
    <w:link w:val="928"/>
    <w:pPr>
      <w:jc w:val="left"/>
      <w:spacing w:before="100" w:beforeAutospacing="1" w:after="100" w:afterAutospacing="1"/>
      <w:widowControl/>
    </w:pPr>
    <w:rPr>
      <w:rFonts w:cs="宋体"/>
      <w:sz w:val="18"/>
      <w:szCs w:val="18"/>
    </w:rPr>
  </w:style>
  <w:style w:type="paragraph" w:styleId="1527">
    <w:name w:val="Note heading"/>
    <w:basedOn w:val="928"/>
    <w:next w:val="928"/>
    <w:link w:val="928"/>
    <w:pPr>
      <w:ind w:left="420"/>
      <w:keepLines/>
      <w:keepNext/>
      <w:spacing w:before="100"/>
      <w:widowControl/>
      <w:pBdr>
        <w:top w:val="single" w:color="000000" w:sz="8" w:space="1"/>
      </w:pBdr>
    </w:pPr>
    <w:rPr>
      <w:rFonts w:ascii="Times New Roman" w:hAnsi="Times New Roman" w:eastAsia="黑体"/>
      <w:sz w:val="21"/>
      <w:szCs w:val="18"/>
    </w:rPr>
  </w:style>
  <w:style w:type="paragraph" w:styleId="1528">
    <w:name w:val="列项——（一级）"/>
    <w:next w:val="1528"/>
    <w:link w:val="928"/>
    <w:pPr>
      <w:ind w:left="1440" w:hanging="720"/>
      <w:jc w:val="both"/>
      <w:widowControl w:val="off"/>
      <w:tabs>
        <w:tab w:val="left" w:pos="854" w:leader="none"/>
        <w:tab w:val="left" w:pos="1440" w:leader="none"/>
      </w:tabs>
    </w:pPr>
    <w:rPr>
      <w:rFonts w:ascii="宋体"/>
      <w:sz w:val="21"/>
      <w:lang w:val="en-US" w:eastAsia="zh-CN" w:bidi="ar-SA"/>
    </w:rPr>
  </w:style>
  <w:style w:type="paragraph" w:styleId="1529">
    <w:name w:val="xl117"/>
    <w:basedOn w:val="928"/>
    <w:next w:val="1529"/>
    <w:link w:val="928"/>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30">
    <w:name w:val="xl210"/>
    <w:basedOn w:val="928"/>
    <w:next w:val="1530"/>
    <w:link w:val="928"/>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31">
    <w:name w:val="xl87"/>
    <w:basedOn w:val="928"/>
    <w:next w:val="1531"/>
    <w:link w:val="92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32">
    <w:name w:val="小四 段落 宋体 Char"/>
    <w:basedOn w:val="955"/>
    <w:next w:val="1532"/>
    <w:link w:val="928"/>
    <w:pPr>
      <w:ind w:left="0" w:right="-33" w:firstLine="480"/>
      <w:jc w:val="left"/>
      <w:spacing w:line="360" w:lineRule="auto"/>
      <w:tabs>
        <w:tab w:val="clear" w:pos="420" w:leader="none"/>
      </w:tabs>
    </w:pPr>
    <w:rPr>
      <w:sz w:val="24"/>
    </w:rPr>
  </w:style>
  <w:style w:type="paragraph" w:styleId="1533">
    <w:name w:val="表"/>
    <w:basedOn w:val="928"/>
    <w:next w:val="1533"/>
    <w:link w:val="928"/>
    <w:pPr>
      <w:ind w:left="-57" w:right="-57"/>
      <w:jc w:val="center"/>
      <w:spacing w:before="60" w:after="60"/>
    </w:pPr>
    <w:rPr>
      <w:rFonts w:ascii="Times New Roman" w:hAnsi="Times New Roman"/>
      <w:color w:val="000000"/>
      <w:sz w:val="21"/>
      <w:szCs w:val="20"/>
    </w:rPr>
  </w:style>
  <w:style w:type="paragraph" w:styleId="1534">
    <w:name w:val="font26"/>
    <w:basedOn w:val="928"/>
    <w:next w:val="1534"/>
    <w:link w:val="928"/>
    <w:pPr>
      <w:jc w:val="left"/>
      <w:spacing w:before="100" w:beforeAutospacing="1" w:after="100" w:afterAutospacing="1"/>
      <w:widowControl/>
    </w:pPr>
    <w:rPr>
      <w:rFonts w:cs="宋体"/>
      <w:b/>
      <w:bCs/>
      <w:sz w:val="18"/>
      <w:szCs w:val="18"/>
    </w:rPr>
  </w:style>
  <w:style w:type="paragraph" w:styleId="1535">
    <w:name w:val="标题5"/>
    <w:basedOn w:val="928"/>
    <w:next w:val="1535"/>
    <w:link w:val="928"/>
    <w:pPr>
      <w:spacing w:line="360" w:lineRule="auto"/>
    </w:pPr>
    <w:rPr>
      <w:rFonts w:hAnsi="Times New Roman"/>
      <w:b/>
    </w:rPr>
  </w:style>
  <w:style w:type="table" w:styleId="1536">
    <w:name w:val="Table"/>
    <w:basedOn w:val="939"/>
    <w:next w:val="1536"/>
    <w:link w:val="928"/>
    <w:pPr>
      <w:ind w:left="2520" w:hanging="420"/>
      <w:jc w:val="both"/>
    </w:pPr>
    <w:rPr>
      <w:sz w:val="18"/>
    </w:rPr>
    <w:tblPr/>
  </w:style>
  <w:style w:type="paragraph" w:styleId="1537">
    <w:name w:val="正文空2格  1."/>
    <w:basedOn w:val="928"/>
    <w:next w:val="1537"/>
    <w:link w:val="928"/>
    <w:qFormat/>
    <w:pPr>
      <w:ind w:firstLine="480"/>
      <w:spacing w:line="360" w:lineRule="auto"/>
    </w:pPr>
    <w:rPr>
      <w:rFonts w:hint="eastAsia" w:hAnsi="Times New Roman" w:eastAsia="仿宋"/>
      <w:sz w:val="28"/>
      <w:szCs w:val="20"/>
    </w:rPr>
  </w:style>
  <w:style w:type="paragraph" w:styleId="1538">
    <w:name w:val="纯文本6"/>
    <w:basedOn w:val="928"/>
    <w:next w:val="1538"/>
    <w:link w:val="928"/>
    <w:qFormat/>
    <w:rPr>
      <w:rFonts w:hAnsi="Courier New" w:eastAsia="楷体_GB2312"/>
      <w:sz w:val="26"/>
      <w:szCs w:val="20"/>
    </w:rPr>
  </w:style>
  <w:style w:type="paragraph" w:styleId="1539">
    <w:name w:val="二级目录"/>
    <w:next w:val="928"/>
    <w:link w:val="928"/>
    <w:pPr>
      <w:numPr>
        <w:ilvl w:val="0"/>
        <w:numId w:val="19"/>
      </w:numPr>
      <w:tabs>
        <w:tab w:val="left" w:pos="720" w:leader="none"/>
      </w:tabs>
      <w:outlineLvl w:val="1"/>
    </w:pPr>
    <w:rPr>
      <w:b/>
      <w:sz w:val="30"/>
      <w:szCs w:val="28"/>
      <w:lang w:val="en-US" w:eastAsia="zh-CN" w:bidi="ar-SA"/>
    </w:rPr>
  </w:style>
  <w:style w:type="table" w:styleId="1540">
    <w:name w:val="Table Normal"/>
    <w:basedOn w:val="939"/>
    <w:next w:val="1540"/>
    <w:link w:val="928"/>
    <w:tblPr/>
  </w:style>
  <w:style w:type="paragraph" w:styleId="1541">
    <w:name w:val="Char Char Char Char Char Char Char Char Char Char"/>
    <w:basedOn w:val="928"/>
    <w:next w:val="1541"/>
    <w:link w:val="928"/>
    <w:qFormat/>
    <w:pPr>
      <w:numPr>
        <w:ilvl w:val="0"/>
        <w:numId w:val="20"/>
      </w:numPr>
      <w:ind w:left="360" w:hanging="360"/>
      <w:tabs>
        <w:tab w:val="left" w:pos="360" w:leader="none"/>
      </w:tabs>
    </w:pPr>
    <w:rPr>
      <w:rFonts w:ascii="Times New Roman" w:hAnsi="Times New Roman"/>
      <w:color w:val="000000"/>
    </w:rPr>
  </w:style>
  <w:style w:type="table" w:styleId="1542">
    <w:name w:val="网格表 1 浅色"/>
    <w:basedOn w:val="939"/>
    <w:next w:val="1542"/>
    <w:link w:val="928"/>
    <w:uiPriority w:val="99"/>
    <w:rPr>
      <w:rFonts w:eastAsia="等线"/>
    </w:rPr>
    <w:tblPr/>
  </w:style>
  <w:style w:type="character" w:styleId="1543">
    <w:name w:val="Heading 1 Char"/>
    <w:next w:val="1543"/>
    <w:link w:val="928"/>
    <w:uiPriority w:val="9"/>
    <w:rPr>
      <w:rFonts w:ascii="Arial" w:hAnsi="Arial" w:eastAsia="Arial" w:cs="Arial"/>
      <w:sz w:val="40"/>
      <w:szCs w:val="40"/>
    </w:rPr>
  </w:style>
  <w:style w:type="character" w:styleId="1544">
    <w:name w:val="Heading 2 Char"/>
    <w:next w:val="1544"/>
    <w:link w:val="928"/>
    <w:uiPriority w:val="9"/>
    <w:rPr>
      <w:rFonts w:ascii="Arial" w:hAnsi="Arial" w:eastAsia="Arial" w:cs="Arial"/>
      <w:sz w:val="34"/>
    </w:rPr>
  </w:style>
  <w:style w:type="character" w:styleId="1545">
    <w:name w:val="Heading 3 Char"/>
    <w:next w:val="1545"/>
    <w:link w:val="928"/>
    <w:uiPriority w:val="9"/>
    <w:rPr>
      <w:rFonts w:ascii="Arial" w:hAnsi="Arial" w:eastAsia="Arial" w:cs="Arial"/>
      <w:sz w:val="30"/>
      <w:szCs w:val="30"/>
    </w:rPr>
  </w:style>
  <w:style w:type="character" w:styleId="1546">
    <w:name w:val="Heading 4 Char"/>
    <w:next w:val="1546"/>
    <w:link w:val="928"/>
    <w:uiPriority w:val="9"/>
    <w:rPr>
      <w:rFonts w:ascii="Arial" w:hAnsi="Arial" w:eastAsia="Arial" w:cs="Arial"/>
      <w:b/>
      <w:bCs/>
      <w:sz w:val="26"/>
      <w:szCs w:val="26"/>
    </w:rPr>
  </w:style>
  <w:style w:type="character" w:styleId="1547">
    <w:name w:val="Heading 5 Char"/>
    <w:next w:val="1547"/>
    <w:link w:val="928"/>
    <w:uiPriority w:val="9"/>
    <w:rPr>
      <w:rFonts w:ascii="Arial" w:hAnsi="Arial" w:eastAsia="Arial" w:cs="Arial"/>
      <w:b/>
      <w:bCs/>
      <w:sz w:val="24"/>
      <w:szCs w:val="24"/>
    </w:rPr>
  </w:style>
  <w:style w:type="character" w:styleId="1548">
    <w:name w:val="Heading 6 Char"/>
    <w:next w:val="1548"/>
    <w:link w:val="928"/>
    <w:uiPriority w:val="9"/>
    <w:rPr>
      <w:rFonts w:ascii="Arial" w:hAnsi="Arial" w:eastAsia="Arial" w:cs="Arial"/>
      <w:b/>
      <w:bCs/>
      <w:sz w:val="22"/>
      <w:szCs w:val="22"/>
    </w:rPr>
  </w:style>
  <w:style w:type="character" w:styleId="1549">
    <w:name w:val="Heading 7 Char"/>
    <w:next w:val="1549"/>
    <w:link w:val="928"/>
    <w:uiPriority w:val="9"/>
    <w:rPr>
      <w:rFonts w:ascii="Arial" w:hAnsi="Arial" w:eastAsia="Arial" w:cs="Arial"/>
      <w:b/>
      <w:bCs/>
      <w:i/>
      <w:iCs/>
      <w:sz w:val="22"/>
      <w:szCs w:val="22"/>
    </w:rPr>
  </w:style>
  <w:style w:type="character" w:styleId="1550">
    <w:name w:val="Heading 8 Char"/>
    <w:next w:val="1550"/>
    <w:link w:val="928"/>
    <w:uiPriority w:val="9"/>
    <w:rPr>
      <w:rFonts w:ascii="Arial" w:hAnsi="Arial" w:eastAsia="Arial" w:cs="Arial"/>
      <w:i/>
      <w:iCs/>
      <w:sz w:val="22"/>
      <w:szCs w:val="22"/>
    </w:rPr>
  </w:style>
  <w:style w:type="character" w:styleId="1551">
    <w:name w:val="Heading 9 Char"/>
    <w:next w:val="1551"/>
    <w:link w:val="928"/>
    <w:uiPriority w:val="9"/>
    <w:rPr>
      <w:rFonts w:ascii="Arial" w:hAnsi="Arial" w:eastAsia="Arial" w:cs="Arial"/>
      <w:i/>
      <w:iCs/>
      <w:sz w:val="21"/>
      <w:szCs w:val="21"/>
    </w:rPr>
  </w:style>
  <w:style w:type="character" w:styleId="1552">
    <w:name w:val="Title Char"/>
    <w:next w:val="1552"/>
    <w:link w:val="928"/>
    <w:uiPriority w:val="10"/>
    <w:rPr>
      <w:sz w:val="48"/>
      <w:szCs w:val="48"/>
    </w:rPr>
  </w:style>
  <w:style w:type="character" w:styleId="1553">
    <w:name w:val="Subtitle Char"/>
    <w:next w:val="1553"/>
    <w:link w:val="928"/>
    <w:uiPriority w:val="11"/>
    <w:rPr>
      <w:sz w:val="24"/>
      <w:szCs w:val="24"/>
    </w:rPr>
  </w:style>
  <w:style w:type="character" w:styleId="1554">
    <w:name w:val="Quote Char"/>
    <w:next w:val="1554"/>
    <w:link w:val="928"/>
    <w:uiPriority w:val="29"/>
    <w:rPr>
      <w:i/>
    </w:rPr>
  </w:style>
  <w:style w:type="character" w:styleId="1555">
    <w:name w:val="Intense Quote Char"/>
    <w:next w:val="1555"/>
    <w:link w:val="928"/>
    <w:uiPriority w:val="30"/>
    <w:rPr>
      <w:i/>
    </w:rPr>
  </w:style>
  <w:style w:type="character" w:styleId="1556">
    <w:name w:val="Caption Char"/>
    <w:next w:val="1556"/>
    <w:link w:val="928"/>
    <w:uiPriority w:val="99"/>
  </w:style>
  <w:style w:type="table" w:styleId="1557">
    <w:name w:val="无格式表格 11"/>
    <w:basedOn w:val="939"/>
    <w:next w:val="1557"/>
    <w:link w:val="928"/>
    <w:uiPriority w:val="59"/>
    <w:tblPr/>
  </w:style>
  <w:style w:type="table" w:styleId="1558">
    <w:name w:val="无格式表格 21"/>
    <w:basedOn w:val="939"/>
    <w:next w:val="1558"/>
    <w:link w:val="928"/>
    <w:uiPriority w:val="59"/>
    <w:tblPr/>
  </w:style>
  <w:style w:type="table" w:styleId="1559">
    <w:name w:val="无格式表格 31"/>
    <w:basedOn w:val="939"/>
    <w:next w:val="1559"/>
    <w:link w:val="928"/>
    <w:uiPriority w:val="99"/>
    <w:tblPr/>
  </w:style>
  <w:style w:type="table" w:styleId="1560">
    <w:name w:val="无格式表格 41"/>
    <w:basedOn w:val="939"/>
    <w:next w:val="1560"/>
    <w:link w:val="928"/>
    <w:uiPriority w:val="99"/>
    <w:tblPr/>
  </w:style>
  <w:style w:type="table" w:styleId="1561">
    <w:name w:val="无格式表格 51"/>
    <w:basedOn w:val="939"/>
    <w:next w:val="1561"/>
    <w:link w:val="928"/>
    <w:uiPriority w:val="99"/>
    <w:tblPr/>
  </w:style>
  <w:style w:type="table" w:styleId="1562">
    <w:name w:val="网格表 1 浅色1"/>
    <w:basedOn w:val="939"/>
    <w:next w:val="1562"/>
    <w:link w:val="928"/>
    <w:uiPriority w:val="99"/>
    <w:tblPr/>
  </w:style>
  <w:style w:type="table" w:styleId="1563">
    <w:name w:val="网格表 21"/>
    <w:basedOn w:val="939"/>
    <w:next w:val="1563"/>
    <w:link w:val="928"/>
    <w:uiPriority w:val="99"/>
    <w:tblPr/>
  </w:style>
  <w:style w:type="table" w:styleId="1564">
    <w:name w:val="网格表 31"/>
    <w:basedOn w:val="939"/>
    <w:next w:val="1564"/>
    <w:link w:val="928"/>
    <w:uiPriority w:val="99"/>
    <w:tblPr/>
  </w:style>
  <w:style w:type="table" w:styleId="1565">
    <w:name w:val="网格表 41"/>
    <w:basedOn w:val="939"/>
    <w:next w:val="1565"/>
    <w:link w:val="928"/>
    <w:uiPriority w:val="59"/>
    <w:tblPr/>
  </w:style>
  <w:style w:type="table" w:styleId="1566">
    <w:name w:val="网格表 5 深色1"/>
    <w:basedOn w:val="939"/>
    <w:next w:val="1566"/>
    <w:link w:val="928"/>
    <w:uiPriority w:val="99"/>
    <w:tblPr/>
  </w:style>
  <w:style w:type="table" w:styleId="1567">
    <w:name w:val="网格表 6 彩色1"/>
    <w:basedOn w:val="939"/>
    <w:next w:val="1567"/>
    <w:link w:val="928"/>
    <w:uiPriority w:val="99"/>
    <w:tblPr/>
  </w:style>
  <w:style w:type="table" w:styleId="1568">
    <w:name w:val="网格表 7 彩色1"/>
    <w:basedOn w:val="939"/>
    <w:next w:val="1568"/>
    <w:link w:val="928"/>
    <w:uiPriority w:val="99"/>
    <w:tblPr/>
  </w:style>
  <w:style w:type="table" w:styleId="1569">
    <w:name w:val="清单表 1 浅色1"/>
    <w:basedOn w:val="939"/>
    <w:next w:val="1569"/>
    <w:link w:val="928"/>
    <w:uiPriority w:val="99"/>
    <w:tblPr/>
  </w:style>
  <w:style w:type="table" w:styleId="1570">
    <w:name w:val="清单表 21"/>
    <w:basedOn w:val="939"/>
    <w:next w:val="1570"/>
    <w:link w:val="928"/>
    <w:uiPriority w:val="99"/>
    <w:tblPr/>
  </w:style>
  <w:style w:type="table" w:styleId="1571">
    <w:name w:val="清单表 31"/>
    <w:basedOn w:val="939"/>
    <w:next w:val="1571"/>
    <w:link w:val="928"/>
    <w:uiPriority w:val="99"/>
    <w:tblPr/>
  </w:style>
  <w:style w:type="table" w:styleId="1572">
    <w:name w:val="清单表 41"/>
    <w:basedOn w:val="939"/>
    <w:next w:val="1572"/>
    <w:link w:val="928"/>
    <w:uiPriority w:val="99"/>
    <w:tblPr/>
  </w:style>
  <w:style w:type="table" w:styleId="1573">
    <w:name w:val="清单表 5 深色1"/>
    <w:basedOn w:val="939"/>
    <w:next w:val="1573"/>
    <w:link w:val="928"/>
    <w:uiPriority w:val="99"/>
    <w:tblPr/>
  </w:style>
  <w:style w:type="table" w:styleId="1574">
    <w:name w:val="清单表 6 彩色1"/>
    <w:basedOn w:val="939"/>
    <w:next w:val="1574"/>
    <w:link w:val="928"/>
    <w:uiPriority w:val="99"/>
    <w:tblPr/>
  </w:style>
  <w:style w:type="table" w:styleId="1575">
    <w:name w:val="清单表 7 彩色1"/>
    <w:basedOn w:val="939"/>
    <w:next w:val="1575"/>
    <w:link w:val="928"/>
    <w:uiPriority w:val="99"/>
    <w:tblPr/>
  </w:style>
  <w:style w:type="character" w:styleId="1576">
    <w:name w:val="Footnote Text Char"/>
    <w:next w:val="1576"/>
    <w:link w:val="928"/>
    <w:uiPriority w:val="99"/>
    <w:rPr>
      <w:sz w:val="18"/>
    </w:rPr>
  </w:style>
  <w:style w:type="character" w:styleId="1577">
    <w:name w:val="Endnote Text Char"/>
    <w:next w:val="1577"/>
    <w:link w:val="928"/>
    <w:uiPriority w:val="99"/>
    <w:rPr>
      <w:sz w:val="20"/>
    </w:rPr>
  </w:style>
  <w:style w:type="table" w:styleId="1578">
    <w:name w:val="网格型1"/>
    <w:basedOn w:val="939"/>
    <w:next w:val="1578"/>
    <w:link w:val="928"/>
    <w:uiPriority w:val="59"/>
    <w:qFormat/>
    <w:tblPr/>
  </w:style>
  <w:style w:type="table" w:styleId="1579">
    <w:name w:val="Table Grid Light"/>
    <w:basedOn w:val="939"/>
    <w:next w:val="1579"/>
    <w:link w:val="928"/>
    <w:uiPriority w:val="59"/>
    <w:qFormat/>
    <w:tblPr/>
  </w:style>
  <w:style w:type="table" w:styleId="1580">
    <w:name w:val="无格式表格 311"/>
    <w:basedOn w:val="939"/>
    <w:next w:val="1580"/>
    <w:link w:val="928"/>
    <w:uiPriority w:val="99"/>
    <w:qFormat/>
    <w:tblPr/>
  </w:style>
  <w:style w:type="table" w:styleId="1581">
    <w:name w:val="无格式表格 411"/>
    <w:basedOn w:val="939"/>
    <w:next w:val="1581"/>
    <w:link w:val="928"/>
    <w:uiPriority w:val="99"/>
    <w:qFormat/>
    <w:tblPr/>
  </w:style>
  <w:style w:type="table" w:styleId="1582">
    <w:name w:val="无格式表格 511"/>
    <w:basedOn w:val="939"/>
    <w:next w:val="1582"/>
    <w:link w:val="928"/>
    <w:uiPriority w:val="99"/>
    <w:qFormat/>
    <w:tblPr/>
  </w:style>
  <w:style w:type="table" w:styleId="1583">
    <w:name w:val="网格表 1 浅色11"/>
    <w:basedOn w:val="939"/>
    <w:next w:val="1583"/>
    <w:link w:val="928"/>
    <w:uiPriority w:val="99"/>
    <w:qFormat/>
    <w:tblPr/>
  </w:style>
  <w:style w:type="table" w:styleId="1584">
    <w:name w:val="Grid Table 1 Light - Accent 1"/>
    <w:basedOn w:val="939"/>
    <w:next w:val="1584"/>
    <w:link w:val="928"/>
    <w:uiPriority w:val="99"/>
    <w:qFormat/>
    <w:tblPr/>
  </w:style>
  <w:style w:type="table" w:styleId="1585">
    <w:name w:val="Grid Table 1 Light - Accent 2"/>
    <w:basedOn w:val="939"/>
    <w:next w:val="1585"/>
    <w:link w:val="928"/>
    <w:uiPriority w:val="99"/>
    <w:qFormat/>
    <w:tblPr/>
  </w:style>
  <w:style w:type="table" w:styleId="1586">
    <w:name w:val="Grid Table 1 Light - Accent 3"/>
    <w:basedOn w:val="939"/>
    <w:next w:val="1586"/>
    <w:link w:val="928"/>
    <w:uiPriority w:val="99"/>
    <w:qFormat/>
    <w:tblPr/>
  </w:style>
  <w:style w:type="table" w:styleId="1587">
    <w:name w:val="Grid Table 1 Light - Accent 4"/>
    <w:basedOn w:val="939"/>
    <w:next w:val="1587"/>
    <w:link w:val="928"/>
    <w:uiPriority w:val="99"/>
    <w:qFormat/>
    <w:tblPr/>
  </w:style>
  <w:style w:type="table" w:styleId="1588">
    <w:name w:val="Grid Table 1 Light - Accent 5"/>
    <w:basedOn w:val="939"/>
    <w:next w:val="1588"/>
    <w:link w:val="928"/>
    <w:uiPriority w:val="99"/>
    <w:qFormat/>
    <w:tblPr/>
  </w:style>
  <w:style w:type="table" w:styleId="1589">
    <w:name w:val="Grid Table 1 Light - Accent 6"/>
    <w:basedOn w:val="939"/>
    <w:next w:val="1589"/>
    <w:link w:val="928"/>
    <w:uiPriority w:val="99"/>
    <w:qFormat/>
    <w:tblPr/>
  </w:style>
  <w:style w:type="table" w:styleId="1590">
    <w:name w:val="网格表 211"/>
    <w:basedOn w:val="939"/>
    <w:next w:val="1590"/>
    <w:link w:val="928"/>
    <w:uiPriority w:val="99"/>
    <w:qFormat/>
    <w:tblPr/>
  </w:style>
  <w:style w:type="table" w:styleId="1591">
    <w:name w:val="Grid Table 2 - Accent 1"/>
    <w:basedOn w:val="939"/>
    <w:next w:val="1591"/>
    <w:link w:val="928"/>
    <w:uiPriority w:val="99"/>
    <w:qFormat/>
    <w:tblPr/>
  </w:style>
  <w:style w:type="table" w:styleId="1592">
    <w:name w:val="Grid Table 2 - Accent 2"/>
    <w:basedOn w:val="939"/>
    <w:next w:val="1592"/>
    <w:link w:val="928"/>
    <w:uiPriority w:val="99"/>
    <w:qFormat/>
    <w:tblPr/>
  </w:style>
  <w:style w:type="table" w:styleId="1593">
    <w:name w:val="Grid Table 2 - Accent 3"/>
    <w:basedOn w:val="939"/>
    <w:next w:val="1593"/>
    <w:link w:val="928"/>
    <w:uiPriority w:val="99"/>
    <w:qFormat/>
    <w:tblPr/>
  </w:style>
  <w:style w:type="table" w:styleId="1594">
    <w:name w:val="Grid Table 2 - Accent 4"/>
    <w:basedOn w:val="939"/>
    <w:next w:val="1594"/>
    <w:link w:val="928"/>
    <w:uiPriority w:val="99"/>
    <w:qFormat/>
    <w:tblPr/>
  </w:style>
  <w:style w:type="table" w:styleId="1595">
    <w:name w:val="Grid Table 2 - Accent 5"/>
    <w:basedOn w:val="939"/>
    <w:next w:val="1595"/>
    <w:link w:val="928"/>
    <w:uiPriority w:val="99"/>
    <w:qFormat/>
    <w:tblPr/>
  </w:style>
  <w:style w:type="table" w:styleId="1596">
    <w:name w:val="Grid Table 2 - Accent 6"/>
    <w:basedOn w:val="939"/>
    <w:next w:val="1596"/>
    <w:link w:val="928"/>
    <w:uiPriority w:val="99"/>
    <w:qFormat/>
    <w:tblPr/>
  </w:style>
  <w:style w:type="table" w:styleId="1597">
    <w:name w:val="网格表 311"/>
    <w:basedOn w:val="939"/>
    <w:next w:val="1597"/>
    <w:link w:val="928"/>
    <w:uiPriority w:val="99"/>
    <w:qFormat/>
    <w:tblPr/>
  </w:style>
  <w:style w:type="table" w:styleId="1598">
    <w:name w:val="Grid Table 3 - Accent 1"/>
    <w:basedOn w:val="939"/>
    <w:next w:val="1598"/>
    <w:link w:val="928"/>
    <w:uiPriority w:val="99"/>
    <w:qFormat/>
    <w:tblPr/>
  </w:style>
  <w:style w:type="table" w:styleId="1599">
    <w:name w:val="Grid Table 3 - Accent 2"/>
    <w:basedOn w:val="939"/>
    <w:next w:val="1599"/>
    <w:link w:val="928"/>
    <w:uiPriority w:val="99"/>
    <w:qFormat/>
    <w:tblPr/>
  </w:style>
  <w:style w:type="table" w:styleId="1600">
    <w:name w:val="Grid Table 3 - Accent 3"/>
    <w:basedOn w:val="939"/>
    <w:next w:val="1600"/>
    <w:link w:val="928"/>
    <w:uiPriority w:val="99"/>
    <w:qFormat/>
    <w:tblPr/>
  </w:style>
  <w:style w:type="table" w:styleId="1601">
    <w:name w:val="Grid Table 3 - Accent 4"/>
    <w:basedOn w:val="939"/>
    <w:next w:val="1601"/>
    <w:link w:val="928"/>
    <w:uiPriority w:val="99"/>
    <w:qFormat/>
    <w:tblPr/>
  </w:style>
  <w:style w:type="table" w:styleId="1602">
    <w:name w:val="Grid Table 3 - Accent 5"/>
    <w:basedOn w:val="939"/>
    <w:next w:val="1602"/>
    <w:link w:val="928"/>
    <w:uiPriority w:val="99"/>
    <w:qFormat/>
    <w:tblPr/>
  </w:style>
  <w:style w:type="table" w:styleId="1603">
    <w:name w:val="Grid Table 3 - Accent 6"/>
    <w:basedOn w:val="939"/>
    <w:next w:val="1603"/>
    <w:link w:val="928"/>
    <w:uiPriority w:val="99"/>
    <w:qFormat/>
    <w:tblPr/>
  </w:style>
  <w:style w:type="table" w:styleId="1604">
    <w:name w:val="网格表 411"/>
    <w:basedOn w:val="939"/>
    <w:next w:val="1604"/>
    <w:link w:val="928"/>
    <w:uiPriority w:val="59"/>
    <w:qFormat/>
    <w:tblPr/>
  </w:style>
  <w:style w:type="table" w:styleId="1605">
    <w:name w:val="Grid Table 4 - Accent 1"/>
    <w:basedOn w:val="939"/>
    <w:next w:val="1605"/>
    <w:link w:val="928"/>
    <w:uiPriority w:val="59"/>
    <w:qFormat/>
    <w:tblPr/>
  </w:style>
  <w:style w:type="table" w:styleId="1606">
    <w:name w:val="Grid Table 4 - Accent 2"/>
    <w:basedOn w:val="939"/>
    <w:next w:val="1606"/>
    <w:link w:val="928"/>
    <w:uiPriority w:val="59"/>
    <w:qFormat/>
    <w:tblPr/>
  </w:style>
  <w:style w:type="table" w:styleId="1607">
    <w:name w:val="Grid Table 4 - Accent 3"/>
    <w:basedOn w:val="939"/>
    <w:next w:val="1607"/>
    <w:link w:val="928"/>
    <w:uiPriority w:val="59"/>
    <w:qFormat/>
    <w:tblPr/>
  </w:style>
  <w:style w:type="table" w:styleId="1608">
    <w:name w:val="Grid Table 4 - Accent 4"/>
    <w:basedOn w:val="939"/>
    <w:next w:val="1608"/>
    <w:link w:val="928"/>
    <w:uiPriority w:val="59"/>
    <w:qFormat/>
    <w:tblPr/>
  </w:style>
  <w:style w:type="table" w:styleId="1609">
    <w:name w:val="Grid Table 4 - Accent 5"/>
    <w:basedOn w:val="939"/>
    <w:next w:val="1609"/>
    <w:link w:val="928"/>
    <w:uiPriority w:val="59"/>
    <w:qFormat/>
    <w:tblPr/>
  </w:style>
  <w:style w:type="table" w:styleId="1610">
    <w:name w:val="Grid Table 4 - Accent 6"/>
    <w:basedOn w:val="939"/>
    <w:next w:val="1610"/>
    <w:link w:val="928"/>
    <w:uiPriority w:val="59"/>
    <w:qFormat/>
    <w:tblPr/>
  </w:style>
  <w:style w:type="table" w:styleId="1611">
    <w:name w:val="网格表 5 深色11"/>
    <w:basedOn w:val="939"/>
    <w:next w:val="1611"/>
    <w:link w:val="928"/>
    <w:uiPriority w:val="99"/>
    <w:qFormat/>
    <w:tblPr/>
  </w:style>
  <w:style w:type="table" w:styleId="1612">
    <w:name w:val="Grid Table 5 Dark- Accent 1"/>
    <w:basedOn w:val="939"/>
    <w:next w:val="1612"/>
    <w:link w:val="928"/>
    <w:uiPriority w:val="99"/>
    <w:qFormat/>
    <w:tblPr/>
  </w:style>
  <w:style w:type="table" w:styleId="1613">
    <w:name w:val="Grid Table 5 Dark - Accent 2"/>
    <w:basedOn w:val="939"/>
    <w:next w:val="1613"/>
    <w:link w:val="928"/>
    <w:uiPriority w:val="99"/>
    <w:qFormat/>
    <w:tblPr/>
  </w:style>
  <w:style w:type="table" w:styleId="1614">
    <w:name w:val="Grid Table 5 Dark - Accent 3"/>
    <w:basedOn w:val="939"/>
    <w:next w:val="1614"/>
    <w:link w:val="928"/>
    <w:uiPriority w:val="99"/>
    <w:qFormat/>
    <w:tblPr/>
  </w:style>
  <w:style w:type="table" w:styleId="1615">
    <w:name w:val="Grid Table 5 Dark- Accent 4"/>
    <w:basedOn w:val="939"/>
    <w:next w:val="1615"/>
    <w:link w:val="928"/>
    <w:uiPriority w:val="99"/>
    <w:qFormat/>
    <w:tblPr/>
  </w:style>
  <w:style w:type="table" w:styleId="1616">
    <w:name w:val="Grid Table 5 Dark - Accent 5"/>
    <w:basedOn w:val="939"/>
    <w:next w:val="1616"/>
    <w:link w:val="928"/>
    <w:uiPriority w:val="99"/>
    <w:qFormat/>
    <w:tblPr/>
  </w:style>
  <w:style w:type="table" w:styleId="1617">
    <w:name w:val="Grid Table 5 Dark - Accent 6"/>
    <w:basedOn w:val="939"/>
    <w:next w:val="1617"/>
    <w:link w:val="928"/>
    <w:uiPriority w:val="99"/>
    <w:qFormat/>
    <w:tblPr/>
  </w:style>
  <w:style w:type="table" w:styleId="1618">
    <w:name w:val="网格表 6 彩色11"/>
    <w:basedOn w:val="939"/>
    <w:next w:val="1618"/>
    <w:link w:val="928"/>
    <w:uiPriority w:val="99"/>
    <w:qFormat/>
    <w:tblPr/>
  </w:style>
  <w:style w:type="table" w:styleId="1619">
    <w:name w:val="Grid Table 6 Colorful - Accent 1"/>
    <w:basedOn w:val="939"/>
    <w:next w:val="1619"/>
    <w:link w:val="928"/>
    <w:uiPriority w:val="99"/>
    <w:qFormat/>
    <w:tblPr/>
  </w:style>
  <w:style w:type="table" w:styleId="1620">
    <w:name w:val="Grid Table 6 Colorful - Accent 2"/>
    <w:basedOn w:val="939"/>
    <w:next w:val="1620"/>
    <w:link w:val="928"/>
    <w:uiPriority w:val="99"/>
    <w:qFormat/>
    <w:tblPr/>
  </w:style>
  <w:style w:type="table" w:styleId="1621">
    <w:name w:val="Grid Table 6 Colorful - Accent 3"/>
    <w:basedOn w:val="939"/>
    <w:next w:val="1621"/>
    <w:link w:val="928"/>
    <w:uiPriority w:val="99"/>
    <w:qFormat/>
    <w:tblPr/>
  </w:style>
  <w:style w:type="table" w:styleId="1622">
    <w:name w:val="Grid Table 6 Colorful - Accent 4"/>
    <w:basedOn w:val="939"/>
    <w:next w:val="1622"/>
    <w:link w:val="928"/>
    <w:uiPriority w:val="99"/>
    <w:qFormat/>
    <w:tblPr/>
  </w:style>
  <w:style w:type="table" w:styleId="1623">
    <w:name w:val="Grid Table 6 Colorful - Accent 5"/>
    <w:basedOn w:val="939"/>
    <w:next w:val="1623"/>
    <w:link w:val="928"/>
    <w:uiPriority w:val="99"/>
    <w:qFormat/>
    <w:tblPr/>
  </w:style>
  <w:style w:type="table" w:styleId="1624">
    <w:name w:val="Grid Table 6 Colorful - Accent 6"/>
    <w:basedOn w:val="939"/>
    <w:next w:val="1624"/>
    <w:link w:val="928"/>
    <w:uiPriority w:val="99"/>
    <w:qFormat/>
    <w:tblPr/>
  </w:style>
  <w:style w:type="table" w:styleId="1625">
    <w:name w:val="网格表 7 彩色11"/>
    <w:basedOn w:val="939"/>
    <w:next w:val="1625"/>
    <w:link w:val="928"/>
    <w:uiPriority w:val="99"/>
    <w:qFormat/>
    <w:tblPr/>
  </w:style>
  <w:style w:type="table" w:styleId="1626">
    <w:name w:val="Grid Table 7 Colorful - Accent 1"/>
    <w:basedOn w:val="939"/>
    <w:next w:val="1626"/>
    <w:link w:val="928"/>
    <w:uiPriority w:val="99"/>
    <w:qFormat/>
    <w:tblPr/>
  </w:style>
  <w:style w:type="table" w:styleId="1627">
    <w:name w:val="Grid Table 7 Colorful - Accent 2"/>
    <w:basedOn w:val="939"/>
    <w:next w:val="1627"/>
    <w:link w:val="928"/>
    <w:uiPriority w:val="99"/>
    <w:qFormat/>
    <w:tblPr/>
  </w:style>
  <w:style w:type="table" w:styleId="1628">
    <w:name w:val="Grid Table 7 Colorful - Accent 3"/>
    <w:basedOn w:val="939"/>
    <w:next w:val="1628"/>
    <w:link w:val="928"/>
    <w:uiPriority w:val="99"/>
    <w:qFormat/>
    <w:tblPr/>
  </w:style>
  <w:style w:type="table" w:styleId="1629">
    <w:name w:val="Grid Table 7 Colorful - Accent 4"/>
    <w:basedOn w:val="939"/>
    <w:next w:val="1629"/>
    <w:link w:val="928"/>
    <w:uiPriority w:val="99"/>
    <w:qFormat/>
    <w:tblPr/>
  </w:style>
  <w:style w:type="table" w:styleId="1630">
    <w:name w:val="Grid Table 7 Colorful - Accent 5"/>
    <w:basedOn w:val="939"/>
    <w:next w:val="1630"/>
    <w:link w:val="928"/>
    <w:uiPriority w:val="99"/>
    <w:qFormat/>
    <w:tblPr/>
  </w:style>
  <w:style w:type="table" w:styleId="1631">
    <w:name w:val="Grid Table 7 Colorful - Accent 6"/>
    <w:basedOn w:val="939"/>
    <w:next w:val="1631"/>
    <w:link w:val="928"/>
    <w:uiPriority w:val="99"/>
    <w:qFormat/>
    <w:tblPr/>
  </w:style>
  <w:style w:type="table" w:styleId="1632">
    <w:name w:val="清单表 1 浅色11"/>
    <w:basedOn w:val="939"/>
    <w:next w:val="1632"/>
    <w:link w:val="928"/>
    <w:uiPriority w:val="99"/>
    <w:qFormat/>
    <w:tblPr/>
  </w:style>
  <w:style w:type="table" w:styleId="1633">
    <w:name w:val="List Table 1 Light - Accent 1"/>
    <w:basedOn w:val="939"/>
    <w:next w:val="1633"/>
    <w:link w:val="928"/>
    <w:uiPriority w:val="99"/>
    <w:qFormat/>
    <w:tblPr/>
  </w:style>
  <w:style w:type="table" w:styleId="1634">
    <w:name w:val="List Table 1 Light - Accent 2"/>
    <w:basedOn w:val="939"/>
    <w:next w:val="1634"/>
    <w:link w:val="928"/>
    <w:uiPriority w:val="99"/>
    <w:qFormat/>
    <w:tblPr/>
  </w:style>
  <w:style w:type="table" w:styleId="1635">
    <w:name w:val="List Table 1 Light - Accent 3"/>
    <w:basedOn w:val="939"/>
    <w:next w:val="1635"/>
    <w:link w:val="928"/>
    <w:uiPriority w:val="99"/>
    <w:qFormat/>
    <w:tblPr/>
  </w:style>
  <w:style w:type="table" w:styleId="1636">
    <w:name w:val="List Table 1 Light - Accent 4"/>
    <w:basedOn w:val="939"/>
    <w:next w:val="1636"/>
    <w:link w:val="928"/>
    <w:uiPriority w:val="99"/>
    <w:qFormat/>
    <w:tblPr/>
  </w:style>
  <w:style w:type="table" w:styleId="1637">
    <w:name w:val="List Table 1 Light - Accent 5"/>
    <w:basedOn w:val="939"/>
    <w:next w:val="1637"/>
    <w:link w:val="928"/>
    <w:uiPriority w:val="99"/>
    <w:qFormat/>
    <w:tblPr/>
  </w:style>
  <w:style w:type="table" w:styleId="1638">
    <w:name w:val="List Table 1 Light - Accent 6"/>
    <w:basedOn w:val="939"/>
    <w:next w:val="1638"/>
    <w:link w:val="928"/>
    <w:uiPriority w:val="99"/>
    <w:qFormat/>
    <w:tblPr/>
  </w:style>
  <w:style w:type="table" w:styleId="1639">
    <w:name w:val="清单表 211"/>
    <w:basedOn w:val="939"/>
    <w:next w:val="1639"/>
    <w:link w:val="928"/>
    <w:uiPriority w:val="99"/>
    <w:qFormat/>
    <w:tblPr/>
  </w:style>
  <w:style w:type="table" w:styleId="1640">
    <w:name w:val="List Table 2 - Accent 1"/>
    <w:basedOn w:val="939"/>
    <w:next w:val="1640"/>
    <w:link w:val="928"/>
    <w:uiPriority w:val="99"/>
    <w:qFormat/>
    <w:tblPr/>
  </w:style>
  <w:style w:type="table" w:styleId="1641">
    <w:name w:val="List Table 2 - Accent 2"/>
    <w:basedOn w:val="939"/>
    <w:next w:val="1641"/>
    <w:link w:val="928"/>
    <w:uiPriority w:val="99"/>
    <w:qFormat/>
    <w:tblPr/>
  </w:style>
  <w:style w:type="table" w:styleId="1642">
    <w:name w:val="List Table 2 - Accent 3"/>
    <w:basedOn w:val="939"/>
    <w:next w:val="1642"/>
    <w:link w:val="928"/>
    <w:uiPriority w:val="99"/>
    <w:qFormat/>
    <w:tblPr/>
  </w:style>
  <w:style w:type="table" w:styleId="1643">
    <w:name w:val="List Table 2 - Accent 4"/>
    <w:basedOn w:val="939"/>
    <w:next w:val="1643"/>
    <w:link w:val="928"/>
    <w:uiPriority w:val="99"/>
    <w:qFormat/>
    <w:tblPr/>
  </w:style>
  <w:style w:type="table" w:styleId="1644">
    <w:name w:val="List Table 2 - Accent 5"/>
    <w:basedOn w:val="939"/>
    <w:next w:val="1644"/>
    <w:link w:val="928"/>
    <w:uiPriority w:val="99"/>
    <w:qFormat/>
    <w:tblPr/>
  </w:style>
  <w:style w:type="table" w:styleId="1645">
    <w:name w:val="List Table 2 - Accent 6"/>
    <w:basedOn w:val="939"/>
    <w:next w:val="1645"/>
    <w:link w:val="928"/>
    <w:uiPriority w:val="99"/>
    <w:qFormat/>
    <w:tblPr/>
  </w:style>
  <w:style w:type="table" w:styleId="1646">
    <w:name w:val="清单表 311"/>
    <w:basedOn w:val="939"/>
    <w:next w:val="1646"/>
    <w:link w:val="928"/>
    <w:uiPriority w:val="99"/>
    <w:qFormat/>
    <w:tblPr/>
  </w:style>
  <w:style w:type="table" w:styleId="1647">
    <w:name w:val="List Table 3 - Accent 1"/>
    <w:basedOn w:val="939"/>
    <w:next w:val="1647"/>
    <w:link w:val="928"/>
    <w:uiPriority w:val="99"/>
    <w:qFormat/>
    <w:tblPr/>
  </w:style>
  <w:style w:type="table" w:styleId="1648">
    <w:name w:val="List Table 3 - Accent 2"/>
    <w:basedOn w:val="939"/>
    <w:next w:val="1648"/>
    <w:link w:val="928"/>
    <w:uiPriority w:val="99"/>
    <w:qFormat/>
    <w:tblPr/>
  </w:style>
  <w:style w:type="table" w:styleId="1649">
    <w:name w:val="List Table 3 - Accent 3"/>
    <w:basedOn w:val="939"/>
    <w:next w:val="1649"/>
    <w:link w:val="928"/>
    <w:uiPriority w:val="99"/>
    <w:qFormat/>
    <w:tblPr/>
  </w:style>
  <w:style w:type="table" w:styleId="1650">
    <w:name w:val="List Table 3 - Accent 4"/>
    <w:basedOn w:val="939"/>
    <w:next w:val="1650"/>
    <w:link w:val="928"/>
    <w:uiPriority w:val="99"/>
    <w:qFormat/>
    <w:tblPr/>
  </w:style>
  <w:style w:type="table" w:styleId="1651">
    <w:name w:val="List Table 3 - Accent 5"/>
    <w:basedOn w:val="939"/>
    <w:next w:val="1651"/>
    <w:link w:val="928"/>
    <w:uiPriority w:val="99"/>
    <w:qFormat/>
    <w:tblPr/>
  </w:style>
  <w:style w:type="table" w:styleId="1652">
    <w:name w:val="List Table 3 - Accent 6"/>
    <w:basedOn w:val="939"/>
    <w:next w:val="1652"/>
    <w:link w:val="928"/>
    <w:uiPriority w:val="99"/>
    <w:qFormat/>
    <w:tblPr/>
  </w:style>
  <w:style w:type="table" w:styleId="1653">
    <w:name w:val="清单表 411"/>
    <w:basedOn w:val="939"/>
    <w:next w:val="1653"/>
    <w:link w:val="928"/>
    <w:uiPriority w:val="99"/>
    <w:qFormat/>
    <w:tblPr/>
  </w:style>
  <w:style w:type="table" w:styleId="1654">
    <w:name w:val="List Table 4 - Accent 1"/>
    <w:basedOn w:val="939"/>
    <w:next w:val="1654"/>
    <w:link w:val="928"/>
    <w:uiPriority w:val="99"/>
    <w:qFormat/>
    <w:tblPr/>
  </w:style>
  <w:style w:type="table" w:styleId="1655">
    <w:name w:val="List Table 4 - Accent 2"/>
    <w:basedOn w:val="939"/>
    <w:next w:val="1655"/>
    <w:link w:val="928"/>
    <w:uiPriority w:val="99"/>
    <w:qFormat/>
    <w:tblPr/>
  </w:style>
  <w:style w:type="table" w:styleId="1656">
    <w:name w:val="List Table 4 - Accent 3"/>
    <w:basedOn w:val="939"/>
    <w:next w:val="1656"/>
    <w:link w:val="928"/>
    <w:uiPriority w:val="99"/>
    <w:qFormat/>
    <w:tblPr/>
  </w:style>
  <w:style w:type="table" w:styleId="1657">
    <w:name w:val="List Table 4 - Accent 4"/>
    <w:basedOn w:val="939"/>
    <w:next w:val="1657"/>
    <w:link w:val="928"/>
    <w:uiPriority w:val="99"/>
    <w:qFormat/>
    <w:tblPr/>
  </w:style>
  <w:style w:type="table" w:styleId="1658">
    <w:name w:val="List Table 4 - Accent 5"/>
    <w:basedOn w:val="939"/>
    <w:next w:val="1658"/>
    <w:link w:val="928"/>
    <w:uiPriority w:val="99"/>
    <w:qFormat/>
    <w:tblPr/>
  </w:style>
  <w:style w:type="table" w:styleId="1659">
    <w:name w:val="List Table 4 - Accent 6"/>
    <w:basedOn w:val="939"/>
    <w:next w:val="1659"/>
    <w:link w:val="928"/>
    <w:uiPriority w:val="99"/>
    <w:qFormat/>
    <w:tblPr/>
  </w:style>
  <w:style w:type="table" w:styleId="1660">
    <w:name w:val="清单表 5 深色11"/>
    <w:basedOn w:val="939"/>
    <w:next w:val="1660"/>
    <w:link w:val="928"/>
    <w:uiPriority w:val="99"/>
    <w:qFormat/>
    <w:tblPr/>
  </w:style>
  <w:style w:type="table" w:styleId="1661">
    <w:name w:val="List Table 5 Dark - Accent 1"/>
    <w:basedOn w:val="939"/>
    <w:next w:val="1661"/>
    <w:link w:val="928"/>
    <w:uiPriority w:val="99"/>
    <w:qFormat/>
    <w:tblPr/>
  </w:style>
  <w:style w:type="table" w:styleId="1662">
    <w:name w:val="List Table 5 Dark - Accent 2"/>
    <w:basedOn w:val="939"/>
    <w:next w:val="1662"/>
    <w:link w:val="928"/>
    <w:uiPriority w:val="99"/>
    <w:qFormat/>
    <w:tblPr/>
  </w:style>
  <w:style w:type="table" w:styleId="1663">
    <w:name w:val="List Table 5 Dark - Accent 3"/>
    <w:basedOn w:val="939"/>
    <w:next w:val="1663"/>
    <w:link w:val="928"/>
    <w:uiPriority w:val="99"/>
    <w:qFormat/>
    <w:tblPr/>
  </w:style>
  <w:style w:type="table" w:styleId="1664">
    <w:name w:val="List Table 5 Dark - Accent 4"/>
    <w:basedOn w:val="939"/>
    <w:next w:val="1664"/>
    <w:link w:val="928"/>
    <w:uiPriority w:val="99"/>
    <w:qFormat/>
    <w:tblPr/>
  </w:style>
  <w:style w:type="table" w:styleId="1665">
    <w:name w:val="List Table 5 Dark - Accent 5"/>
    <w:basedOn w:val="939"/>
    <w:next w:val="1665"/>
    <w:link w:val="928"/>
    <w:uiPriority w:val="99"/>
    <w:qFormat/>
    <w:tblPr/>
  </w:style>
  <w:style w:type="table" w:styleId="1666">
    <w:name w:val="List Table 5 Dark - Accent 6"/>
    <w:basedOn w:val="939"/>
    <w:next w:val="1666"/>
    <w:link w:val="928"/>
    <w:uiPriority w:val="99"/>
    <w:qFormat/>
    <w:tblPr/>
  </w:style>
  <w:style w:type="table" w:styleId="1667">
    <w:name w:val="清单表 6 彩色11"/>
    <w:basedOn w:val="939"/>
    <w:next w:val="1667"/>
    <w:link w:val="928"/>
    <w:uiPriority w:val="99"/>
    <w:qFormat/>
    <w:tblPr/>
  </w:style>
  <w:style w:type="table" w:styleId="1668">
    <w:name w:val="List Table 6 Colorful - Accent 1"/>
    <w:basedOn w:val="939"/>
    <w:next w:val="1668"/>
    <w:link w:val="928"/>
    <w:uiPriority w:val="99"/>
    <w:qFormat/>
    <w:tblPr/>
  </w:style>
  <w:style w:type="table" w:styleId="1669">
    <w:name w:val="List Table 6 Colorful - Accent 2"/>
    <w:basedOn w:val="939"/>
    <w:next w:val="1669"/>
    <w:link w:val="928"/>
    <w:uiPriority w:val="99"/>
    <w:qFormat/>
    <w:tblPr/>
  </w:style>
  <w:style w:type="table" w:styleId="1670">
    <w:name w:val="List Table 6 Colorful - Accent 3"/>
    <w:basedOn w:val="939"/>
    <w:next w:val="1670"/>
    <w:link w:val="928"/>
    <w:uiPriority w:val="99"/>
    <w:qFormat/>
    <w:tblPr/>
  </w:style>
  <w:style w:type="table" w:styleId="1671">
    <w:name w:val="List Table 6 Colorful - Accent 4"/>
    <w:basedOn w:val="939"/>
    <w:next w:val="1671"/>
    <w:link w:val="928"/>
    <w:uiPriority w:val="99"/>
    <w:qFormat/>
    <w:tblPr/>
  </w:style>
  <w:style w:type="table" w:styleId="1672">
    <w:name w:val="List Table 6 Colorful - Accent 5"/>
    <w:basedOn w:val="939"/>
    <w:next w:val="1672"/>
    <w:link w:val="928"/>
    <w:uiPriority w:val="99"/>
    <w:qFormat/>
    <w:tblPr/>
  </w:style>
  <w:style w:type="table" w:styleId="1673">
    <w:name w:val="List Table 6 Colorful - Accent 6"/>
    <w:basedOn w:val="939"/>
    <w:next w:val="1673"/>
    <w:link w:val="928"/>
    <w:uiPriority w:val="99"/>
    <w:qFormat/>
    <w:tblPr/>
  </w:style>
  <w:style w:type="table" w:styleId="1674">
    <w:name w:val="清单表 7 彩色11"/>
    <w:basedOn w:val="939"/>
    <w:next w:val="1674"/>
    <w:link w:val="928"/>
    <w:uiPriority w:val="99"/>
    <w:qFormat/>
    <w:tblPr/>
  </w:style>
  <w:style w:type="table" w:styleId="1675">
    <w:name w:val="List Table 7 Colorful - Accent 1"/>
    <w:basedOn w:val="939"/>
    <w:next w:val="1675"/>
    <w:link w:val="928"/>
    <w:uiPriority w:val="99"/>
    <w:qFormat/>
    <w:tblPr/>
  </w:style>
  <w:style w:type="table" w:styleId="1676">
    <w:name w:val="List Table 7 Colorful - Accent 2"/>
    <w:basedOn w:val="939"/>
    <w:next w:val="1676"/>
    <w:link w:val="928"/>
    <w:uiPriority w:val="99"/>
    <w:qFormat/>
    <w:tblPr/>
  </w:style>
  <w:style w:type="table" w:styleId="1677">
    <w:name w:val="List Table 7 Colorful - Accent 3"/>
    <w:basedOn w:val="939"/>
    <w:next w:val="1677"/>
    <w:link w:val="928"/>
    <w:uiPriority w:val="99"/>
    <w:qFormat/>
    <w:tblPr/>
  </w:style>
  <w:style w:type="table" w:styleId="1678">
    <w:name w:val="List Table 7 Colorful - Accent 4"/>
    <w:basedOn w:val="939"/>
    <w:next w:val="1678"/>
    <w:link w:val="928"/>
    <w:uiPriority w:val="99"/>
    <w:qFormat/>
    <w:tblPr/>
  </w:style>
  <w:style w:type="table" w:styleId="1679">
    <w:name w:val="List Table 7 Colorful - Accent 5"/>
    <w:basedOn w:val="939"/>
    <w:next w:val="1679"/>
    <w:link w:val="928"/>
    <w:uiPriority w:val="99"/>
    <w:qFormat/>
    <w:tblPr/>
  </w:style>
  <w:style w:type="table" w:styleId="1680">
    <w:name w:val="List Table 7 Colorful - Accent 6"/>
    <w:basedOn w:val="939"/>
    <w:next w:val="1680"/>
    <w:link w:val="928"/>
    <w:uiPriority w:val="99"/>
    <w:qFormat/>
    <w:tblPr/>
  </w:style>
  <w:style w:type="table" w:styleId="1681">
    <w:name w:val="Lined - Accent"/>
    <w:basedOn w:val="939"/>
    <w:next w:val="1681"/>
    <w:link w:val="928"/>
    <w:uiPriority w:val="99"/>
    <w:qFormat/>
    <w:rPr>
      <w:color w:val="404040"/>
    </w:rPr>
    <w:tblPr/>
  </w:style>
  <w:style w:type="table" w:styleId="1682">
    <w:name w:val="Lined - Accent 1"/>
    <w:basedOn w:val="939"/>
    <w:next w:val="1682"/>
    <w:link w:val="928"/>
    <w:uiPriority w:val="99"/>
    <w:qFormat/>
    <w:rPr>
      <w:color w:val="404040"/>
    </w:rPr>
    <w:tblPr/>
  </w:style>
  <w:style w:type="table" w:styleId="1683">
    <w:name w:val="Lined - Accent 2"/>
    <w:basedOn w:val="939"/>
    <w:next w:val="1683"/>
    <w:link w:val="928"/>
    <w:uiPriority w:val="99"/>
    <w:qFormat/>
    <w:rPr>
      <w:color w:val="404040"/>
    </w:rPr>
    <w:tblPr/>
  </w:style>
  <w:style w:type="table" w:styleId="1684">
    <w:name w:val="Lined - Accent 3"/>
    <w:basedOn w:val="939"/>
    <w:next w:val="1684"/>
    <w:link w:val="928"/>
    <w:uiPriority w:val="99"/>
    <w:qFormat/>
    <w:rPr>
      <w:color w:val="404040"/>
    </w:rPr>
    <w:tblPr/>
  </w:style>
  <w:style w:type="table" w:styleId="1685">
    <w:name w:val="Lined - Accent 4"/>
    <w:basedOn w:val="939"/>
    <w:next w:val="1685"/>
    <w:link w:val="928"/>
    <w:uiPriority w:val="99"/>
    <w:qFormat/>
    <w:rPr>
      <w:color w:val="404040"/>
    </w:rPr>
    <w:tblPr/>
  </w:style>
  <w:style w:type="table" w:styleId="1686">
    <w:name w:val="Lined - Accent 5"/>
    <w:basedOn w:val="939"/>
    <w:next w:val="1686"/>
    <w:link w:val="928"/>
    <w:uiPriority w:val="99"/>
    <w:qFormat/>
    <w:rPr>
      <w:color w:val="404040"/>
    </w:rPr>
    <w:tblPr/>
  </w:style>
  <w:style w:type="table" w:styleId="1687">
    <w:name w:val="Lined - Accent 6"/>
    <w:basedOn w:val="939"/>
    <w:next w:val="1687"/>
    <w:link w:val="928"/>
    <w:uiPriority w:val="99"/>
    <w:qFormat/>
    <w:rPr>
      <w:color w:val="404040"/>
    </w:rPr>
    <w:tblPr/>
  </w:style>
  <w:style w:type="table" w:styleId="1688">
    <w:name w:val="Bordered &amp; Lined - Accent"/>
    <w:basedOn w:val="939"/>
    <w:next w:val="1688"/>
    <w:link w:val="928"/>
    <w:uiPriority w:val="99"/>
    <w:qFormat/>
    <w:rPr>
      <w:color w:val="404040"/>
    </w:rPr>
    <w:tblPr/>
  </w:style>
  <w:style w:type="table" w:styleId="1689">
    <w:name w:val="Bordered &amp; Lined - Accent 1"/>
    <w:basedOn w:val="939"/>
    <w:next w:val="1689"/>
    <w:link w:val="928"/>
    <w:uiPriority w:val="99"/>
    <w:qFormat/>
    <w:rPr>
      <w:color w:val="404040"/>
    </w:rPr>
    <w:tblPr/>
  </w:style>
  <w:style w:type="table" w:styleId="1690">
    <w:name w:val="Bordered &amp; Lined - Accent 2"/>
    <w:basedOn w:val="939"/>
    <w:next w:val="1690"/>
    <w:link w:val="928"/>
    <w:uiPriority w:val="99"/>
    <w:qFormat/>
    <w:rPr>
      <w:color w:val="404040"/>
    </w:rPr>
    <w:tblPr/>
  </w:style>
  <w:style w:type="table" w:styleId="1691">
    <w:name w:val="Bordered &amp; Lined - Accent 3"/>
    <w:basedOn w:val="939"/>
    <w:next w:val="1691"/>
    <w:link w:val="928"/>
    <w:uiPriority w:val="99"/>
    <w:qFormat/>
    <w:rPr>
      <w:color w:val="404040"/>
    </w:rPr>
    <w:tblPr/>
  </w:style>
  <w:style w:type="table" w:styleId="1692">
    <w:name w:val="Bordered &amp; Lined - Accent 4"/>
    <w:basedOn w:val="939"/>
    <w:next w:val="1692"/>
    <w:link w:val="928"/>
    <w:uiPriority w:val="99"/>
    <w:qFormat/>
    <w:rPr>
      <w:color w:val="404040"/>
    </w:rPr>
    <w:tblPr/>
  </w:style>
  <w:style w:type="table" w:styleId="1693">
    <w:name w:val="Bordered &amp; Lined - Accent 5"/>
    <w:basedOn w:val="939"/>
    <w:next w:val="1693"/>
    <w:link w:val="928"/>
    <w:uiPriority w:val="99"/>
    <w:qFormat/>
    <w:rPr>
      <w:color w:val="404040"/>
    </w:rPr>
    <w:tblPr/>
  </w:style>
  <w:style w:type="table" w:styleId="1694">
    <w:name w:val="Bordered &amp; Lined - Accent 6"/>
    <w:basedOn w:val="939"/>
    <w:next w:val="1694"/>
    <w:link w:val="928"/>
    <w:uiPriority w:val="99"/>
    <w:qFormat/>
    <w:rPr>
      <w:color w:val="404040"/>
    </w:rPr>
    <w:tblPr/>
  </w:style>
  <w:style w:type="table" w:styleId="1695">
    <w:name w:val="Bordered"/>
    <w:basedOn w:val="939"/>
    <w:next w:val="1695"/>
    <w:link w:val="928"/>
    <w:uiPriority w:val="99"/>
    <w:qFormat/>
    <w:tblPr/>
  </w:style>
  <w:style w:type="table" w:styleId="1696">
    <w:name w:val="Bordered - Accent 1"/>
    <w:basedOn w:val="939"/>
    <w:next w:val="1696"/>
    <w:link w:val="928"/>
    <w:uiPriority w:val="99"/>
    <w:qFormat/>
    <w:tblPr/>
  </w:style>
  <w:style w:type="table" w:styleId="1697">
    <w:name w:val="Bordered - Accent 2"/>
    <w:basedOn w:val="939"/>
    <w:next w:val="1697"/>
    <w:link w:val="928"/>
    <w:uiPriority w:val="99"/>
    <w:qFormat/>
    <w:tblPr/>
  </w:style>
  <w:style w:type="table" w:styleId="1698">
    <w:name w:val="Bordered - Accent 3"/>
    <w:basedOn w:val="939"/>
    <w:next w:val="1698"/>
    <w:link w:val="928"/>
    <w:uiPriority w:val="99"/>
    <w:qFormat/>
    <w:tblPr/>
  </w:style>
  <w:style w:type="table" w:styleId="1699">
    <w:name w:val="Bordered - Accent 4"/>
    <w:basedOn w:val="939"/>
    <w:next w:val="1699"/>
    <w:link w:val="928"/>
    <w:uiPriority w:val="99"/>
    <w:qFormat/>
    <w:tblPr/>
  </w:style>
  <w:style w:type="table" w:styleId="1700">
    <w:name w:val="Bordered - Accent 5"/>
    <w:basedOn w:val="939"/>
    <w:next w:val="1700"/>
    <w:link w:val="928"/>
    <w:uiPriority w:val="99"/>
    <w:qFormat/>
    <w:tblPr/>
  </w:style>
  <w:style w:type="table" w:styleId="1701">
    <w:name w:val="Bordered - Accent 6"/>
    <w:basedOn w:val="939"/>
    <w:next w:val="1701"/>
    <w:link w:val="928"/>
    <w:uiPriority w:val="99"/>
    <w:qFormat/>
    <w:tblPr/>
  </w:style>
  <w:style w:type="paragraph" w:styleId="1702">
    <w:name w:val="TOC 标题1"/>
    <w:next w:val="1702"/>
    <w:link w:val="928"/>
    <w:uiPriority w:val="39"/>
    <w:unhideWhenUsed/>
    <w:qFormat/>
    <w:pPr>
      <w:spacing w:after="200" w:line="276" w:lineRule="auto"/>
    </w:pPr>
    <w:rPr>
      <w:rFonts w:ascii="Arial" w:hAnsi="Arial" w:eastAsia="Arial"/>
      <w:sz w:val="22"/>
      <w:szCs w:val="22"/>
      <w:lang w:val="en-US" w:eastAsia="en-US" w:bidi="ar-SA"/>
    </w:rPr>
  </w:style>
  <w:style w:type="paragraph" w:styleId="1703">
    <w:name w:val="Plain Text2"/>
    <w:basedOn w:val="928"/>
    <w:next w:val="1703"/>
    <w:link w:val="928"/>
    <w:uiPriority w:val="99"/>
    <w:qFormat/>
    <w:pPr>
      <w:jc w:val="left"/>
      <w:spacing w:after="200" w:line="276" w:lineRule="auto"/>
      <w:widowControl/>
    </w:pPr>
    <w:rPr>
      <w:rFonts w:hAnsi="Courier New" w:eastAsia="楷体_GB2312" w:cs="Times New Roman"/>
      <w:sz w:val="28"/>
      <w:szCs w:val="22"/>
      <w:lang w:eastAsia="en-US"/>
    </w:rPr>
  </w:style>
  <w:style w:type="paragraph" w:styleId="1704">
    <w:name w:val="_正文"/>
    <w:basedOn w:val="928"/>
    <w:next w:val="1704"/>
    <w:link w:val="928"/>
    <w:qFormat/>
    <w:pPr>
      <w:ind w:firstLine="200"/>
      <w:jc w:val="left"/>
      <w:spacing w:after="200" w:line="360" w:lineRule="auto"/>
      <w:widowControl/>
    </w:pPr>
    <w:rPr>
      <w:rFonts w:ascii="Arial" w:hAnsi="Arial" w:eastAsia="Arial" w:cs="Times New Roman"/>
      <w:lang w:eastAsia="en-US"/>
    </w:rPr>
  </w:style>
  <w:style w:type="paragraph" w:styleId="1705">
    <w:name w:val="01 章标"/>
    <w:basedOn w:val="928"/>
    <w:next w:val="1705"/>
    <w:link w:val="928"/>
    <w:qFormat/>
    <w:pPr>
      <w:ind w:firstLine="883"/>
      <w:jc w:val="center"/>
      <w:spacing w:after="200" w:line="276" w:lineRule="auto"/>
      <w:widowControl/>
      <w:outlineLvl w:val="0"/>
    </w:pPr>
    <w:rPr>
      <w:rFonts w:ascii="Arial" w:hAnsi="Arial" w:eastAsia="Arial" w:cs="Times New Roman"/>
      <w:b/>
      <w:sz w:val="44"/>
      <w:szCs w:val="44"/>
      <w:lang w:eastAsia="en-US"/>
    </w:rPr>
  </w:style>
  <w:style w:type="paragraph" w:styleId="1706">
    <w:name w:val="一级目录"/>
    <w:next w:val="928"/>
    <w:link w:val="928"/>
    <w:qFormat/>
    <w:pPr>
      <w:jc w:val="center"/>
      <w:outlineLvl w:val="0"/>
    </w:pPr>
    <w:rPr>
      <w:rFonts w:ascii="黑体" w:eastAsia="黑体"/>
      <w:b/>
      <w:sz w:val="44"/>
      <w:szCs w:val="44"/>
      <w:lang w:val="en-US" w:eastAsia="zh-CN" w:bidi="ar-SA"/>
    </w:rPr>
  </w:style>
  <w:style w:type="character" w:styleId="1707">
    <w:name w:val="NormalCharacter1"/>
    <w:next w:val="1707"/>
    <w:link w:val="928"/>
    <w:qFormat/>
    <w:rPr>
      <w:rFonts w:ascii="Times New Roman" w:hAnsi="Times New Roman" w:eastAsia="宋体"/>
    </w:rPr>
  </w:style>
  <w:style w:type="paragraph" w:styleId="1708">
    <w:name w:val="A正文小四"/>
    <w:basedOn w:val="928"/>
    <w:next w:val="1708"/>
    <w:link w:val="928"/>
    <w:qFormat/>
    <w:pPr>
      <w:ind w:firstLine="200"/>
      <w:spacing w:after="200" w:line="360" w:lineRule="auto"/>
    </w:pPr>
    <w:rPr>
      <w:rFonts w:ascii="Arial" w:hAnsi="Arial" w:eastAsia="Arial" w:cs="Times New Roman"/>
      <w:sz w:val="21"/>
      <w:szCs w:val="22"/>
      <w:lang w:eastAsia="en-US"/>
    </w:rPr>
  </w:style>
  <w:style w:type="paragraph" w:styleId="1709">
    <w:name w:val="UserStyle_1"/>
    <w:next w:val="1710"/>
    <w:link w:val="928"/>
    <w:qFormat/>
    <w:pPr>
      <w:ind w:firstLine="200"/>
      <w:jc w:val="both"/>
    </w:pPr>
    <w:rPr>
      <w:rFonts w:ascii="宋体"/>
      <w:lang w:val="en-US" w:eastAsia="zh-CN" w:bidi="ar-SA"/>
    </w:rPr>
  </w:style>
  <w:style w:type="paragraph" w:styleId="1710">
    <w:name w:val="UserStyle_0"/>
    <w:next w:val="1709"/>
    <w:link w:val="928"/>
    <w:qFormat/>
    <w:pPr>
      <w:jc w:val="both"/>
    </w:pPr>
    <w:rPr>
      <w:rFonts w:ascii="Arial Unicode MS" w:hAnsi="Arial Unicode MS" w:eastAsia="Times New Roman"/>
      <w:color w:val="000000"/>
      <w:szCs w:val="21"/>
      <w:lang w:val="en-US" w:eastAsia="zh-CN" w:bidi="ar-SA"/>
    </w:rPr>
  </w:style>
  <w:style w:type="paragraph" w:styleId="1711">
    <w:name w:val="p17"/>
    <w:basedOn w:val="928"/>
    <w:next w:val="1711"/>
    <w:link w:val="928"/>
    <w:qFormat/>
    <w:pPr>
      <w:spacing w:after="200" w:line="276" w:lineRule="auto"/>
      <w:widowControl/>
    </w:pPr>
    <w:rPr>
      <w:rFonts w:ascii="Arial" w:hAnsi="Arial" w:eastAsia="Arial" w:cs="Times New Roman"/>
      <w:sz w:val="21"/>
      <w:szCs w:val="21"/>
      <w:lang w:eastAsia="en-US"/>
    </w:rPr>
  </w:style>
  <w:style w:type="paragraph" w:styleId="1712">
    <w:name w:val="样式 首行缩进:  0 字符"/>
    <w:basedOn w:val="928"/>
    <w:next w:val="1712"/>
    <w:link w:val="928"/>
    <w:qFormat/>
    <w:pPr>
      <w:ind w:firstLine="200"/>
      <w:spacing w:after="200" w:line="360" w:lineRule="auto"/>
    </w:pPr>
    <w:rPr>
      <w:rFonts w:ascii="Verdana" w:hAnsi="Verdana" w:eastAsia="Arial" w:cs="宋体"/>
      <w:sz w:val="22"/>
      <w:szCs w:val="22"/>
      <w:lang w:eastAsia="en-US"/>
    </w:rPr>
  </w:style>
  <w:style w:type="paragraph" w:styleId="1713">
    <w:name w:val="￥正文"/>
    <w:basedOn w:val="928"/>
    <w:next w:val="1713"/>
    <w:link w:val="928"/>
    <w:qFormat/>
    <w:pPr>
      <w:jc w:val="left"/>
      <w:spacing w:after="200" w:line="276" w:lineRule="auto"/>
      <w:widowControl/>
    </w:pPr>
    <w:rPr>
      <w:rFonts w:ascii="Calibri" w:hAnsi="Calibri" w:eastAsia="Arial" w:cs="Calibri"/>
      <w:sz w:val="22"/>
      <w:lang w:eastAsia="en-US"/>
    </w:rPr>
  </w:style>
  <w:style w:type="paragraph" w:styleId="1714">
    <w:name w:val="首行缩进"/>
    <w:basedOn w:val="928"/>
    <w:next w:val="1714"/>
    <w:link w:val="928"/>
    <w:qFormat/>
    <w:pPr>
      <w:ind w:firstLine="480"/>
      <w:jc w:val="left"/>
      <w:spacing w:after="200" w:line="276" w:lineRule="auto"/>
      <w:widowControl/>
    </w:pPr>
    <w:rPr>
      <w:rFonts w:eastAsia="Arial" w:cs="宋体"/>
      <w:sz w:val="22"/>
      <w:lang w:eastAsia="en-US"/>
    </w:rPr>
  </w:style>
  <w:style w:type="paragraph" w:styleId="1715">
    <w:name w:val="列出段落"/>
    <w:basedOn w:val="928"/>
    <w:next w:val="1715"/>
    <w:link w:val="928"/>
    <w:qFormat/>
    <w:pPr>
      <w:ind w:firstLine="420"/>
      <w:jc w:val="left"/>
      <w:spacing w:after="200" w:line="276" w:lineRule="auto"/>
      <w:widowControl/>
    </w:pPr>
    <w:rPr>
      <w:rFonts w:ascii="Calibri" w:hAnsi="Calibri" w:eastAsia="Arial" w:cs="Calibri"/>
      <w:sz w:val="22"/>
      <w:lang w:eastAsia="en-US"/>
    </w:rPr>
  </w:style>
  <w:style w:type="paragraph" w:styleId="1716">
    <w:name w:val="列表段落4"/>
    <w:basedOn w:val="928"/>
    <w:next w:val="1716"/>
    <w:link w:val="928"/>
    <w:uiPriority w:val="34"/>
    <w:qFormat/>
    <w:pPr>
      <w:ind w:firstLine="420"/>
      <w:jc w:val="left"/>
      <w:spacing w:after="200" w:line="276" w:lineRule="auto"/>
      <w:widowControl/>
    </w:pPr>
    <w:rPr>
      <w:rFonts w:ascii="Arial" w:hAnsi="Arial" w:eastAsia="Arial" w:cs="Times New Roman"/>
      <w:sz w:val="22"/>
      <w:szCs w:val="22"/>
      <w:lang w:eastAsia="en-US"/>
    </w:rPr>
  </w:style>
  <w:style w:type="paragraph" w:styleId="1717">
    <w:name w:val="*正文"/>
    <w:basedOn w:val="928"/>
    <w:next w:val="928"/>
    <w:link w:val="928"/>
    <w:qFormat/>
    <w:pPr>
      <w:ind w:firstLine="200"/>
      <w:spacing w:after="200" w:line="276" w:lineRule="auto"/>
    </w:pPr>
    <w:rPr>
      <w:rFonts w:eastAsia="Arial" w:cs="MS Gothic"/>
      <w:sz w:val="21"/>
      <w:szCs w:val="21"/>
      <w:lang w:eastAsia="en-US"/>
    </w:rPr>
  </w:style>
  <w:style w:type="paragraph" w:styleId="1718">
    <w:name w:val="p20"/>
    <w:basedOn w:val="928"/>
    <w:next w:val="1718"/>
    <w:link w:val="928"/>
    <w:qFormat/>
    <w:pPr>
      <w:ind w:firstLine="420"/>
      <w:spacing w:after="200" w:line="276" w:lineRule="auto"/>
      <w:widowControl/>
    </w:pPr>
    <w:rPr>
      <w:rFonts w:eastAsia="Arial" w:cs="宋体"/>
      <w:sz w:val="21"/>
      <w:szCs w:val="21"/>
      <w:lang w:eastAsia="en-US"/>
    </w:rPr>
  </w:style>
  <w:style w:type="paragraph" w:styleId="1719">
    <w:name w:val="p18"/>
    <w:basedOn w:val="928"/>
    <w:next w:val="1719"/>
    <w:link w:val="928"/>
    <w:qFormat/>
    <w:pPr>
      <w:jc w:val="left"/>
      <w:spacing w:after="200" w:line="276" w:lineRule="auto"/>
      <w:widowControl/>
    </w:pPr>
    <w:rPr>
      <w:rFonts w:ascii="Arial" w:hAnsi="Arial" w:eastAsia="Arial" w:cs="Times New Roman"/>
      <w:sz w:val="22"/>
      <w:szCs w:val="22"/>
      <w:lang w:eastAsia="en-US"/>
    </w:rPr>
  </w:style>
  <w:style w:type="paragraph" w:styleId="1720">
    <w:name w:val="p23"/>
    <w:basedOn w:val="928"/>
    <w:next w:val="1720"/>
    <w:link w:val="928"/>
    <w:qFormat/>
    <w:pPr>
      <w:ind w:firstLine="420"/>
      <w:spacing w:after="200" w:line="276" w:lineRule="auto"/>
      <w:widowControl/>
    </w:pPr>
    <w:rPr>
      <w:rFonts w:ascii="Arial" w:hAnsi="Arial" w:eastAsia="Arial" w:cs="Times New Roman"/>
      <w:sz w:val="21"/>
      <w:szCs w:val="21"/>
      <w:lang w:eastAsia="en-US"/>
    </w:rPr>
  </w:style>
  <w:style w:type="character" w:styleId="1721">
    <w:name w:val="批注文字 字符1"/>
    <w:next w:val="1721"/>
    <w:link w:val="928"/>
    <w:uiPriority w:val="99"/>
    <w:qFormat/>
    <w:rPr>
      <w:rFonts w:ascii="Calibri" w:hAnsi="Calibri"/>
      <w:sz w:val="21"/>
      <w:szCs w:val="22"/>
    </w:rPr>
  </w:style>
  <w:style w:type="table" w:styleId="1722">
    <w:name w:val="无格式表格 1"/>
    <w:basedOn w:val="939"/>
    <w:next w:val="1722"/>
    <w:link w:val="928"/>
    <w:uiPriority w:val="41"/>
    <w:tblPr/>
  </w:style>
  <w:style w:type="table" w:styleId="1723">
    <w:name w:val="无格式表格 2"/>
    <w:basedOn w:val="939"/>
    <w:next w:val="1723"/>
    <w:link w:val="928"/>
    <w:uiPriority w:val="42"/>
    <w:tblPr/>
  </w:style>
  <w:style w:type="table" w:styleId="1724">
    <w:name w:val="无格式表格 3"/>
    <w:basedOn w:val="939"/>
    <w:next w:val="1724"/>
    <w:link w:val="928"/>
    <w:uiPriority w:val="43"/>
    <w:tblPr/>
  </w:style>
  <w:style w:type="table" w:styleId="1725">
    <w:name w:val="无格式表格 4"/>
    <w:basedOn w:val="939"/>
    <w:next w:val="1725"/>
    <w:link w:val="928"/>
    <w:uiPriority w:val="44"/>
    <w:tblPr/>
  </w:style>
  <w:style w:type="table" w:styleId="1726">
    <w:name w:val="无格式表格 5"/>
    <w:basedOn w:val="939"/>
    <w:next w:val="1726"/>
    <w:link w:val="928"/>
    <w:uiPriority w:val="45"/>
    <w:tblPr/>
  </w:style>
  <w:style w:type="table" w:styleId="1727">
    <w:name w:val="网格表 2"/>
    <w:basedOn w:val="939"/>
    <w:next w:val="1727"/>
    <w:link w:val="928"/>
    <w:uiPriority w:val="47"/>
    <w:tblPr/>
  </w:style>
  <w:style w:type="table" w:styleId="1728">
    <w:name w:val="网格表 3"/>
    <w:basedOn w:val="939"/>
    <w:next w:val="1728"/>
    <w:link w:val="928"/>
    <w:uiPriority w:val="48"/>
    <w:tblPr/>
  </w:style>
  <w:style w:type="table" w:styleId="1729">
    <w:name w:val="网格表 4"/>
    <w:basedOn w:val="939"/>
    <w:next w:val="1729"/>
    <w:link w:val="928"/>
    <w:uiPriority w:val="49"/>
    <w:tblPr/>
  </w:style>
  <w:style w:type="table" w:styleId="1730">
    <w:name w:val="网格表 5 深色"/>
    <w:basedOn w:val="939"/>
    <w:next w:val="1730"/>
    <w:link w:val="928"/>
    <w:uiPriority w:val="50"/>
    <w:tblPr/>
  </w:style>
  <w:style w:type="table" w:styleId="1731">
    <w:name w:val="网格表 6 彩色"/>
    <w:basedOn w:val="939"/>
    <w:next w:val="1731"/>
    <w:link w:val="928"/>
    <w:uiPriority w:val="51"/>
    <w:rPr>
      <w:color w:val="000000"/>
    </w:rPr>
    <w:tblPr/>
  </w:style>
  <w:style w:type="table" w:styleId="1732">
    <w:name w:val="网格表 7 彩色"/>
    <w:basedOn w:val="939"/>
    <w:next w:val="1732"/>
    <w:link w:val="928"/>
    <w:uiPriority w:val="52"/>
    <w:rPr>
      <w:color w:val="000000"/>
    </w:rPr>
    <w:tblPr/>
  </w:style>
  <w:style w:type="table" w:styleId="1733">
    <w:name w:val="清单表 1 浅色"/>
    <w:basedOn w:val="939"/>
    <w:next w:val="1733"/>
    <w:link w:val="928"/>
    <w:uiPriority w:val="46"/>
    <w:tblPr/>
  </w:style>
  <w:style w:type="table" w:styleId="1734">
    <w:name w:val="清单表 2"/>
    <w:basedOn w:val="939"/>
    <w:next w:val="1734"/>
    <w:link w:val="928"/>
    <w:uiPriority w:val="47"/>
    <w:tblPr/>
  </w:style>
  <w:style w:type="table" w:styleId="1735">
    <w:name w:val="清单表 3"/>
    <w:basedOn w:val="939"/>
    <w:next w:val="1735"/>
    <w:link w:val="928"/>
    <w:uiPriority w:val="48"/>
    <w:tblPr/>
  </w:style>
  <w:style w:type="table" w:styleId="1736">
    <w:name w:val="清单表 4"/>
    <w:basedOn w:val="939"/>
    <w:next w:val="1736"/>
    <w:link w:val="928"/>
    <w:uiPriority w:val="49"/>
    <w:tblPr/>
  </w:style>
  <w:style w:type="table" w:styleId="1737">
    <w:name w:val="清单表 5 深色"/>
    <w:basedOn w:val="939"/>
    <w:next w:val="1737"/>
    <w:link w:val="928"/>
    <w:uiPriority w:val="50"/>
    <w:rPr>
      <w:color w:val="ffffff"/>
    </w:rPr>
    <w:tblPr/>
  </w:style>
  <w:style w:type="table" w:styleId="1738">
    <w:name w:val="清单表 6 彩色"/>
    <w:basedOn w:val="939"/>
    <w:next w:val="1738"/>
    <w:link w:val="928"/>
    <w:uiPriority w:val="51"/>
    <w:rPr>
      <w:color w:val="000000"/>
    </w:rPr>
    <w:tblPr/>
  </w:style>
  <w:style w:type="table" w:styleId="1739">
    <w:name w:val="清单表 7 彩色"/>
    <w:basedOn w:val="939"/>
    <w:next w:val="1739"/>
    <w:link w:val="928"/>
    <w:uiPriority w:val="52"/>
    <w:rPr>
      <w:color w:val="000000"/>
    </w:rPr>
    <w:tblPr/>
  </w:style>
  <w:style w:type="paragraph" w:styleId="1740">
    <w:name w:val="msonormal"/>
    <w:basedOn w:val="928"/>
    <w:next w:val="1740"/>
    <w:link w:val="928"/>
    <w:pPr>
      <w:jc w:val="left"/>
      <w:spacing w:before="100" w:beforeAutospacing="1" w:after="100" w:afterAutospacing="1"/>
      <w:widowControl/>
    </w:pPr>
    <w:rPr>
      <w:rFonts w:cs="宋体"/>
    </w:rPr>
  </w:style>
  <w:style w:type="paragraph" w:styleId="1741">
    <w:name w:val="列表段落2"/>
    <w:basedOn w:val="928"/>
    <w:next w:val="1741"/>
    <w:link w:val="928"/>
    <w:pPr>
      <w:ind w:firstLine="420"/>
      <w:spacing w:line="360" w:lineRule="auto"/>
    </w:pPr>
    <w:rPr>
      <w:rFonts w:ascii="Times New Roman" w:hAnsi="Times New Roman" w:cs="黑体"/>
    </w:rPr>
  </w:style>
  <w:style w:type="paragraph" w:styleId="1742">
    <w:name w:val="正文首行缩进 21"/>
    <w:basedOn w:val="967"/>
    <w:next w:val="1742"/>
    <w:link w:val="928"/>
    <w:semiHidden/>
    <w:pPr>
      <w:ind w:left="420"/>
      <w:spacing w:before="100" w:beforeAutospacing="1" w:after="120" w:line="360" w:lineRule="auto"/>
    </w:pPr>
    <w:rPr>
      <w:rFonts w:ascii="Times New Roman" w:hAnsi="Times New Roman" w:cs="黑体"/>
      <w:szCs w:val="24"/>
    </w:rPr>
  </w:style>
  <w:style w:type="paragraph" w:styleId="1743">
    <w:name w:val="p7"/>
    <w:basedOn w:val="928"/>
    <w:next w:val="1743"/>
    <w:link w:val="928"/>
    <w:pPr>
      <w:jc w:val="left"/>
      <w:spacing w:before="320" w:after="200" w:line="271" w:lineRule="auto"/>
      <w:widowControl/>
    </w:pPr>
    <w:rPr>
      <w:rFonts w:ascii="Arial" w:hAnsi="Arial" w:cs="Arial"/>
      <w:b/>
      <w:bCs/>
      <w:i/>
      <w:iCs/>
      <w:sz w:val="22"/>
      <w:szCs w:val="22"/>
    </w:rPr>
  </w:style>
  <w:style w:type="paragraph" w:styleId="1744">
    <w:name w:val="p15"/>
    <w:basedOn w:val="928"/>
    <w:next w:val="1744"/>
    <w:link w:val="928"/>
    <w:pPr>
      <w:widowControl/>
    </w:pPr>
    <w:rPr>
      <w:rFonts w:ascii="Times New Roman" w:hAnsi="Times New Roman"/>
      <w:sz w:val="21"/>
      <w:szCs w:val="21"/>
    </w:rPr>
  </w:style>
  <w:style w:type="paragraph" w:styleId="1745">
    <w:name w:val="p16"/>
    <w:basedOn w:val="928"/>
    <w:next w:val="1745"/>
    <w:link w:val="928"/>
    <w:pPr>
      <w:jc w:val="left"/>
      <w:widowControl/>
    </w:pPr>
    <w:rPr>
      <w:rFonts w:ascii="Times New Roman" w:hAnsi="Times New Roman"/>
    </w:rPr>
  </w:style>
  <w:style w:type="paragraph" w:styleId="1746">
    <w:name w:val="样式 正文缩进 + 首行缩进:  2 字符"/>
    <w:basedOn w:val="943"/>
    <w:next w:val="1746"/>
    <w:link w:val="928"/>
    <w:pPr>
      <w:ind w:firstLine="200"/>
      <w:jc w:val="both"/>
      <w:spacing w:line="360" w:lineRule="auto"/>
    </w:pPr>
    <w:rPr>
      <w:rFonts w:eastAsia="宋体" w:cs="宋体"/>
    </w:rPr>
  </w:style>
  <w:style w:type="character" w:styleId="1747" w:default="1">
    <w:name w:val="Default Paragraph Font"/>
    <w:uiPriority w:val="1"/>
    <w:semiHidden/>
    <w:unhideWhenUsed/>
  </w:style>
  <w:style w:type="numbering" w:styleId="1748" w:default="1">
    <w:name w:val="No List"/>
    <w:uiPriority w:val="99"/>
    <w:semiHidden/>
    <w:unhideWhenUsed/>
  </w:style>
  <w:style w:type="table" w:styleId="17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顾冬春</cp:lastModifiedBy>
  <cp:revision>11</cp:revision>
  <dcterms:created xsi:type="dcterms:W3CDTF">2025-05-29T04:50:00Z</dcterms:created>
  <dcterms:modified xsi:type="dcterms:W3CDTF">2026-05-29T07:24:45Z</dcterms:modified>
  <cp:version>1048576</cp:version>
</cp:coreProperties>
</file>