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rPr>
          <w:rFonts w:hint="eastAsia" w:eastAsia="黑体"/>
          <w:b/>
          <w:bCs/>
          <w:sz w:val="84"/>
        </w:rPr>
      </w:pPr>
      <w:r>
        <w:rPr>
          <w:rFonts w:hint="eastAsia" w:eastAsia="黑体"/>
          <w:b/>
          <w:bCs/>
          <w:sz w:val="84"/>
        </w:rPr>
      </w:r>
      <w:r/>
    </w:p>
    <w:p>
      <w:pPr>
        <w:pStyle w:val="98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2"/>
        <w:ind w:firstLine="0"/>
        <w:rPr>
          <w:rFonts w:hint="eastAsia"/>
          <w:b/>
          <w:bCs/>
          <w:sz w:val="32"/>
        </w:rPr>
      </w:pPr>
      <w:r>
        <w:rPr>
          <w:rFonts w:hint="eastAsia"/>
          <w:b/>
          <w:bCs/>
          <w:sz w:val="32"/>
        </w:rPr>
        <w:t xml:space="preserve">项目名称：反兴奋剂平台升级开发项目</w:t>
      </w:r>
      <w:r>
        <w:rPr>
          <w:rFonts w:hint="eastAsia"/>
          <w:b/>
          <w:bCs/>
          <w:sz w:val="32"/>
        </w:rPr>
      </w:r>
      <w:r/>
    </w:p>
    <w:p>
      <w:pPr>
        <w:pStyle w:val="982"/>
        <w:ind w:firstLine="0"/>
        <w:spacing w:before="0" w:after="0"/>
        <w:rPr>
          <w:rFonts w:hint="eastAsia"/>
          <w:b/>
          <w:bCs/>
          <w:sz w:val="32"/>
        </w:rPr>
      </w:pPr>
      <w:r>
        <w:rPr>
          <w:rFonts w:hint="eastAsia"/>
          <w:b/>
          <w:bCs/>
          <w:sz w:val="32"/>
        </w:rPr>
        <w:t xml:space="preserve">采购编号：JSZC-320000-SCZX-G2026-0187</w:t>
      </w:r>
      <w:r>
        <w:rPr>
          <w:rFonts w:hint="eastAsia"/>
          <w:b/>
          <w:bCs/>
          <w:sz w:val="32"/>
        </w:rPr>
        <w:tab/>
      </w:r>
      <w:r>
        <w:rPr>
          <w:rFonts w:hint="eastAsia"/>
          <w:b/>
          <w:bCs/>
          <w:sz w:val="32"/>
        </w:rPr>
      </w:r>
      <w:r/>
    </w:p>
    <w:p>
      <w:pPr>
        <w:pStyle w:val="982"/>
        <w:ind w:firstLine="0"/>
        <w:spacing w:before="0" w:after="0"/>
        <w:rPr>
          <w:rFonts w:hint="eastAsia"/>
          <w:b/>
          <w:bCs/>
          <w:sz w:val="32"/>
        </w:rPr>
      </w:pPr>
      <w:r>
        <w:rPr>
          <w:rFonts w:hint="eastAsia"/>
          <w:b/>
          <w:bCs/>
          <w:sz w:val="32"/>
        </w:rPr>
      </w:r>
      <w:r/>
    </w:p>
    <w:p>
      <w:pPr>
        <w:pStyle w:val="982"/>
        <w:ind w:firstLine="0"/>
        <w:spacing w:before="0" w:after="0"/>
        <w:rPr>
          <w:rFonts w:hint="eastAsia" w:ascii="宋体" w:hAnsi="宋体"/>
        </w:rPr>
      </w:pPr>
      <w:r>
        <w:rPr>
          <w:rFonts w:hint="eastAsia" w:ascii="宋体" w:hAnsi="宋体"/>
        </w:rPr>
      </w:r>
      <w:r/>
    </w:p>
    <w:p>
      <w:pPr>
        <w:pStyle w:val="982"/>
        <w:ind w:firstLine="0"/>
        <w:spacing w:before="0" w:after="0"/>
        <w:rPr>
          <w:rFonts w:hint="eastAsia" w:ascii="宋体" w:hAnsi="宋体"/>
        </w:rPr>
      </w:pPr>
      <w:r>
        <w:rPr>
          <w:rFonts w:hint="eastAsia" w:ascii="宋体" w:hAnsi="宋体"/>
        </w:rPr>
      </w:r>
      <w:r/>
    </w:p>
    <w:p>
      <w:pPr>
        <w:pStyle w:val="982"/>
        <w:ind w:firstLine="0"/>
        <w:spacing w:before="0" w:after="0"/>
        <w:rPr>
          <w:rFonts w:hint="eastAsia" w:ascii="宋体" w:hAnsi="宋体"/>
        </w:rPr>
      </w:pPr>
      <w:r>
        <w:rPr>
          <w:rFonts w:hint="eastAsia" w:ascii="宋体" w:hAnsi="宋体"/>
        </w:rPr>
      </w:r>
      <w:r/>
    </w:p>
    <w:p>
      <w:pPr>
        <w:pStyle w:val="982"/>
        <w:ind w:firstLine="0"/>
        <w:spacing w:before="0" w:after="0"/>
        <w:rPr>
          <w:rFonts w:hint="eastAsia" w:ascii="宋体" w:hAnsi="宋体"/>
        </w:rPr>
      </w:pPr>
      <w:r>
        <w:rPr>
          <w:rFonts w:hint="eastAsia" w:ascii="宋体" w:hAnsi="宋体"/>
        </w:rPr>
      </w:r>
      <w:r/>
    </w:p>
    <w:p>
      <w:pPr>
        <w:pStyle w:val="982"/>
        <w:ind w:firstLine="0"/>
        <w:spacing w:before="0" w:after="0"/>
        <w:rPr>
          <w:rFonts w:hint="eastAsia" w:ascii="宋体" w:hAnsi="宋体"/>
        </w:rPr>
      </w:pPr>
      <w:r>
        <w:rPr>
          <w:rFonts w:hint="eastAsia" w:ascii="宋体" w:hAnsi="宋体"/>
        </w:rPr>
      </w:r>
      <w:r/>
    </w:p>
    <w:p>
      <w:pPr>
        <w:pStyle w:val="982"/>
        <w:ind w:firstLine="0"/>
        <w:spacing w:before="0" w:after="0"/>
        <w:rPr>
          <w:rFonts w:hint="eastAsia" w:ascii="宋体" w:hAnsi="宋体"/>
        </w:rPr>
      </w:pPr>
      <w:r>
        <w:rPr>
          <w:rFonts w:hint="eastAsia" w:ascii="宋体" w:hAnsi="宋体"/>
        </w:rPr>
      </w:r>
      <w:r/>
    </w:p>
    <w:p>
      <w:pPr>
        <w:pStyle w:val="982"/>
        <w:ind w:firstLine="0"/>
        <w:jc w:val="center"/>
        <w:rPr>
          <w:rFonts w:hint="eastAsia"/>
          <w:b/>
          <w:bCs/>
          <w:sz w:val="32"/>
        </w:rPr>
      </w:pPr>
      <w:r>
        <w:rPr>
          <w:rFonts w:hint="eastAsia"/>
          <w:b/>
          <w:bCs/>
          <w:sz w:val="32"/>
        </w:rPr>
        <w:t xml:space="preserve">江苏省政府采购中心</w:t>
      </w:r>
      <w:r>
        <w:rPr>
          <w:rFonts w:hint="eastAsia"/>
          <w:b/>
          <w:bCs/>
          <w:sz w:val="32"/>
        </w:rPr>
      </w:r>
      <w:r/>
    </w:p>
    <w:p>
      <w:pPr>
        <w:pStyle w:val="982"/>
        <w:ind w:firstLine="0"/>
        <w:jc w:val="center"/>
        <w:rPr>
          <w:rFonts w:hint="eastAsia"/>
          <w:b/>
          <w:bCs/>
          <w:sz w:val="32"/>
        </w:rPr>
      </w:pPr>
      <w:r>
        <w:rPr>
          <w:rFonts w:hint="eastAsia"/>
          <w:b/>
          <w:bCs/>
          <w:sz w:val="32"/>
        </w:rPr>
        <w:t xml:space="preserve">2026年5月</w:t>
      </w:r>
      <w:r>
        <w:rPr>
          <w:rFonts w:hint="eastAsia"/>
          <w:b/>
          <w:bCs/>
          <w:sz w:val="32"/>
        </w:rPr>
      </w:r>
      <w:r/>
    </w:p>
    <w:p>
      <w:pPr>
        <w:pStyle w:val="982"/>
        <w:ind w:firstLine="0"/>
        <w:rPr>
          <w:rFonts w:hint="eastAsia"/>
          <w:u w:val="single"/>
        </w:rPr>
      </w:pPr>
      <w:r>
        <w:rPr>
          <w:rFonts w:hint="eastAsia"/>
        </w:rPr>
        <w:t xml:space="preserve">                        </w:t>
      </w:r>
      <w:r>
        <w:rPr>
          <w:rFonts w:hint="eastAsia"/>
          <w:u w:val="single"/>
        </w:rPr>
      </w:r>
      <w:r/>
    </w:p>
    <w:p>
      <w:pPr>
        <w:pStyle w:val="982"/>
        <w:ind w:firstLine="0"/>
        <w:jc w:val="center"/>
        <w:rPr>
          <w:rFonts w:hint="eastAsia"/>
        </w:rPr>
      </w:pPr>
      <w:r>
        <w:rPr>
          <w:rFonts w:hint="eastAsia"/>
        </w:rPr>
      </w:r>
      <w:r/>
    </w:p>
    <w:p>
      <w:pPr>
        <w:pStyle w:val="895"/>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5"/>
        <w:spacing w:line="480" w:lineRule="auto"/>
        <w:rPr>
          <w:rFonts w:hint="eastAsia" w:ascii="仿宋_GB2312" w:hAnsi="Arial" w:eastAsia="仿宋_GB2312"/>
          <w:b/>
          <w:sz w:val="28"/>
        </w:rPr>
      </w:pPr>
      <w:r>
        <w:rPr>
          <w:rFonts w:hint="eastAsia" w:ascii="仿宋_GB2312" w:hAnsi="Arial" w:eastAsia="仿宋_GB2312"/>
          <w:b/>
          <w:sz w:val="28"/>
        </w:rPr>
      </w:r>
      <w:r/>
    </w:p>
    <w:p>
      <w:pPr>
        <w:pStyle w:val="89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37</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44</w:t>
      </w:r>
      <w:r>
        <w:rPr>
          <w:rFonts w:hint="eastAsia" w:ascii="黑体" w:hAnsi="Showcard Gothic" w:eastAsia="黑体"/>
          <w:sz w:val="36"/>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5"/>
        <w:ind w:firstLine="480"/>
        <w:spacing w:line="400" w:lineRule="exact"/>
        <w:rPr>
          <w:rFonts w:ascii="宋体" w:hAnsi="宋体"/>
          <w:sz w:val="24"/>
          <w:szCs w:val="24"/>
        </w:rPr>
      </w:pPr>
      <w:r>
        <w:rPr>
          <w:rFonts w:hint="eastAsia" w:ascii="宋体" w:hAnsi="宋体"/>
          <w:sz w:val="24"/>
          <w:szCs w:val="24"/>
        </w:rPr>
        <w:t xml:space="preserve">受江苏省体育信息中心（江苏省体育文化中心）的委托，江苏省政府采购中心就反兴奋剂平台升级开发项目(JSZC-320000-SCZX-G2026-0187</w:t>
      </w:r>
      <w:r>
        <w:rPr>
          <w:rFonts w:hint="eastAsia" w:ascii="宋体" w:hAnsi="宋体"/>
          <w:sz w:val="24"/>
          <w:szCs w:val="24"/>
        </w:rPr>
        <w:tab/>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反兴奋剂平台升级开发项目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w:t>
      </w:r>
      <w:r>
        <w:rPr>
          <w:rFonts w:hint="eastAsia" w:ascii="宋体" w:hAnsi="宋体"/>
          <w:bCs/>
          <w:sz w:val="24"/>
          <w:szCs w:val="24"/>
          <w:u w:val="single"/>
        </w:rPr>
        <w:t xml:space="preserve">年6月11日9点30分（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8"/>
        <w:ind w:firstLine="498"/>
        <w:spacing w:before="145" w:after="145" w:line="400" w:lineRule="exact"/>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95"/>
        <w:ind w:firstLine="480"/>
        <w:spacing w:line="400" w:lineRule="exact"/>
        <w:rPr>
          <w:rFonts w:ascii="宋体" w:hAnsi="宋体"/>
          <w:sz w:val="24"/>
          <w:szCs w:val="24"/>
        </w:rPr>
      </w:pPr>
      <w:r>
        <w:rPr>
          <w:rFonts w:hint="eastAsia" w:ascii="宋体" w:hAnsi="宋体"/>
          <w:sz w:val="24"/>
          <w:szCs w:val="24"/>
        </w:rPr>
        <w:t xml:space="preserve">1.采购编号：JSZC-320000-SCZX-G2026-0187</w:t>
      </w:r>
      <w:r>
        <w:rPr>
          <w:rFonts w:hint="eastAsia" w:ascii="宋体" w:hAnsi="宋体"/>
          <w:sz w:val="24"/>
          <w:szCs w:val="24"/>
        </w:rPr>
        <w:tab/>
      </w:r>
      <w:r>
        <w:rPr>
          <w:rFonts w:hint="eastAsia" w:ascii="宋体" w:hAnsi="宋体"/>
          <w:sz w:val="24"/>
          <w:szCs w:val="24"/>
        </w:rPr>
        <w:t xml:space="preserve"> </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2.项目名称：反兴奋剂平台升级开发项目</w:t>
      </w:r>
      <w:r>
        <w:rPr>
          <w:rFonts w:ascii="宋体" w:hAnsi="宋体"/>
          <w:sz w:val="24"/>
          <w:szCs w:val="24"/>
        </w:rPr>
      </w:r>
      <w:r/>
    </w:p>
    <w:p>
      <w:pPr>
        <w:pStyle w:val="89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8"/>
        <w:gridCol w:w="3613"/>
      </w:tblGrid>
      <w:tr>
        <w:trPr/>
        <w:tc>
          <w:tcPr>
            <w:tcW w:w="1558" w:type="dxa"/>
            <w:vAlign w:val="top"/>
            <w:textDirection w:val="lrTb"/>
            <w:noWrap w:val="false"/>
          </w:tcPr>
          <w:p>
            <w:pPr>
              <w:pStyle w:val="895"/>
              <w:spacing w:line="40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3613" w:type="dxa"/>
            <w:vAlign w:val="top"/>
            <w:textDirection w:val="lrTb"/>
            <w:noWrap w:val="false"/>
          </w:tcPr>
          <w:p>
            <w:pPr>
              <w:pStyle w:val="895"/>
              <w:spacing w:line="400" w:lineRule="exact"/>
              <w:rPr>
                <w:rFonts w:hint="eastAsia" w:ascii="宋体" w:hAnsi="宋体"/>
                <w:sz w:val="24"/>
                <w:szCs w:val="24"/>
              </w:rPr>
            </w:pPr>
            <w:r>
              <w:rPr>
                <w:rFonts w:hint="eastAsia" w:ascii="宋体" w:hAnsi="宋体"/>
                <w:sz w:val="24"/>
                <w:szCs w:val="24"/>
              </w:rPr>
              <w:t xml:space="preserve">预算金额（人民币：万元）</w:t>
            </w:r>
            <w:r>
              <w:rPr>
                <w:rFonts w:hint="eastAsia" w:ascii="宋体" w:hAnsi="宋体"/>
                <w:sz w:val="24"/>
                <w:szCs w:val="24"/>
              </w:rPr>
            </w:r>
            <w:r/>
          </w:p>
        </w:tc>
      </w:tr>
      <w:tr>
        <w:trPr/>
        <w:tc>
          <w:tcPr>
            <w:tcW w:w="1558" w:type="dxa"/>
            <w:vAlign w:val="top"/>
            <w:textDirection w:val="lrTb"/>
            <w:noWrap w:val="false"/>
          </w:tcPr>
          <w:p>
            <w:pPr>
              <w:pStyle w:val="895"/>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13" w:type="dxa"/>
            <w:vAlign w:val="top"/>
            <w:textDirection w:val="lrTb"/>
            <w:noWrap w:val="false"/>
          </w:tcPr>
          <w:p>
            <w:pPr>
              <w:pStyle w:val="895"/>
              <w:ind w:firstLine="480"/>
              <w:spacing w:line="400" w:lineRule="exact"/>
              <w:rPr>
                <w:rFonts w:hint="eastAsia" w:ascii="宋体" w:hAnsi="宋体"/>
                <w:sz w:val="32"/>
                <w:szCs w:val="32"/>
              </w:rPr>
            </w:pPr>
            <w:r>
              <w:rPr>
                <w:rFonts w:hint="eastAsia"/>
                <w:sz w:val="24"/>
                <w:szCs w:val="24"/>
              </w:rPr>
              <w:t xml:space="preserve">80 </w:t>
            </w:r>
            <w:r>
              <w:rPr>
                <w:rFonts w:hint="eastAsia" w:ascii="宋体" w:hAnsi="宋体"/>
                <w:sz w:val="32"/>
                <w:szCs w:val="32"/>
              </w:rPr>
            </w:r>
            <w:r/>
          </w:p>
        </w:tc>
      </w:tr>
    </w:tbl>
    <w:p>
      <w:pPr>
        <w:pStyle w:val="895"/>
        <w:ind w:firstLine="480"/>
        <w:spacing w:line="400" w:lineRule="exact"/>
        <w:rPr>
          <w:rFonts w:hint="eastAsia" w:ascii="宋体" w:hAnsi="宋体"/>
          <w:sz w:val="24"/>
          <w:szCs w:val="24"/>
        </w:rPr>
      </w:pPr>
      <w:r>
        <w:rPr>
          <w:rFonts w:hint="eastAsia" w:ascii="宋体" w:hAnsi="宋体"/>
          <w:sz w:val="24"/>
          <w:szCs w:val="24"/>
        </w:rPr>
        <w:t xml:space="preserve">4.最高限价</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6"/>
        <w:gridCol w:w="3845"/>
      </w:tblGrid>
      <w:tr>
        <w:trPr/>
        <w:tc>
          <w:tcPr>
            <w:tcW w:w="1626" w:type="dxa"/>
            <w:vAlign w:val="top"/>
            <w:textDirection w:val="lrTb"/>
            <w:noWrap w:val="false"/>
          </w:tcPr>
          <w:p>
            <w:pPr>
              <w:pStyle w:val="895"/>
              <w:spacing w:line="40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3845" w:type="dxa"/>
            <w:vAlign w:val="top"/>
            <w:textDirection w:val="lrTb"/>
            <w:noWrap w:val="false"/>
          </w:tcPr>
          <w:p>
            <w:pPr>
              <w:pStyle w:val="895"/>
              <w:spacing w:line="400" w:lineRule="exact"/>
              <w:rPr>
                <w:rFonts w:hint="eastAsia" w:ascii="宋体" w:hAnsi="宋体"/>
                <w:sz w:val="24"/>
                <w:szCs w:val="24"/>
              </w:rPr>
            </w:pPr>
            <w:r>
              <w:rPr>
                <w:rFonts w:hint="eastAsia" w:ascii="宋体" w:hAnsi="宋体"/>
                <w:sz w:val="24"/>
                <w:szCs w:val="24"/>
              </w:rPr>
              <w:t xml:space="preserve">最高限价（人民币：万元）</w:t>
            </w:r>
            <w:r>
              <w:rPr>
                <w:rFonts w:hint="eastAsia" w:ascii="宋体" w:hAnsi="宋体"/>
                <w:sz w:val="24"/>
                <w:szCs w:val="24"/>
              </w:rPr>
            </w:r>
            <w:r/>
          </w:p>
        </w:tc>
      </w:tr>
      <w:tr>
        <w:trPr/>
        <w:tc>
          <w:tcPr>
            <w:tcW w:w="1626" w:type="dxa"/>
            <w:vAlign w:val="top"/>
            <w:textDirection w:val="lrTb"/>
            <w:noWrap w:val="false"/>
          </w:tcPr>
          <w:p>
            <w:pPr>
              <w:pStyle w:val="895"/>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845" w:type="dxa"/>
            <w:vAlign w:val="top"/>
            <w:textDirection w:val="lrTb"/>
            <w:noWrap w:val="false"/>
          </w:tcPr>
          <w:p>
            <w:pPr>
              <w:pStyle w:val="895"/>
              <w:ind w:firstLine="480"/>
              <w:spacing w:line="400" w:lineRule="exact"/>
              <w:rPr>
                <w:rFonts w:hint="eastAsia" w:ascii="宋体" w:hAnsi="宋体"/>
                <w:sz w:val="24"/>
                <w:szCs w:val="24"/>
              </w:rPr>
            </w:pPr>
            <w:r>
              <w:rPr>
                <w:rFonts w:hint="eastAsia"/>
                <w:sz w:val="24"/>
                <w:szCs w:val="24"/>
              </w:rPr>
              <w:t xml:space="preserve">80 </w:t>
            </w:r>
            <w:r>
              <w:rPr>
                <w:rFonts w:hint="eastAsia" w:ascii="宋体" w:hAnsi="宋体"/>
                <w:sz w:val="24"/>
                <w:szCs w:val="24"/>
              </w:rPr>
            </w:r>
            <w:r/>
          </w:p>
        </w:tc>
      </w:tr>
    </w:tbl>
    <w:p>
      <w:pPr>
        <w:pStyle w:val="895"/>
        <w:jc w:val="left"/>
        <w:widowControl/>
        <w:rPr>
          <w:rFonts w:ascii="宋体" w:hAnsi="宋体"/>
          <w:sz w:val="24"/>
          <w:szCs w:val="24"/>
          <w:u w:val="single"/>
        </w:rPr>
      </w:pPr>
      <w:r>
        <w:rPr>
          <w:rFonts w:hint="eastAsia" w:ascii="宋体" w:hAnsi="宋体"/>
          <w:sz w:val="24"/>
          <w:szCs w:val="24"/>
        </w:rPr>
        <w:t xml:space="preserve">5.采购需求（简介）：</w:t>
      </w:r>
      <w:r>
        <w:rPr>
          <w:rFonts w:ascii="宋体" w:hAnsi="宋体" w:cs="宋体"/>
          <w:sz w:val="24"/>
          <w:szCs w:val="24"/>
          <w:lang w:bidi="ar"/>
        </w:rPr>
        <w:t xml:space="preserve">反兴奋剂平台升级开发项目，核心是对现有平台进行一体化升级，落实国家体育总局反兴奋剂中心</w:t>
      </w:r>
      <w:r>
        <w:rPr>
          <w:rFonts w:hint="eastAsia" w:ascii="宋体" w:hAnsi="宋体" w:cs="宋体"/>
          <w:sz w:val="24"/>
          <w:szCs w:val="24"/>
          <w:lang w:bidi="ar"/>
        </w:rPr>
        <w:t xml:space="preserve">关于</w:t>
      </w:r>
      <w:r>
        <w:rPr>
          <w:rFonts w:ascii="宋体" w:hAnsi="宋体" w:cs="宋体"/>
          <w:sz w:val="24"/>
          <w:szCs w:val="24"/>
          <w:lang w:bidi="ar"/>
        </w:rPr>
        <w:t xml:space="preserve">省级机构</w:t>
      </w:r>
      <w:r>
        <w:rPr>
          <w:rFonts w:hint="eastAsia" w:ascii="宋体" w:hAnsi="宋体" w:cs="宋体"/>
          <w:sz w:val="24"/>
          <w:szCs w:val="24"/>
          <w:lang w:bidi="ar"/>
        </w:rPr>
        <w:t xml:space="preserve">业务</w:t>
      </w:r>
      <w:r>
        <w:rPr>
          <w:rFonts w:ascii="宋体" w:hAnsi="宋体" w:cs="宋体"/>
          <w:sz w:val="24"/>
          <w:szCs w:val="24"/>
          <w:lang w:bidi="ar"/>
        </w:rPr>
        <w:t xml:space="preserve">合规性建设</w:t>
      </w:r>
      <w:r>
        <w:rPr>
          <w:rFonts w:hint="eastAsia" w:ascii="宋体" w:hAnsi="宋体" w:cs="宋体"/>
          <w:sz w:val="24"/>
          <w:szCs w:val="24"/>
          <w:lang w:bidi="ar"/>
        </w:rPr>
        <w:t xml:space="preserve">的指标</w:t>
      </w:r>
      <w:r>
        <w:rPr>
          <w:rFonts w:ascii="宋体" w:hAnsi="宋体" w:cs="宋体"/>
          <w:sz w:val="24"/>
          <w:szCs w:val="24"/>
          <w:lang w:bidi="ar"/>
        </w:rPr>
        <w:t xml:space="preserve">要求，提升我省反兴奋剂工作信息化、智能化管理水平。项目主要涵盖四大核心功能模块：组织体系、宣传教育、兴奋剂检查、三品防控，需完成各模块开发</w:t>
      </w:r>
      <w:r>
        <w:rPr>
          <w:rFonts w:hint="eastAsia" w:ascii="宋体" w:hAnsi="宋体" w:cs="宋体"/>
          <w:sz w:val="24"/>
          <w:szCs w:val="24"/>
          <w:lang w:bidi="ar"/>
        </w:rPr>
        <w:t xml:space="preserve">、</w:t>
      </w:r>
      <w:r>
        <w:rPr>
          <w:rFonts w:ascii="宋体" w:hAnsi="宋体" w:cs="宋体"/>
          <w:sz w:val="24"/>
          <w:szCs w:val="24"/>
          <w:lang w:bidi="ar"/>
        </w:rPr>
        <w:t xml:space="preserve">优化，实现全链条智能化管理；同时提供平台开发、部署调试、人员培训、售后运维及后期</w:t>
      </w:r>
      <w:r>
        <w:rPr>
          <w:rFonts w:hint="eastAsia" w:ascii="宋体" w:hAnsi="宋体" w:cs="宋体"/>
          <w:sz w:val="24"/>
          <w:szCs w:val="24"/>
          <w:lang w:bidi="ar"/>
        </w:rPr>
        <w:t xml:space="preserve">技术</w:t>
      </w:r>
      <w:r>
        <w:rPr>
          <w:rFonts w:ascii="宋体" w:hAnsi="宋体" w:cs="宋体"/>
          <w:sz w:val="24"/>
          <w:szCs w:val="24"/>
          <w:lang w:bidi="ar"/>
        </w:rPr>
        <w:t xml:space="preserve">支持等服务，确保平台合规、稳定、高效运行，满足数据安全</w:t>
      </w:r>
      <w:r>
        <w:rPr>
          <w:rFonts w:hint="eastAsia" w:ascii="宋体" w:hAnsi="宋体" w:cs="宋体"/>
          <w:sz w:val="24"/>
          <w:szCs w:val="24"/>
          <w:lang w:bidi="ar"/>
        </w:rPr>
        <w:t xml:space="preserve">等</w:t>
      </w:r>
      <w:r>
        <w:rPr>
          <w:rFonts w:ascii="宋体" w:hAnsi="宋体" w:cs="宋体"/>
          <w:sz w:val="24"/>
          <w:szCs w:val="24"/>
          <w:lang w:bidi="ar"/>
        </w:rPr>
        <w:t xml:space="preserve">相关要求。</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95"/>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ascii="宋体" w:hAnsi="宋体" w:cs="宋体"/>
          <w:sz w:val="24"/>
          <w:szCs w:val="24"/>
          <w:lang w:bidi="ar"/>
        </w:rPr>
        <w:t xml:space="preserve">合同生效之日起1个月内完成系统升级开发工作，系统连续稳定试运行不少于3个月。</w:t>
      </w:r>
      <w:r>
        <w:rPr>
          <w:rFonts w:ascii="宋体" w:hAnsi="宋体"/>
          <w:sz w:val="24"/>
          <w:szCs w:val="24"/>
          <w:u w:val="single"/>
        </w:rPr>
      </w:r>
      <w:r/>
    </w:p>
    <w:p>
      <w:pPr>
        <w:pStyle w:val="898"/>
        <w:ind w:firstLine="498"/>
        <w:spacing w:before="145" w:after="145" w:line="400" w:lineRule="exact"/>
      </w:pPr>
      <w:r/>
      <w:bookmarkStart w:id="12" w:name="_Toc28359003"/>
      <w:r/>
      <w:bookmarkStart w:id="13" w:name="_Toc38985264"/>
      <w:r/>
      <w:bookmarkStart w:id="14" w:name="_Toc35393791"/>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pStyle w:val="895"/>
        <w:ind w:firstLine="480"/>
        <w:spacing w:line="400" w:lineRule="exact"/>
        <w:rPr>
          <w:rFonts w:hint="eastAsia" w:ascii="宋体" w:hAnsi="宋体"/>
          <w:sz w:val="24"/>
          <w:szCs w:val="24"/>
        </w:rPr>
      </w:pPr>
      <w:r/>
      <w:bookmarkStart w:id="17" w:name="_Toc28359004"/>
      <w:r/>
      <w:bookmarkStart w:id="18" w:name="_Toc35393792"/>
      <w:r/>
      <w:bookmarkStart w:id="19" w:name="_Toc38985265"/>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5"/>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cs="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rPr>
          <w:rFonts w:hint="eastAsia" w:ascii="宋体" w:hAnsi="宋体"/>
          <w:sz w:val="24"/>
          <w:szCs w:val="24"/>
        </w:rPr>
        <w:t xml:space="preserve">。</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9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8"/>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5"/>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ascii="宋体" w:hAnsi="宋体"/>
          <w:sz w:val="24"/>
          <w:szCs w:val="24"/>
          <w:u w:val="single"/>
        </w:rPr>
        <w:t xml:space="preserve">2026</w:t>
      </w:r>
      <w:r>
        <w:rPr>
          <w:rFonts w:hint="eastAsia" w:ascii="宋体" w:hAnsi="宋体"/>
          <w:bCs/>
          <w:sz w:val="24"/>
          <w:szCs w:val="24"/>
          <w:u w:val="single"/>
        </w:rPr>
        <w:t xml:space="preserve">年6月11日9点30分</w:t>
      </w:r>
      <w:r>
        <w:rPr>
          <w:rFonts w:hint="eastAsia" w:ascii="宋体" w:hAnsi="宋体"/>
          <w:bCs/>
          <w:sz w:val="24"/>
          <w:szCs w:val="24"/>
        </w:rPr>
        <w:t xml:space="preserve">（北京时间）</w:t>
      </w:r>
      <w:r>
        <w:rPr>
          <w:rFonts w:ascii="宋体" w:hAnsi="宋体"/>
          <w:bCs/>
          <w:sz w:val="24"/>
          <w:szCs w:val="24"/>
          <w:u w:val="single"/>
        </w:rPr>
      </w:r>
      <w:r/>
    </w:p>
    <w:p>
      <w:pPr>
        <w:pStyle w:val="89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5"/>
        <w:ind w:firstLine="498"/>
        <w:keepLines/>
        <w:keepNext/>
        <w:spacing w:before="145" w:after="145" w:line="360" w:lineRule="auto"/>
        <w:rPr>
          <w:b/>
          <w:bCs/>
          <w:color w:val="000000"/>
          <w:sz w:val="32"/>
          <w:szCs w:val="32"/>
        </w:rPr>
        <w:outlineLvl w:val="2"/>
      </w:pPr>
      <w:r/>
      <w:bookmarkStart w:id="27" w:name="_Toc35393794"/>
      <w:r/>
      <w:bookmarkStart w:id="28" w:name="_Toc35393625"/>
      <w:r/>
      <w:bookmarkStart w:id="29" w:name="_Toc38985267"/>
      <w:r/>
      <w:bookmarkStart w:id="30" w:name="_Toc28359084"/>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8"/>
        <w:ind w:firstLine="498"/>
        <w:spacing w:before="145" w:after="145"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pStyle w:val="895"/>
        <w:ind w:firstLine="480"/>
        <w:spacing w:line="400" w:lineRule="exact"/>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898"/>
        <w:ind w:firstLine="498"/>
        <w:spacing w:before="145" w:after="145" w:line="400" w:lineRule="exact"/>
      </w:pPr>
      <w:r/>
      <w:bookmarkStart w:id="35" w:name="_Toc38985269"/>
      <w:r/>
      <w:bookmarkStart w:id="36" w:name="_Toc35393627"/>
      <w:r/>
      <w:bookmarkStart w:id="37" w:name="_Toc35393796"/>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895"/>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5"/>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江苏省体育信息中心(江苏省体育文化中心）</w:t>
      </w:r>
      <w:r>
        <w:rPr>
          <w:rFonts w:ascii="宋体" w:hAnsi="宋体"/>
          <w:sz w:val="24"/>
          <w:szCs w:val="24"/>
        </w:rPr>
      </w:r>
      <w:r/>
    </w:p>
    <w:p>
      <w:pPr>
        <w:pStyle w:val="895"/>
        <w:ind w:left="1079" w:hanging="300"/>
        <w:jc w:val="left"/>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南京市广州路191号五环大厦　</w:t>
      </w:r>
      <w:r>
        <w:rPr>
          <w:rFonts w:hint="eastAsia" w:ascii="宋体" w:hAnsi="宋体"/>
          <w:sz w:val="24"/>
          <w:szCs w:val="24"/>
        </w:rPr>
      </w:r>
      <w:r/>
    </w:p>
    <w:p>
      <w:pPr>
        <w:pStyle w:val="895"/>
        <w:ind w:left="1079" w:hanging="30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凌婧  </w:t>
      </w:r>
      <w:r>
        <w:rPr>
          <w:rFonts w:hint="eastAsia" w:ascii="宋体" w:hAnsi="宋体"/>
          <w:sz w:val="24"/>
          <w:szCs w:val="24"/>
        </w:rPr>
        <w:t xml:space="preserve"> </w:t>
      </w:r>
      <w:r>
        <w:rPr>
          <w:rFonts w:hint="eastAsia" w:ascii="宋体" w:hAnsi="宋体"/>
          <w:sz w:val="24"/>
          <w:szCs w:val="24"/>
        </w:rPr>
      </w:r>
      <w:r/>
    </w:p>
    <w:p>
      <w:pPr>
        <w:pStyle w:val="895"/>
        <w:ind w:left="1079" w:hanging="300"/>
        <w:jc w:val="left"/>
        <w:spacing w:line="400" w:lineRule="exact"/>
        <w:rPr>
          <w:rFonts w:hint="eastAsia" w:ascii="宋体" w:hAnsi="宋体" w:cs="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025-51889229　</w:t>
      </w:r>
      <w:bookmarkStart w:id="40" w:name="_Toc28359009"/>
      <w:r/>
      <w:bookmarkStart w:id="41" w:name="_Toc28359086"/>
      <w:r>
        <w:rPr>
          <w:rFonts w:hint="eastAsia" w:ascii="宋体" w:hAnsi="宋体" w:cs="宋体"/>
          <w:sz w:val="24"/>
          <w:szCs w:val="24"/>
        </w:rPr>
      </w:r>
      <w:r/>
    </w:p>
    <w:p>
      <w:pPr>
        <w:pStyle w:val="895"/>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95"/>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rPr>
          <w:rFonts w:ascii="宋体" w:hAnsi="宋体"/>
          <w:sz w:val="24"/>
          <w:szCs w:val="24"/>
        </w:rPr>
      </w:r>
      <w:r/>
    </w:p>
    <w:p>
      <w:pPr>
        <w:pStyle w:val="895"/>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w:t>
      </w:r>
      <w:r>
        <w:rPr>
          <w:rFonts w:hint="eastAsia" w:ascii="宋体" w:hAnsi="宋体"/>
          <w:sz w:val="24"/>
          <w:szCs w:val="24"/>
          <w:u w:val="single"/>
        </w:rPr>
        <w:t xml:space="preserve">张文怡</w:t>
      </w:r>
      <w:r>
        <w:rPr>
          <w:rFonts w:hint="eastAsia" w:ascii="宋体" w:hAnsi="宋体"/>
          <w:sz w:val="24"/>
          <w:szCs w:val="24"/>
          <w:u w:val="single"/>
        </w:rPr>
      </w:r>
      <w:r/>
    </w:p>
    <w:p>
      <w:pPr>
        <w:pStyle w:val="895"/>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025-83668550、83668505</w:t>
      </w:r>
      <w:r>
        <w:rPr>
          <w:rFonts w:ascii="宋体" w:hAnsi="宋体"/>
          <w:sz w:val="24"/>
          <w:szCs w:val="24"/>
        </w:rPr>
      </w:r>
      <w:r/>
    </w:p>
    <w:p>
      <w:pPr>
        <w:pStyle w:val="898"/>
        <w:ind w:firstLine="498"/>
        <w:spacing w:before="145" w:after="145" w:line="400" w:lineRule="exact"/>
      </w:pPr>
      <w:r/>
      <w:bookmarkEnd w:id="42"/>
      <w:r/>
      <w:bookmarkEnd w:id="43"/>
      <w:r>
        <w:rPr>
          <w:rFonts w:hint="eastAsia"/>
        </w:rPr>
        <w:t xml:space="preserve">八、其他</w:t>
      </w:r>
      <w:r/>
    </w:p>
    <w:p>
      <w:pPr>
        <w:pStyle w:val="895"/>
        <w:ind w:right="840"/>
        <w:rPr>
          <w:rFonts w:hint="eastAsia" w:ascii="宋体" w:hAnsi="宋体"/>
          <w:sz w:val="24"/>
        </w:rPr>
      </w:pPr>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sz w:val="24"/>
        </w:rPr>
      </w:r>
      <w:r/>
    </w:p>
    <w:p>
      <w:pPr>
        <w:pStyle w:val="895"/>
        <w:ind w:right="840"/>
        <w:rPr>
          <w:rFonts w:hint="eastAsia" w:ascii="宋体" w:hAnsi="宋体"/>
          <w:sz w:val="24"/>
        </w:rPr>
      </w:pPr>
      <w:r>
        <w:rPr>
          <w:rFonts w:hint="eastAsia" w:ascii="宋体" w:hAnsi="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sz w:val="24"/>
        </w:rPr>
      </w:r>
      <w:r/>
    </w:p>
    <w:p>
      <w:pPr>
        <w:pStyle w:val="895"/>
        <w:ind w:right="840"/>
        <w:rPr>
          <w:rFonts w:hint="eastAsia" w:ascii="宋体" w:hAnsi="宋体"/>
          <w:sz w:val="24"/>
        </w:rPr>
      </w:pPr>
      <w:r>
        <w:rPr>
          <w:rFonts w:hint="eastAsia" w:ascii="宋体" w:hAnsi="宋体"/>
          <w:sz w:val="24"/>
        </w:rPr>
        <w:t xml:space="preserve">2.有关本次招标的事项若存在变动或修改，敬请及时关注江苏省政府采购中心在“江苏政府采购网”发布的更正公告。</w:t>
      </w:r>
      <w:r>
        <w:rPr>
          <w:rFonts w:hint="eastAsia" w:ascii="宋体" w:hAnsi="宋体"/>
          <w:sz w:val="24"/>
        </w:rPr>
      </w:r>
      <w:r/>
    </w:p>
    <w:p>
      <w:pPr>
        <w:pStyle w:val="895"/>
        <w:ind w:right="840"/>
        <w:rPr>
          <w:rFonts w:hint="eastAsia" w:ascii="宋体" w:hAnsi="宋体"/>
          <w:sz w:val="24"/>
        </w:rPr>
      </w:pPr>
      <w:r>
        <w:rPr>
          <w:rFonts w:hint="eastAsia" w:ascii="宋体" w:hAnsi="宋体"/>
          <w:sz w:val="24"/>
        </w:rPr>
        <w:t xml:space="preserve">3.本次招标不收取投标保证金。</w:t>
      </w:r>
      <w:r>
        <w:rPr>
          <w:rFonts w:hint="eastAsia" w:ascii="宋体" w:hAnsi="宋体"/>
          <w:sz w:val="24"/>
        </w:rPr>
      </w:r>
      <w:r/>
    </w:p>
    <w:p>
      <w:pPr>
        <w:pStyle w:val="895"/>
        <w:ind w:right="840"/>
        <w:rPr>
          <w:rFonts w:hint="eastAsia" w:ascii="宋体" w:hAnsi="宋体"/>
          <w:sz w:val="24"/>
        </w:rPr>
      </w:pPr>
      <w:r>
        <w:rPr>
          <w:rFonts w:hint="eastAsia" w:ascii="宋体" w:hAnsi="宋体"/>
          <w:sz w:val="24"/>
        </w:rPr>
      </w:r>
      <w:r/>
    </w:p>
    <w:p>
      <w:pPr>
        <w:pStyle w:val="895"/>
        <w:ind w:right="840"/>
        <w:rPr>
          <w:rFonts w:hint="eastAsia" w:ascii="宋体" w:hAnsi="宋体"/>
          <w:sz w:val="24"/>
        </w:rPr>
      </w:pPr>
      <w:r>
        <w:rPr>
          <w:rFonts w:hint="eastAsia" w:ascii="宋体" w:hAnsi="宋体"/>
          <w:sz w:val="24"/>
        </w:rPr>
      </w:r>
      <w:r/>
    </w:p>
    <w:p>
      <w:pPr>
        <w:pStyle w:val="895"/>
        <w:ind w:right="840"/>
        <w:rPr>
          <w:rFonts w:hint="eastAsia" w:ascii="宋体" w:hAnsi="宋体"/>
          <w:sz w:val="24"/>
        </w:rPr>
      </w:pPr>
      <w:r>
        <w:rPr>
          <w:rFonts w:hint="eastAsia" w:ascii="宋体" w:hAnsi="宋体"/>
          <w:sz w:val="24"/>
        </w:rPr>
      </w:r>
      <w:r/>
    </w:p>
    <w:p>
      <w:pPr>
        <w:pStyle w:val="895"/>
        <w:ind w:right="840"/>
        <w:rPr>
          <w:rFonts w:hint="eastAsia" w:ascii="宋体" w:hAnsi="宋体"/>
          <w:sz w:val="24"/>
        </w:rPr>
      </w:pPr>
      <w:r>
        <w:rPr>
          <w:rFonts w:hint="eastAsia" w:ascii="宋体" w:hAnsi="宋体"/>
          <w:sz w:val="24"/>
        </w:rPr>
      </w:r>
      <w:r/>
    </w:p>
    <w:p>
      <w:pPr>
        <w:pStyle w:val="895"/>
        <w:ind w:right="840"/>
        <w:rPr>
          <w:rFonts w:hint="eastAsia" w:ascii="宋体" w:hAnsi="宋体"/>
          <w:sz w:val="24"/>
        </w:rPr>
      </w:pPr>
      <w:r>
        <w:rPr>
          <w:rFonts w:hint="eastAsia" w:ascii="宋体" w:hAnsi="宋体"/>
          <w:sz w:val="24"/>
        </w:rPr>
      </w:r>
      <w:r/>
    </w:p>
    <w:p>
      <w:pPr>
        <w:pStyle w:val="897"/>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8"/>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9"/>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9"/>
        <w:ind w:firstLine="420"/>
        <w:spacing w:before="0" w:after="0" w:line="400" w:lineRule="exact"/>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9"/>
        <w:ind w:firstLine="422"/>
        <w:spacing w:before="0" w:after="0" w:line="400" w:lineRule="exact"/>
        <w:rPr>
          <w:rFonts w:hint="eastAsia"/>
        </w:rPr>
      </w:pPr>
      <w:r/>
      <w:bookmarkStart w:id="61" w:name="_Toc513029206"/>
      <w:r/>
      <w:bookmarkStart w:id="62" w:name="_Toc20823278"/>
      <w:r/>
      <w:bookmarkStart w:id="63" w:name="_Toc16938522"/>
      <w:r>
        <w:rPr>
          <w:rFonts w:hint="eastAsia"/>
        </w:rPr>
        <w:t xml:space="preserve">3、适用法律</w:t>
      </w:r>
      <w:bookmarkEnd w:id="61"/>
      <w:r/>
      <w:bookmarkEnd w:id="62"/>
      <w:r/>
      <w:bookmarkEnd w:id="63"/>
      <w:r>
        <w:rPr>
          <w:rFonts w:hint="eastAsia"/>
        </w:rPr>
        <w:t xml:space="preserve">和标准</w:t>
      </w:r>
      <w:r>
        <w:rPr>
          <w:rFonts w:hint="eastAsia"/>
        </w:rPr>
      </w:r>
      <w:r/>
    </w:p>
    <w:p>
      <w:pPr>
        <w:pStyle w:val="895"/>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95"/>
        <w:ind w:firstLine="420"/>
        <w:spacing w:line="400" w:lineRule="exact"/>
        <w:rPr>
          <w:rFonts w:hint="eastAsia" w:ascii="宋体" w:hAnsi="宋体"/>
          <w:sz w:val="24"/>
        </w:rPr>
      </w:pPr>
      <w:r/>
      <w:bookmarkStart w:id="64" w:name="_Toc20823279"/>
      <w:r/>
      <w:bookmarkStart w:id="65" w:name="_Toc513029207"/>
      <w:r/>
      <w:bookmarkStart w:id="66" w:name="_Toc462564067"/>
      <w:r/>
      <w:bookmarkStart w:id="67" w:name="_Toc16938523"/>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9"/>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8"/>
        <w:ind w:firstLine="321"/>
        <w:spacing w:before="145" w:after="145" w:line="400" w:lineRule="exact"/>
        <w:rPr>
          <w:rFonts w:hint="eastAsia"/>
        </w:rPr>
      </w:pPr>
      <w:r/>
      <w:bookmarkStart w:id="68" w:name="_Toc513029209"/>
      <w:r/>
      <w:bookmarkStart w:id="69" w:name="_Toc20823281"/>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899"/>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9"/>
        <w:ind w:firstLine="560"/>
        <w:spacing w:before="0" w:after="0" w:line="400" w:lineRule="exact"/>
        <w:rPr>
          <w:rFonts w:hint="eastAsia"/>
          <w:b w:val="0"/>
          <w:bCs w:val="0"/>
        </w:rPr>
      </w:pPr>
      <w:r/>
      <w:bookmarkStart w:id="75" w:name="_Toc16938528"/>
      <w:r/>
      <w:bookmarkStart w:id="76" w:name="_Toc462564071"/>
      <w:r/>
      <w:bookmarkStart w:id="77" w:name="_Toc513029212"/>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8"/>
        <w:ind w:firstLine="482"/>
        <w:spacing w:before="145" w:after="145" w:line="400" w:lineRule="exact"/>
        <w:rPr>
          <w:rFonts w:hint="eastAsia"/>
        </w:rPr>
      </w:pPr>
      <w:r/>
      <w:bookmarkStart w:id="79" w:name="_Toc462564072"/>
      <w:r/>
      <w:bookmarkStart w:id="80" w:name="_Toc513029213"/>
      <w:r/>
      <w:bookmarkStart w:id="81" w:name="_Toc20823285"/>
      <w:r/>
      <w:bookmarkStart w:id="82" w:name="_Toc16938529"/>
      <w:r/>
      <w:bookmarkStart w:id="83" w:name="_Toc120614216"/>
      <w:r>
        <w:rPr>
          <w:rFonts w:hint="eastAsia"/>
        </w:rPr>
        <w:t xml:space="preserve">三、投标文件的编制</w:t>
      </w:r>
      <w:bookmarkEnd w:id="79"/>
      <w:r/>
      <w:bookmarkEnd w:id="80"/>
      <w:r/>
      <w:bookmarkEnd w:id="81"/>
      <w:r/>
      <w:bookmarkEnd w:id="82"/>
      <w:r/>
      <w:bookmarkEnd w:id="83"/>
      <w:r>
        <w:rPr>
          <w:rFonts w:hint="eastAsia"/>
        </w:rPr>
      </w:r>
      <w:r/>
    </w:p>
    <w:p>
      <w:pPr>
        <w:pStyle w:val="899"/>
        <w:ind w:firstLine="560"/>
        <w:spacing w:before="0" w:after="0" w:line="400" w:lineRule="exact"/>
        <w:rPr>
          <w:rFonts w:hint="eastAsia"/>
          <w:bCs w:val="0"/>
        </w:rPr>
      </w:pPr>
      <w:r/>
      <w:bookmarkStart w:id="84" w:name="_Toc462564073"/>
      <w:r/>
      <w:bookmarkStart w:id="85" w:name="_Toc513029214"/>
      <w:r/>
      <w:bookmarkStart w:id="86" w:name="_Toc16938530"/>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9"/>
        <w:ind w:firstLine="420"/>
        <w:spacing w:before="0" w:after="0" w:line="400" w:lineRule="exact"/>
        <w:rPr>
          <w:rFonts w:hint="eastAsia"/>
          <w:b w:val="0"/>
          <w:bCs w:val="0"/>
        </w:rPr>
      </w:pPr>
      <w:r/>
      <w:bookmarkStart w:id="88" w:name="_Toc513029215"/>
      <w:r/>
      <w:bookmarkStart w:id="89" w:name="_Toc20823287"/>
      <w:r/>
      <w:bookmarkStart w:id="90" w:name="_Toc462564074"/>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9"/>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49090509"/>
      <w:r/>
      <w:bookmarkStart w:id="96" w:name="_Toc513029219"/>
      <w:r/>
      <w:bookmarkStart w:id="97" w:name="_Toc14577357"/>
      <w:r/>
      <w:bookmarkStart w:id="98" w:name="_Toc49090507"/>
      <w:r/>
      <w:bookmarkStart w:id="99" w:name="_Toc513029216"/>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5"/>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9"/>
        <w:ind w:firstLine="420"/>
        <w:spacing w:before="0" w:after="0" w:line="400" w:lineRule="exact"/>
        <w:rPr>
          <w:rFonts w:hint="eastAsia"/>
          <w:b w:val="0"/>
          <w:bCs w:val="0"/>
        </w:rPr>
      </w:pPr>
      <w:r/>
      <w:bookmarkStart w:id="106" w:name="_Hlt26954842"/>
      <w:r/>
      <w:bookmarkEnd w:id="106"/>
      <w:r/>
      <w:bookmarkStart w:id="107" w:name="_Hlt26954844"/>
      <w:r/>
      <w:bookmarkEnd w:id="107"/>
      <w:r/>
      <w:bookmarkStart w:id="108" w:name="_Hlt26670486"/>
      <w:r/>
      <w:bookmarkEnd w:id="108"/>
      <w:r/>
      <w:bookmarkStart w:id="109" w:name="_Hlt26668983"/>
      <w:r/>
      <w:bookmarkEnd w:id="109"/>
      <w:r/>
      <w:bookmarkStart w:id="110" w:name="_Hlt26670425"/>
      <w:r/>
      <w:bookmarkEnd w:id="110"/>
      <w:r/>
      <w:bookmarkStart w:id="111" w:name="_Hlt26670403"/>
      <w:r/>
      <w:bookmarkEnd w:id="111"/>
      <w:r/>
      <w:bookmarkStart w:id="112" w:name="_Hlt26670482"/>
      <w:r/>
      <w:bookmarkEnd w:id="112"/>
      <w:r/>
      <w:bookmarkStart w:id="113" w:name="_Hlt26954731"/>
      <w:r/>
      <w:bookmarkEnd w:id="113"/>
      <w:r/>
      <w:bookmarkStart w:id="114" w:name="_Hlt26954846"/>
      <w:r/>
      <w:bookmarkEnd w:id="114"/>
      <w:r/>
      <w:bookmarkStart w:id="115" w:name="_Hlt26954848"/>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95"/>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9"/>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8"/>
        <w:ind w:firstLine="482"/>
        <w:spacing w:before="145" w:after="145" w:line="400" w:lineRule="exact"/>
        <w:rPr>
          <w:rFonts w:hint="eastAsia"/>
        </w:rPr>
      </w:pPr>
      <w:r/>
      <w:bookmarkStart w:id="123" w:name="_Hlt26954739"/>
      <w:r/>
      <w:bookmarkEnd w:id="123"/>
      <w:r/>
      <w:bookmarkStart w:id="124" w:name="_Hlt26954852"/>
      <w:r/>
      <w:bookmarkEnd w:id="124"/>
      <w:r/>
      <w:bookmarkStart w:id="125" w:name="_Toc16938540"/>
      <w:r/>
      <w:bookmarkStart w:id="126" w:name="_Toc513029224"/>
      <w:r/>
      <w:bookmarkStart w:id="127" w:name="_Toc20823296"/>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9"/>
        <w:ind w:firstLine="560"/>
        <w:spacing w:before="0" w:after="0" w:line="400" w:lineRule="exact"/>
        <w:rPr>
          <w:rFonts w:hint="eastAsia" w:ascii="黑体"/>
          <w:b w:val="0"/>
          <w:bCs w:val="0"/>
        </w:rPr>
      </w:pPr>
      <w:r/>
      <w:bookmarkStart w:id="129" w:name="_Toc16938541"/>
      <w:r/>
      <w:bookmarkStart w:id="130" w:name="_Toc462564084"/>
      <w:r/>
      <w:bookmarkStart w:id="131" w:name="_Toc513029225"/>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9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9"/>
        <w:ind w:firstLine="420"/>
        <w:spacing w:before="0" w:after="0" w:line="400" w:lineRule="exact"/>
        <w:rPr>
          <w:rFonts w:hint="eastAsia"/>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9"/>
        <w:ind w:firstLine="420"/>
        <w:spacing w:before="0" w:after="0" w:line="400" w:lineRule="exact"/>
        <w:rPr>
          <w:rFonts w:hint="eastAsia"/>
          <w:b w:val="0"/>
          <w:bCs w:val="0"/>
        </w:rPr>
      </w:pPr>
      <w:r/>
      <w:bookmarkStart w:id="139" w:name="_Toc16938544"/>
      <w:r/>
      <w:bookmarkStart w:id="140" w:name="_Toc513029228"/>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8"/>
        <w:ind w:firstLine="482"/>
        <w:spacing w:before="145" w:after="145" w:line="400" w:lineRule="exact"/>
        <w:rPr>
          <w:rFonts w:hint="eastAsia"/>
        </w:rPr>
      </w:pPr>
      <w:r/>
      <w:bookmarkStart w:id="142" w:name="_Toc16938545"/>
      <w:r/>
      <w:bookmarkStart w:id="143" w:name="_Toc120614218"/>
      <w:r/>
      <w:bookmarkStart w:id="144" w:name="_Toc513029229"/>
      <w:r/>
      <w:bookmarkStart w:id="145" w:name="_Toc20823301"/>
      <w:r>
        <w:rPr>
          <w:rFonts w:hint="eastAsia"/>
        </w:rPr>
        <w:t xml:space="preserve">五、开标与评标</w:t>
      </w:r>
      <w:bookmarkEnd w:id="142"/>
      <w:r/>
      <w:bookmarkEnd w:id="143"/>
      <w:r/>
      <w:bookmarkEnd w:id="144"/>
      <w:r/>
      <w:bookmarkEnd w:id="145"/>
      <w:r>
        <w:rPr>
          <w:rFonts w:hint="eastAsia"/>
        </w:rPr>
      </w:r>
      <w:r/>
    </w:p>
    <w:p>
      <w:pPr>
        <w:pStyle w:val="899"/>
        <w:ind w:firstLine="420"/>
        <w:spacing w:before="0" w:after="0" w:line="400" w:lineRule="exact"/>
        <w:rPr>
          <w:rFonts w:hint="eastAsia"/>
          <w:b w:val="0"/>
          <w:bCs w:val="0"/>
        </w:rPr>
      </w:pPr>
      <w:r/>
      <w:bookmarkStart w:id="146" w:name="_Toc513029230"/>
      <w:r/>
      <w:bookmarkStart w:id="147" w:name="_Toc20823302"/>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9"/>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95"/>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9"/>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9"/>
        <w:ind w:firstLine="420"/>
        <w:spacing w:before="0" w:after="0" w:line="400" w:lineRule="exact"/>
        <w:rPr>
          <w:rFonts w:hint="eastAsia"/>
          <w:b w:val="0"/>
          <w:bCs w:val="0"/>
        </w:rPr>
      </w:pPr>
      <w:r/>
      <w:bookmarkStart w:id="155" w:name="_Toc20823305"/>
      <w:r/>
      <w:bookmarkStart w:id="156" w:name="_Toc16938549"/>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5"/>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5"/>
        <w:ind w:firstLine="420"/>
        <w:spacing w:line="400" w:lineRule="exact"/>
        <w:rPr>
          <w:rFonts w:ascii="宋体" w:hAnsi="宋体"/>
          <w:sz w:val="24"/>
        </w:rPr>
      </w:pPr>
      <w:r/>
      <w:bookmarkStart w:id="158" w:name="_Toc20823306"/>
      <w:r/>
      <w:bookmarkStart w:id="159" w:name="_Toc513029234"/>
      <w:r/>
      <w:bookmarkStart w:id="16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95"/>
        <w:ind w:firstLine="420"/>
        <w:spacing w:line="400" w:lineRule="exact"/>
        <w:rPr>
          <w:rFonts w:hint="eastAsia" w:ascii="宋体" w:hAnsi="宋体"/>
          <w:sz w:val="24"/>
        </w:rPr>
      </w:pPr>
      <w:r>
        <w:rPr>
          <w:rFonts w:hint="eastAsia" w:ascii="宋体" w:hAnsi="宋体"/>
          <w:sz w:val="24"/>
        </w:rPr>
        <w:t xml:space="preserve">24.7 异常低价投标审查</w:t>
      </w:r>
      <w:r>
        <w:rPr>
          <w:rFonts w:hint="eastAsia" w:ascii="宋体" w:hAnsi="宋体"/>
          <w:sz w:val="24"/>
        </w:rPr>
      </w:r>
      <w:r/>
    </w:p>
    <w:p>
      <w:pPr>
        <w:pStyle w:val="895"/>
        <w:ind w:firstLine="420"/>
        <w:spacing w:line="400" w:lineRule="exact"/>
        <w:rPr>
          <w:rFonts w:hint="eastAsia" w:ascii="宋体" w:hAnsi="宋体"/>
          <w:sz w:val="24"/>
        </w:rPr>
      </w:pPr>
      <w:r>
        <w:rPr>
          <w:rFonts w:hint="eastAsia" w:ascii="宋体" w:hAnsi="宋体"/>
          <w:sz w:val="24"/>
        </w:rPr>
        <w:t xml:space="preserve">24.7.1 评标过程中出现下列情形之一的，评标委员会应当启动异常低价投标审查程序：</w:t>
      </w:r>
      <w:r>
        <w:rPr>
          <w:rFonts w:hint="eastAsia" w:ascii="宋体" w:hAnsi="宋体"/>
          <w:sz w:val="24"/>
        </w:rPr>
      </w:r>
      <w:r/>
    </w:p>
    <w:p>
      <w:pPr>
        <w:pStyle w:val="895"/>
        <w:ind w:firstLine="420"/>
        <w:spacing w:line="400" w:lineRule="exact"/>
        <w:rPr>
          <w:rFonts w:hint="eastAsia" w:ascii="宋体" w:hAnsi="宋体"/>
          <w:sz w:val="24"/>
        </w:rPr>
      </w:pPr>
      <w:r>
        <w:rPr>
          <w:rFonts w:hint="eastAsia" w:ascii="宋体" w:hAnsi="宋体"/>
          <w:sz w:val="24"/>
        </w:rPr>
        <w:t xml:space="preserve">（1）投标报价低于全部通过符合性审查供应商投标报价平均值50%的，即投标报价&lt;全部通过符合性审查供应商投标报价平均值×50%；</w:t>
      </w:r>
      <w:r>
        <w:rPr>
          <w:rFonts w:hint="eastAsia" w:ascii="宋体" w:hAnsi="宋体"/>
          <w:sz w:val="24"/>
        </w:rPr>
      </w:r>
      <w:r/>
    </w:p>
    <w:p>
      <w:pPr>
        <w:pStyle w:val="895"/>
        <w:ind w:firstLine="420"/>
        <w:spacing w:line="400" w:lineRule="exact"/>
        <w:rPr>
          <w:rFonts w:hint="eastAsia" w:ascii="宋体" w:hAnsi="宋体"/>
          <w:sz w:val="24"/>
        </w:rPr>
      </w:pPr>
      <w:r>
        <w:rPr>
          <w:rFonts w:hint="eastAsia" w:ascii="宋体" w:hAnsi="宋体"/>
          <w:sz w:val="24"/>
        </w:rPr>
        <w:t xml:space="preserve">（2）投标报价低于通过符合性审查的次低报价供应商投标报价50%的，即投标报价&lt;通过符合性审查的次低报价供应商投标报价×50%；</w:t>
      </w:r>
      <w:r>
        <w:rPr>
          <w:rFonts w:hint="eastAsia" w:ascii="宋体" w:hAnsi="宋体"/>
          <w:sz w:val="24"/>
        </w:rPr>
      </w:r>
      <w:r/>
    </w:p>
    <w:p>
      <w:pPr>
        <w:pStyle w:val="895"/>
        <w:ind w:firstLine="420"/>
        <w:spacing w:line="400" w:lineRule="exact"/>
        <w:rPr>
          <w:rFonts w:hint="eastAsia" w:ascii="宋体" w:hAnsi="宋体"/>
          <w:sz w:val="24"/>
        </w:rPr>
      </w:pPr>
      <w:r>
        <w:rPr>
          <w:rFonts w:hint="eastAsia" w:ascii="宋体" w:hAnsi="宋体"/>
          <w:sz w:val="24"/>
        </w:rPr>
        <w:t xml:space="preserve">（3）投标报价低于采购项目最高限价45%的，即投标报价&lt;采购项目最高限价×45%；</w:t>
      </w:r>
      <w:r>
        <w:rPr>
          <w:rFonts w:hint="eastAsia" w:ascii="宋体" w:hAnsi="宋体"/>
          <w:sz w:val="24"/>
        </w:rPr>
      </w:r>
      <w:r/>
    </w:p>
    <w:p>
      <w:pPr>
        <w:pStyle w:val="895"/>
        <w:ind w:firstLine="420"/>
        <w:spacing w:line="400" w:lineRule="exact"/>
        <w:rPr>
          <w:rFonts w:hint="eastAsia" w:ascii="方正魏碑_GBK" w:hAnsi="方正魏碑_GBK" w:eastAsia="方正魏碑_GBK" w:cs="方正魏碑_GBK"/>
          <w:color w:val="ff0000"/>
          <w:sz w:val="24"/>
        </w:rPr>
      </w:pPr>
      <w:r>
        <w:rPr>
          <w:rFonts w:hint="eastAsia" w:ascii="宋体" w:hAnsi="宋体"/>
          <w:sz w:val="24"/>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ff0000"/>
          <w:sz w:val="24"/>
        </w:rPr>
      </w:r>
      <w:r/>
    </w:p>
    <w:p>
      <w:pPr>
        <w:pStyle w:val="895"/>
        <w:ind w:firstLine="420"/>
        <w:spacing w:line="400" w:lineRule="exact"/>
        <w:rPr>
          <w:rFonts w:hint="eastAsia" w:ascii="宋体" w:hAnsi="宋体"/>
          <w:sz w:val="24"/>
        </w:rPr>
      </w:pPr>
      <w:r>
        <w:rPr>
          <w:rFonts w:hint="eastAsia" w:ascii="宋体" w:hAnsi="宋体"/>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sz w:val="24"/>
        </w:rPr>
      </w:r>
      <w:r/>
    </w:p>
    <w:p>
      <w:pPr>
        <w:pStyle w:val="895"/>
        <w:ind w:firstLine="420"/>
        <w:spacing w:line="400" w:lineRule="exact"/>
        <w:rPr>
          <w:rFonts w:hint="eastAsia" w:ascii="宋体" w:hAnsi="宋体"/>
          <w:sz w:val="24"/>
        </w:rPr>
      </w:pPr>
      <w:r>
        <w:rPr>
          <w:rFonts w:hint="eastAsia" w:ascii="宋体" w:hAnsi="宋体"/>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sz w:val="24"/>
        </w:rPr>
      </w:r>
      <w:r/>
    </w:p>
    <w:p>
      <w:pPr>
        <w:pStyle w:val="89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95"/>
        <w:ind w:left="479"/>
        <w:spacing w:line="4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25.1无效投标条款</w:t>
      </w:r>
      <w:r>
        <w:rPr>
          <w:rFonts w:hint="eastAsia" w:ascii="宋体" w:hAnsi="宋体"/>
          <w:bCs/>
          <w:sz w:val="24"/>
        </w:rPr>
      </w:r>
      <w:r/>
    </w:p>
    <w:p>
      <w:pPr>
        <w:pStyle w:val="89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5"/>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8"/>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9"/>
        <w:ind w:firstLine="600"/>
        <w:spacing w:before="0" w:after="0" w:line="400" w:lineRule="exact"/>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9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5"/>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895"/>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95"/>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95"/>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95"/>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5"/>
        <w:ind w:firstLine="480"/>
        <w:spacing w:line="400" w:lineRule="exact"/>
        <w:rPr>
          <w:rFonts w:hint="eastAsia" w:ascii="宋体" w:hAnsi="宋体" w:cs="宋体"/>
          <w:sz w:val="24"/>
          <w:szCs w:val="24"/>
        </w:rPr>
      </w:pPr>
      <w:r>
        <w:rPr>
          <w:rFonts w:hint="eastAsia" w:ascii="宋体" w:hAnsi="宋体" w:cs="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s="宋体"/>
          <w:sz w:val="24"/>
          <w:szCs w:val="24"/>
        </w:rPr>
      </w:r>
      <w:r/>
    </w:p>
    <w:p>
      <w:pPr>
        <w:pStyle w:val="895"/>
        <w:ind w:firstLine="480"/>
        <w:spacing w:line="40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s="宋体"/>
          <w:sz w:val="24"/>
          <w:szCs w:val="24"/>
        </w:rPr>
      </w:r>
      <w:r/>
    </w:p>
    <w:p>
      <w:pPr>
        <w:pStyle w:val="895"/>
        <w:ind w:firstLine="480"/>
        <w:spacing w:line="400" w:lineRule="exact"/>
        <w:rPr>
          <w:rFonts w:hint="eastAsia"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s="宋体"/>
          <w:sz w:val="24"/>
          <w:szCs w:val="24"/>
        </w:rPr>
      </w:r>
      <w:r/>
    </w:p>
    <w:p>
      <w:pPr>
        <w:pStyle w:val="895"/>
        <w:ind w:firstLine="480"/>
        <w:spacing w:line="400" w:lineRule="exact"/>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rPr>
          <w:rFonts w:hint="eastAsia" w:ascii="宋体" w:hAnsi="宋体" w:cs="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5"/>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8"/>
        <w:spacing w:before="145" w:after="145" w:line="400" w:lineRule="exact"/>
        <w:rPr>
          <w:rFonts w:hint="eastAsia"/>
        </w:rPr>
      </w:pPr>
      <w:r/>
      <w:bookmarkStart w:id="169" w:name="_Toc120614220"/>
      <w:r/>
      <w:bookmarkStart w:id="170" w:name="_Toc20823308"/>
      <w:r/>
      <w:bookmarkStart w:id="171" w:name="_Toc513029236"/>
      <w:r/>
      <w:bookmarkStart w:id="172" w:name="_Toc16938552"/>
      <w:r>
        <w:rPr>
          <w:rFonts w:hint="eastAsia"/>
        </w:rPr>
        <w:t xml:space="preserve">七、授予合同</w:t>
      </w:r>
      <w:bookmarkEnd w:id="169"/>
      <w:r>
        <w:rPr>
          <w:rFonts w:hint="eastAsia"/>
        </w:rPr>
      </w:r>
      <w:r/>
    </w:p>
    <w:p>
      <w:pPr>
        <w:pStyle w:val="899"/>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20823309"/>
      <w:r/>
      <w:bookmarkStart w:id="174" w:name="_Toc16938553"/>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9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9"/>
        <w:ind w:firstLine="600"/>
        <w:spacing w:before="0" w:after="0" w:line="400" w:lineRule="exact"/>
        <w:rPr>
          <w:rFonts w:ascii="黑体" w:hAnsi="宋体" w:cs="Times New Roman"/>
          <w:b w:val="0"/>
          <w:sz w:val="30"/>
          <w:szCs w:val="30"/>
        </w:rPr>
      </w:pPr>
      <w:r/>
      <w:bookmarkEnd w:id="173"/>
      <w:r/>
      <w:bookmarkEnd w:id="174"/>
      <w:r/>
      <w:bookmarkEnd w:id="175"/>
      <w:r/>
      <w:bookmarkStart w:id="176" w:name="_Toc513029242"/>
      <w:r/>
      <w:bookmarkStart w:id="177" w:name="_Toc479757207"/>
      <w:r/>
      <w:bookmarkStart w:id="178" w:name="_Toc120614221"/>
      <w:r/>
      <w:bookmarkStart w:id="179" w:name="_Toc20823314"/>
      <w:r/>
      <w:bookmarkStart w:id="180" w:name="_Toc16938558"/>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0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09"/>
        <w:spacing w:line="400" w:lineRule="exact"/>
        <w:rPr>
          <w:rFonts w:hint="eastAsia" w:ascii="宋体" w:hAnsi="宋体"/>
          <w:bCs/>
          <w:sz w:val="24"/>
        </w:rPr>
      </w:pPr>
      <w:r>
        <w:rPr>
          <w:rFonts w:hint="eastAsia" w:ascii="宋体" w:hAnsi="宋体"/>
          <w:bCs/>
          <w:sz w:val="24"/>
        </w:rPr>
      </w:r>
      <w:r/>
    </w:p>
    <w:p>
      <w:pPr>
        <w:pStyle w:val="896"/>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95"/>
        <w:jc w:val="center"/>
        <w:spacing w:before="145" w:after="145"/>
        <w:rPr>
          <w:rFonts w:hint="eastAsia" w:ascii="宋体" w:hAnsi="宋体"/>
          <w:b/>
          <w:sz w:val="30"/>
        </w:rPr>
        <w:outlineLvl w:val="0"/>
      </w:pPr>
      <w:r/>
      <w:bookmarkStart w:id="181" w:name="_Toc20823315"/>
      <w:r/>
      <w:bookmarkStart w:id="182" w:name="_Toc513029243"/>
      <w:r/>
      <w:bookmarkStart w:id="183" w:name="_Toc16938559"/>
      <w:r>
        <w:rPr>
          <w:rFonts w:hint="eastAsia" w:ascii="宋体" w:hAnsi="宋体"/>
          <w:b/>
          <w:sz w:val="30"/>
        </w:rPr>
      </w:r>
      <w:r/>
    </w:p>
    <w:p>
      <w:pPr>
        <w:pStyle w:val="895"/>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95"/>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95"/>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3"/>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33"/>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Ansi="宋体"/>
          <w:sz w:val="24"/>
          <w:szCs w:val="24"/>
        </w:rPr>
      </w:r>
      <w:r/>
    </w:p>
    <w:p>
      <w:pPr>
        <w:pStyle w:val="933"/>
        <w:spacing w:before="120" w:after="120"/>
        <w:rPr>
          <w:rFonts w:hint="eastAsia" w:hAnsi="宋体"/>
          <w:sz w:val="24"/>
          <w:szCs w:val="24"/>
        </w:rPr>
      </w:pPr>
      <w:r>
        <w:rPr>
          <w:rFonts w:hint="eastAsia" w:hAnsi="宋体"/>
          <w:sz w:val="24"/>
          <w:szCs w:val="24"/>
        </w:rPr>
        <w:t xml:space="preserve">丙方：（使用单位）</w:t>
      </w:r>
      <w:r>
        <w:rPr>
          <w:rFonts w:hAnsi="宋体"/>
          <w:sz w:val="24"/>
          <w:szCs w:val="24"/>
        </w:rPr>
        <w:t xml:space="preserve">________</w:t>
      </w:r>
      <w:r>
        <w:rPr>
          <w:rFonts w:hint="eastAsia" w:hAnsi="宋体"/>
          <w:sz w:val="24"/>
          <w:szCs w:val="24"/>
        </w:rPr>
      </w:r>
      <w:r/>
    </w:p>
    <w:p>
      <w:pPr>
        <w:pStyle w:val="933"/>
        <w:spacing w:before="120" w:after="120"/>
        <w:rPr>
          <w:rFonts w:hAnsi="宋体"/>
          <w:b/>
          <w:sz w:val="24"/>
          <w:szCs w:val="24"/>
        </w:rPr>
      </w:pPr>
      <w:r>
        <w:rPr>
          <w:rFonts w:hAnsi="宋体"/>
          <w:b/>
          <w:sz w:val="24"/>
          <w:szCs w:val="24"/>
        </w:rPr>
        <w:t xml:space="preserve">   </w:t>
      </w:r>
      <w:r>
        <w:rPr>
          <w:rFonts w:hAnsi="宋体"/>
          <w:sz w:val="24"/>
          <w:szCs w:val="24"/>
        </w:rPr>
        <w:t xml:space="preserve">甲、乙</w:t>
      </w:r>
      <w:r>
        <w:rPr>
          <w:rFonts w:hint="eastAsia" w:hAnsi="宋体"/>
          <w:sz w:val="24"/>
          <w:szCs w:val="24"/>
        </w:rPr>
        <w:t xml:space="preserve">、丙三</w:t>
      </w:r>
      <w:r>
        <w:rPr>
          <w:rFonts w:hAnsi="宋体"/>
          <w:sz w:val="24"/>
          <w:szCs w:val="24"/>
        </w:rPr>
        <w:t xml:space="preserve">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3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3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33"/>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33"/>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3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3"/>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33"/>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Ansi="宋体"/>
          <w:sz w:val="24"/>
          <w:szCs w:val="24"/>
        </w:rPr>
      </w:r>
      <w:r/>
    </w:p>
    <w:p>
      <w:pPr>
        <w:pStyle w:val="933"/>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33"/>
        <w:ind w:left="410" w:hanging="410"/>
        <w:spacing w:before="120" w:after="120"/>
        <w:rPr>
          <w:rFonts w:hint="eastAsia" w:hAnsi="宋体"/>
          <w:sz w:val="24"/>
          <w:szCs w:val="24"/>
        </w:rPr>
      </w:pPr>
      <w:r>
        <w:rPr>
          <w:rFonts w:hAnsi="宋体"/>
          <w:sz w:val="24"/>
          <w:szCs w:val="24"/>
        </w:rPr>
        <w:t xml:space="preserve">3.1乙方应按招标文件规定的时间向甲</w:t>
      </w:r>
      <w:r>
        <w:rPr>
          <w:rFonts w:hint="eastAsia" w:hAnsi="宋体"/>
          <w:sz w:val="24"/>
          <w:szCs w:val="24"/>
        </w:rPr>
        <w:t xml:space="preserve">、丙</w:t>
      </w:r>
      <w:r>
        <w:rPr>
          <w:rFonts w:hAnsi="宋体"/>
          <w:sz w:val="24"/>
          <w:szCs w:val="24"/>
        </w:rPr>
        <w:t xml:space="preserve">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3"/>
        <w:ind w:left="410" w:hanging="410"/>
        <w:spacing w:before="120" w:after="120"/>
        <w:rPr>
          <w:rFonts w:hAnsi="宋体"/>
          <w:sz w:val="24"/>
          <w:szCs w:val="24"/>
        </w:rPr>
      </w:pPr>
      <w:r>
        <w:rPr>
          <w:rFonts w:hAnsi="宋体"/>
          <w:sz w:val="24"/>
          <w:szCs w:val="24"/>
        </w:rPr>
        <w:t xml:space="preserve">3.2 没有甲</w:t>
      </w:r>
      <w:r>
        <w:rPr>
          <w:rFonts w:hint="eastAsia" w:hAnsi="宋体"/>
          <w:sz w:val="24"/>
          <w:szCs w:val="24"/>
        </w:rPr>
        <w:t xml:space="preserve">、丙</w:t>
      </w:r>
      <w:r>
        <w:rPr>
          <w:rFonts w:hAnsi="宋体"/>
          <w:sz w:val="24"/>
          <w:szCs w:val="24"/>
        </w:rPr>
        <w:t xml:space="preserve">方事先书面同意，乙方不得将由甲</w:t>
      </w:r>
      <w:r>
        <w:rPr>
          <w:rFonts w:hint="eastAsia" w:hAnsi="宋体"/>
          <w:sz w:val="24"/>
          <w:szCs w:val="24"/>
        </w:rPr>
        <w:t xml:space="preserve">、丙</w:t>
      </w:r>
      <w:r>
        <w:rPr>
          <w:rFonts w:hAnsi="宋体"/>
          <w:sz w:val="24"/>
          <w:szCs w:val="24"/>
        </w:rPr>
        <w:t xml:space="preserve">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33"/>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3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方应保证甲、丙方在使用、接受本合同服务（包含与服务相关的货物）或其任何一部分时不受第三方提出侵犯其专利权、版权、商标权和工业设计权等知识产权的起诉。一旦出现侵权，由乙方负全部责任。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33"/>
        <w:ind w:left="408" w:hanging="408"/>
        <w:spacing w:before="120" w:after="120"/>
        <w:rPr>
          <w:rFonts w:hint="eastAsia" w:hAnsi="宋体"/>
          <w:sz w:val="24"/>
          <w:szCs w:val="24"/>
        </w:rPr>
      </w:pPr>
      <w:r>
        <w:rPr>
          <w:rFonts w:hint="eastAsia" w:hAnsi="宋体"/>
          <w:sz w:val="24"/>
          <w:szCs w:val="24"/>
        </w:rPr>
        <w:t xml:space="preserve">4.2本项目开发成果的知识产权归甲方所有，乙方必须向甲方提供本项目软件的使用说明及源程序码等开发成果。</w:t>
      </w:r>
      <w:r>
        <w:rPr>
          <w:rFonts w:hint="eastAsia" w:hAnsi="宋体"/>
          <w:sz w:val="24"/>
          <w:szCs w:val="24"/>
        </w:rPr>
      </w:r>
      <w:r/>
    </w:p>
    <w:p>
      <w:pPr>
        <w:pStyle w:val="93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3"/>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33"/>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3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33"/>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33"/>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33"/>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3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9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乙方如有转包或未经甲、丙方同意的分包行为，甲、丙方有权解除合同。</w:t>
      </w:r>
      <w:r>
        <w:rPr>
          <w:rFonts w:ascii="宋体" w:hAnsi="宋体" w:eastAsia="仿宋_GB2312"/>
          <w:sz w:val="24"/>
          <w:szCs w:val="24"/>
        </w:rPr>
      </w:r>
      <w:r/>
    </w:p>
    <w:p>
      <w:pPr>
        <w:pStyle w:val="93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预付款支付时间：合同签订生效，甲方收到乙方提供的有效增值税发票后20个工作日内，甲方支付合同价的50%。</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8.1.2 进度款支付时间:乙方完成合同约定的所有服务，且稳定上线试运行1个月，且收到乙方提供的有效增值税发票后20个工作日内，甲方支付合同价的20%。</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8.1.3 尾款支付时间：系统稳定上线试运行3个月，通过甲方验收且收到乙方提供的有效增值税发票后20个工作日内，甲方支付合同价的30%。</w:t>
      </w:r>
      <w:r>
        <w:rPr>
          <w:rFonts w:hint="eastAsia" w:ascii="宋体" w:hAnsi="宋体"/>
          <w:sz w:val="24"/>
          <w:szCs w:val="24"/>
        </w:rPr>
      </w:r>
      <w:r/>
    </w:p>
    <w:p>
      <w:pPr>
        <w:pStyle w:val="89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w:t>
      </w:r>
      <w:r>
        <w:rPr>
          <w:rFonts w:hint="eastAsia" w:hAnsi="宋体"/>
          <w:sz w:val="24"/>
          <w:szCs w:val="24"/>
        </w:rPr>
        <w:t xml:space="preserve">、丙</w:t>
      </w:r>
      <w:r>
        <w:rPr>
          <w:rFonts w:hAnsi="宋体"/>
          <w:sz w:val="24"/>
          <w:szCs w:val="24"/>
        </w:rPr>
        <w:t xml:space="preserve">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w:t>
      </w:r>
      <w:r>
        <w:rPr>
          <w:rFonts w:hint="eastAsia" w:hAnsi="宋体"/>
          <w:sz w:val="24"/>
          <w:szCs w:val="24"/>
        </w:rPr>
        <w:t xml:space="preserve">三</w:t>
      </w:r>
      <w:r>
        <w:rPr>
          <w:rFonts w:hAnsi="宋体"/>
          <w:sz w:val="24"/>
          <w:szCs w:val="24"/>
        </w:rPr>
        <w:t xml:space="preserve">方应通过友好协商，确定是否继续履行合同。</w:t>
      </w:r>
      <w:r>
        <w:rPr>
          <w:rFonts w:hAnsi="宋体"/>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3"/>
        <w:spacing w:before="120" w:after="120"/>
        <w:rPr>
          <w:rFonts w:hint="eastAsia" w:hAnsi="宋体"/>
          <w:sz w:val="24"/>
          <w:szCs w:val="24"/>
        </w:rPr>
      </w:pPr>
      <w:r>
        <w:rPr>
          <w:rFonts w:hint="eastAsia" w:hAnsi="宋体"/>
          <w:sz w:val="24"/>
          <w:szCs w:val="24"/>
        </w:rPr>
        <w:t xml:space="preserve">13.1三方在签订、履行合同中所发生的一切争议，应通过友好协商解决。如协商不成，由甲方住所地人民法院管辖。</w:t>
      </w:r>
      <w:r>
        <w:rPr>
          <w:rFonts w:hint="eastAsia" w:hAnsi="宋体"/>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w:t>
      </w:r>
      <w:r>
        <w:rPr>
          <w:rFonts w:hint="eastAsia" w:hAnsi="宋体"/>
          <w:sz w:val="24"/>
          <w:szCs w:val="24"/>
        </w:rPr>
        <w:t xml:space="preserve">三</w:t>
      </w:r>
      <w:r>
        <w:rPr>
          <w:rFonts w:hAnsi="宋体"/>
          <w:sz w:val="24"/>
          <w:szCs w:val="24"/>
        </w:rPr>
        <w:t xml:space="preserve">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伍</w:t>
      </w:r>
      <w:r>
        <w:rPr>
          <w:rFonts w:hAnsi="宋体"/>
          <w:sz w:val="24"/>
          <w:szCs w:val="24"/>
        </w:rPr>
        <w:t xml:space="preserve">份，具有同等法律效力，甲</w:t>
      </w:r>
      <w:r>
        <w:rPr>
          <w:rFonts w:hint="eastAsia" w:hAnsi="宋体"/>
          <w:sz w:val="24"/>
          <w:szCs w:val="24"/>
        </w:rPr>
        <w:t xml:space="preserve">方执叁份、</w:t>
      </w:r>
      <w:r>
        <w:rPr>
          <w:rFonts w:hAnsi="宋体"/>
          <w:sz w:val="24"/>
          <w:szCs w:val="24"/>
        </w:rPr>
        <w:t xml:space="preserve">乙方执</w:t>
      </w:r>
      <w:r>
        <w:rPr>
          <w:rFonts w:hint="eastAsia" w:hAnsi="宋体"/>
          <w:sz w:val="24"/>
          <w:szCs w:val="24"/>
        </w:rPr>
        <w:t xml:space="preserve">壹</w:t>
      </w:r>
      <w:r>
        <w:rPr>
          <w:rFonts w:hAnsi="宋体"/>
          <w:sz w:val="24"/>
          <w:szCs w:val="24"/>
        </w:rPr>
        <w:t xml:space="preserve">份</w:t>
      </w:r>
      <w:r>
        <w:rPr>
          <w:rFonts w:hint="eastAsia" w:hAnsi="宋体"/>
          <w:sz w:val="24"/>
          <w:szCs w:val="24"/>
        </w:rPr>
        <w:t xml:space="preserve">、丙方执壹份</w:t>
      </w:r>
      <w:r>
        <w:rPr>
          <w:rFonts w:hAnsi="宋体"/>
          <w:sz w:val="24"/>
          <w:szCs w:val="24"/>
        </w:rPr>
        <w:t xml:space="preserve">。</w:t>
      </w:r>
      <w:r>
        <w:rPr>
          <w:rFonts w:hAnsi="宋体"/>
          <w:sz w:val="24"/>
          <w:szCs w:val="24"/>
        </w:rPr>
      </w:r>
      <w:r/>
    </w:p>
    <w:p>
      <w:pPr>
        <w:pStyle w:val="933"/>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3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3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3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3"/>
        <w:jc w:val="center"/>
        <w:spacing w:before="120" w:after="120" w:line="0" w:lineRule="atLeast"/>
        <w:rPr>
          <w:rFonts w:hint="eastAsia"/>
        </w:rPr>
      </w:pPr>
      <w:r>
        <w:rPr>
          <w:rFonts w:hint="eastAsia"/>
        </w:rPr>
      </w:r>
      <w:r/>
    </w:p>
    <w:p>
      <w:pPr>
        <w:pStyle w:val="933"/>
        <w:ind w:left="480" w:hanging="480"/>
        <w:spacing w:before="120" w:after="120" w:line="0" w:lineRule="atLeast"/>
        <w:rPr>
          <w:rFonts w:hAnsi="宋体"/>
          <w:sz w:val="24"/>
          <w:szCs w:val="24"/>
        </w:rPr>
      </w:pPr>
      <w:r>
        <w:rPr>
          <w:rFonts w:hAnsi="宋体"/>
          <w:sz w:val="24"/>
          <w:szCs w:val="24"/>
        </w:rPr>
        <w:t xml:space="preserve">  </w:t>
      </w:r>
      <w:r>
        <w:rPr>
          <w:rFonts w:hint="eastAsia" w:hAnsi="宋体"/>
          <w:sz w:val="24"/>
          <w:szCs w:val="24"/>
        </w:rPr>
        <w:t xml:space="preserve">丙方</w:t>
      </w:r>
      <w:r>
        <w:rPr>
          <w:rFonts w:hAnsi="宋体"/>
          <w:sz w:val="24"/>
          <w:szCs w:val="24"/>
        </w:rPr>
        <w:t xml:space="preserve">：                        </w:t>
      </w:r>
      <w:r>
        <w:rPr>
          <w:rFonts w:hAnsi="宋体"/>
          <w:sz w:val="24"/>
          <w:szCs w:val="24"/>
        </w:rPr>
      </w:r>
      <w:r/>
    </w:p>
    <w:p>
      <w:pPr>
        <w:pStyle w:val="93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r>
      <w:r/>
    </w:p>
    <w:p>
      <w:pPr>
        <w:pStyle w:val="93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w:t>
      </w:r>
      <w:r>
        <w:rPr>
          <w:rFonts w:hAnsi="宋体"/>
          <w:sz w:val="24"/>
          <w:szCs w:val="24"/>
        </w:rPr>
      </w:r>
      <w:r/>
    </w:p>
    <w:p>
      <w:pPr>
        <w:pStyle w:val="933"/>
        <w:ind w:firstLine="240"/>
        <w:spacing w:before="120" w:after="120" w:line="0" w:lineRule="atLeast"/>
        <w:rPr>
          <w:rFonts w:hint="eastAsia"/>
        </w:rPr>
      </w:pPr>
      <w:r>
        <w:rPr>
          <w:rFonts w:hint="eastAsia" w:hAnsi="宋体"/>
          <w:sz w:val="24"/>
          <w:szCs w:val="24"/>
        </w:rPr>
        <w:t xml:space="preserve">联系电话：                    </w:t>
      </w:r>
      <w:r>
        <w:rPr>
          <w:rFonts w:hint="eastAsia"/>
        </w:rPr>
      </w:r>
      <w:r/>
    </w:p>
    <w:p>
      <w:pPr>
        <w:pStyle w:val="933"/>
        <w:jc w:val="center"/>
        <w:spacing w:before="120" w:after="120" w:line="0" w:lineRule="atLeast"/>
      </w:pPr>
      <w:r>
        <w:rPr>
          <w:rFonts w:hint="eastAsia"/>
        </w:rPr>
        <w:t xml:space="preserve">                                         </w:t>
      </w:r>
      <w:r/>
    </w:p>
    <w:p>
      <w:pPr>
        <w:pStyle w:val="933"/>
        <w:jc w:val="right"/>
        <w:spacing w:before="120" w:after="120" w:line="0" w:lineRule="atLeast"/>
        <w:rPr>
          <w:sz w:val="24"/>
          <w:szCs w:val="24"/>
        </w:rPr>
      </w:pPr>
      <w:r>
        <w:rPr>
          <w:rFonts w:hint="eastAsia"/>
          <w:sz w:val="24"/>
          <w:szCs w:val="24"/>
        </w:rPr>
        <w:t xml:space="preserve"> </w:t>
      </w:r>
      <w:r>
        <w:rPr>
          <w:sz w:val="24"/>
          <w:szCs w:val="24"/>
        </w:rPr>
      </w:r>
      <w:r/>
    </w:p>
    <w:p>
      <w:pPr>
        <w:pStyle w:val="933"/>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95"/>
        <w:spacing w:line="0" w:lineRule="atLeast"/>
        <w:rPr>
          <w:rFonts w:hint="eastAsia" w:ascii="宋体" w:hAnsi="宋体"/>
          <w:color w:val="000000"/>
          <w:sz w:val="24"/>
          <w:szCs w:val="24"/>
        </w:rPr>
      </w:pPr>
      <w:r/>
      <w:bookmarkStart w:id="191" w:name="_Toc49090575"/>
      <w:r/>
      <w:bookmarkStart w:id="192" w:name="_Toc26554093"/>
      <w:r>
        <w:rPr>
          <w:rFonts w:hint="eastAsia" w:ascii="宋体" w:hAnsi="宋体"/>
          <w:color w:val="000000"/>
          <w:sz w:val="24"/>
          <w:szCs w:val="24"/>
        </w:rPr>
        <w:t xml:space="preserve">项目属性:服务类项目。</w:t>
      </w:r>
      <w:r>
        <w:rPr>
          <w:rFonts w:hint="eastAsia" w:ascii="宋体" w:hAnsi="宋体"/>
          <w:color w:val="000000"/>
          <w:sz w:val="24"/>
          <w:szCs w:val="24"/>
        </w:rPr>
      </w:r>
      <w:r/>
    </w:p>
    <w:p>
      <w:pPr>
        <w:pStyle w:val="895"/>
        <w:spacing w:line="0" w:lineRule="atLeast"/>
        <w:rPr>
          <w:rFonts w:ascii="宋体" w:hAnsi="宋体"/>
          <w:sz w:val="24"/>
          <w:szCs w:val="24"/>
        </w:rPr>
      </w:pP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95"/>
              <w:jc w:val="center"/>
              <w:rPr>
                <w:rFonts w:hint="eastAsia" w:ascii="宋体" w:hAnsi="宋体"/>
              </w:rPr>
            </w:pPr>
            <w:r>
              <w:rPr>
                <w:rFonts w:hint="eastAsia" w:ascii="宋体" w:hAnsi="宋体"/>
              </w:rPr>
              <w:t xml:space="preserve">采购包号</w:t>
            </w:r>
            <w:r>
              <w:rPr>
                <w:rFonts w:hint="eastAsia" w:ascii="宋体" w:hAnsi="宋体"/>
              </w:rPr>
            </w:r>
            <w:r/>
          </w:p>
        </w:tc>
        <w:tc>
          <w:tcPr>
            <w:tcW w:w="3094" w:type="dxa"/>
            <w:vAlign w:val="top"/>
            <w:textDirection w:val="lrTb"/>
            <w:noWrap w:val="false"/>
          </w:tcPr>
          <w:p>
            <w:pPr>
              <w:pStyle w:val="895"/>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rPr>
                <w:rFonts w:hint="eastAsia" w:ascii="宋体" w:hAnsi="宋体"/>
              </w:rPr>
            </w:r>
            <w:r/>
          </w:p>
        </w:tc>
      </w:tr>
      <w:tr>
        <w:trPr/>
        <w:tc>
          <w:tcPr>
            <w:tcW w:w="1148"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895"/>
              <w:jc w:val="center"/>
              <w:rPr>
                <w:rFonts w:hint="eastAsia" w:ascii="宋体" w:hAnsi="宋体"/>
              </w:rPr>
            </w:pPr>
            <w:r>
              <w:rPr>
                <w:rFonts w:hint="eastAsia" w:ascii="宋体" w:hAnsi="宋体"/>
              </w:rPr>
              <w:t xml:space="preserve">否</w:t>
            </w:r>
            <w:r>
              <w:rPr>
                <w:rFonts w:hint="eastAsia" w:ascii="宋体" w:hAnsi="宋体"/>
              </w:rPr>
            </w:r>
            <w:r/>
          </w:p>
        </w:tc>
      </w:tr>
    </w:tbl>
    <w:p>
      <w:pPr>
        <w:pStyle w:val="895"/>
        <w:spacing w:line="0" w:lineRule="atLeast"/>
        <w:rPr>
          <w:rFonts w:hint="eastAsia" w:ascii="宋体" w:hAnsi="宋体"/>
          <w:bCs/>
          <w:color w:val="000000"/>
          <w:sz w:val="24"/>
          <w:szCs w:val="24"/>
        </w:rPr>
      </w:pPr>
      <w:r>
        <w:rPr>
          <w:rFonts w:hint="eastAsia" w:ascii="宋体" w:hAnsi="宋体"/>
          <w:bCs/>
          <w:color w:val="000000"/>
          <w:sz w:val="24"/>
          <w:szCs w:val="24"/>
        </w:rPr>
        <w:t xml:space="preserve">政府采购中实施本国产品标准及相关政策：</w:t>
      </w:r>
      <w:r>
        <w:rPr>
          <w:rFonts w:hint="eastAsia" w:ascii="宋体" w:hAnsi="宋体"/>
          <w:bCs/>
          <w:color w:val="000000"/>
          <w:sz w:val="24"/>
          <w:szCs w:val="24"/>
        </w:rPr>
      </w:r>
      <w:r/>
    </w:p>
    <w:p>
      <w:pPr>
        <w:pStyle w:val="895"/>
        <w:spacing w:line="0" w:lineRule="atLeast"/>
        <w:rPr>
          <w:rFonts w:hint="eastAsia" w:ascii="宋体" w:hAnsi="宋体"/>
          <w:bCs/>
          <w:color w:val="000000"/>
          <w:sz w:val="24"/>
          <w:szCs w:val="24"/>
        </w:rPr>
      </w:pPr>
      <w:r>
        <w:rPr>
          <w:rFonts w:hint="eastAsia" w:ascii="宋体" w:hAnsi="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bCs/>
          <w:color w:val="000000"/>
          <w:sz w:val="24"/>
          <w:szCs w:val="24"/>
        </w:rPr>
      </w:r>
      <w:r/>
    </w:p>
    <w:p>
      <w:pPr>
        <w:pStyle w:val="895"/>
        <w:spacing w:line="0" w:lineRule="atLeast"/>
        <w:rPr>
          <w:rFonts w:hint="eastAsia" w:ascii="宋体" w:hAnsi="宋体"/>
          <w:bCs/>
          <w:color w:val="000000"/>
          <w:sz w:val="24"/>
          <w:szCs w:val="24"/>
        </w:rPr>
      </w:pPr>
      <w:r>
        <w:rPr>
          <w:rFonts w:hint="eastAsia" w:ascii="宋体" w:hAnsi="宋体"/>
          <w:bCs/>
          <w:color w:val="000000"/>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szCs w:val="24"/>
        </w:rPr>
      </w:r>
      <w:r/>
    </w:p>
    <w:p>
      <w:pPr>
        <w:pStyle w:val="895"/>
        <w:spacing w:line="0" w:lineRule="atLeast"/>
        <w:rPr>
          <w:rFonts w:hint="eastAsia" w:ascii="宋体" w:hAnsi="宋体"/>
          <w:bCs/>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color w:val="000000"/>
          <w:sz w:val="24"/>
          <w:szCs w:val="24"/>
        </w:rPr>
      </w:r>
      <w:r/>
    </w:p>
    <w:p>
      <w:pPr>
        <w:pStyle w:val="895"/>
        <w:spacing w:line="0" w:lineRule="atLeast"/>
        <w:rPr>
          <w:rFonts w:hint="eastAsia" w:ascii="宋体" w:hAnsi="宋体"/>
          <w:b/>
          <w:color w:val="000000"/>
          <w:sz w:val="24"/>
          <w:szCs w:val="24"/>
        </w:rPr>
      </w:pPr>
      <w:r>
        <w:rPr>
          <w:rFonts w:hint="eastAsia" w:ascii="宋体" w:hAnsi="宋体"/>
          <w:b/>
          <w:color w:val="000000"/>
          <w:sz w:val="24"/>
          <w:szCs w:val="24"/>
        </w:rPr>
      </w:r>
      <w:r/>
    </w:p>
    <w:p>
      <w:pPr>
        <w:pStyle w:val="896"/>
        <w:jc w:val="both"/>
        <w:spacing w:line="50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一、采购标的清单</w:t>
      </w:r>
      <w:r>
        <w:rPr>
          <w:rFonts w:hint="eastAsia" w:ascii="方正仿宋_GBK" w:hAnsi="方正仿宋_GBK" w:eastAsia="方正仿宋_GBK" w:cs="方正仿宋_GBK"/>
          <w:b/>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3291"/>
        <w:gridCol w:w="2852"/>
      </w:tblGrid>
      <w:tr>
        <w:trPr>
          <w:cantSplit/>
        </w:trPr>
        <w:tc>
          <w:tcPr>
            <w:tcW w:w="965" w:type="dxa"/>
            <w:vAlign w:val="top"/>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3291" w:type="dxa"/>
            <w:vAlign w:val="center"/>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965" w:type="dxa"/>
            <w:vAlign w:val="top"/>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895"/>
              <w:jc w:val="left"/>
              <w:spacing w:line="0" w:lineRule="atLeast"/>
              <w:tabs>
                <w:tab w:val="left" w:pos="2020" w:leader="none"/>
              </w:tabs>
              <w:rPr>
                <w:rFonts w:ascii="宋体" w:hAnsi="宋体"/>
                <w:sz w:val="24"/>
                <w:szCs w:val="24"/>
              </w:rPr>
            </w:pPr>
            <w:r>
              <w:rPr>
                <w:rFonts w:hint="eastAsia" w:ascii="宋体" w:hAnsi="宋体"/>
                <w:sz w:val="24"/>
                <w:szCs w:val="24"/>
              </w:rPr>
              <w:t xml:space="preserve">反兴奋剂平台升级开发</w:t>
            </w:r>
            <w:r>
              <w:rPr>
                <w:rFonts w:ascii="宋体" w:hAnsi="宋体"/>
                <w:sz w:val="24"/>
                <w:szCs w:val="24"/>
              </w:rPr>
            </w:r>
            <w:r/>
          </w:p>
        </w:tc>
        <w:tc>
          <w:tcPr>
            <w:tcW w:w="2852" w:type="dxa"/>
            <w:vAlign w:val="top"/>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895"/>
        <w:ind w:firstLine="960"/>
        <w:spacing w:line="0" w:lineRule="atLeast"/>
        <w:rPr>
          <w:rFonts w:hint="eastAsia" w:ascii="宋体" w:hAnsi="宋体"/>
          <w:sz w:val="24"/>
          <w:szCs w:val="24"/>
        </w:rPr>
      </w:pPr>
      <w:r>
        <w:rPr>
          <w:rFonts w:hint="eastAsia" w:ascii="宋体" w:hAnsi="宋体"/>
          <w:sz w:val="24"/>
          <w:szCs w:val="24"/>
        </w:rPr>
      </w:r>
      <w:r/>
    </w:p>
    <w:p>
      <w:pPr>
        <w:pStyle w:val="895"/>
        <w:ind w:firstLine="960"/>
        <w:spacing w:line="0" w:lineRule="atLeast"/>
        <w:rPr>
          <w:rFonts w:ascii="宋体" w:hAnsi="宋体"/>
          <w:sz w:val="24"/>
          <w:szCs w:val="24"/>
        </w:rPr>
      </w:pPr>
      <w:r>
        <w:rPr>
          <w:rFonts w:hint="eastAsia" w:ascii="宋体" w:hAnsi="宋体"/>
          <w:sz w:val="24"/>
          <w:szCs w:val="24"/>
        </w:rPr>
        <w:t xml:space="preserve">本项目采购内容中不包含货物。</w:t>
      </w:r>
      <w:r>
        <w:rPr>
          <w:rFonts w:ascii="宋体" w:hAnsi="宋体"/>
          <w:sz w:val="24"/>
          <w:szCs w:val="24"/>
        </w:rPr>
      </w:r>
      <w:r/>
    </w:p>
    <w:p>
      <w:pPr>
        <w:pStyle w:val="896"/>
        <w:jc w:val="both"/>
        <w:spacing w:line="50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二、项目概况</w:t>
      </w:r>
      <w:r>
        <w:rPr>
          <w:rFonts w:hint="eastAsia" w:ascii="方正仿宋_GBK" w:hAnsi="方正仿宋_GBK" w:eastAsia="方正仿宋_GBK" w:cs="方正仿宋_GBK"/>
          <w:b/>
          <w:bCs/>
          <w:sz w:val="32"/>
          <w:szCs w:val="32"/>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为全面落实国家体育总局反兴奋剂中心关于省级机构业务合规性建设的指标要求，提升我省反兴奋剂工作的信息化、智能化管理</w:t>
      </w:r>
      <w:r>
        <w:rPr>
          <w:rFonts w:hint="eastAsia" w:ascii="方正仿宋_GBK" w:hAnsi="方正仿宋_GBK" w:eastAsia="方正仿宋_GBK" w:cs="方正仿宋_GBK"/>
          <w:sz w:val="28"/>
          <w:szCs w:val="28"/>
        </w:rPr>
        <w:t xml:space="preserve">水平，现拟对现有“反兴奋剂平台”进行一体化升级，构建覆盖“组织体系-宣传教育-兴奋剂检查-三品防控”全链条的智能化省级反兴奋剂综合管理平台。通过构建四大核心功能体系实现业务全面提质增效：一是建立智能化的组织与人员管理体系；二是建成全覆盖、可追踪的宣传教育体系；三是打造精准高效的兴奋剂检查执行体系，四是构建全链条、闭环式的“三品”（食品、药品、营养品）风险防控体系。平台将构建一个流程规范、数据驱动、业务协同的一体化工作平台，全面提升我省反兴奋剂工作的信息化、智能化与精准化治理水平，支撑反兴奋剂事业的长远发展。</w:t>
      </w:r>
      <w:r>
        <w:rPr>
          <w:rFonts w:hint="eastAsia" w:ascii="方正仿宋_GBK" w:hAnsi="方正仿宋_GBK" w:eastAsia="方正仿宋_GBK" w:cs="方正仿宋_GBK"/>
          <w:sz w:val="28"/>
          <w:szCs w:val="28"/>
        </w:rPr>
      </w:r>
      <w:r/>
    </w:p>
    <w:p>
      <w:pPr>
        <w:pStyle w:val="896"/>
        <w:jc w:val="both"/>
        <w:spacing w:line="50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三、升级服务内容</w:t>
      </w:r>
      <w:r>
        <w:rPr>
          <w:rFonts w:hint="eastAsia" w:ascii="方正仿宋_GBK" w:hAnsi="方正仿宋_GBK" w:eastAsia="方正仿宋_GBK" w:cs="方正仿宋_GBK"/>
          <w:b/>
          <w:bCs/>
          <w:sz w:val="32"/>
          <w:szCs w:val="32"/>
        </w:rPr>
      </w:r>
      <w:r/>
    </w:p>
    <w:p>
      <w:pPr>
        <w:pStyle w:val="895"/>
        <w:ind w:firstLine="560"/>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反兴奋剂平台升级开发项目主要涵盖四大核心功能模块：组织体系、宣传教育、兴奋剂检查、三品防控，以下简述每个模块的功能：</w:t>
      </w:r>
      <w:r>
        <w:rPr>
          <w:rFonts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rPr>
        <w:t xml:space="preserve">（一）组织体系（需提供组织体系模块开发建设方案）</w:t>
      </w:r>
      <w:r>
        <w:rPr>
          <w:rFonts w:hint="eastAsia" w:ascii="方正仿宋_GBK" w:hAnsi="方正仿宋_GBK" w:eastAsia="方正仿宋_GBK" w:cs="方正仿宋_GBK"/>
          <w:b/>
          <w:bCs/>
          <w:sz w:val="28"/>
          <w:szCs w:val="28"/>
        </w:rPr>
      </w:r>
      <w:r/>
    </w:p>
    <w:p>
      <w:pPr>
        <w:pStyle w:val="895"/>
        <w:ind w:firstLine="562"/>
        <w:spacing w:line="480" w:lineRule="exact"/>
        <w:rPr>
          <w:rFonts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1、</w:t>
      </w:r>
      <w:r>
        <w:rPr>
          <w:rFonts w:ascii="方正仿宋_GBK" w:hAnsi="方正仿宋_GBK" w:eastAsia="方正仿宋_GBK" w:cs="方正仿宋_GBK"/>
          <w:b/>
          <w:bCs/>
          <w:sz w:val="28"/>
          <w:szCs w:val="28"/>
        </w:rPr>
        <w:t xml:space="preserve">组织</w:t>
      </w:r>
      <w:r>
        <w:rPr>
          <w:rFonts w:hint="eastAsia" w:ascii="方正仿宋_GBK" w:hAnsi="方正仿宋_GBK" w:eastAsia="方正仿宋_GBK" w:cs="方正仿宋_GBK"/>
          <w:b/>
          <w:bCs/>
          <w:sz w:val="28"/>
          <w:szCs w:val="28"/>
        </w:rPr>
        <w:t xml:space="preserve">机构</w:t>
      </w:r>
      <w:r>
        <w:rPr>
          <w:rFonts w:ascii="方正仿宋_GBK" w:hAnsi="方正仿宋_GBK" w:eastAsia="方正仿宋_GBK" w:cs="方正仿宋_GBK"/>
          <w:b/>
          <w:bCs/>
          <w:sz w:val="28"/>
          <w:szCs w:val="28"/>
        </w:rPr>
        <w:t xml:space="preserve">管理</w:t>
      </w:r>
      <w:r>
        <w:rPr>
          <w:rFonts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支持省、市、县、训练单位、项目中心、运动队等多级机构自定义与可视化拖拽调整的树形架构管理平台。系统支持创建带有效期的临时虚拟机构以满足赛事等临时任务需求。通过引入预置业务标签与基于业务数据自动生成的智能预警标签，并建立属性继承机制，实现对部门属性的智能化、精细化配置与动态管理。</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2、用户管理</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实现人员电子档案的集中管理，涵盖基本信息、职业、资质、培训、考核信息等，并对证书进行全生命周期管理，实现到期预警与过期拦截。</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创新构建三维权限模型（数据、功能、流程）与动态角色组机制，支持根据任务（如检查组）快速组建团队并自动授权，实现跨机构人员协同与权限的精准、动态管控。</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实施履职状态监控与诚信积分体系，基于任务完成率、样本合格率、违规记录等多维度指标，自动生成个人履职报告，并对诚信不达标人员自动触发权限降级或再培训流程。</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通过与江苏省青少年阳光联赛综合管理系统及江苏省竞技体育信息系统对接，自动同步并创建运动员、教练员、训练单位、各级管理单位等相关人员账号，实现人员数据的统一归口。</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3、项目权限管理</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建立项目信息库，标记青少年项目等属性，并与江苏省青少年阳光联赛综合管理系统及江苏省竞技体育信息系统对接实现项目数据同步。</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实现人员与项目的动态绑定管理，支持单个与批量操作。</w:t>
      </w:r>
      <w:r>
        <w:rPr>
          <w:rFonts w:hint="eastAsia"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4、指导调研管理</w:t>
      </w:r>
      <w:r>
        <w:rPr>
          <w:rFonts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支持创建、下发和</w:t>
      </w:r>
      <w:r>
        <w:rPr>
          <w:rFonts w:hint="eastAsia" w:ascii="方正仿宋_GBK" w:hAnsi="方正仿宋_GBK" w:eastAsia="方正仿宋_GBK" w:cs="方正仿宋_GBK"/>
          <w:sz w:val="28"/>
          <w:szCs w:val="28"/>
        </w:rPr>
        <w:t xml:space="preserve">管理涵盖常规指导、专项检查、突击调研等多种类型的督导任务，通过任务多级下发、进度实时跟踪与提醒机制，确保各级单位高效协同、按时执行。在执行过程中，系统提供标准化调研模板库，并支持通过文字、照片、音视频等多维方式实时记录现场问题，问题将自动关联至责任单位与具体环节。系统可针对发现的问题自动生成结构化的整改任务，明确责任、措施与时限，并全程跟踪整改状态，对超期未整改情况自动触发预警，从而形成“任务下发-过程记录-问题发现-整改生成-验收闭环”的完整数字化管理链条，显著提升督导工作的规范性、透明度与问题解决效率。</w:t>
      </w:r>
      <w:r>
        <w:rPr>
          <w:rFonts w:hint="eastAsia"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rPr>
        <w:t xml:space="preserve">（二）宣传教育（需提供宣传教育模块开发建设方案）</w:t>
      </w:r>
      <w:r>
        <w:rPr>
          <w:rFonts w:ascii="方正仿宋_GBK" w:hAnsi="方正仿宋_GBK" w:eastAsia="方正仿宋_GBK" w:cs="方正仿宋_GBK"/>
          <w:b/>
          <w:bCs/>
          <w:sz w:val="28"/>
          <w:szCs w:val="28"/>
        </w:rPr>
      </w:r>
      <w:r/>
    </w:p>
    <w:p>
      <w:pPr>
        <w:pStyle w:val="895"/>
        <w:ind w:firstLine="562"/>
        <w:spacing w:line="480" w:lineRule="exact"/>
        <w:rPr>
          <w:rFonts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1、教育资源库</w:t>
      </w:r>
      <w:r>
        <w:rPr>
          <w:rFonts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（1）视频管理</w:t>
      </w:r>
      <w:r>
        <w:rPr>
          <w:rFonts w:hint="eastAsia"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视频管理功能</w:t>
      </w:r>
      <w:r>
        <w:rPr>
          <w:rFonts w:hint="eastAsia" w:ascii="方正仿宋_GBK" w:hAnsi="方正仿宋_GBK" w:eastAsia="方正仿宋_GBK" w:cs="方正仿宋_GBK"/>
          <w:sz w:val="28"/>
          <w:szCs w:val="28"/>
        </w:rPr>
        <w:t xml:space="preserve">通过</w:t>
      </w:r>
      <w:r>
        <w:rPr>
          <w:rFonts w:ascii="方正仿宋_GBK" w:hAnsi="方正仿宋_GBK" w:eastAsia="方正仿宋_GBK" w:cs="方正仿宋_GBK"/>
          <w:sz w:val="28"/>
          <w:szCs w:val="28"/>
        </w:rPr>
        <w:t xml:space="preserve">打造一个智能、高效、安全的视频内容管理中枢，实现从上传、处理、展示到分析的全流程自动化与优化。它支持主流格式上传并自动转码为Web兼容格式，提供智能封面截取，</w:t>
      </w:r>
      <w:r>
        <w:rPr>
          <w:rFonts w:hint="eastAsia" w:ascii="方正仿宋_GBK" w:hAnsi="方正仿宋_GBK" w:eastAsia="方正仿宋_GBK" w:cs="方正仿宋_GBK"/>
          <w:sz w:val="28"/>
          <w:szCs w:val="28"/>
        </w:rPr>
        <w:t xml:space="preserve">并</w:t>
      </w:r>
      <w:r>
        <w:rPr>
          <w:rFonts w:ascii="方正仿宋_GBK" w:hAnsi="方正仿宋_GBK" w:eastAsia="方正仿宋_GBK" w:cs="方正仿宋_GBK"/>
          <w:sz w:val="28"/>
          <w:szCs w:val="28"/>
        </w:rPr>
        <w:t xml:space="preserve">通过精细的权限控制、批量操作支持及全景数据分析（如播放热度、观看时长），不仅保障资源的安全合规使用，还能以数据驱动资源库的持续优化与精准运营。</w:t>
      </w:r>
      <w:r>
        <w:rPr>
          <w:rFonts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（2）课件管理</w:t>
      </w:r>
      <w:r>
        <w:rPr>
          <w:rFonts w:hint="eastAsia"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构建一个智能、安全、合规的文档知识管理核心，支持PPT、PDF等常见格式课件的上传、下载与在线预览，实现基于多条件组合的高效检索；系统精细记录课件的学习行为数据，为教学内容优化提供数据支撑，并通过完善的分级权限管理机制，确保知识资产在共享与使用过程中的安全性、可控性与合规性。</w:t>
      </w:r>
      <w:r>
        <w:rPr>
          <w:rFonts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（3）</w:t>
      </w:r>
      <w:r>
        <w:rPr>
          <w:rFonts w:ascii="方正仿宋_GBK" w:hAnsi="方正仿宋_GBK" w:eastAsia="方正仿宋_GBK" w:cs="方正仿宋_GBK"/>
          <w:b/>
          <w:bCs/>
          <w:sz w:val="28"/>
          <w:szCs w:val="28"/>
        </w:rPr>
        <w:t xml:space="preserve">智能标签管理</w:t>
      </w:r>
      <w:r>
        <w:rPr>
          <w:rFonts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它通过NLP技术自动分析视频、课件等多类资源内容并智能推荐标签，显著提升标注效率与一致性。系统支持业务、对象、场景等多维度标签体系的精细化分类与灵活组合应用，并基于标签使用频率自动计算热度、支持权重调整，实现资源的智能化排序与展示。同时，通过公共与私有标签的权限分级管控，在提升资源检索与应用精准度的同时，确保了标签体系管理的规范性与安全性。</w:t>
      </w:r>
      <w:r>
        <w:rPr>
          <w:rFonts w:hint="eastAsia"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2、教育对象库</w:t>
      </w:r>
      <w:r>
        <w:rPr>
          <w:rFonts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（1）运动员信息库</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仿宋" w:hAnsi="仿宋" w:eastAsia="仿宋" w:cs="仿宋"/>
          <w:sz w:val="28"/>
          <w:szCs w:val="28"/>
        </w:rPr>
      </w:pPr>
      <w:r>
        <w:rPr>
          <w:rFonts w:hint="eastAsia" w:ascii="方正仿宋_GBK" w:hAnsi="方正仿宋_GBK" w:eastAsia="方正仿宋_GBK" w:cs="方正仿宋_GBK"/>
          <w:sz w:val="28"/>
          <w:szCs w:val="28"/>
        </w:rPr>
        <w:t xml:space="preserve">▲基于预设规则（如赛事级别、项目、年龄）与动态成绩阈值，实现教育对象库成员的自动筛选与智能准入。在此基础上，系统建立“红黄蓝”三级风险动态评估模型，每月根据运动员的违规记录、项目风险等维度自动评估并调整其风险等级，实现精准化、差异化的目标管理。【提供类似系统功能截图1】</w:t>
      </w:r>
      <w:r>
        <w:rPr>
          <w:rFonts w:hint="eastAsia" w:ascii="仿宋" w:hAnsi="仿宋" w:eastAsia="仿宋" w:cs="仿宋"/>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过完整记录每位运动员的学习进度与知识掌握情况，系统能够自动生成个人专属的反兴奋剂学习画像，为个性化教育干预与成效评估提供精准、可视化的数据支撑，从而构建起一个从“智能准入”到“风险管控”再到“学情追踪”的完整管理闭环。</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（2）辅助人员信息库</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通过对接多源外部数据，自动识别并纳入从核心人员到特殊群体的各类辅助人员，实现信息的自动校验与智能补全，确保数据权威统一。在此基础上，建立五级动态风险管控模型，对不同风险等级人员实施差异化的教育策略与功能限制。系统核心在于构建“教育-执业-监管”的闭环管理，通过关联诚信数据自动拦截禁赛人员登录，并开展多维度行为监测与穿透式查询，最终实现与运动员注册、赛事报名等数据的互联互通，形成覆盖“人员-行为-关联对象”的全链条反兴奋剂协同治理网络。</w:t>
      </w:r>
      <w:r>
        <w:rPr>
          <w:rFonts w:hint="eastAsia"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（3）消息推送与智能管控</w:t>
      </w:r>
      <w:r>
        <w:rPr>
          <w:rFonts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过集成运动员、辅助人员及家长等多类联系人，支持按训练单位、项目、级别等多维度智能分组，实现目标人群的快速精准筛选，并对号码有效性进行自动校验与清洗。系统提供教育、预警、事务等多类预置模板，并支持模板自定义与灵活发送策略（即时/定时/优先级）。为确保信息发送的合法性与规范性，内置敏感词实时检测、重要通知二级审批流程。所有发送记录全流程可追溯，形成从人群筛选、内容管控、多渠道发送到效果审计的完整消息管理闭环，显著提升反兴奋剂工作沟通的时效性、靶向性与安全性。</w:t>
      </w:r>
      <w:r>
        <w:rPr>
          <w:rFonts w:hint="eastAsia"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3、宣传教育</w:t>
      </w:r>
      <w:r>
        <w:rPr>
          <w:rFonts w:ascii="方正仿宋_GBK" w:hAnsi="方正仿宋_GBK" w:eastAsia="方正仿宋_GBK" w:cs="方正仿宋_GBK"/>
          <w:b/>
          <w:bCs/>
          <w:sz w:val="28"/>
          <w:szCs w:val="28"/>
        </w:rPr>
      </w:r>
      <w:r/>
    </w:p>
    <w:p>
      <w:pPr>
        <w:pStyle w:val="895"/>
        <w:ind w:firstLine="562"/>
        <w:spacing w:line="48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（1）授课任务管理</w:t>
      </w:r>
      <w:r>
        <w:rPr>
          <w:rFonts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系统支持基于年度计划创建专项授课任务，任务发布时能关联教育资源库，</w:t>
      </w:r>
      <w:r>
        <w:rPr>
          <w:rFonts w:hint="eastAsia" w:ascii="方正仿宋_GBK" w:hAnsi="方正仿宋_GBK" w:eastAsia="方正仿宋_GBK" w:cs="方正仿宋_GBK"/>
          <w:sz w:val="28"/>
          <w:szCs w:val="28"/>
        </w:rPr>
        <w:t xml:space="preserve">设置</w:t>
      </w:r>
      <w:r>
        <w:rPr>
          <w:rFonts w:ascii="方正仿宋_GBK" w:hAnsi="方正仿宋_GBK" w:eastAsia="方正仿宋_GBK" w:cs="方正仿宋_GBK"/>
          <w:sz w:val="28"/>
          <w:szCs w:val="28"/>
        </w:rPr>
        <w:t xml:space="preserve">课件、视频等教学素材。通过建立认证讲师数据库，系统可根据课程需求（类型、语言、地域）智能推荐最优讲师人选，实现一键邀请与状态跟踪。在学员管理上，对接人员信息库实现强制参训、智能推荐、自主报名三种精准匹配模式，并提供多模态签到核验体系（二维码、定位、人工），确保教学组织的高效与严谨。</w:t>
      </w:r>
      <w:r>
        <w:rPr>
          <w:rFonts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（2）过程监督管理</w:t>
      </w:r>
      <w:r>
        <w:rPr>
          <w:rFonts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通过数据驾驶舱，可实时监控各级单位培训任务的课程发布、参与人次、完成率等核心指标，支持按区域、项目、人员类别多维度穿透分析。系统具备合规性检测能力，可自动识别学时、内容、考核等方面的缺失并标记为“待整改项”。督导人员可通过移动端进行现场检查、拍照取证，并实时调取学员档案。针对发现的问题，系统构建“发现-分派-整改-复核”的在线闭环管理流程，支持工单流转、在线验收与报告自动生成，确保问题整改到位、全程留痕。</w:t>
      </w:r>
      <w:r>
        <w:rPr>
          <w:rFonts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sz w:val="28"/>
          <w:szCs w:val="28"/>
        </w:rPr>
        <w:outlineLvl w:val="3"/>
      </w:pPr>
      <w:r>
        <w:rPr>
          <w:rFonts w:hint="eastAsia" w:ascii="方正仿宋_GBK" w:hAnsi="方正仿宋_GBK" w:eastAsia="方正仿宋_GBK" w:cs="方正仿宋_GBK"/>
          <w:b/>
          <w:bCs/>
          <w:sz w:val="28"/>
          <w:szCs w:val="28"/>
        </w:rPr>
        <w:t xml:space="preserve">（3）授课评价管理</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评价体系围绕课程内容、讲师表达、教学效果三大核心维度，细化为10项具体指标，采用星级梯度评分与文字评语相结合。系统支持实名与匿名双模式评价，实名评价自动关联学员学分，匿名评价经加密处理确保评价者隐私，且均设置有效性验证规则，仅限实际参训人员参与，异常评价自动隔离。评价结果实时反馈至讲师端，讲师可通过移动端随时查看个人课程的满意度趋势、各维度评分与基准线对比，为教学质量的持续优化提供精准、可靠的数据驱动。</w:t>
      </w:r>
      <w:r>
        <w:rPr>
          <w:rFonts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rPr>
        <w:t xml:space="preserve">（三）兴奋剂检查（需提供兴奋剂检查模块开发建设方案）</w:t>
      </w:r>
      <w:r>
        <w:rPr>
          <w:rFonts w:hint="eastAsia"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1、检查官管理</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（1）▲检查官管理</w:t>
      </w:r>
      <w:r>
        <w:rPr>
          <w:rFonts w:hint="eastAsia"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支持检查官基本信息维护，维护开户行、银行卡号等。需为检查官配置至少 1 个类型标签及专业领域；实现证书全生命周期管理。数据权限严格隔离，检查官仅可查看修改自身数据，省级用户可管理全省检查官数据</w:t>
      </w:r>
      <w:r>
        <w:rPr>
          <w:rFonts w:hint="eastAsia" w:ascii="方正仿宋_GBK" w:hAnsi="方正仿宋_GBK" w:eastAsia="方正仿宋_GBK" w:cs="方正仿宋_GBK"/>
          <w:sz w:val="28"/>
          <w:szCs w:val="28"/>
        </w:rPr>
        <w:t xml:space="preserve">【提供类似系统功能截图2】</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（2）▲检查小组管理</w:t>
      </w:r>
      <w:r>
        <w:rPr>
          <w:rFonts w:hint="eastAsia"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支持检查小组全流程管理，</w:t>
      </w:r>
      <w:r>
        <w:rPr>
          <w:rFonts w:hint="eastAsia" w:ascii="方正仿宋_GBK" w:hAnsi="方正仿宋_GBK" w:eastAsia="方正仿宋_GBK" w:cs="方正仿宋_GBK"/>
          <w:sz w:val="28"/>
          <w:szCs w:val="28"/>
        </w:rPr>
        <w:t xml:space="preserve">支持</w:t>
      </w:r>
      <w:r>
        <w:rPr>
          <w:rFonts w:ascii="方正仿宋_GBK" w:hAnsi="方正仿宋_GBK" w:eastAsia="方正仿宋_GBK" w:cs="方正仿宋_GBK"/>
          <w:sz w:val="28"/>
          <w:szCs w:val="28"/>
        </w:rPr>
        <w:t xml:space="preserve">小组名称</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t xml:space="preserve">组长</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t xml:space="preserve">负责区域与专业领域</w:t>
      </w:r>
      <w:r>
        <w:rPr>
          <w:rFonts w:hint="eastAsia" w:ascii="方正仿宋_GBK" w:hAnsi="方正仿宋_GBK" w:eastAsia="方正仿宋_GBK" w:cs="方正仿宋_GBK"/>
          <w:sz w:val="28"/>
          <w:szCs w:val="28"/>
        </w:rPr>
        <w:t xml:space="preserve">的配置</w:t>
      </w:r>
      <w:r>
        <w:rPr>
          <w:rFonts w:ascii="方正仿宋_GBK" w:hAnsi="方正仿宋_GBK" w:eastAsia="方正仿宋_GBK" w:cs="方正仿宋_GBK"/>
          <w:sz w:val="28"/>
          <w:szCs w:val="28"/>
        </w:rPr>
        <w:t xml:space="preserve">。实现小组成员增删调整，明确组长、成员角色，保障同一检查官在小组内唯一。可维护小组基础信息，支持查看小组成员列表及对应角色</w:t>
      </w:r>
      <w:r>
        <w:rPr>
          <w:rFonts w:hint="eastAsia" w:ascii="方正仿宋_GBK" w:hAnsi="方正仿宋_GBK" w:eastAsia="方正仿宋_GBK" w:cs="方正仿宋_GBK"/>
          <w:sz w:val="28"/>
          <w:szCs w:val="28"/>
        </w:rPr>
        <w:t xml:space="preserve">【提供类似系统功能截图3】。</w:t>
      </w:r>
      <w:r>
        <w:rPr>
          <w:rFonts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2、检查管理</w:t>
      </w:r>
      <w:r>
        <w:rPr>
          <w:rFonts w:hint="eastAsia"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（1）计划制定</w:t>
      </w:r>
      <w:r>
        <w:rPr>
          <w:rFonts w:hint="eastAsia"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实现月度检查计划基本信息管理功能，支持计划名称、检查月份、时间范围、检查类型等核心信息的录入与维护，检查类型支持赛内、赛外检查多选配置【</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1】；</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实现检查类型差异化配置功能，根据赛内、赛外检查的选择结果，展示对应专属配置字段，满足赛内关联赛事、赛外选择目标运动员的业务需求【</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2】；</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实现目标运动员关联功能，支持从运动员检查库中批量选择目标运动员，保障运动员数据关联的唯一性【</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3】；</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实现月度检查计划状态全流程管理功能，支持拟定中、</w:t>
      </w:r>
      <w:r>
        <w:rPr>
          <w:rFonts w:hint="eastAsia" w:ascii="方正仿宋_GBK" w:hAnsi="方正仿宋_GBK" w:eastAsia="方正仿宋_GBK" w:cs="方正仿宋_GBK"/>
          <w:sz w:val="28"/>
          <w:szCs w:val="28"/>
        </w:rPr>
        <w:t xml:space="preserve">进行中</w:t>
      </w:r>
      <w:r>
        <w:rPr>
          <w:rFonts w:ascii="方正仿宋_GBK" w:hAnsi="方正仿宋_GBK" w:eastAsia="方正仿宋_GBK" w:cs="方正仿宋_GBK"/>
          <w:sz w:val="28"/>
          <w:szCs w:val="28"/>
        </w:rPr>
        <w:t xml:space="preserve">、已完成的状态正常流转【</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4】；</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实现从月度计划生成检查任务功能，支持从</w:t>
      </w:r>
      <w:r>
        <w:rPr>
          <w:rFonts w:hint="eastAsia" w:ascii="方正仿宋_GBK" w:hAnsi="方正仿宋_GBK" w:eastAsia="方正仿宋_GBK" w:cs="方正仿宋_GBK"/>
          <w:sz w:val="28"/>
          <w:szCs w:val="28"/>
        </w:rPr>
        <w:t xml:space="preserve">月度检查</w:t>
      </w:r>
      <w:r>
        <w:rPr>
          <w:rFonts w:ascii="方正仿宋_GBK" w:hAnsi="方正仿宋_GBK" w:eastAsia="方正仿宋_GBK" w:cs="方正仿宋_GBK"/>
          <w:sz w:val="28"/>
          <w:szCs w:val="28"/>
        </w:rPr>
        <w:t xml:space="preserve">计划中自动</w:t>
      </w:r>
      <w:r>
        <w:rPr>
          <w:rFonts w:hint="eastAsia" w:ascii="方正仿宋_GBK" w:hAnsi="方正仿宋_GBK" w:eastAsia="方正仿宋_GBK" w:cs="方正仿宋_GBK"/>
          <w:sz w:val="28"/>
          <w:szCs w:val="28"/>
        </w:rPr>
        <w:t xml:space="preserve">获取</w:t>
      </w:r>
      <w:r>
        <w:rPr>
          <w:rFonts w:ascii="方正仿宋_GBK" w:hAnsi="方正仿宋_GBK" w:eastAsia="方正仿宋_GBK" w:cs="方正仿宋_GBK"/>
          <w:sz w:val="28"/>
          <w:szCs w:val="28"/>
        </w:rPr>
        <w:t xml:space="preserve">运动员、检查类型等信息，生成关联的检查任务【</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5】；</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支持计划列表的多条件查询、分页展示，操作权限匹配对应用户角色的数据权限范围，支持计划信息的修改、删除等基础操作。</w:t>
      </w:r>
      <w:r>
        <w:rPr>
          <w:rFonts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（2）任务派遣</w:t>
      </w:r>
      <w:r>
        <w:rPr>
          <w:rFonts w:hint="eastAsia"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实现检查任务创建的分步骤管理功能，按基础信息、目标运动员、检查官派遣、确认任务的流程推进，流程节点完整可追溯【</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6】；</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实现检查官双模式派遣功能，完整展示后台指定派遣、智能报名派遣两种模式的核心业务功能，满足不同派遣场景的使用需求【</w:t>
      </w:r>
      <w:r>
        <w:rPr>
          <w:rFonts w:hint="eastAsia" w:ascii="方正仿宋_GBK" w:hAnsi="方正仿宋_GBK" w:eastAsia="方正仿宋_GBK" w:cs="方正仿宋_GBK"/>
          <w:sz w:val="28"/>
          <w:szCs w:val="28"/>
        </w:rPr>
        <w:t xml:space="preserve">演示项</w:t>
      </w:r>
      <w:r>
        <w:rPr>
          <w:rFonts w:ascii="方正仿宋_GBK" w:hAnsi="方正仿宋_GBK" w:eastAsia="方正仿宋_GBK" w:cs="方正仿宋_GBK"/>
          <w:sz w:val="28"/>
          <w:szCs w:val="28"/>
        </w:rPr>
        <w:t xml:space="preserve"> 7】；</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实现目标运动员选择功能，支持从关联月度计划自动加载或手动添加运动员，仅允许选择检查库内符合条件的运动员，保障运动员数据唯一性；</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任务生成后，通过短信即时通知检查官，检查官可通过移动端一键接收任务，实时查看检查任务详情。</w:t>
      </w:r>
      <w:r>
        <w:rPr>
          <w:rFonts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支持任务编号自动生成、任务列表查询筛选，操作权限严格匹配角色权限，保障数据操作的合规性。</w:t>
      </w:r>
      <w:r>
        <w:rPr>
          <w:rFonts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（3）进度监控</w:t>
      </w:r>
      <w:r>
        <w:rPr>
          <w:rFonts w:hint="eastAsia"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系统以可视化形式动态展示所有任务的地理分布与实时状态，支持按类型、风险、时间等多维度筛选，实现全局态势一图总览。检查官在移动端按关键节点</w:t>
      </w:r>
      <w:r>
        <w:rPr>
          <w:rFonts w:hint="eastAsia" w:ascii="方正仿宋_GBK" w:hAnsi="方正仿宋_GBK" w:eastAsia="方正仿宋_GBK" w:cs="方正仿宋_GBK"/>
          <w:sz w:val="28"/>
          <w:szCs w:val="28"/>
        </w:rPr>
        <w:t xml:space="preserve">填报</w:t>
      </w:r>
      <w:r>
        <w:rPr>
          <w:rFonts w:ascii="方正仿宋_GBK" w:hAnsi="方正仿宋_GBK" w:eastAsia="方正仿宋_GBK" w:cs="方正仿宋_GBK"/>
          <w:sz w:val="28"/>
          <w:szCs w:val="28"/>
        </w:rPr>
        <w:t xml:space="preserve">进度，系统自动识别流程、时效等异常，并</w:t>
      </w:r>
      <w:r>
        <w:rPr>
          <w:rFonts w:hint="eastAsia" w:ascii="方正仿宋_GBK" w:hAnsi="方正仿宋_GBK" w:eastAsia="方正仿宋_GBK" w:cs="方正仿宋_GBK"/>
          <w:sz w:val="28"/>
          <w:szCs w:val="28"/>
        </w:rPr>
        <w:t xml:space="preserve">及时</w:t>
      </w:r>
      <w:r>
        <w:rPr>
          <w:rFonts w:ascii="方正仿宋_GBK" w:hAnsi="方正仿宋_GBK" w:eastAsia="方正仿宋_GBK" w:cs="方正仿宋_GBK"/>
          <w:sz w:val="28"/>
          <w:szCs w:val="28"/>
        </w:rPr>
        <w:t xml:space="preserve">向管理人员推送预警信息。系统同时提供从全省宏观汇总到单项任务微观详情的多级视图，满足不同层级的管理与监督需求。</w:t>
      </w:r>
      <w:r>
        <w:rPr>
          <w:rFonts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bCs/>
          <w:sz w:val="28"/>
          <w:szCs w:val="28"/>
        </w:rPr>
        <w:t xml:space="preserve">检查任务小结</w:t>
      </w:r>
      <w:r>
        <w:rPr>
          <w:rFonts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基于</w:t>
      </w:r>
      <w:r>
        <w:rPr>
          <w:rFonts w:hint="eastAsia" w:ascii="方正仿宋_GBK" w:hAnsi="方正仿宋_GBK" w:eastAsia="方正仿宋_GBK" w:cs="方正仿宋_GBK"/>
          <w:sz w:val="28"/>
          <w:szCs w:val="28"/>
        </w:rPr>
        <w:t xml:space="preserve">检查任务</w:t>
      </w:r>
      <w:r>
        <w:rPr>
          <w:rFonts w:ascii="方正仿宋_GBK" w:hAnsi="方正仿宋_GBK" w:eastAsia="方正仿宋_GBK" w:cs="方正仿宋_GBK"/>
          <w:sz w:val="28"/>
          <w:szCs w:val="28"/>
        </w:rPr>
        <w:t xml:space="preserve">创建</w:t>
      </w:r>
      <w:r>
        <w:rPr>
          <w:rFonts w:hint="eastAsia" w:ascii="方正仿宋_GBK" w:hAnsi="方正仿宋_GBK" w:eastAsia="方正仿宋_GBK" w:cs="方正仿宋_GBK"/>
          <w:sz w:val="28"/>
          <w:szCs w:val="28"/>
        </w:rPr>
        <w:t xml:space="preserve">检查任务</w:t>
      </w:r>
      <w:r>
        <w:rPr>
          <w:rFonts w:ascii="方正仿宋_GBK" w:hAnsi="方正仿宋_GBK" w:eastAsia="方正仿宋_GBK" w:cs="方正仿宋_GBK"/>
          <w:sz w:val="28"/>
          <w:szCs w:val="28"/>
        </w:rPr>
        <w:t xml:space="preserve">小结，完成检查执行的基本信息、运动员检查表、设备与试剂归还清单</w:t>
      </w:r>
      <w:r>
        <w:rPr>
          <w:rFonts w:hint="eastAsia" w:ascii="方正仿宋_GBK" w:hAnsi="方正仿宋_GBK" w:eastAsia="方正仿宋_GBK" w:cs="方正仿宋_GBK"/>
          <w:sz w:val="28"/>
          <w:szCs w:val="28"/>
        </w:rPr>
        <w:t xml:space="preserve">、总结与建议等</w:t>
      </w:r>
      <w:r>
        <w:rPr>
          <w:rFonts w:ascii="方正仿宋_GBK" w:hAnsi="方正仿宋_GBK" w:eastAsia="方正仿宋_GBK" w:cs="方正仿宋_GBK"/>
          <w:sz w:val="28"/>
          <w:szCs w:val="28"/>
        </w:rPr>
        <w:t xml:space="preserve">的规范化录入。支持检查官移动端快速上报 8 类预设异常事件，上报信息自动关联任务与运动员档案，保障结构化与可追溯。实现异常事件处置全流程进度可视化追踪，支持按时间、地域、类型多维度筛选分析，形成 “发现上报 - 处置完结” 管理闭环。</w:t>
      </w:r>
      <w:r>
        <w:rPr>
          <w:rFonts w:hint="eastAsia" w:ascii="方正仿宋_GBK" w:hAnsi="方正仿宋_GBK" w:eastAsia="方正仿宋_GBK" w:cs="方正仿宋_GBK"/>
          <w:sz w:val="28"/>
          <w:szCs w:val="28"/>
        </w:rPr>
        <w:t xml:space="preserve">有效提升应急响应与风险管控能力</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【提供类似系统功能截图4】</w:t>
      </w:r>
      <w:r>
        <w:rPr>
          <w:rFonts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（5）监督处罚</w:t>
      </w:r>
      <w:r>
        <w:rPr>
          <w:rFonts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监督处罚模块旨在建立规范、透明、高效的违规处置机制，支持运动员、教练员及第三方通过线上表单提交投诉举报，并可上传图文证据材料；处罚决定确认后，系统可一键生成包含违规事实、处理依据、处罚结果及申诉途径等要素的正式文书，确保程序合规、内容完整；所有操作全程留痕，支持PC端处理与移动端查看，强化监督闭环与公信力。</w:t>
      </w:r>
      <w:r>
        <w:rPr>
          <w:rFonts w:ascii="方正仿宋_GBK" w:hAnsi="方正仿宋_GBK" w:eastAsia="方正仿宋_GBK" w:cs="方正仿宋_GBK"/>
          <w:sz w:val="28"/>
          <w:szCs w:val="28"/>
        </w:rPr>
      </w:r>
      <w:r/>
    </w:p>
    <w:p>
      <w:pPr>
        <w:pStyle w:val="895"/>
        <w:numPr>
          <w:ilvl w:val="0"/>
          <w:numId w:val="5"/>
        </w:numPr>
        <w:ind w:firstLine="560"/>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bCs/>
          <w:sz w:val="28"/>
          <w:szCs w:val="28"/>
        </w:rPr>
        <w:t xml:space="preserve">任务补贴登记</w:t>
      </w:r>
      <w:r>
        <w:rPr>
          <w:rFonts w:hint="eastAsia"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带队检查官针对已完成且未报销的任务发起报销申请，选择任务后自动加载检查官明细、按角色和天数自动计算报销金额。一个任务仅能创建一条报销申请</w:t>
      </w:r>
      <w:r>
        <w:rPr>
          <w:rFonts w:hint="eastAsia" w:ascii="方正仿宋_GBK" w:hAnsi="方正仿宋_GBK" w:eastAsia="方正仿宋_GBK" w:cs="方正仿宋_GBK"/>
          <w:sz w:val="28"/>
          <w:szCs w:val="28"/>
        </w:rPr>
        <w:t xml:space="preserve">。【提供类似系统功能截图5】</w:t>
      </w:r>
      <w:r>
        <w:rPr>
          <w:rFonts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（7）统计评估</w:t>
      </w:r>
      <w:r>
        <w:rPr>
          <w:rFonts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系统可自动生成标准格式的统计报表（如月度汇总），并支持多格式导出。通过地区、项目、检查官等多维度的穿透式分析，管理者能够深入洞察检查工作的分布、成效与问题。系统实时计算并展示年度计划完成进度、月度执行偏差、临时任务占比等关键指标，并对检查数量、质量、时效进行量化效能评估，为优化资源配置、提升监管效能提供精准、全面的数据支撑。</w:t>
      </w:r>
      <w:r>
        <w:rPr>
          <w:rFonts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3、运动员检查库</w:t>
      </w:r>
      <w:r>
        <w:rPr>
          <w:rFonts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（1）检查库管理</w:t>
      </w:r>
      <w:r>
        <w:rPr>
          <w:rFonts w:hint="eastAsia"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▲系统支持下级单位在线提交入库/出库申请，由省级管理员进行多级在线审核，实现检查库的合规、透明更新。【提供类似系统功能截图6】</w:t>
      </w:r>
      <w:r>
        <w:rPr>
          <w:rFonts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申请提交时，系统自动校验运动员资格，对不符合标准者予以拦截，并支持例外情况的人工备注，兼顾规范与灵活。检查库自动对接行踪申报与违规数据系统，实时同步运动员的关键行踪信息与违规记录，对行踪异常或违规行为自动标记并预警。关联运动员风险等级，为精准化检查提供核心依据，并自动生成入库/出库趋势及风险分布等动态报告，实现数据驱动的决策支持。</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（2）行踪申报管理</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实现行踪申报权限控制功能，仅允许检查库中在库状态的运动员进行行踪申报操作，权限校验精准【演示项 8】；</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实现运动员按季度进行行踪申报的功能，支持国内、国外两种行程区域类型的申报，满足不同区域的地址填写需求【演示项 9】；</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实现行踪信息多维度展示功能，支持行踪列表查询、每日行踪聚合、日历视图展示，数据展示完整、直观【演示项 10】；</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实现行踪申报信息校验功能，对行程时间范围、地址完整性、联系人信息等进行合规校验，校验不通过时给出明确提示；</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▲支持运动员对自身行踪信息的查看、修改，管理员按角色权限查看辖区内运动员行踪信息，数据权限隔离有效。【提供类似系统功能截图7】</w:t>
      </w:r>
      <w:r>
        <w:rPr>
          <w:rFonts w:hint="eastAsia"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（3）检查记录追踪</w:t>
      </w:r>
      <w:r>
        <w:rPr>
          <w:rFonts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通过集成可视化仪表盘，系统按待检、已完成、失联、拒检四态动态展示受检情况，支持按地区、项目、风险等级等多维度筛选，关键异常（如连续失联）自动标红预警。系统自动计算个体及团体的月度检查频次、年度检测量、计划完成率等核心覆盖率指标。基于检查记录与风险数据，系统能够智能识别低频受检运动员及高风险关联群体，自动生成待检查名单，为检查计划的动态优化与精准实施提供直接、高效的决策支持，从而显著提升监管的响应速度与靶向性。</w:t>
      </w:r>
      <w:r>
        <w:rPr>
          <w:rFonts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rPr>
        <w:t xml:space="preserve">（四）三品防控（需提供三品防控模块建设方案）</w:t>
      </w:r>
      <w:r>
        <w:rPr>
          <w:rFonts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1、食品防控</w:t>
      </w:r>
      <w:r>
        <w:rPr>
          <w:rFonts w:hint="eastAsia"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（1）食品溯源管理</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为实现运动队食品溯源管理，系统提供供应商信息备案、食材批次登记（含品名、产地、生产/检疫证明、检测报告等）管理；支持按日期、菜品、供应商、检测结果等多维度查询与报表导出，为食品安全监管、责任认定和持续改进提供精准、可信的数据支撑。</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（2）检测管理</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肉食品检测管理模块专注于运动队供餐所用肉食品的送检信息与检测报告的全流程归集与管理，支持录入肉品样本的来源、品类、采集时间、样本编码、送检单位等关键信息，并统一上传和管理第三方检测机构出具的正式检测报告；系统提供按供应商、肉品类型、检测项目、送检日期、检测结果等多维度组合查询与快速检索，支持报告在线预览、下载及导出，确保肉食品检测记录完整、可追溯、可审计，为防范食源性兴奋剂风险、保障运动员食品安全提供精准、合规的数据支撑。</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（3）供应商黑名单</w:t>
      </w:r>
      <w:r>
        <w:rPr>
          <w:rFonts w:hint="eastAsia"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供应商黑名单管理模块用于统一归集、动态维护和高效管控存在食品安全风险、供应违规或严重失信行为的肉食品供应商信息；系统记录列入黑名单的供应商名称、统一社会信用代码、所属地区、违规事由、证据材料、生效时间及有效期，并自动关联其历史供货记录；一旦黑名单供应商重新出现在</w:t>
      </w:r>
      <w:r>
        <w:rPr>
          <w:rFonts w:hint="eastAsia" w:ascii="方正仿宋_GBK" w:hAnsi="方正仿宋_GBK" w:eastAsia="方正仿宋_GBK" w:cs="方正仿宋_GBK"/>
          <w:sz w:val="28"/>
          <w:szCs w:val="28"/>
        </w:rPr>
        <w:t xml:space="preserve">样品来源信息</w:t>
      </w:r>
      <w:r>
        <w:rPr>
          <w:rFonts w:ascii="方正仿宋_GBK" w:hAnsi="方正仿宋_GBK" w:eastAsia="方正仿宋_GBK" w:cs="方正仿宋_GBK"/>
          <w:sz w:val="28"/>
          <w:szCs w:val="28"/>
        </w:rPr>
        <w:t xml:space="preserve">中，系统即时预警；支持按区域、品类等多维度查询、统计与导出黑名单数据，实现对供应商的闭环管理和源头防控，切实筑牢食源性兴奋剂防范屏障</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（4）统计分析</w:t>
      </w:r>
      <w:r>
        <w:rPr>
          <w:rFonts w:hint="eastAsia" w:ascii="方正仿宋_GBK" w:hAnsi="方正仿宋_GBK" w:eastAsia="方正仿宋_GBK" w:cs="方正仿宋_GBK"/>
          <w:b/>
          <w:bCs/>
          <w:sz w:val="28"/>
          <w:szCs w:val="28"/>
        </w:rPr>
      </w:r>
      <w:r/>
    </w:p>
    <w:p>
      <w:pPr>
        <w:pStyle w:val="895"/>
        <w:ind w:firstLine="560"/>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食品防控统计分析模块旨在对肉食品检测、供应商管理、黑名单记录及膳食供应等数据进行多维度汇聚与智能分析，支持按时间周期、食品类别、供应商区域、检测项目、检测结果等条件动态生成可视化图表与统计报表</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t xml:space="preserve">为食品安全决策、供应商评估、防控策略优化及迎检审计提供全面、精准、实时的数据支撑。</w:t>
      </w:r>
      <w:r>
        <w:rPr>
          <w:rFonts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2、营养品防控</w:t>
      </w:r>
      <w:r>
        <w:rPr>
          <w:rFonts w:hint="eastAsia"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（1）营养品领用管理</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营养品领用管理模块支持对运动员领用营养品行为的登记与合规监管，记录运动员姓名、所属单位、项目、领用日期、营养品名称、品牌、规格、批号、领用量及用途等关键信息；系统支持按运动员、项目、营养品类型、时间等多条件组合查询与统计，自动关联运动员档案信息；所有领用记录完整留痕、可追溯，为反兴奋剂教育、风险排查和合规审计提供精准、简洁的数据支撑。</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3"/>
      </w:pPr>
      <w:r>
        <w:rPr>
          <w:rFonts w:hint="eastAsia" w:ascii="方正仿宋_GBK" w:hAnsi="方正仿宋_GBK" w:eastAsia="方正仿宋_GBK" w:cs="方正仿宋_GBK"/>
          <w:b/>
          <w:bCs/>
          <w:sz w:val="28"/>
          <w:szCs w:val="28"/>
        </w:rPr>
        <w:t xml:space="preserve">（2）营养品检测报告管理</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将营养品的第三方检测报告与其对应的领用记录进行精准关联，支持通过营养品名称、品牌、批号等关键信息，自动或手动匹配运动员领用记录与相关检测报告，确保每批次已领用营养品均可追溯其安全检测结果；系统可识别未提供有效检测报告或检测结果存在风险的营养品，并对相关领用行为进行高亮警示；所有关联数据集中管理，支持按运动员、营养品、检测项目、时间等多维度快速查询，为防范食源性兴奋剂风险、开展合规审查及优化营养品使用提供准确、可验证的数据支撑。</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outlineLvl w:val="2"/>
      </w:pPr>
      <w:r>
        <w:rPr>
          <w:rFonts w:hint="eastAsia" w:ascii="方正仿宋_GBK" w:hAnsi="方正仿宋_GBK" w:eastAsia="方正仿宋_GBK" w:cs="方正仿宋_GBK"/>
          <w:b/>
          <w:bCs/>
          <w:sz w:val="28"/>
          <w:szCs w:val="28"/>
        </w:rPr>
        <w:t xml:space="preserve">3、药品防控</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药品防控模块支持队医或运动员本人通过移动端或PC端填报用药信息，涵盖药品名称、剂量、使用周期、适应症等关键内容，并提供按运动员、项目、药品、时间范围等多维度的灵活查询功能；所有用药记录与运动员档案智能关联，实现用药行为的全程可追溯、合规可控与风险预警，切实保障用药安全，有效防范兴奋剂违规风险。</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四、服务评价要求</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为确保“反兴奋剂平台升级开发项目”交付成果的质量、符合性及持续服务能力，特制定以下服务评价要求，作为项目验收与履约评估的核心依据：</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（一）功能性评价</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1、需求符合度</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交付的系统需完整覆盖本文件“升级服务内容”中规定的所有功能，各项功能实现需与需求描述一致，能够稳定运行并满足业务场景要求。</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2、流程完备性</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核心业务流程（如组织架构调整、检查任务闭环、教育督导整改等）必须实现端到端的线上化、规范化流转，逻辑严密，无缝衔接，无功能断点。</w:t>
      </w:r>
      <w:r>
        <w:rPr>
          <w:rFonts w:hint="eastAsia" w:ascii="方正仿宋_GBK" w:hAnsi="方正仿宋_GBK" w:eastAsia="方正仿宋_GBK" w:cs="方正仿宋_GBK"/>
          <w:sz w:val="28"/>
          <w:szCs w:val="28"/>
        </w:rPr>
      </w:r>
      <w:r/>
    </w:p>
    <w:p>
      <w:pPr>
        <w:pStyle w:val="895"/>
        <w:numPr>
          <w:ilvl w:val="0"/>
          <w:numId w:val="6"/>
        </w:numPr>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集成符合性（</w:t>
      </w:r>
      <w:r>
        <w:rPr>
          <w:rFonts w:hint="eastAsia" w:ascii="方正仿宋_GBK" w:hAnsi="方正仿宋_GBK" w:eastAsia="方正仿宋_GBK" w:cs="方正仿宋_GBK"/>
          <w:sz w:val="28"/>
          <w:szCs w:val="28"/>
          <w:lang w:val="en-US" w:eastAsia="zh-CN"/>
        </w:rPr>
        <w:t xml:space="preserve">提供接口集成方案</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5"/>
        <w:ind w:firstLine="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与指定外部系统（特别是江苏省青少年阳光联赛综合管理系统与江苏省竞技体育信息系统等）的对接须实现数据准确、实时、安全同步，接口稳定可靠，满足业务协同要求。具体对接要求如下：</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bookmarkStart w:id="193" w:name="heading_1"/>
      <w:r>
        <w:rPr>
          <w:rFonts w:hint="eastAsia" w:ascii="方正仿宋_GBK" w:hAnsi="方正仿宋_GBK" w:eastAsia="方正仿宋_GBK" w:cs="方正仿宋_GBK"/>
          <w:sz w:val="28"/>
          <w:szCs w:val="28"/>
        </w:rPr>
        <w:t xml:space="preserve">（1）对接范围</w:t>
      </w:r>
      <w:bookmarkEnd w:id="193"/>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人需完成本系统与指定外部系统的对接开发、调试及上线运行，确保数据高效互通、业务协同联动，预留与其他省级体育相关系统对接的扩展能力，符合江苏省体育信息化“统筹规划、统建共用、业务协同、服务便捷”的集约化建设模式。</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核心对接系统：江苏省青少年阳光联赛综合管理系统、江苏省竞技体育信息系统。</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bookmarkStart w:id="194" w:name="heading_2"/>
      <w:r>
        <w:rPr>
          <w:rFonts w:hint="eastAsia" w:ascii="方正仿宋_GBK" w:hAnsi="方正仿宋_GBK" w:eastAsia="方正仿宋_GBK" w:cs="方正仿宋_GBK"/>
          <w:sz w:val="28"/>
          <w:szCs w:val="28"/>
        </w:rPr>
        <w:t xml:space="preserve">（2）业务要求</w:t>
      </w:r>
      <w:bookmarkEnd w:id="194"/>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本次外部系统对接需严格贴合反兴奋剂工作及相关体育业务协同需求，明确以下业务要求，确保对接成果可直接服务于实际工作开展：</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协同适配要求：对接需完全匹配本系统与核心对接系统的业务流程，实现反兴奋剂管理相关业务（如运动员信息管理、兴奋剂检测计划、行踪申报等）与青少年联赛、竞技体育管理相关业务的协同联动，避免业务脱节、流程冲突。</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交互要求：明确需同步的数据范围（含运动员基础信息、赛事信息、成绩信息、兴奋剂检测相关数据等），确保数据交互贴合业务实际，既满足本系统反兴奋剂管理需求，也不泄露外部系统核心敏感业务数据，实现双向适配、按需同步。</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业务合规要求：对接过程及数据同步需符合国家反兴奋剂相关法律法规、体育总局相关管理规定及江苏省体育信息化建设规范，确保业务流程合规、数据使用合规，满足反兴奋剂工作溯源、监管、核查等业务需求。</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协同响应要求：当外部系统或本系统业务流程发生调整时，中标人需及时优化对接方案，确保业务协同不受影响，响应时间符合项目约定，保障业务开展的连续性。</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bookmarkStart w:id="195" w:name="heading_3"/>
      <w:r>
        <w:rPr>
          <w:rFonts w:hint="eastAsia" w:ascii="方正仿宋_GBK" w:hAnsi="方正仿宋_GBK" w:eastAsia="方正仿宋_GBK" w:cs="方正仿宋_GBK"/>
          <w:sz w:val="28"/>
          <w:szCs w:val="28"/>
        </w:rPr>
        <w:t xml:space="preserve">（3）技术要求</w:t>
      </w:r>
      <w:bookmarkEnd w:id="195"/>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为确保对接接口稳定可靠、数据同步准确实时安全，中标人需满足以下技术要求，保障系统对接的稳定性、安全性和可扩展性：</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接口技术要求：采用符合行业标准的接口技术（如RESTful API），接口设计规范、清晰，具备良好的兼容性和可维护性；接口支持高并发访问，具备负载均衡能力，确保在业务高峰期仍能稳定运行，无卡顿、无中断。</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同步要求：实现数据实时同步，同步延迟不超过30秒，确保本系统与外部系统数据保持一致；建立数据校验机制，对同步数据进行合法性、完整性校验，杜绝脏数据、错误数据进入系统，确保数据准确无误；支持数据异常自动报警及手动纠错功能，保障数据同步的可靠性。</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据安全要求：采用加密传输（如HTTPS协议）、数据脱敏等安全技术，保障数据在传输、存储、交互过程中的安全性，防止数据泄露、篡改、丢失；建立权限管控机制，严格控制数据访问权限，确保不同角色仅能访问对应权限范围内的数据，符合数据安全管理相关规定。</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接口稳定性要求：接口全年可用率不低于99.9%，建立接口状态监控机制，实时监测接口运行状态，出现故障时可快速定位问题并处理，</w:t>
      </w:r>
      <w:r>
        <w:rPr>
          <w:rFonts w:hint="eastAsia" w:ascii="方正仿宋_GBK" w:hAnsi="方正仿宋_GBK" w:eastAsia="方正仿宋_GBK" w:cs="方正仿宋_GBK"/>
          <w:sz w:val="28"/>
          <w:szCs w:val="28"/>
          <w:lang w:bidi="ar"/>
        </w:rPr>
        <w:t xml:space="preserve">应急处置</w:t>
      </w:r>
      <w:r>
        <w:rPr>
          <w:rFonts w:hint="eastAsia" w:ascii="方正仿宋_GBK" w:hAnsi="方正仿宋_GBK" w:eastAsia="方正仿宋_GBK" w:cs="方正仿宋_GBK"/>
          <w:sz w:val="28"/>
          <w:szCs w:val="28"/>
        </w:rPr>
        <w:t xml:space="preserve">故障响应时间不超过1小时，故障解决时间不超过4小时；提供接口日志记录功能，完整记录接口调用、数据交互等情况，便于溯源排查。</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扩展性要求：接口设计预留扩展空间，支持后续新增外部系统对接需求，无需对现有对接架构进行大规模改造；兼容本系统及外部系统的后续版本升级，确保升级后对接功能不受影响，降低后期维护成本。</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兼容性要求：确保对接接口与本系统、核心对接系统的软硬件环境兼容，适配现有系统的技术架构，无需对现有系统进行大规模改造，减少项目实施风险和成本。</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（二）技术质量评价</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1、系统性能与稳定性</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平台需满足高并发访问需求，页面响应迅速，关键事务处理高效。系统应具备高可用性，保障核心业务7*24小时稳定运行。</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2、易用性与体验</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用户界面（含PC端与移动端）应直观友好，操作便捷，符合用户习惯。提供的可视化图表、仪表盘等应数据准确、展示清晰。</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3、可扩展性与可维护性</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系统架构应具有良好的扩展性，能够适应未来业务发展变化。代码结构清晰，提供完整的技术文档，便于后期维护与二次开发。</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五、人员及实施要求（需提供项目实施方案：</w:t>
      </w:r>
      <w:r>
        <w:rPr>
          <w:rFonts w:hint="eastAsia" w:ascii="方正仿宋_GBK" w:hAnsi="方正仿宋_GBK" w:eastAsia="方正仿宋_GBK" w:cs="方正仿宋_GBK"/>
          <w:sz w:val="28"/>
          <w:szCs w:val="28"/>
        </w:rPr>
        <w:t xml:space="preserve">方案内容包括但不限于项目进度计划、人员配置、质量保证措施、安全服务方案、故障处理方案、培训方案等</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（一）人员要求</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1、熟悉麒麟操作系统的基础配置与国产化适配、东方通中间件的集群部署与性能调优，以及达梦数据库的安装管理与SQL兼容性处理，具备完整的国产化BS系统环境搭建与运维能力。</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2、熟练运用Java EE开发工具及前端开发环境进行编码，掌握Maven/Gradle项目构建与Git代码管理，并能使用JUnit、Postman及达梦管理工具等完成系统测试与调试工作。</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3、具备类似体育管理系统或信息化平台开发服务项目经验。</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4、熟悉操作系统、网络设备和服务器等基础设施。</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5、掌握相关开发和调试工具，能够快速定位和解决问题。</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6、对所开发系统的业务领域有一定的了解和认知。</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7、具备较强的沟通能力和团队协作精神。</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8、具备高效的应急处置能力，能够快速响应和处理突发故障，确保系统的安全稳定运行。</w:t>
      </w:r>
      <w:r>
        <w:rPr>
          <w:rFonts w:hint="eastAsia"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成交后应根据本项目需求组织一支由资深项目经理带领的经验丰富的技术服务人员团队，包括：项目经理、技术负责人、安全负责人等。确保团队的稳定性，核心技术服务人员变更时，须事先征得采购人的同意后，方可进行变更，更换后需要执行好工作交接。具体要求如下：</w:t>
      </w:r>
      <w:r>
        <w:rPr>
          <w:rFonts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（1）项目经理：</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供应商应为本项目配备项目经理1名，项目经理具有信息系统项目管理师（高级）或人工智能应用工程师（高级）证书。</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（2）技术负责人：</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供应商应为本项目配备项目技术负责人1名，技术负责人具有全国计算机软件开发(JAVA)专业人才（高级）或信息系统集成管理（高级）证书。</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（3）安全负责人：</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供应商应为本项目配备项目安全负责人1名，安全负责人具有高级网络与信息安全工程师证书。</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采购人具有更换技术服务人员的权利，供应商应按采购要求配置技术服务人员完成本项目的开发和服务工作。在项目实施过程中，供应商须按照采购人的要求更换采购人认为不合适的技术服务人员。</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项目组实施人员对本项目中涉及的个人信息以及相关信息有保密义务，不得向任何第三方透露，也不得用于本项目之外的任何其他用途。因供应商（或其员工）原因引起信息泄露，则其必须承担相应的法律责任。</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（二）实施要求</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为确保“反兴奋剂平台升级开发项目”能够高质量、高效率、高合规性地交付并实现预期目标，现对项目实施提出以下具体要求，供应商须遵照执行：</w:t>
      </w:r>
      <w:r>
        <w:rPr>
          <w:rFonts w:hint="eastAsia"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1、性能指标要求</w:t>
      </w:r>
      <w:r>
        <w:rPr>
          <w:rFonts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支持同时在线用户数大于3000人，满足400并发用户数。</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对于系统使用频率较高的功能点，满足非高峰时段响应时间小于1秒．高峰时段响应时间小于2秒要求。</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对于系统操作大量数据的功能点，满足响应时间小于5秒要求。</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系统年平均故障时间小于1天，平均故障修复时间小于1小时。</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高可用性要求：需保证系统7*24 小时不间断工作，整体无故障率&gt;99.9%，出现故障应能及时告警。</w:t>
      </w:r>
      <w:r>
        <w:rPr>
          <w:rFonts w:hint="eastAsia" w:ascii="方正仿宋_GBK" w:hAnsi="方正仿宋_GBK" w:eastAsia="方正仿宋_GBK" w:cs="方正仿宋_GBK"/>
          <w:sz w:val="28"/>
          <w:szCs w:val="28"/>
        </w:rPr>
      </w:r>
      <w:r/>
    </w:p>
    <w:p>
      <w:pPr>
        <w:pStyle w:val="895"/>
        <w:ind w:firstLine="562"/>
        <w:spacing w:line="48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rPr>
          <w:rFonts w:hint="eastAsia"/>
          <w:bCs/>
          <w:sz w:val="24"/>
          <w:szCs w:val="24"/>
        </w:rPr>
        <w:t xml:space="preserve">▲</w:t>
      </w:r>
      <w:r>
        <w:rPr>
          <w:rFonts w:hint="eastAsia" w:ascii="方正仿宋_GBK" w:hAnsi="方正仿宋_GBK" w:eastAsia="方正仿宋_GBK" w:cs="方正仿宋_GBK"/>
          <w:b/>
          <w:bCs/>
          <w:sz w:val="28"/>
          <w:szCs w:val="28"/>
        </w:rPr>
        <w:t xml:space="preserve">实施服务要求</w:t>
      </w:r>
      <w:r>
        <w:rPr>
          <w:rFonts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现场服务支持：在系统开发、部署、上线、培训及试运行关键阶段，供应商须根据项目需要安排不少于2人在采购单位指定地点提供现场服务，确保问题及时响应与解决。（提供现场服务承诺函并加盖公章）</w:t>
      </w:r>
      <w:r>
        <w:rPr>
          <w:rFonts w:hint="eastAsia" w:ascii="方正仿宋_GBK" w:hAnsi="方正仿宋_GBK" w:eastAsia="方正仿宋_GBK" w:cs="方正仿宋_GBK"/>
          <w:sz w:val="28"/>
          <w:szCs w:val="28"/>
          <w:lang w:val="en-US" w:eastAsia="zh-CN"/>
        </w:rPr>
      </w:r>
      <w:r/>
    </w:p>
    <w:p>
      <w:pPr>
        <w:pStyle w:val="895"/>
        <w:ind w:firstLine="562"/>
        <w:spacing w:line="480" w:lineRule="exact"/>
        <w:rPr>
          <w:rFonts w:hint="eastAsia" w:ascii="方正仿宋_GBK" w:hAnsi="方正仿宋_GBK" w:eastAsia="方正仿宋_GBK" w:cs="方正仿宋_GBK"/>
          <w:b/>
          <w:bCs/>
          <w:sz w:val="28"/>
          <w:szCs w:val="28"/>
          <w:lang w:bidi="ar"/>
        </w:rPr>
      </w:pPr>
      <w:r>
        <w:rPr>
          <w:rFonts w:hint="eastAsia" w:ascii="方正仿宋_GBK" w:hAnsi="方正仿宋_GBK" w:eastAsia="方正仿宋_GBK" w:cs="方正仿宋_GBK"/>
          <w:b/>
          <w:bCs/>
          <w:sz w:val="28"/>
          <w:szCs w:val="28"/>
          <w:lang w:val="en-US" w:eastAsia="zh-CN" w:bidi="ar"/>
        </w:rPr>
        <w:t xml:space="preserve">六</w:t>
      </w:r>
      <w:r>
        <w:rPr>
          <w:rFonts w:hint="eastAsia" w:ascii="方正仿宋_GBK" w:hAnsi="方正仿宋_GBK" w:eastAsia="方正仿宋_GBK" w:cs="方正仿宋_GBK"/>
          <w:b/>
          <w:bCs/>
          <w:sz w:val="28"/>
          <w:szCs w:val="28"/>
          <w:lang w:bidi="ar"/>
        </w:rPr>
        <w:t xml:space="preserve">、履约能力要求</w:t>
      </w:r>
      <w:r>
        <w:rPr>
          <w:rFonts w:hint="eastAsia" w:ascii="方正仿宋_GBK" w:hAnsi="方正仿宋_GBK" w:eastAsia="方正仿宋_GBK" w:cs="方正仿宋_GBK"/>
          <w:b/>
          <w:bCs/>
          <w:sz w:val="28"/>
          <w:szCs w:val="28"/>
          <w:lang w:bidi="ar"/>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具有自主研发能力，具备与本项目相关的自主知识产权的软件著作权登记证书，相关的软件著作权登记证书含有“运动员反兴奋剂”或“运动员行踪信息申报与核查”或“安全监管”或“运动员训练计划”或“体育组织”或“选材育才”关键字。注：如投标文件中提供的著作权名称表述与招标文件描述的关键字样不一致，而该投标文件中能证明供应商拥有的软件著作权具有相同或相似功能和效果，且评标委员会认可的，视同符合要求，须提供有效期内证书扫描件或复印件证明材料并加盖供应商公章。</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bidi="ar"/>
        </w:rPr>
        <w:t xml:space="preserve">七</w:t>
      </w:r>
      <w:r>
        <w:rPr>
          <w:rFonts w:hint="eastAsia" w:ascii="方正仿宋_GBK" w:hAnsi="方正仿宋_GBK" w:eastAsia="方正仿宋_GBK" w:cs="方正仿宋_GBK"/>
          <w:b/>
          <w:bCs/>
          <w:sz w:val="28"/>
          <w:szCs w:val="28"/>
          <w:lang w:bidi="ar"/>
        </w:rPr>
        <w:t xml:space="preserve">、应急保障服务要求（</w:t>
      </w:r>
      <w:r>
        <w:rPr>
          <w:rFonts w:hint="eastAsia" w:ascii="方正仿宋_GBK" w:hAnsi="方正仿宋_GBK" w:eastAsia="方正仿宋_GBK" w:cs="方正仿宋_GBK"/>
          <w:b/>
          <w:bCs/>
          <w:sz w:val="28"/>
          <w:szCs w:val="28"/>
        </w:rPr>
        <w:t xml:space="preserve">需提供应急保障服务方案）</w:t>
      </w:r>
      <w:r>
        <w:rPr>
          <w:rFonts w:hint="eastAsia" w:ascii="方正仿宋_GBK" w:hAnsi="方正仿宋_GBK" w:eastAsia="方正仿宋_GBK" w:cs="方正仿宋_GBK"/>
          <w:b/>
          <w:bCs/>
          <w:sz w:val="28"/>
          <w:szCs w:val="28"/>
        </w:rPr>
      </w:r>
      <w:r/>
    </w:p>
    <w:p>
      <w:pPr>
        <w:pStyle w:val="895"/>
        <w:ind w:firstLine="560"/>
        <w:jc w:val="left"/>
        <w:spacing w:line="480" w:lineRule="exact"/>
        <w:rPr>
          <w:rFonts w:hint="eastAsia"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供应商须建立完善的项目应急保障机制，针对平台运行中可能出现的系统崩溃、数据丢失、功能异常、接口中断、网络故障及突发业务应急需求（如兴奋剂检查、三品防控等核心模块紧急故障），提供7×24小时全天候应急响应服务，明确响应时限标准：一般故障1小时内</w:t>
      </w:r>
      <w:r>
        <w:rPr>
          <w:rFonts w:hint="eastAsia" w:ascii="方正仿宋_GBK" w:hAnsi="方正仿宋_GBK" w:eastAsia="方正仿宋_GBK" w:cs="方正仿宋_GBK"/>
          <w:sz w:val="28"/>
          <w:szCs w:val="28"/>
          <w:lang w:bidi="ar"/>
        </w:rPr>
        <w:t xml:space="preserve">响应、4小时内解决；重大故障30分钟内响应、2小时内完成应急处置，最大限度降低对反兴奋剂核心工作的影响。组建专业应急处置团队，配备熟悉麒麟操作系统、达梦数据库及项目四大核心模块的技术人员，制定标准化应急处置流程，快速排查故障、恢复平台正常运行，留存应急处置全过程记录，事后形成处置报告，分析故障原因并提出优化改进措施。建立应急演练机制，定期开展应急处置演练，提升应急响应能力；同时提供应急保障技术支持和咨询服务，确保平台突发问题得到及时、有效解决，保障反兴奋剂工作全流程顺畅开展，符合项目实施及服务评价相关要求。</w:t>
      </w:r>
      <w:r>
        <w:rPr>
          <w:rFonts w:hint="eastAsia" w:ascii="方正仿宋_GBK" w:hAnsi="方正仿宋_GBK" w:eastAsia="方正仿宋_GBK" w:cs="方正仿宋_GBK"/>
          <w:sz w:val="28"/>
          <w:szCs w:val="28"/>
          <w:lang w:bidi="ar"/>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八</w:t>
      </w:r>
      <w:r>
        <w:rPr>
          <w:rFonts w:hint="eastAsia" w:ascii="方正仿宋_GBK" w:hAnsi="方正仿宋_GBK" w:eastAsia="方正仿宋_GBK" w:cs="方正仿宋_GBK"/>
          <w:b/>
          <w:bCs/>
          <w:sz w:val="28"/>
          <w:szCs w:val="28"/>
        </w:rPr>
        <w:t xml:space="preserve">、商务要求</w:t>
      </w:r>
      <w:r>
        <w:rPr>
          <w:rFonts w:hint="eastAsia" w:ascii="方正仿宋_GBK" w:hAnsi="方正仿宋_GBK" w:eastAsia="方正仿宋_GBK" w:cs="方正仿宋_GBK"/>
          <w:b/>
          <w:bCs/>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w:t>
      </w:r>
      <w:r>
        <w:rPr>
          <w:rFonts w:hint="eastAsia"/>
          <w:bCs/>
          <w:sz w:val="24"/>
          <w:szCs w:val="24"/>
        </w:rPr>
        <w:t xml:space="preserve">▲</w:t>
      </w:r>
      <w:r>
        <w:rPr>
          <w:rFonts w:hint="eastAsia" w:ascii="方正仿宋_GBK" w:hAnsi="方正仿宋_GBK" w:eastAsia="方正仿宋_GBK" w:cs="方正仿宋_GBK"/>
          <w:b/>
          <w:bCs/>
          <w:sz w:val="28"/>
          <w:szCs w:val="28"/>
        </w:rPr>
        <w:t xml:space="preserve">服务期限</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合同生效之日起1个月内完成系统升级开发工作，系统连续稳定试运行不少于3个月。因开发工期延误造成的所有损失由供应商承担。（提供服务期限承诺函并加盖公章）</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（二）交付地点</w:t>
      </w:r>
      <w:r>
        <w:rPr>
          <w:rFonts w:hint="eastAsia" w:ascii="方正仿宋_GBK" w:hAnsi="方正仿宋_GBK" w:eastAsia="方正仿宋_GBK" w:cs="方正仿宋_GBK"/>
          <w:sz w:val="28"/>
          <w:szCs w:val="28"/>
        </w:rPr>
        <w:t xml:space="preserve">：按采购人指定地点交付。</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（三）验收要求</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1、项目按照招标文件和合同要求完成所有建设内容，省运会服务期间连续稳定运行。</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按照合同和招标文件要求提交相关验收成果。验收成果具体包括但不限于：《项目实施方案》《需求规格说明书》《系统概要设计》《系统详细设计》《数据库设计》《系统接口设计》《用户使用手册》《部署手册》《系统自测报告》《系统培训方案》及培训材料、《项目验收方案》《用户使用报告》等。</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3、供应商验收前对软件功能进行全面检查，确保内容满足建设需求，并对验收文件进行整理并列出清单。</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4、经采购人检查满足验收条件并通过采购人验收，验收不通过的须按采购人要求整改直至通过验收。</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（四）</w:t>
      </w:r>
      <w:r>
        <w:rPr>
          <w:rFonts w:hint="eastAsia"/>
          <w:bCs/>
          <w:sz w:val="24"/>
          <w:szCs w:val="24"/>
        </w:rPr>
        <w:t xml:space="preserve">▲</w:t>
      </w:r>
      <w:r>
        <w:rPr>
          <w:rFonts w:hint="eastAsia" w:ascii="方正仿宋_GBK" w:hAnsi="方正仿宋_GBK" w:eastAsia="方正仿宋_GBK" w:cs="方正仿宋_GBK"/>
          <w:b/>
          <w:bCs/>
          <w:sz w:val="28"/>
          <w:szCs w:val="28"/>
        </w:rPr>
        <w:t xml:space="preserve">售后服务要求</w:t>
      </w:r>
      <w:r>
        <w:rPr>
          <w:rFonts w:hint="eastAsia" w:ascii="方正仿宋_GBK" w:hAnsi="方正仿宋_GBK" w:eastAsia="方正仿宋_GBK" w:cs="方正仿宋_GBK"/>
          <w:sz w:val="28"/>
          <w:szCs w:val="28"/>
        </w:rPr>
        <w:t xml:space="preserve">（提供</w:t>
      </w:r>
      <w:r>
        <w:rPr>
          <w:rFonts w:hint="eastAsia" w:ascii="方正仿宋_GBK" w:hAnsi="方正仿宋_GBK" w:eastAsia="方正仿宋_GBK" w:cs="方正仿宋_GBK"/>
          <w:sz w:val="28"/>
          <w:szCs w:val="28"/>
          <w:lang w:val="en-US" w:eastAsia="zh-CN"/>
        </w:rPr>
        <w:t xml:space="preserve">售后服务</w:t>
      </w:r>
      <w:r>
        <w:rPr>
          <w:rFonts w:hint="eastAsia" w:ascii="方正仿宋_GBK" w:hAnsi="方正仿宋_GBK" w:eastAsia="方正仿宋_GBK" w:cs="方正仿宋_GBK"/>
          <w:sz w:val="28"/>
          <w:szCs w:val="28"/>
        </w:rPr>
        <w:t xml:space="preserve">承诺函并加盖公章）</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1、合同验收合格后，供应商须提供1年质保服务，质保费用包含在报价中，不另外付费。质保期从合同验收合格之日起计算。</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2、质保期间发生的任何异常故障和损坏（人为损坏除外）引起的费用应由供应商负责。在发生故障后，</w:t>
      </w:r>
      <w:r>
        <w:rPr>
          <w:rFonts w:hint="eastAsia" w:ascii="方正仿宋_GBK" w:hAnsi="方正仿宋_GBK" w:eastAsia="方正仿宋_GBK" w:cs="方正仿宋_GBK"/>
          <w:sz w:val="28"/>
          <w:szCs w:val="28"/>
          <w:lang w:bidi="ar"/>
        </w:rPr>
        <w:t xml:space="preserve">一般故障1小时内响应、4小时内解决；重大故障30分钟内响应、2小时内完成应急处置</w:t>
      </w:r>
      <w:r>
        <w:rPr>
          <w:rFonts w:hint="eastAsia" w:ascii="方正仿宋_GBK" w:hAnsi="方正仿宋_GBK" w:eastAsia="方正仿宋_GBK" w:cs="方正仿宋_GBK"/>
          <w:sz w:val="28"/>
          <w:szCs w:val="28"/>
        </w:rPr>
        <w:t xml:space="preserve">，实现业务中断影响最小化。</w:t>
      </w:r>
      <w:r>
        <w:rPr>
          <w:rFonts w:hint="eastAsia" w:ascii="方正仿宋_GBK" w:hAnsi="方正仿宋_GBK" w:eastAsia="方正仿宋_GBK" w:cs="方正仿宋_GBK"/>
          <w:sz w:val="28"/>
          <w:szCs w:val="28"/>
        </w:rPr>
      </w:r>
      <w:r/>
    </w:p>
    <w:p>
      <w:pPr>
        <w:pStyle w:val="895"/>
        <w:ind w:firstLine="560"/>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3、质保期内，供应商应提供例行巡检、故障响应、常规软件问题修复、系统配置管理等质保服务，以保障系统安全稳定运行。</w:t>
      </w:r>
      <w:r>
        <w:rPr>
          <w:rFonts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4、质保期内，供应商应提供技术支持服务，保证7×24小时在线解答，免费提供操作培训。</w:t>
      </w:r>
      <w:r>
        <w:rPr>
          <w:rFonts w:hint="eastAsia" w:ascii="方正仿宋_GBK" w:hAnsi="方正仿宋_GBK" w:eastAsia="方正仿宋_GBK" w:cs="方正仿宋_GBK"/>
          <w:sz w:val="28"/>
          <w:szCs w:val="28"/>
        </w:rPr>
      </w:r>
      <w:r/>
    </w:p>
    <w:p>
      <w:pPr>
        <w:pStyle w:val="895"/>
        <w:ind w:firstLine="562"/>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（五）付款方式</w:t>
      </w:r>
      <w:r>
        <w:rPr>
          <w:rFonts w:hint="eastAsia" w:ascii="方正仿宋_GBK" w:hAnsi="方正仿宋_GBK" w:eastAsia="方正仿宋_GBK" w:cs="方正仿宋_GBK"/>
          <w:b/>
          <w:bCs/>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1、合同签订生效，采购人收到供应商提供的有效增值税发票后20个工作日内，采购人支付合同价的50%。</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2、供应商完成合同约定的所有服务，且稳定上线试运行1个月，且收到供应商提供的有效增值税发票后20个工作日内，采购人支付合同价的20%。</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3、系统稳定上线试运行3个月，通过采购人验收且收到供应商提供的有效增值税发票后20个工作日内，采购人支付合同价的30%。</w:t>
      </w:r>
      <w:r>
        <w:rPr>
          <w:rFonts w:hint="eastAsia" w:ascii="方正仿宋_GBK" w:hAnsi="方正仿宋_GBK" w:eastAsia="方正仿宋_GBK" w:cs="方正仿宋_GBK"/>
          <w:sz w:val="28"/>
          <w:szCs w:val="28"/>
        </w:rPr>
      </w:r>
      <w:r/>
    </w:p>
    <w:p>
      <w:pPr>
        <w:pStyle w:val="895"/>
        <w:ind w:firstLine="560"/>
        <w:jc w:val="left"/>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（六）</w:t>
      </w:r>
      <w:r>
        <w:rPr>
          <w:rFonts w:hint="eastAsia" w:ascii="方正仿宋_GBK" w:hAnsi="方正仿宋_GBK" w:eastAsia="方正仿宋_GBK" w:cs="方正仿宋_GBK"/>
          <w:sz w:val="28"/>
          <w:szCs w:val="28"/>
          <w:lang w:bidi="ar"/>
        </w:rPr>
        <w:t xml:space="preserve">供应商需提供2023年1月1日以来类似系统软件开发或运维服务案例，有效证明供应商具备相关项目开发、运维经验，熟悉同类系统建设流程及技术要求，可有效降低项目实施风险，保障反兴奋剂平台升级开发项目高效推进、按时交付且符合需求标准。</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（七）</w:t>
      </w:r>
      <w:r>
        <w:rPr>
          <w:rFonts w:hint="eastAsia" w:ascii="方正仿宋_GBK" w:hAnsi="方正仿宋_GBK" w:eastAsia="方正仿宋_GBK" w:cs="方正仿宋_GBK"/>
          <w:sz w:val="28"/>
          <w:szCs w:val="28"/>
          <w:lang w:bidi="ar"/>
        </w:rPr>
        <w:t xml:space="preserve">供应商具备规范的信息安全管理能力，可有效保障反兴奋剂平台中运动员信息、检查数据等敏感信息的安全，防范数据泄露、篡改等风险，确保项目建设及运维过程符合信息安全相关要求，保障平台安全稳定运行。</w:t>
      </w:r>
      <w:r>
        <w:rPr>
          <w:rFonts w:hint="eastAsia" w:ascii="方正仿宋_GBK" w:hAnsi="方正仿宋_GBK" w:eastAsia="方正仿宋_GBK" w:cs="方正仿宋_GBK"/>
          <w:sz w:val="28"/>
          <w:szCs w:val="28"/>
        </w:rPr>
        <w:t xml:space="preserve">似供应商需具备供应商具有有效期内的ISO27001信息安全管理体系认证证书（须提供证书证书扫描件或复印件加盖公章）。</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（八）演示要求：</w:t>
      </w: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w:t>
      </w:r>
      <w:r>
        <w:rPr>
          <w:rFonts w:hint="eastAsia" w:ascii="方正仿宋_GBK" w:hAnsi="方正仿宋_GBK" w:eastAsia="方正仿宋_GBK" w:cs="方正仿宋_GBK"/>
          <w:sz w:val="28"/>
          <w:szCs w:val="28"/>
        </w:rPr>
      </w:r>
      <w:r/>
    </w:p>
    <w:p>
      <w:pPr>
        <w:pStyle w:val="895"/>
        <w:ind w:firstLine="560"/>
        <w:spacing w:line="480" w:lineRule="exact"/>
        <w:outlineLvl w:val="3"/>
      </w:pPr>
      <w:r>
        <w:rPr>
          <w:rFonts w:hint="eastAsia" w:ascii="方正仿宋_GBK" w:hAnsi="方正仿宋_GBK" w:eastAsia="方正仿宋_GBK" w:cs="方正仿宋_GBK"/>
          <w:sz w:val="28"/>
          <w:szCs w:val="28"/>
        </w:rPr>
        <w:t xml:space="preserve">演示内容如下：</w:t>
      </w:r>
      <w:r/>
    </w:p>
    <w:p>
      <w:pPr>
        <w:pStyle w:val="895"/>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演示“兴奋剂检查”模块中十个功能项；</w:t>
      </w:r>
      <w:r>
        <w:rPr>
          <w:rFonts w:ascii="方正仿宋_GBK" w:hAnsi="方正仿宋_GBK" w:eastAsia="方正仿宋_GBK" w:cs="方正仿宋_GBK"/>
          <w:sz w:val="28"/>
          <w:szCs w:val="28"/>
        </w:rPr>
      </w:r>
      <w:r/>
    </w:p>
    <w:p>
      <w:pPr>
        <w:pStyle w:val="895"/>
        <w:numPr>
          <w:ilvl w:val="0"/>
          <w:numId w:val="7"/>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实现月度检查计划基本信息管理功能，支持计划名称、检查月份、时间范围、检查类型等核心信息的录入与维护，检查类型支持赛内、赛外检查多选配置【</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1】；</w:t>
      </w:r>
      <w:r>
        <w:rPr>
          <w:rFonts w:ascii="方正仿宋_GBK" w:hAnsi="方正仿宋_GBK" w:eastAsia="方正仿宋_GBK" w:cs="方正仿宋_GBK"/>
          <w:sz w:val="28"/>
          <w:szCs w:val="28"/>
        </w:rPr>
      </w:r>
      <w:r/>
    </w:p>
    <w:p>
      <w:pPr>
        <w:pStyle w:val="895"/>
        <w:numPr>
          <w:ilvl w:val="0"/>
          <w:numId w:val="7"/>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实现检查类型差异化配置功能，根据赛内、赛外检查的选择结果，展示对应专属配置字段，满足赛内关联赛事、赛外选择目标运动员的业务需求【</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2</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7"/>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实现目标运动员关联功能，支持从运动员检查库中批量选择目标运动员，保障运动员数据关联的唯一性【</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3</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7"/>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实现月度检查计划状态全流程管理功能，支持拟定中、</w:t>
      </w:r>
      <w:r>
        <w:rPr>
          <w:rFonts w:hint="eastAsia" w:ascii="方正仿宋_GBK" w:hAnsi="方正仿宋_GBK" w:eastAsia="方正仿宋_GBK" w:cs="方正仿宋_GBK"/>
          <w:sz w:val="28"/>
          <w:szCs w:val="28"/>
        </w:rPr>
        <w:t xml:space="preserve">进行中</w:t>
      </w:r>
      <w:r>
        <w:rPr>
          <w:rFonts w:ascii="方正仿宋_GBK" w:hAnsi="方正仿宋_GBK" w:eastAsia="方正仿宋_GBK" w:cs="方正仿宋_GBK"/>
          <w:sz w:val="28"/>
          <w:szCs w:val="28"/>
        </w:rPr>
        <w:t xml:space="preserve">、已完成的状态正常流转【</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4</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7"/>
        </w:numPr>
        <w:jc w:val="left"/>
        <w:spacing w:line="5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实现从月度计划生成检查任务功能，支持从</w:t>
      </w:r>
      <w:r>
        <w:rPr>
          <w:rFonts w:hint="eastAsia" w:ascii="方正仿宋_GBK" w:hAnsi="方正仿宋_GBK" w:eastAsia="方正仿宋_GBK" w:cs="方正仿宋_GBK"/>
          <w:sz w:val="28"/>
          <w:szCs w:val="28"/>
        </w:rPr>
        <w:t xml:space="preserve">月度检查</w:t>
      </w:r>
      <w:r>
        <w:rPr>
          <w:rFonts w:ascii="方正仿宋_GBK" w:hAnsi="方正仿宋_GBK" w:eastAsia="方正仿宋_GBK" w:cs="方正仿宋_GBK"/>
          <w:sz w:val="28"/>
          <w:szCs w:val="28"/>
        </w:rPr>
        <w:t xml:space="preserve">计划中自动</w:t>
      </w:r>
      <w:r>
        <w:rPr>
          <w:rFonts w:hint="eastAsia" w:ascii="方正仿宋_GBK" w:hAnsi="方正仿宋_GBK" w:eastAsia="方正仿宋_GBK" w:cs="方正仿宋_GBK"/>
          <w:sz w:val="28"/>
          <w:szCs w:val="28"/>
        </w:rPr>
        <w:t xml:space="preserve">获取</w:t>
      </w:r>
      <w:r>
        <w:rPr>
          <w:rFonts w:ascii="方正仿宋_GBK" w:hAnsi="方正仿宋_GBK" w:eastAsia="方正仿宋_GBK" w:cs="方正仿宋_GBK"/>
          <w:sz w:val="28"/>
          <w:szCs w:val="28"/>
        </w:rPr>
        <w:t xml:space="preserve">运动员、检查类型等信息，生成关联的检查任务【</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5</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5"/>
        <w:numPr>
          <w:ilvl w:val="0"/>
          <w:numId w:val="7"/>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实现检查任务创建的分步骤管理功能，按基础信息、目标运动员、检查官派遣、确认任务的流程推进，流程节点完整可追溯【</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6</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7"/>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实现检查官双模式派遣功能，完整展示后台指定派遣、智能报名派遣两种模式的核心业务功能，满足不同派遣场景的使用需求【</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7</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7"/>
        </w:numPr>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实现行踪申报权限控制功能，仅允许检查库中在库状态的运动员进行行踪申报操作，权限校验精准</w:t>
      </w:r>
      <w:r>
        <w:rPr>
          <w:rFonts w:ascii="方正仿宋_GBK" w:hAnsi="方正仿宋_GBK" w:eastAsia="方正仿宋_GBK" w:cs="方正仿宋_GBK"/>
          <w:sz w:val="28"/>
          <w:szCs w:val="28"/>
        </w:rPr>
        <w:t xml:space="preserve">【演示项 8】</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5"/>
        <w:numPr>
          <w:ilvl w:val="0"/>
          <w:numId w:val="7"/>
        </w:numPr>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实现运动员按季度进行行踪申报的功能，支持国内、国外两种行程区域类型的申报，满足不同区域的地址填写需求</w:t>
      </w:r>
      <w:r>
        <w:rPr>
          <w:rFonts w:ascii="方正仿宋_GBK" w:hAnsi="方正仿宋_GBK" w:eastAsia="方正仿宋_GBK" w:cs="方正仿宋_GBK"/>
          <w:sz w:val="28"/>
          <w:szCs w:val="28"/>
        </w:rPr>
        <w:t xml:space="preserve">【演示项 9】</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7"/>
        </w:numPr>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实现行踪信息多维度展示功能，支持行踪列表查询、每日行踪聚合、日历视图展示，数据展示完整、直观</w:t>
      </w:r>
      <w:r>
        <w:rPr>
          <w:rFonts w:ascii="方正仿宋_GBK" w:hAnsi="方正仿宋_GBK" w:eastAsia="方正仿宋_GBK" w:cs="方正仿宋_GBK"/>
          <w:sz w:val="28"/>
          <w:szCs w:val="28"/>
        </w:rPr>
        <w:t xml:space="preserve">【演示项 10】</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r>
      <w:r/>
    </w:p>
    <w:p>
      <w:pPr>
        <w:pStyle w:val="895"/>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6"/>
        <w:rPr>
          <w:rFonts w:hint="eastAsia" w:ascii="黑体" w:eastAsia="黑体"/>
          <w:bCs/>
          <w:sz w:val="44"/>
        </w:rPr>
      </w:pPr>
      <w:r/>
      <w:bookmarkStart w:id="196"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5"/>
        <w:rPr>
          <w:rFonts w:hint="eastAsia"/>
        </w:rPr>
      </w:pPr>
      <w:r>
        <w:rPr>
          <w:rFonts w:hint="eastAsia"/>
        </w:rPr>
      </w:r>
      <w:r/>
    </w:p>
    <w:p>
      <w:pPr>
        <w:pStyle w:val="98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523"/>
      </w:tblGrid>
      <w:tr>
        <w:trPr/>
        <w:tc>
          <w:tcPr>
            <w:tcW w:w="1148" w:type="dxa"/>
            <w:vAlign w:val="top"/>
            <w:textDirection w:val="lrTb"/>
            <w:noWrap w:val="false"/>
          </w:tcPr>
          <w:p>
            <w:pPr>
              <w:pStyle w:val="895"/>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5523"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5523" w:type="dxa"/>
            <w:vAlign w:val="top"/>
            <w:textDirection w:val="lrTb"/>
            <w:noWrap w:val="false"/>
          </w:tcPr>
          <w:p>
            <w:pPr>
              <w:pStyle w:val="895"/>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82"/>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82"/>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8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8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82"/>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8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8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8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82"/>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8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8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8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82"/>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8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8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95"/>
        <w:ind w:firstLine="480"/>
        <w:jc w:val="left"/>
        <w:spacing w:line="400" w:lineRule="exact"/>
        <w:rPr>
          <w:rFonts w:hint="eastAsia" w:ascii="宋体" w:hAnsi="宋体" w:cs="宋体"/>
          <w:sz w:val="24"/>
          <w:szCs w:val="24"/>
        </w:rPr>
      </w:pPr>
      <w:r>
        <w:rPr>
          <w:rFonts w:hint="eastAsia" w:ascii="宋体" w:hAnsi="宋体" w:cs="宋体"/>
          <w:sz w:val="24"/>
          <w:szCs w:val="24"/>
        </w:rPr>
        <w:t xml:space="preserve">7.采购本国产品的支持政策</w:t>
      </w:r>
      <w:r>
        <w:rPr>
          <w:rFonts w:hint="eastAsia" w:ascii="宋体" w:hAnsi="宋体" w:cs="宋体"/>
          <w:sz w:val="24"/>
          <w:szCs w:val="24"/>
        </w:rPr>
      </w:r>
      <w:r/>
    </w:p>
    <w:p>
      <w:pPr>
        <w:pStyle w:val="895"/>
        <w:ind w:firstLine="480"/>
        <w:jc w:val="left"/>
        <w:spacing w:line="400" w:lineRule="exact"/>
        <w:rPr>
          <w:rFonts w:hint="eastAsia" w:ascii="宋体" w:hAnsi="宋体" w:cs="宋体"/>
          <w:sz w:val="24"/>
          <w:szCs w:val="24"/>
        </w:rPr>
      </w:pPr>
      <w:r>
        <w:rPr>
          <w:rFonts w:hint="eastAsia" w:ascii="宋体" w:hAnsi="宋体" w:cs="宋体"/>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rPr>
          <w:rFonts w:hint="eastAsia" w:ascii="宋体" w:hAnsi="宋体" w:cs="宋体"/>
          <w:sz w:val="24"/>
          <w:szCs w:val="24"/>
        </w:rPr>
      </w:r>
      <w:r/>
    </w:p>
    <w:p>
      <w:pPr>
        <w:pStyle w:val="895"/>
        <w:ind w:firstLine="480"/>
        <w:jc w:val="left"/>
        <w:spacing w:line="400" w:lineRule="exact"/>
        <w:rPr>
          <w:rFonts w:hint="eastAsia" w:ascii="宋体" w:hAnsi="宋体" w:cs="宋体"/>
          <w:sz w:val="24"/>
          <w:szCs w:val="24"/>
        </w:rPr>
      </w:pPr>
      <w:r>
        <w:rPr>
          <w:rFonts w:hint="eastAsia" w:ascii="宋体" w:hAnsi="宋体" w:cs="宋体"/>
          <w:sz w:val="24"/>
          <w:szCs w:val="24"/>
        </w:rPr>
        <w:t xml:space="preserve">7.2 供应商需按照招标文件的要求提供《关于符合本国产品标准的声明函》（以下简称《声明函》），如不提供将不享受本国产品价格评审优惠。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895"/>
        <w:ind w:firstLine="480"/>
        <w:jc w:val="left"/>
        <w:spacing w:line="400" w:lineRule="exact"/>
        <w:rPr>
          <w:rFonts w:hint="eastAsia" w:ascii="宋体" w:hAnsi="宋体" w:cs="宋体"/>
          <w:sz w:val="24"/>
          <w:szCs w:val="24"/>
        </w:rPr>
      </w:pPr>
      <w:r>
        <w:rPr>
          <w:rFonts w:hint="eastAsia" w:ascii="宋体" w:hAnsi="宋体" w:cs="宋体"/>
          <w:sz w:val="24"/>
          <w:szCs w:val="24"/>
        </w:rPr>
        <w:t xml:space="preserve">7.3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rPr>
          <w:rFonts w:hint="eastAsia" w:ascii="宋体" w:hAnsi="宋体" w:cs="宋体"/>
          <w:sz w:val="24"/>
          <w:szCs w:val="24"/>
        </w:rPr>
      </w:r>
      <w:r/>
    </w:p>
    <w:p>
      <w:pPr>
        <w:pStyle w:val="895"/>
        <w:ind w:firstLine="480"/>
        <w:jc w:val="left"/>
        <w:spacing w:line="400" w:lineRule="exact"/>
        <w:rPr>
          <w:rFonts w:hint="eastAsia" w:ascii="宋体" w:hAnsi="宋体" w:cs="宋体"/>
          <w:sz w:val="24"/>
          <w:szCs w:val="24"/>
        </w:rPr>
      </w:pPr>
      <w:r>
        <w:rPr>
          <w:rFonts w:hint="eastAsia" w:ascii="宋体" w:hAnsi="宋体" w:cs="宋体"/>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szCs w:val="24"/>
        </w:rPr>
      </w:r>
      <w:r/>
    </w:p>
    <w:p>
      <w:pPr>
        <w:pStyle w:val="98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9555" w:type="dxa"/>
        <w:tblInd w:w="-6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425"/>
        <w:gridCol w:w="6435"/>
        <w:gridCol w:w="825"/>
      </w:tblGrid>
      <w:tr>
        <w:trPr/>
        <w:tc>
          <w:tcPr>
            <w:tcW w:w="870" w:type="dxa"/>
            <w:vAlign w:val="top"/>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序号</w:t>
            </w:r>
            <w:r>
              <w:rPr>
                <w:rFonts w:hint="eastAsia" w:ascii="方正仿宋_GBK" w:hAnsi="方正仿宋_GBK" w:eastAsia="方正仿宋_GBK" w:cs="方正仿宋_GBK"/>
              </w:rPr>
            </w:r>
            <w:r/>
          </w:p>
        </w:tc>
        <w:tc>
          <w:tcPr>
            <w:tcW w:w="1425" w:type="dxa"/>
            <w:vAlign w:val="top"/>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评分因素</w:t>
            </w:r>
            <w:r>
              <w:rPr>
                <w:rFonts w:hint="eastAsia" w:ascii="方正仿宋_GBK" w:hAnsi="方正仿宋_GBK" w:eastAsia="方正仿宋_GBK" w:cs="方正仿宋_GBK"/>
              </w:rPr>
            </w:r>
            <w:r/>
          </w:p>
        </w:tc>
        <w:tc>
          <w:tcPr>
            <w:tcW w:w="6435" w:type="dxa"/>
            <w:vAlign w:val="top"/>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评分标准</w:t>
            </w:r>
            <w:r>
              <w:rPr>
                <w:rFonts w:hint="eastAsia" w:ascii="方正仿宋_GBK" w:hAnsi="方正仿宋_GBK" w:eastAsia="方正仿宋_GBK" w:cs="方正仿宋_GBK"/>
              </w:rPr>
            </w:r>
            <w:r/>
          </w:p>
        </w:tc>
        <w:tc>
          <w:tcPr>
            <w:tcW w:w="825" w:type="dxa"/>
            <w:vAlign w:val="top"/>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分值</w:t>
            </w:r>
            <w:r>
              <w:rPr>
                <w:rFonts w:hint="eastAsia" w:ascii="方正仿宋_GBK" w:hAnsi="方正仿宋_GBK" w:eastAsia="方正仿宋_GBK" w:cs="方正仿宋_GBK"/>
              </w:rPr>
            </w:r>
            <w:r/>
          </w:p>
        </w:tc>
      </w:tr>
      <w:tr>
        <w:trPr/>
        <w:tc>
          <w:tcPr>
            <w:tcW w:w="870"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1</w:t>
            </w:r>
            <w:r>
              <w:rPr>
                <w:rFonts w:hint="eastAsia" w:ascii="方正仿宋_GBK" w:hAnsi="方正仿宋_GBK" w:eastAsia="方正仿宋_GBK" w:cs="方正仿宋_GBK"/>
              </w:rPr>
            </w:r>
            <w:r/>
          </w:p>
        </w:tc>
        <w:tc>
          <w:tcPr>
            <w:tcW w:w="14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价格分</w:t>
            </w:r>
            <w:r>
              <w:rPr>
                <w:rFonts w:hint="eastAsia" w:ascii="方正仿宋_GBK" w:hAnsi="方正仿宋_GBK" w:eastAsia="方正仿宋_GBK" w:cs="方正仿宋_GBK"/>
              </w:rPr>
            </w:r>
            <w:r/>
          </w:p>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（10分）</w:t>
            </w:r>
            <w:r>
              <w:rPr>
                <w:rFonts w:hint="eastAsia" w:ascii="方正仿宋_GBK" w:hAnsi="方正仿宋_GBK" w:eastAsia="方正仿宋_GBK" w:cs="方正仿宋_GBK"/>
              </w:rPr>
            </w:r>
            <w:r/>
          </w:p>
        </w:tc>
        <w:tc>
          <w:tcPr>
            <w:tcW w:w="6435" w:type="dxa"/>
            <w:vAlign w:val="center"/>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价格分统一采用低价优先法计算，满足招标文件要求且投标价格最低的投标报价为评标基准价，其价格分为满分。其他投标人的价格分统一按照下列公式计算：投标报价得分=(评标基准价/投标报价)×10（小数点后保留两位小数）</w:t>
            </w:r>
            <w:r>
              <w:rPr>
                <w:rFonts w:hint="eastAsia" w:ascii="方正仿宋_GBK" w:hAnsi="方正仿宋_GBK" w:eastAsia="方正仿宋_GBK" w:cs="方正仿宋_GBK"/>
              </w:rPr>
            </w:r>
            <w:r/>
          </w:p>
        </w:tc>
        <w:tc>
          <w:tcPr>
            <w:tcW w:w="825" w:type="dxa"/>
            <w:vAlign w:val="center"/>
            <w:textDirection w:val="lrTb"/>
            <w:noWrap w:val="false"/>
          </w:tcPr>
          <w:p>
            <w:pPr>
              <w:pStyle w:val="926"/>
              <w:jc w:val="center"/>
              <w:spacing w:line="500" w:lineRule="exact"/>
              <w:rPr>
                <w:rFonts w:ascii="方正仿宋_GBK" w:hAnsi="方正仿宋_GBK" w:eastAsia="方正仿宋_GBK" w:cs="方正仿宋_GBK"/>
              </w:rPr>
            </w:pPr>
            <w:r>
              <w:rPr>
                <w:rFonts w:hint="eastAsia" w:ascii="方正仿宋_GBK" w:hAnsi="方正仿宋_GBK" w:eastAsia="方正仿宋_GBK" w:cs="方正仿宋_GBK"/>
              </w:rPr>
              <w:t xml:space="preserve">10</w:t>
            </w:r>
            <w:r>
              <w:rPr>
                <w:rFonts w:ascii="方正仿宋_GBK" w:hAnsi="方正仿宋_GBK" w:eastAsia="方正仿宋_GBK" w:cs="方正仿宋_GBK"/>
              </w:rPr>
            </w:r>
            <w:r/>
          </w:p>
        </w:tc>
      </w:tr>
      <w:tr>
        <w:trPr/>
        <w:tc>
          <w:tcPr>
            <w:tcW w:w="870"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2</w:t>
            </w:r>
            <w:r>
              <w:rPr>
                <w:rFonts w:hint="eastAsia" w:ascii="方正仿宋_GBK" w:hAnsi="方正仿宋_GBK" w:eastAsia="方正仿宋_GBK" w:cs="方正仿宋_GBK"/>
              </w:rPr>
            </w:r>
            <w:r/>
          </w:p>
        </w:tc>
        <w:tc>
          <w:tcPr>
            <w:tcW w:w="14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技术及商务指标响应分</w:t>
            </w:r>
            <w:r>
              <w:rPr>
                <w:rFonts w:hint="eastAsia" w:ascii="方正仿宋_GBK" w:hAnsi="方正仿宋_GBK" w:eastAsia="方正仿宋_GBK" w:cs="方正仿宋_GBK"/>
              </w:rPr>
            </w:r>
            <w:r/>
          </w:p>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（20分）</w:t>
            </w:r>
            <w:r>
              <w:rPr>
                <w:rFonts w:hint="eastAsia" w:ascii="方正仿宋_GBK" w:hAnsi="方正仿宋_GBK" w:eastAsia="方正仿宋_GBK" w:cs="方正仿宋_GBK"/>
              </w:rPr>
            </w:r>
            <w:r/>
          </w:p>
        </w:tc>
        <w:tc>
          <w:tcPr>
            <w:tcW w:w="6435" w:type="dxa"/>
            <w:vAlign w:val="center"/>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评定各供应商技术及商务指标的响应性。</w:t>
            </w:r>
            <w:r>
              <w:rPr>
                <w:rFonts w:hint="eastAsia" w:ascii="方正仿宋_GBK" w:hAnsi="方正仿宋_GBK" w:eastAsia="方正仿宋_GBK" w:cs="方正仿宋_GBK"/>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招标文件中打“▲”号（共10项）条款为重要技术或商务条款，有负偏离每项扣2分，总分20分，根据投标人响应情况进行扣分。（投标人需对“▲”号条款逐一响应，并如实详细列出响应技术及商务指标及承诺，同时需按照采购需求提供类似系统功能截图证明或承诺函，否则评委会有权作负偏离处理）。</w:t>
            </w:r>
            <w:r>
              <w:rPr>
                <w:rFonts w:hint="eastAsia" w:ascii="方正仿宋_GBK" w:hAnsi="方正仿宋_GBK" w:eastAsia="方正仿宋_GBK" w:cs="方正仿宋_GBK"/>
              </w:rPr>
            </w:r>
            <w:r/>
          </w:p>
        </w:tc>
        <w:tc>
          <w:tcPr>
            <w:tcW w:w="825" w:type="dxa"/>
            <w:vAlign w:val="center"/>
            <w:textDirection w:val="lrTb"/>
            <w:noWrap w:val="false"/>
          </w:tcPr>
          <w:p>
            <w:pPr>
              <w:pStyle w:val="926"/>
              <w:jc w:val="center"/>
              <w:spacing w:line="500" w:lineRule="exact"/>
              <w:rPr>
                <w:rFonts w:ascii="方正仿宋_GBK" w:hAnsi="方正仿宋_GBK" w:eastAsia="方正仿宋_GBK" w:cs="方正仿宋_GBK"/>
              </w:rPr>
            </w:pPr>
            <w:r>
              <w:rPr>
                <w:rFonts w:hint="eastAsia" w:ascii="方正仿宋_GBK" w:hAnsi="方正仿宋_GBK" w:eastAsia="方正仿宋_GBK" w:cs="方正仿宋_GBK"/>
              </w:rPr>
              <w:t xml:space="preserve">20</w:t>
            </w:r>
            <w:r>
              <w:rPr>
                <w:rFonts w:ascii="方正仿宋_GBK" w:hAnsi="方正仿宋_GBK" w:eastAsia="方正仿宋_GBK" w:cs="方正仿宋_GBK"/>
              </w:rPr>
            </w:r>
            <w:r/>
          </w:p>
        </w:tc>
      </w:tr>
      <w:tr>
        <w:trPr/>
        <w:tc>
          <w:tcPr>
            <w:tcW w:w="870" w:type="dxa"/>
            <w:vAlign w:val="center"/>
            <w:vMerge w:val="restart"/>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3</w:t>
            </w:r>
            <w:r>
              <w:rPr>
                <w:rFonts w:hint="eastAsia" w:ascii="方正仿宋_GBK" w:hAnsi="方正仿宋_GBK" w:eastAsia="方正仿宋_GBK" w:cs="方正仿宋_GBK"/>
              </w:rPr>
            </w:r>
            <w:r/>
          </w:p>
        </w:tc>
        <w:tc>
          <w:tcPr>
            <w:tcW w:w="1425" w:type="dxa"/>
            <w:vAlign w:val="center"/>
            <w:vMerge w:val="restart"/>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技术服务方案分（3</w:t>
            </w:r>
            <w:r>
              <w:rPr>
                <w:rFonts w:hint="eastAsia" w:ascii="方正仿宋_GBK" w:hAnsi="方正仿宋_GBK" w:eastAsia="方正仿宋_GBK" w:cs="方正仿宋_GBK"/>
                <w:lang w:val="en-US" w:eastAsia="zh-CN"/>
              </w:rPr>
              <w:t xml:space="preserve">5</w:t>
            </w:r>
            <w:r>
              <w:rPr>
                <w:rFonts w:hint="eastAsia" w:ascii="方正仿宋_GBK" w:hAnsi="方正仿宋_GBK" w:eastAsia="方正仿宋_GBK" w:cs="方正仿宋_GBK"/>
              </w:rPr>
              <w:t xml:space="preserve">分）</w:t>
            </w:r>
            <w:r>
              <w:rPr>
                <w:rFonts w:hint="eastAsia" w:ascii="方正仿宋_GBK" w:hAnsi="方正仿宋_GBK" w:eastAsia="方正仿宋_GBK" w:cs="方正仿宋_GBK"/>
              </w:rPr>
            </w:r>
            <w:r/>
          </w:p>
        </w:tc>
        <w:tc>
          <w:tcPr>
            <w:tcW w:w="6435" w:type="dxa"/>
            <w:vAlign w:val="center"/>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 xml:space="preserve">3.</w:t>
            </w:r>
            <w:r>
              <w:rPr>
                <w:rFonts w:hint="eastAsia" w:ascii="方正仿宋_GBK" w:hAnsi="方正仿宋_GBK" w:eastAsia="方正仿宋_GBK" w:cs="方正仿宋_GBK"/>
              </w:rPr>
              <w:t xml:space="preserve">1、组织体系模块开发建设方案（5分）</w:t>
            </w:r>
            <w:r>
              <w:rPr>
                <w:rFonts w:hint="eastAsia" w:ascii="方正仿宋_GBK" w:hAnsi="方正仿宋_GBK" w:eastAsia="方正仿宋_GBK" w:cs="方正仿宋_GBK"/>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根据供应商提供的组织体系模块开发建设方案进行综合评审：</w:t>
            </w:r>
            <w:r>
              <w:rPr>
                <w:rFonts w:hint="eastAsia" w:ascii="方正仿宋_GBK" w:hAnsi="方正仿宋_GBK" w:eastAsia="方正仿宋_GBK" w:cs="方正仿宋_GBK"/>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（1）方案优于项目需求的，得5分；</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（2）方案符合项目需求的，得3分；</w:t>
            </w:r>
            <w:r>
              <w:rPr>
                <w:rFonts w:hint="eastAsia" w:ascii="方正仿宋_GBK" w:hAnsi="方正仿宋_GBK" w:eastAsia="方正仿宋_GBK" w:cs="方正仿宋_GBK"/>
                <w:sz w:val="28"/>
                <w:szCs w:val="28"/>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（3）方案不符合项目需求或未提供的，得0分。</w:t>
            </w:r>
            <w:r>
              <w:rPr>
                <w:rFonts w:hint="eastAsia" w:ascii="方正仿宋_GBK" w:hAnsi="方正仿宋_GBK" w:eastAsia="方正仿宋_GBK" w:cs="方正仿宋_GBK"/>
              </w:rPr>
            </w:r>
            <w:r/>
          </w:p>
        </w:tc>
        <w:tc>
          <w:tcPr>
            <w:tcW w:w="8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5</w:t>
            </w:r>
            <w:r>
              <w:rPr>
                <w:rFonts w:hint="eastAsia" w:ascii="方正仿宋_GBK" w:hAnsi="方正仿宋_GBK" w:eastAsia="方正仿宋_GBK" w:cs="方正仿宋_GBK"/>
              </w:rPr>
            </w:r>
            <w:r/>
          </w:p>
        </w:tc>
      </w:tr>
      <w:tr>
        <w:trPr/>
        <w:tc>
          <w:tcPr>
            <w:tcW w:w="870"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1425"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6435" w:type="dxa"/>
            <w:vAlign w:val="center"/>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 xml:space="preserve">3.</w:t>
            </w:r>
            <w:r>
              <w:rPr>
                <w:rFonts w:hint="eastAsia" w:ascii="方正仿宋_GBK" w:hAnsi="方正仿宋_GBK" w:eastAsia="方正仿宋_GBK" w:cs="方正仿宋_GBK"/>
              </w:rPr>
              <w:t xml:space="preserve">2、宣传教育模块开发建设方案（5分）</w:t>
            </w:r>
            <w:r>
              <w:rPr>
                <w:rFonts w:hint="eastAsia" w:ascii="方正仿宋_GBK" w:hAnsi="方正仿宋_GBK" w:eastAsia="方正仿宋_GBK" w:cs="方正仿宋_GBK"/>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根据供应商提供的宣传教育模块开发建设方案进行综合评审：</w:t>
            </w:r>
            <w:r>
              <w:rPr>
                <w:rFonts w:hint="eastAsia" w:ascii="方正仿宋_GBK" w:hAnsi="方正仿宋_GBK" w:eastAsia="方正仿宋_GBK" w:cs="方正仿宋_GBK"/>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（1）方案优于项目需求的，得5分；</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（2）方案符合项目需求的，得3分；</w:t>
            </w:r>
            <w:r>
              <w:rPr>
                <w:rFonts w:hint="eastAsia" w:ascii="方正仿宋_GBK" w:hAnsi="方正仿宋_GBK" w:eastAsia="方正仿宋_GBK" w:cs="方正仿宋_GBK"/>
                <w:sz w:val="28"/>
                <w:szCs w:val="28"/>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（3）方案不符合项目需求或未提供的，得0分。</w:t>
            </w:r>
            <w:r>
              <w:rPr>
                <w:rFonts w:hint="eastAsia" w:ascii="方正仿宋_GBK" w:hAnsi="方正仿宋_GBK" w:eastAsia="方正仿宋_GBK" w:cs="方正仿宋_GBK"/>
              </w:rPr>
            </w:r>
            <w:r/>
          </w:p>
        </w:tc>
        <w:tc>
          <w:tcPr>
            <w:tcW w:w="8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5</w:t>
            </w:r>
            <w:r>
              <w:rPr>
                <w:rFonts w:hint="eastAsia" w:ascii="方正仿宋_GBK" w:hAnsi="方正仿宋_GBK" w:eastAsia="方正仿宋_GBK" w:cs="方正仿宋_GBK"/>
              </w:rPr>
            </w:r>
            <w:r/>
          </w:p>
        </w:tc>
      </w:tr>
      <w:tr>
        <w:trPr/>
        <w:tc>
          <w:tcPr>
            <w:tcW w:w="870"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1425"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6435" w:type="dxa"/>
            <w:vAlign w:val="center"/>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 xml:space="preserve">3.</w:t>
            </w:r>
            <w:r>
              <w:rPr>
                <w:rFonts w:hint="eastAsia" w:ascii="方正仿宋_GBK" w:hAnsi="方正仿宋_GBK" w:eastAsia="方正仿宋_GBK" w:cs="方正仿宋_GBK"/>
              </w:rPr>
              <w:t xml:space="preserve">3、兴奋剂检查模块开发建设方案（5分）</w:t>
            </w:r>
            <w:r>
              <w:rPr>
                <w:rFonts w:hint="eastAsia" w:ascii="方正仿宋_GBK" w:hAnsi="方正仿宋_GBK" w:eastAsia="方正仿宋_GBK" w:cs="方正仿宋_GBK"/>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根据供应商提供的兴奋剂检查模块开发建设方案进行综合评审：</w:t>
            </w:r>
            <w:r>
              <w:rPr>
                <w:rFonts w:hint="eastAsia" w:ascii="方正仿宋_GBK" w:hAnsi="方正仿宋_GBK" w:eastAsia="方正仿宋_GBK" w:cs="方正仿宋_GBK"/>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（1）方案优于项目需求的，得5分；</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（2）方案符合项目需求的，得3分；</w:t>
            </w:r>
            <w:r>
              <w:rPr>
                <w:rFonts w:hint="eastAsia" w:ascii="方正仿宋_GBK" w:hAnsi="方正仿宋_GBK" w:eastAsia="方正仿宋_GBK" w:cs="方正仿宋_GBK"/>
                <w:sz w:val="28"/>
                <w:szCs w:val="28"/>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（3）方案不符合项目需求或未提供的，得0分。</w:t>
            </w:r>
            <w:r>
              <w:rPr>
                <w:rFonts w:hint="eastAsia" w:ascii="方正仿宋_GBK" w:hAnsi="方正仿宋_GBK" w:eastAsia="方正仿宋_GBK" w:cs="方正仿宋_GBK"/>
              </w:rPr>
            </w:r>
            <w:r/>
          </w:p>
        </w:tc>
        <w:tc>
          <w:tcPr>
            <w:tcW w:w="8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5</w:t>
            </w:r>
            <w:r>
              <w:rPr>
                <w:rFonts w:hint="eastAsia" w:ascii="方正仿宋_GBK" w:hAnsi="方正仿宋_GBK" w:eastAsia="方正仿宋_GBK" w:cs="方正仿宋_GBK"/>
              </w:rPr>
            </w:r>
            <w:r/>
          </w:p>
        </w:tc>
      </w:tr>
      <w:tr>
        <w:trPr/>
        <w:tc>
          <w:tcPr>
            <w:tcW w:w="870"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1425"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6435" w:type="dxa"/>
            <w:vAlign w:val="center"/>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 xml:space="preserve">3.</w:t>
            </w:r>
            <w:r>
              <w:rPr>
                <w:rFonts w:hint="eastAsia" w:ascii="方正仿宋_GBK" w:hAnsi="方正仿宋_GBK" w:eastAsia="方正仿宋_GBK" w:cs="方正仿宋_GBK"/>
              </w:rPr>
              <w:t xml:space="preserve">4、三品防控模块开发建设方案（5分）</w:t>
            </w:r>
            <w:r>
              <w:rPr>
                <w:rFonts w:hint="eastAsia" w:ascii="方正仿宋_GBK" w:hAnsi="方正仿宋_GBK" w:eastAsia="方正仿宋_GBK" w:cs="方正仿宋_GBK"/>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根据供应商提供的三品防控模块开发建设方案进行综合评审：</w:t>
            </w:r>
            <w:r>
              <w:rPr>
                <w:rFonts w:hint="eastAsia" w:ascii="方正仿宋_GBK" w:hAnsi="方正仿宋_GBK" w:eastAsia="方正仿宋_GBK" w:cs="方正仿宋_GBK"/>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（1）方案优于项目需求的，得5分；</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（2）方案符合项目需求的，得3分；</w:t>
            </w:r>
            <w:r>
              <w:rPr>
                <w:rFonts w:hint="eastAsia" w:ascii="方正仿宋_GBK" w:hAnsi="方正仿宋_GBK" w:eastAsia="方正仿宋_GBK" w:cs="方正仿宋_GBK"/>
                <w:sz w:val="28"/>
                <w:szCs w:val="28"/>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（3）方案不符合项目需求或未提供的，得0分。</w:t>
            </w:r>
            <w:r>
              <w:rPr>
                <w:rFonts w:hint="eastAsia" w:ascii="方正仿宋_GBK" w:hAnsi="方正仿宋_GBK" w:eastAsia="方正仿宋_GBK" w:cs="方正仿宋_GBK"/>
              </w:rPr>
            </w:r>
            <w:r/>
          </w:p>
        </w:tc>
        <w:tc>
          <w:tcPr>
            <w:tcW w:w="8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5</w:t>
            </w:r>
            <w:r>
              <w:rPr>
                <w:rFonts w:hint="eastAsia" w:ascii="方正仿宋_GBK" w:hAnsi="方正仿宋_GBK" w:eastAsia="方正仿宋_GBK" w:cs="方正仿宋_GBK"/>
              </w:rPr>
            </w:r>
            <w:r/>
          </w:p>
        </w:tc>
      </w:tr>
      <w:tr>
        <w:trPr/>
        <w:tc>
          <w:tcPr>
            <w:tcW w:w="870"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1425"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6435" w:type="dxa"/>
            <w:vAlign w:val="center"/>
            <w:textDirection w:val="lrTb"/>
            <w:noWrap w:val="false"/>
          </w:tcPr>
          <w:p>
            <w:pPr>
              <w:pStyle w:val="926"/>
              <w:numPr>
                <w:ilvl w:val="0"/>
                <w:numId w:val="0"/>
              </w:numPr>
              <w:jc w:val="left"/>
              <w:spacing w:line="500" w:lineRule="exact"/>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lang w:val="en-US" w:eastAsia="zh-CN"/>
              </w:rPr>
              <w:t xml:space="preserve">3.5、接口集成方案（5分）</w:t>
            </w:r>
            <w:r>
              <w:rPr>
                <w:rFonts w:hint="eastAsia" w:ascii="方正仿宋_GBK" w:hAnsi="方正仿宋_GBK" w:eastAsia="方正仿宋_GBK" w:cs="方正仿宋_GBK"/>
                <w:lang w:val="en-US" w:eastAsia="zh-CN"/>
              </w:rPr>
            </w:r>
            <w:r/>
          </w:p>
          <w:p>
            <w:pPr>
              <w:pStyle w:val="895"/>
              <w:spacing w:line="500" w:lineRule="exact"/>
              <w:shd w:val="clear" w:color="auto" w:fill="ffffff"/>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根据供应商提供的</w:t>
            </w:r>
            <w:r>
              <w:rPr>
                <w:rFonts w:hint="eastAsia" w:ascii="方正仿宋_GBK" w:hAnsi="方正仿宋_GBK" w:eastAsia="方正仿宋_GBK" w:cs="方正仿宋_GBK"/>
                <w:sz w:val="28"/>
                <w:szCs w:val="28"/>
                <w:lang w:val="en-US" w:eastAsia="zh-CN"/>
              </w:rPr>
              <w:t xml:space="preserve">接口集成</w:t>
            </w:r>
            <w:r>
              <w:rPr>
                <w:rFonts w:hint="eastAsia" w:ascii="方正仿宋_GBK" w:hAnsi="方正仿宋_GBK" w:eastAsia="方正仿宋_GBK" w:cs="方正仿宋_GBK"/>
                <w:sz w:val="28"/>
                <w:szCs w:val="28"/>
              </w:rPr>
              <w:t xml:space="preserve">方案进行综合评审：</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（1）方案优于项目需求的，得5分；</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（2）方案符合项目需求的，得3分；</w:t>
            </w:r>
            <w:r>
              <w:rPr>
                <w:rFonts w:hint="eastAsia" w:ascii="方正仿宋_GBK" w:hAnsi="方正仿宋_GBK" w:eastAsia="方正仿宋_GBK" w:cs="方正仿宋_GBK"/>
                <w:sz w:val="28"/>
                <w:szCs w:val="28"/>
              </w:rPr>
            </w:r>
            <w:r/>
          </w:p>
          <w:p>
            <w:pPr>
              <w:pStyle w:val="926"/>
              <w:numPr>
                <w:ilvl w:val="0"/>
                <w:numId w:val="0"/>
              </w:numPr>
              <w:ind w:left="0" w:firstLine="0"/>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（3）方案不符合项目需求或未提供的，得0分。</w:t>
            </w:r>
            <w:r>
              <w:rPr>
                <w:rFonts w:hint="eastAsia" w:ascii="方正仿宋_GBK" w:hAnsi="方正仿宋_GBK" w:eastAsia="方正仿宋_GBK" w:cs="方正仿宋_GBK"/>
              </w:rPr>
            </w:r>
            <w:r/>
          </w:p>
        </w:tc>
        <w:tc>
          <w:tcPr>
            <w:tcW w:w="8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 xml:space="preserve">5</w:t>
            </w:r>
            <w:r>
              <w:rPr>
                <w:rFonts w:hint="eastAsia" w:ascii="方正仿宋_GBK" w:hAnsi="方正仿宋_GBK" w:eastAsia="方正仿宋_GBK" w:cs="方正仿宋_GBK"/>
              </w:rPr>
            </w:r>
            <w:r/>
          </w:p>
        </w:tc>
      </w:tr>
      <w:tr>
        <w:trPr/>
        <w:tc>
          <w:tcPr>
            <w:tcW w:w="870" w:type="dxa"/>
            <w:vAlign w:val="center"/>
            <w:vMerge w:val="continue"/>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1425" w:type="dxa"/>
            <w:vAlign w:val="center"/>
            <w:vMerge w:val="continue"/>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6435" w:type="dxa"/>
            <w:vAlign w:val="center"/>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 xml:space="preserve">3.6</w:t>
            </w:r>
            <w:r>
              <w:rPr>
                <w:rFonts w:hint="eastAsia" w:ascii="方正仿宋_GBK" w:hAnsi="方正仿宋_GBK" w:eastAsia="方正仿宋_GBK" w:cs="方正仿宋_GBK"/>
              </w:rPr>
              <w:t xml:space="preserve">、项目实施方案（5分）</w:t>
            </w:r>
            <w:r>
              <w:rPr>
                <w:rFonts w:hint="eastAsia" w:ascii="方正仿宋_GBK" w:hAnsi="方正仿宋_GBK" w:eastAsia="方正仿宋_GBK" w:cs="方正仿宋_GBK"/>
              </w:rPr>
            </w:r>
            <w:r/>
          </w:p>
          <w:p>
            <w:pPr>
              <w:pStyle w:val="895"/>
              <w:spacing w:line="500" w:lineRule="exact"/>
              <w:shd w:val="clear" w:color="auto" w:fill="ffffff"/>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方案内容包括但不限于项目进度计划、人员配置、质量保证措施、安全服务方案、故障处理方案、培训方案等进行比较打分，整体实施方案体现较好的开发能力和服务能力。</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（1）方案优于项目需求的，得5分；</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（2）方案符合项目需求的，得3分；</w:t>
            </w:r>
            <w:r>
              <w:rPr>
                <w:rFonts w:hint="eastAsia" w:ascii="方正仿宋_GBK" w:hAnsi="方正仿宋_GBK" w:eastAsia="方正仿宋_GBK" w:cs="方正仿宋_GBK"/>
                <w:sz w:val="28"/>
                <w:szCs w:val="28"/>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（3）方案不符合项目需求或未提供的，得0分。</w:t>
            </w:r>
            <w:r>
              <w:rPr>
                <w:rFonts w:hint="eastAsia" w:ascii="方正仿宋_GBK" w:hAnsi="方正仿宋_GBK" w:eastAsia="方正仿宋_GBK" w:cs="方正仿宋_GBK"/>
              </w:rPr>
            </w:r>
            <w:r/>
          </w:p>
        </w:tc>
        <w:tc>
          <w:tcPr>
            <w:tcW w:w="8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5</w:t>
            </w:r>
            <w:r>
              <w:rPr>
                <w:rFonts w:hint="eastAsia" w:ascii="方正仿宋_GBK" w:hAnsi="方正仿宋_GBK" w:eastAsia="方正仿宋_GBK" w:cs="方正仿宋_GBK"/>
              </w:rPr>
            </w:r>
            <w:r/>
          </w:p>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r>
      <w:tr>
        <w:trPr/>
        <w:tc>
          <w:tcPr>
            <w:tcW w:w="870" w:type="dxa"/>
            <w:vAlign w:val="center"/>
            <w:vMerge w:val="continue"/>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1425" w:type="dxa"/>
            <w:vAlign w:val="center"/>
            <w:vMerge w:val="continue"/>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6435" w:type="dxa"/>
            <w:vAlign w:val="center"/>
            <w:textDirection w:val="lrTb"/>
            <w:noWrap w:val="false"/>
          </w:tcPr>
          <w:p>
            <w:pPr>
              <w:pStyle w:val="895"/>
              <w:spacing w:line="500" w:lineRule="exact"/>
              <w:shd w:val="clear" w:color="auto" w:fill="ffffff"/>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3.7</w:t>
            </w:r>
            <w:r>
              <w:rPr>
                <w:rFonts w:hint="eastAsia" w:ascii="方正仿宋_GBK" w:hAnsi="方正仿宋_GBK" w:eastAsia="方正仿宋_GBK" w:cs="方正仿宋_GBK"/>
                <w:sz w:val="28"/>
                <w:szCs w:val="28"/>
              </w:rPr>
              <w:t xml:space="preserve">、应急保障服务方案（5分）。</w:t>
            </w:r>
            <w:r>
              <w:rPr>
                <w:rFonts w:hint="eastAsia" w:ascii="方正仿宋_GBK" w:hAnsi="方正仿宋_GBK" w:eastAsia="方正仿宋_GBK" w:cs="方正仿宋_GBK"/>
                <w:sz w:val="28"/>
                <w:szCs w:val="28"/>
              </w:rPr>
            </w:r>
            <w:r/>
          </w:p>
          <w:p>
            <w:pPr>
              <w:pStyle w:val="895"/>
              <w:spacing w:line="500" w:lineRule="exact"/>
              <w:shd w:val="clear" w:color="auto" w:fill="ffffff"/>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根据供应商提供的应急保障服务方案进行综合评审：</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（1）方案优于项目需求的，得5分；</w:t>
            </w:r>
            <w:r>
              <w:rPr>
                <w:rFonts w:hint="eastAsia" w:ascii="方正仿宋_GBK" w:hAnsi="方正仿宋_GBK" w:eastAsia="方正仿宋_GBK" w:cs="方正仿宋_GBK"/>
                <w:sz w:val="28"/>
                <w:szCs w:val="28"/>
              </w:rPr>
            </w:r>
            <w:r/>
          </w:p>
          <w:p>
            <w:pPr>
              <w:pStyle w:val="92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（2）方案符合项目需求的，得3分；</w:t>
            </w:r>
            <w:r>
              <w:rPr>
                <w:rFonts w:hint="eastAsia" w:ascii="方正仿宋_GBK" w:hAnsi="方正仿宋_GBK" w:eastAsia="方正仿宋_GBK" w:cs="方正仿宋_GBK"/>
                <w:sz w:val="28"/>
                <w:szCs w:val="28"/>
              </w:rPr>
            </w:r>
            <w:r/>
          </w:p>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（3）方案不符合项目需求或未提供的，得0分。</w:t>
            </w:r>
            <w:r>
              <w:rPr>
                <w:rFonts w:hint="eastAsia" w:ascii="方正仿宋_GBK" w:hAnsi="方正仿宋_GBK" w:eastAsia="方正仿宋_GBK" w:cs="方正仿宋_GBK"/>
              </w:rPr>
            </w:r>
            <w:r/>
          </w:p>
        </w:tc>
        <w:tc>
          <w:tcPr>
            <w:tcW w:w="825" w:type="dxa"/>
            <w:vAlign w:val="center"/>
            <w:textDirection w:val="lrTb"/>
            <w:noWrap w:val="false"/>
          </w:tcPr>
          <w:p>
            <w:pPr>
              <w:pStyle w:val="926"/>
              <w:jc w:val="center"/>
              <w:spacing w:line="500" w:lineRule="exact"/>
              <w:rPr>
                <w:rFonts w:ascii="方正仿宋_GBK" w:hAnsi="方正仿宋_GBK" w:eastAsia="方正仿宋_GBK" w:cs="方正仿宋_GBK"/>
              </w:rPr>
            </w:pPr>
            <w:r>
              <w:rPr>
                <w:rFonts w:hint="eastAsia" w:ascii="方正仿宋_GBK" w:hAnsi="方正仿宋_GBK" w:eastAsia="方正仿宋_GBK" w:cs="方正仿宋_GBK"/>
              </w:rPr>
              <w:t xml:space="preserve">5</w:t>
            </w:r>
            <w:r>
              <w:rPr>
                <w:rFonts w:ascii="方正仿宋_GBK" w:hAnsi="方正仿宋_GBK" w:eastAsia="方正仿宋_GBK" w:cs="方正仿宋_GBK"/>
              </w:rPr>
            </w:r>
            <w:r/>
          </w:p>
        </w:tc>
      </w:tr>
      <w:tr>
        <w:trPr/>
        <w:tc>
          <w:tcPr>
            <w:tcW w:w="870" w:type="dxa"/>
            <w:vAlign w:val="center"/>
            <w:vMerge w:val="restart"/>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4</w:t>
            </w:r>
            <w:r>
              <w:rPr>
                <w:rFonts w:hint="eastAsia" w:ascii="方正仿宋_GBK" w:hAnsi="方正仿宋_GBK" w:eastAsia="方正仿宋_GBK" w:cs="方正仿宋_GBK"/>
              </w:rPr>
            </w:r>
            <w:r/>
          </w:p>
        </w:tc>
        <w:tc>
          <w:tcPr>
            <w:tcW w:w="1425" w:type="dxa"/>
            <w:vAlign w:val="center"/>
            <w:vMerge w:val="restart"/>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企业综合实力（</w:t>
            </w:r>
            <w:r>
              <w:rPr>
                <w:rFonts w:hint="eastAsia" w:ascii="方正仿宋_GBK" w:hAnsi="方正仿宋_GBK" w:eastAsia="方正仿宋_GBK" w:cs="方正仿宋_GBK"/>
                <w:lang w:val="en-US" w:eastAsia="zh-CN"/>
              </w:rPr>
              <w:t xml:space="preserve">15</w:t>
            </w:r>
            <w:r>
              <w:rPr>
                <w:rFonts w:hint="eastAsia" w:ascii="方正仿宋_GBK" w:hAnsi="方正仿宋_GBK" w:eastAsia="方正仿宋_GBK" w:cs="方正仿宋_GBK"/>
              </w:rPr>
              <w:t xml:space="preserve">分）</w:t>
            </w:r>
            <w:r>
              <w:rPr>
                <w:rFonts w:hint="eastAsia" w:ascii="方正仿宋_GBK" w:hAnsi="方正仿宋_GBK" w:eastAsia="方正仿宋_GBK" w:cs="方正仿宋_GBK"/>
              </w:rPr>
            </w:r>
            <w:r/>
          </w:p>
        </w:tc>
        <w:tc>
          <w:tcPr>
            <w:tcW w:w="6435" w:type="dxa"/>
            <w:vAlign w:val="center"/>
            <w:textDirection w:val="lrTb"/>
            <w:noWrap w:val="false"/>
          </w:tcPr>
          <w:p>
            <w:pPr>
              <w:pStyle w:val="895"/>
              <w:spacing w:line="500" w:lineRule="exact"/>
              <w:shd w:val="clear" w:color="auto" w:fill="ffffff"/>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4.1</w:t>
            </w:r>
            <w:r>
              <w:rPr>
                <w:rFonts w:hint="eastAsia" w:ascii="方正仿宋_GBK" w:hAnsi="方正仿宋_GBK" w:eastAsia="方正仿宋_GBK" w:cs="方正仿宋_GBK"/>
                <w:sz w:val="28"/>
                <w:szCs w:val="28"/>
              </w:rPr>
              <w:t xml:space="preserve">企业资质（</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rPr>
            </w:r>
            <w:r/>
          </w:p>
          <w:p>
            <w:pPr>
              <w:pStyle w:val="895"/>
              <w:jc w:val="left"/>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供应商具有有效期内的ISO27001信息安全管理体系认证证书得</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分，没有不得分；（须提供证书证书扫描件或复印件加盖公章）</w:t>
            </w:r>
            <w:r>
              <w:rPr>
                <w:rFonts w:hint="eastAsia" w:ascii="方正仿宋_GBK" w:hAnsi="方正仿宋_GBK" w:eastAsia="方正仿宋_GBK" w:cs="方正仿宋_GBK"/>
                <w:sz w:val="28"/>
                <w:szCs w:val="28"/>
              </w:rPr>
            </w:r>
            <w:r/>
          </w:p>
        </w:tc>
        <w:tc>
          <w:tcPr>
            <w:tcW w:w="8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lang w:val="en-US" w:eastAsia="zh-CN"/>
              </w:rPr>
              <w:t xml:space="preserve">2</w:t>
            </w:r>
            <w:r>
              <w:rPr>
                <w:rFonts w:hint="eastAsia" w:ascii="方正仿宋_GBK" w:hAnsi="方正仿宋_GBK" w:eastAsia="方正仿宋_GBK" w:cs="方正仿宋_GBK"/>
              </w:rPr>
            </w:r>
            <w:r/>
          </w:p>
        </w:tc>
      </w:tr>
      <w:tr>
        <w:trPr/>
        <w:tc>
          <w:tcPr>
            <w:tcW w:w="870"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1425" w:type="dxa"/>
            <w:vAlign w:val="center"/>
            <w:vMerge w:val="continue"/>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6435" w:type="dxa"/>
            <w:vAlign w:val="center"/>
            <w:textDirection w:val="lrTb"/>
            <w:noWrap w:val="false"/>
          </w:tcPr>
          <w:p>
            <w:pPr>
              <w:pStyle w:val="895"/>
              <w:spacing w:line="500" w:lineRule="exact"/>
              <w:shd w:val="clear" w:color="auto" w:fill="ffffff"/>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4.2</w:t>
            </w:r>
            <w:r>
              <w:rPr>
                <w:rFonts w:hint="eastAsia" w:ascii="方正仿宋_GBK" w:hAnsi="方正仿宋_GBK" w:eastAsia="方正仿宋_GBK" w:cs="方正仿宋_GBK"/>
                <w:sz w:val="28"/>
                <w:szCs w:val="28"/>
              </w:rPr>
              <w:t xml:space="preserve">履约能力（</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rPr>
            </w:r>
            <w:r/>
          </w:p>
          <w:p>
            <w:pPr>
              <w:pStyle w:val="895"/>
              <w:jc w:val="left"/>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具有自主研发能力，具备与本项目相关的自主知识产权的软件著作权登记证书，相关的软件著作权登记证书含有“运动员反兴奋剂”或“运动员行踪信息申报与核查”或“安全监管”或“运动员训练计划”或“体育组织”或“选材育才”关键字，每提供一项得</w:t>
            </w:r>
            <w:r>
              <w:rPr>
                <w:rFonts w:hint="eastAsia" w:ascii="方正仿宋_GBK" w:hAnsi="方正仿宋_GBK" w:eastAsia="方正仿宋_GBK" w:cs="方正仿宋_GBK"/>
                <w:sz w:val="28"/>
                <w:szCs w:val="28"/>
                <w:lang w:val="en-US" w:eastAsia="zh-CN"/>
              </w:rPr>
              <w:t xml:space="preserve">0.5</w:t>
            </w:r>
            <w:r>
              <w:rPr>
                <w:rFonts w:hint="eastAsia" w:ascii="方正仿宋_GBK" w:hAnsi="方正仿宋_GBK" w:eastAsia="方正仿宋_GBK" w:cs="方正仿宋_GBK"/>
                <w:sz w:val="28"/>
                <w:szCs w:val="28"/>
              </w:rPr>
              <w:t xml:space="preserve">分，最高得</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分。相同关键字不重复得分。注：如投标文件中提供的著作权名称表述与招标文件描述的关键字样不一致，而该投标文件中能证明供应商拥有的软件著作权具有相同或相似功能和效果，且评标委员会认可的，视同符合要求，须提供有效期内证书扫描件或复印件证明材料并加盖供应商公章。</w:t>
            </w:r>
            <w:r>
              <w:rPr>
                <w:rFonts w:ascii="方正仿宋_GBK" w:hAnsi="方正仿宋_GBK" w:eastAsia="方正仿宋_GBK" w:cs="方正仿宋_GBK"/>
                <w:sz w:val="28"/>
                <w:szCs w:val="28"/>
              </w:rPr>
            </w:r>
            <w:r/>
          </w:p>
        </w:tc>
        <w:tc>
          <w:tcPr>
            <w:tcW w:w="825" w:type="dxa"/>
            <w:vAlign w:val="center"/>
            <w:textDirection w:val="lrTb"/>
            <w:noWrap w:val="false"/>
          </w:tcPr>
          <w:p>
            <w:pPr>
              <w:pStyle w:val="926"/>
              <w:jc w:val="center"/>
              <w:spacing w:line="500" w:lineRule="exact"/>
              <w:rPr>
                <w:rFonts w:ascii="方正仿宋_GBK" w:hAnsi="方正仿宋_GBK" w:eastAsia="方正仿宋_GBK" w:cs="方正仿宋_GBK"/>
              </w:rPr>
            </w:pPr>
            <w:r>
              <w:rPr>
                <w:rFonts w:hint="eastAsia" w:ascii="方正仿宋_GBK" w:hAnsi="方正仿宋_GBK" w:eastAsia="方正仿宋_GBK" w:cs="方正仿宋_GBK"/>
                <w:lang w:val="en-US" w:eastAsia="zh-CN"/>
              </w:rPr>
              <w:t xml:space="preserve">3</w:t>
            </w:r>
            <w:r>
              <w:rPr>
                <w:rFonts w:ascii="方正仿宋_GBK" w:hAnsi="方正仿宋_GBK" w:eastAsia="方正仿宋_GBK" w:cs="方正仿宋_GBK"/>
              </w:rPr>
            </w:r>
            <w:r/>
          </w:p>
        </w:tc>
      </w:tr>
      <w:tr>
        <w:trPr/>
        <w:tc>
          <w:tcPr>
            <w:tcW w:w="870" w:type="dxa"/>
            <w:vAlign w:val="center"/>
            <w:vMerge w:val="continue"/>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1425" w:type="dxa"/>
            <w:vAlign w:val="center"/>
            <w:vMerge w:val="continue"/>
            <w:textDirection w:val="lrTb"/>
            <w:noWrap w:val="false"/>
          </w:tcPr>
          <w:p>
            <w:pPr>
              <w:pStyle w:val="926"/>
              <w:jc w:val="left"/>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tc>
        <w:tc>
          <w:tcPr>
            <w:tcW w:w="6435" w:type="dxa"/>
            <w:vAlign w:val="center"/>
            <w:textDirection w:val="lrTb"/>
            <w:noWrap w:val="false"/>
          </w:tcPr>
          <w:p>
            <w:pPr>
              <w:pStyle w:val="895"/>
              <w:spacing w:line="500" w:lineRule="exact"/>
              <w:shd w:val="clear" w:color="auto" w:fill="ffffff"/>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4.3</w:t>
            </w:r>
            <w:r>
              <w:rPr>
                <w:rFonts w:hint="eastAsia" w:ascii="方正仿宋_GBK" w:hAnsi="方正仿宋_GBK" w:eastAsia="方正仿宋_GBK" w:cs="方正仿宋_GBK"/>
                <w:sz w:val="28"/>
                <w:szCs w:val="28"/>
              </w:rPr>
              <w:t xml:space="preserve">团队实力（10分）</w:t>
            </w:r>
            <w:r>
              <w:rPr>
                <w:rFonts w:hint="eastAsia" w:ascii="方正仿宋_GBK" w:hAnsi="方正仿宋_GBK" w:eastAsia="方正仿宋_GBK" w:cs="方正仿宋_GBK"/>
                <w:sz w:val="28"/>
                <w:szCs w:val="28"/>
              </w:rPr>
            </w:r>
            <w:r/>
          </w:p>
          <w:p>
            <w:pPr>
              <w:pStyle w:val="895"/>
              <w:spacing w:line="500" w:lineRule="exact"/>
              <w:shd w:val="clear" w:color="auto" w:fill="ffffff"/>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（1）项目经理：</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供应商应为本项目配备项目经理1名，项目经理具有信息系统项目管理师（高级）或人工智能应用工程师（高级）证书的，每提供1个证书得2分，最多得4分，不提供不得分。</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（2）技术负责人：</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供应商应为本项目配备项目技术负责人1名，技术负责人具有全国计算机软件开发(JAVA)专业人才（高级）或信息系统集成管理（高级）证书的，每提供1个证书得2分，最多得4分，不提供不得分。</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（3）安全负责人：</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供应商应为本项目配备项目安全负责人1名，安全负责人具有高级网络与信息安全工程师证书的，得2分，不提供不得分。</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注：项目经理、技术负责人、安全负责人不得为同一人；供应商需提供上述相关证书复印件，及供应商为其缴纳的近六个月内任意一个月的社保证明并加盖供应商公章，否则无效。</w:t>
            </w:r>
            <w:r>
              <w:rPr>
                <w:rFonts w:hint="eastAsia" w:ascii="方正仿宋_GBK" w:hAnsi="方正仿宋_GBK" w:eastAsia="方正仿宋_GBK" w:cs="方正仿宋_GBK"/>
                <w:sz w:val="28"/>
                <w:szCs w:val="28"/>
              </w:rPr>
            </w:r>
            <w:r/>
          </w:p>
        </w:tc>
        <w:tc>
          <w:tcPr>
            <w:tcW w:w="8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10</w:t>
            </w:r>
            <w:r>
              <w:rPr>
                <w:rFonts w:hint="eastAsia" w:ascii="方正仿宋_GBK" w:hAnsi="方正仿宋_GBK" w:eastAsia="方正仿宋_GBK" w:cs="方正仿宋_GBK"/>
              </w:rPr>
            </w:r>
            <w:r/>
          </w:p>
        </w:tc>
      </w:tr>
      <w:tr>
        <w:trPr/>
        <w:tc>
          <w:tcPr>
            <w:tcW w:w="870"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5</w:t>
            </w:r>
            <w:r>
              <w:rPr>
                <w:rFonts w:hint="eastAsia" w:ascii="方正仿宋_GBK" w:hAnsi="方正仿宋_GBK" w:eastAsia="方正仿宋_GBK" w:cs="方正仿宋_GBK"/>
              </w:rPr>
            </w:r>
            <w:r/>
          </w:p>
        </w:tc>
        <w:tc>
          <w:tcPr>
            <w:tcW w:w="14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类似业绩</w:t>
            </w:r>
            <w:r>
              <w:rPr>
                <w:rFonts w:hint="eastAsia" w:ascii="方正仿宋_GBK" w:hAnsi="方正仿宋_GBK" w:eastAsia="方正仿宋_GBK" w:cs="方正仿宋_GBK"/>
              </w:rPr>
            </w:r>
            <w:r/>
          </w:p>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（10分）</w:t>
            </w:r>
            <w:r>
              <w:rPr>
                <w:rFonts w:hint="eastAsia" w:ascii="方正仿宋_GBK" w:hAnsi="方正仿宋_GBK" w:eastAsia="方正仿宋_GBK" w:cs="方正仿宋_GBK"/>
              </w:rPr>
            </w:r>
            <w:r/>
          </w:p>
        </w:tc>
        <w:tc>
          <w:tcPr>
            <w:tcW w:w="6435" w:type="dxa"/>
            <w:vAlign w:val="center"/>
            <w:textDirection w:val="lrTb"/>
            <w:noWrap w:val="false"/>
          </w:tcPr>
          <w:p>
            <w:pPr>
              <w:pStyle w:val="895"/>
              <w:jc w:val="left"/>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供应商具有2023年1月1日以来（以合同签订时间为准）承担过类似系统软件开发项目或类似项目运维服务案例，每提供一个得2分，最多得10分，不提供不得分。</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注：供应商需提供相关业绩的合同复印件，复印件中需体现合同的签约主体、项目名称及建设内容、合同签订日期等关键页信息，否则不得分。</w:t>
            </w:r>
            <w:r>
              <w:rPr>
                <w:rFonts w:hint="eastAsia" w:ascii="方正仿宋_GBK" w:hAnsi="方正仿宋_GBK" w:eastAsia="方正仿宋_GBK" w:cs="方正仿宋_GBK"/>
                <w:sz w:val="28"/>
                <w:szCs w:val="28"/>
              </w:rPr>
            </w:r>
            <w:r/>
          </w:p>
        </w:tc>
        <w:tc>
          <w:tcPr>
            <w:tcW w:w="825" w:type="dxa"/>
            <w:vAlign w:val="center"/>
            <w:textDirection w:val="lrTb"/>
            <w:noWrap w:val="false"/>
          </w:tcPr>
          <w:p>
            <w:pPr>
              <w:pStyle w:val="926"/>
              <w:jc w:val="center"/>
              <w:spacing w:line="500" w:lineRule="exact"/>
              <w:rPr>
                <w:rFonts w:ascii="方正仿宋_GBK" w:hAnsi="方正仿宋_GBK" w:eastAsia="方正仿宋_GBK" w:cs="方正仿宋_GBK"/>
              </w:rPr>
            </w:pPr>
            <w:r>
              <w:rPr>
                <w:rFonts w:hint="eastAsia" w:ascii="方正仿宋_GBK" w:hAnsi="方正仿宋_GBK" w:eastAsia="方正仿宋_GBK" w:cs="方正仿宋_GBK"/>
              </w:rPr>
              <w:t xml:space="preserve">10</w:t>
            </w:r>
            <w:r>
              <w:rPr>
                <w:rFonts w:ascii="方正仿宋_GBK" w:hAnsi="方正仿宋_GBK" w:eastAsia="方正仿宋_GBK" w:cs="方正仿宋_GBK"/>
              </w:rPr>
            </w:r>
            <w:r/>
          </w:p>
        </w:tc>
      </w:tr>
      <w:tr>
        <w:trPr/>
        <w:tc>
          <w:tcPr>
            <w:tcW w:w="870" w:type="dxa"/>
            <w:vAlign w:val="center"/>
            <w:textDirection w:val="lrTb"/>
            <w:noWrap w:val="false"/>
          </w:tcPr>
          <w:p>
            <w:pPr>
              <w:pStyle w:val="926"/>
              <w:jc w:val="center"/>
              <w:spacing w:line="500" w:lineRule="exact"/>
              <w:rPr>
                <w:rFonts w:ascii="方正仿宋_GBK" w:hAnsi="方正仿宋_GBK" w:eastAsia="方正仿宋_GBK" w:cs="方正仿宋_GBK"/>
              </w:rPr>
            </w:pPr>
            <w:r>
              <w:rPr>
                <w:rFonts w:hint="eastAsia" w:ascii="方正仿宋_GBK" w:hAnsi="方正仿宋_GBK" w:eastAsia="方正仿宋_GBK" w:cs="方正仿宋_GBK"/>
              </w:rPr>
              <w:t xml:space="preserve">6</w:t>
            </w:r>
            <w:r>
              <w:rPr>
                <w:rFonts w:ascii="方正仿宋_GBK" w:hAnsi="方正仿宋_GBK" w:eastAsia="方正仿宋_GBK" w:cs="方正仿宋_GBK"/>
              </w:rPr>
            </w:r>
            <w:r/>
          </w:p>
        </w:tc>
        <w:tc>
          <w:tcPr>
            <w:tcW w:w="1425" w:type="dxa"/>
            <w:vAlign w:val="center"/>
            <w:textDirection w:val="lrTb"/>
            <w:noWrap w:val="false"/>
          </w:tcPr>
          <w:p>
            <w:pPr>
              <w:pStyle w:val="926"/>
              <w:jc w:val="center"/>
              <w:spacing w:line="5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系统演示</w:t>
            </w:r>
            <w:r>
              <w:rPr>
                <w:rFonts w:hint="eastAsia" w:ascii="方正仿宋_GBK" w:hAnsi="方正仿宋_GBK" w:eastAsia="方正仿宋_GBK" w:cs="方正仿宋_GBK"/>
              </w:rPr>
            </w:r>
            <w:r/>
          </w:p>
          <w:p>
            <w:pPr>
              <w:pStyle w:val="926"/>
              <w:jc w:val="center"/>
              <w:spacing w:line="500" w:lineRule="exact"/>
              <w:rPr>
                <w:rFonts w:ascii="方正仿宋_GBK" w:hAnsi="方正仿宋_GBK" w:eastAsia="方正仿宋_GBK" w:cs="方正仿宋_GBK"/>
              </w:rPr>
            </w:pPr>
            <w:r>
              <w:rPr>
                <w:rFonts w:hint="eastAsia" w:ascii="方正仿宋_GBK" w:hAnsi="方正仿宋_GBK" w:eastAsia="方正仿宋_GBK" w:cs="方正仿宋_GBK"/>
              </w:rPr>
              <w:t xml:space="preserve">（10分）</w:t>
            </w:r>
            <w:r>
              <w:rPr>
                <w:rFonts w:ascii="方正仿宋_GBK" w:hAnsi="方正仿宋_GBK" w:eastAsia="方正仿宋_GBK" w:cs="方正仿宋_GBK"/>
              </w:rPr>
            </w:r>
            <w:r/>
          </w:p>
        </w:tc>
        <w:tc>
          <w:tcPr>
            <w:tcW w:w="6435" w:type="dxa"/>
            <w:vAlign w:val="center"/>
            <w:textDirection w:val="lrTb"/>
            <w:noWrap w:val="false"/>
          </w:tcPr>
          <w:p>
            <w:pPr>
              <w:pStyle w:val="895"/>
              <w:jc w:val="left"/>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演示十个功能项，每项1分，演示中的分最高10分，未演示或演示不能满足要求的不得分。采用真实系统或原型系统进行演示完整功能点的，得实际演示结果对应分值;采用PPT等静态页面或其他方式演示的，得分为实际演示结果对应分值乘以系数0.5。</w:t>
            </w:r>
            <w:r>
              <w:rPr>
                <w:rFonts w:hint="eastAsia" w:ascii="方正仿宋_GBK" w:hAnsi="方正仿宋_GBK" w:eastAsia="方正仿宋_GBK" w:cs="方正仿宋_GBK"/>
                <w:sz w:val="28"/>
                <w:szCs w:val="28"/>
              </w:rPr>
            </w:r>
            <w:r/>
          </w:p>
          <w:p>
            <w:pPr>
              <w:pStyle w:val="895"/>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演示“兴奋剂检查”模块中十个功能项（10分）；</w:t>
            </w:r>
            <w:r>
              <w:rPr>
                <w:rFonts w:ascii="方正仿宋_GBK" w:hAnsi="方正仿宋_GBK" w:eastAsia="方正仿宋_GBK" w:cs="方正仿宋_GBK"/>
                <w:sz w:val="28"/>
                <w:szCs w:val="28"/>
              </w:rPr>
            </w:r>
            <w:r/>
          </w:p>
          <w:p>
            <w:pPr>
              <w:pStyle w:val="895"/>
              <w:numPr>
                <w:ilvl w:val="0"/>
                <w:numId w:val="8"/>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实现月度检查计划基本信息管理功能，支持计划名称、检查月份、时间范围、检查类型等核心信息的录入与维护，检查类型支持赛内、赛外检查多选配置【</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1】</w:t>
            </w:r>
            <w:r>
              <w:rPr>
                <w:rFonts w:hint="eastAsia" w:ascii="方正仿宋_GBK" w:hAnsi="方正仿宋_GBK" w:eastAsia="方正仿宋_GBK" w:cs="方正仿宋_GBK"/>
                <w:sz w:val="28"/>
                <w:szCs w:val="28"/>
              </w:rPr>
              <w:t xml:space="preserve">（1分）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8"/>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实现检查类型差异化配置功能，根据赛内、赛外检查的选择结果，展示对应专属配置字段，满足赛内关联赛事、赛外选择目标运动员的业务需求【</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2</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8"/>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实现目标运动员关联功能，支持从运动员检查库中批量选择目标运动员，保障运动员数据关联的唯一性【</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3</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8"/>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实现月度检查计划状态全流程管理功能，支持拟定中、</w:t>
            </w:r>
            <w:r>
              <w:rPr>
                <w:rFonts w:hint="eastAsia" w:ascii="方正仿宋_GBK" w:hAnsi="方正仿宋_GBK" w:eastAsia="方正仿宋_GBK" w:cs="方正仿宋_GBK"/>
                <w:sz w:val="28"/>
                <w:szCs w:val="28"/>
              </w:rPr>
              <w:t xml:space="preserve">进行中</w:t>
            </w:r>
            <w:r>
              <w:rPr>
                <w:rFonts w:ascii="方正仿宋_GBK" w:hAnsi="方正仿宋_GBK" w:eastAsia="方正仿宋_GBK" w:cs="方正仿宋_GBK"/>
                <w:sz w:val="28"/>
                <w:szCs w:val="28"/>
              </w:rPr>
              <w:t xml:space="preserve">、已完成的状态正常流转【</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4</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8"/>
              </w:numPr>
              <w:jc w:val="left"/>
              <w:spacing w:line="5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实现从月度计划生成检查任务功能，支持从</w:t>
            </w:r>
            <w:r>
              <w:rPr>
                <w:rFonts w:hint="eastAsia" w:ascii="方正仿宋_GBK" w:hAnsi="方正仿宋_GBK" w:eastAsia="方正仿宋_GBK" w:cs="方正仿宋_GBK"/>
                <w:sz w:val="28"/>
                <w:szCs w:val="28"/>
              </w:rPr>
              <w:t xml:space="preserve">月度检查</w:t>
            </w:r>
            <w:r>
              <w:rPr>
                <w:rFonts w:ascii="方正仿宋_GBK" w:hAnsi="方正仿宋_GBK" w:eastAsia="方正仿宋_GBK" w:cs="方正仿宋_GBK"/>
                <w:sz w:val="28"/>
                <w:szCs w:val="28"/>
              </w:rPr>
              <w:t xml:space="preserve">计划中自动</w:t>
            </w:r>
            <w:r>
              <w:rPr>
                <w:rFonts w:hint="eastAsia" w:ascii="方正仿宋_GBK" w:hAnsi="方正仿宋_GBK" w:eastAsia="方正仿宋_GBK" w:cs="方正仿宋_GBK"/>
                <w:sz w:val="28"/>
                <w:szCs w:val="28"/>
              </w:rPr>
              <w:t xml:space="preserve">获取</w:t>
            </w:r>
            <w:r>
              <w:rPr>
                <w:rFonts w:ascii="方正仿宋_GBK" w:hAnsi="方正仿宋_GBK" w:eastAsia="方正仿宋_GBK" w:cs="方正仿宋_GBK"/>
                <w:sz w:val="28"/>
                <w:szCs w:val="28"/>
              </w:rPr>
              <w:t xml:space="preserve">运动员、检查类型等信息，生成关联的检查任务【</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5</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（1分）；</w:t>
            </w:r>
            <w:r>
              <w:rPr>
                <w:rFonts w:hint="eastAsia" w:ascii="方正仿宋_GBK" w:hAnsi="方正仿宋_GBK" w:eastAsia="方正仿宋_GBK" w:cs="方正仿宋_GBK"/>
                <w:sz w:val="28"/>
                <w:szCs w:val="28"/>
              </w:rPr>
            </w:r>
            <w:r/>
          </w:p>
          <w:p>
            <w:pPr>
              <w:pStyle w:val="895"/>
              <w:numPr>
                <w:ilvl w:val="0"/>
                <w:numId w:val="8"/>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实现检查任务创建的分步骤管理功能，按基础信息、目标运动员、检查官派遣、确认任务的流程推进，流程节点完整可追溯【</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6</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8"/>
              </w:numPr>
              <w:spacing w:line="48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实现检查官双模式派遣功能，完整展示后台指定派遣、智能报名派遣两种模式的核心业务功能，满足不同派遣场景的使用需求【</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7</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95"/>
              <w:numPr>
                <w:ilvl w:val="0"/>
                <w:numId w:val="8"/>
              </w:numPr>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实现行踪申报权限控制功能，仅允许检查库中在库状态的运动员进行行踪申报操作，权限校验精准</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8</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（1分）；</w:t>
            </w:r>
            <w:r>
              <w:rPr>
                <w:rFonts w:hint="eastAsia" w:ascii="方正仿宋_GBK" w:hAnsi="方正仿宋_GBK" w:eastAsia="方正仿宋_GBK" w:cs="方正仿宋_GBK"/>
                <w:sz w:val="28"/>
                <w:szCs w:val="28"/>
              </w:rPr>
            </w:r>
            <w:r/>
          </w:p>
          <w:p>
            <w:pPr>
              <w:pStyle w:val="895"/>
              <w:numPr>
                <w:ilvl w:val="0"/>
                <w:numId w:val="8"/>
              </w:numPr>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实现运动员按季度进行行踪申报的功能，支持国内、国外两种行程区域类型的申报，满足不同区域的地址填写需求</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w:t>
            </w:r>
            <w:r>
              <w:rPr>
                <w:rFonts w:hint="eastAsia" w:ascii="方正仿宋_GBK" w:hAnsi="方正仿宋_GBK" w:eastAsia="方正仿宋_GBK" w:cs="方正仿宋_GBK"/>
                <w:sz w:val="28"/>
                <w:szCs w:val="28"/>
              </w:rPr>
              <w:t xml:space="preserve">9</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（1分）；</w:t>
            </w:r>
            <w:r>
              <w:rPr>
                <w:rFonts w:hint="eastAsia" w:ascii="方正仿宋_GBK" w:hAnsi="方正仿宋_GBK" w:eastAsia="方正仿宋_GBK" w:cs="方正仿宋_GBK"/>
                <w:sz w:val="28"/>
                <w:szCs w:val="28"/>
              </w:rPr>
            </w:r>
            <w:r/>
          </w:p>
          <w:p>
            <w:pPr>
              <w:pStyle w:val="895"/>
              <w:numPr>
                <w:ilvl w:val="0"/>
                <w:numId w:val="8"/>
              </w:numPr>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实现行踪信息多维度展示功能，支持行踪列表查询、每日行踪聚合、日历视图展示，数据展示完整、直观</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演示</w:t>
            </w:r>
            <w:r>
              <w:rPr>
                <w:rFonts w:ascii="方正仿宋_GBK" w:hAnsi="方正仿宋_GBK" w:eastAsia="方正仿宋_GBK" w:cs="方正仿宋_GBK"/>
                <w:sz w:val="28"/>
                <w:szCs w:val="28"/>
              </w:rPr>
              <w:t xml:space="preserve">项 1</w:t>
            </w:r>
            <w:r>
              <w:rPr>
                <w:rFonts w:hint="eastAsia" w:ascii="方正仿宋_GBK" w:hAnsi="方正仿宋_GBK" w:eastAsia="方正仿宋_GBK" w:cs="方正仿宋_GBK"/>
                <w:sz w:val="28"/>
                <w:szCs w:val="28"/>
              </w:rPr>
              <w:t xml:space="preserve">0</w:t>
            </w:r>
            <w:r>
              <w:rPr>
                <w:rFonts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（1分）；</w:t>
            </w:r>
            <w:r>
              <w:rPr>
                <w:rFonts w:hint="eastAsia" w:ascii="方正仿宋_GBK" w:hAnsi="方正仿宋_GBK" w:eastAsia="方正仿宋_GBK" w:cs="方正仿宋_GBK"/>
                <w:sz w:val="28"/>
                <w:szCs w:val="28"/>
              </w:rPr>
            </w:r>
            <w:r/>
          </w:p>
        </w:tc>
        <w:tc>
          <w:tcPr>
            <w:tcW w:w="825" w:type="dxa"/>
            <w:vAlign w:val="center"/>
            <w:textDirection w:val="lrTb"/>
            <w:noWrap w:val="false"/>
          </w:tcPr>
          <w:p>
            <w:pPr>
              <w:pStyle w:val="926"/>
              <w:jc w:val="center"/>
              <w:spacing w:line="500" w:lineRule="exact"/>
              <w:rPr>
                <w:rFonts w:ascii="方正仿宋_GBK" w:hAnsi="方正仿宋_GBK" w:eastAsia="方正仿宋_GBK" w:cs="方正仿宋_GBK"/>
              </w:rPr>
            </w:pPr>
            <w:r>
              <w:rPr>
                <w:rFonts w:hint="eastAsia" w:ascii="方正仿宋_GBK" w:hAnsi="方正仿宋_GBK" w:eastAsia="方正仿宋_GBK" w:cs="方正仿宋_GBK"/>
              </w:rPr>
              <w:t xml:space="preserve">10</w:t>
            </w:r>
            <w:r>
              <w:rPr>
                <w:rFonts w:ascii="方正仿宋_GBK" w:hAnsi="方正仿宋_GBK" w:eastAsia="方正仿宋_GBK" w:cs="方正仿宋_GBK"/>
              </w:rPr>
            </w:r>
            <w:r/>
          </w:p>
        </w:tc>
      </w:tr>
    </w:tbl>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ascii="黑体" w:eastAsia="黑体"/>
          <w:bCs/>
          <w:sz w:val="44"/>
        </w:rPr>
      </w:pPr>
      <w:r>
        <w:rPr>
          <w:rFonts w:ascii="黑体" w:eastAsia="黑体"/>
          <w:bCs/>
          <w:sz w:val="44"/>
        </w:rPr>
      </w:r>
      <w:r/>
    </w:p>
    <w:p>
      <w:pPr>
        <w:pStyle w:val="896"/>
        <w:rPr>
          <w:rFonts w:ascii="黑体" w:eastAsia="黑体"/>
          <w:bCs/>
          <w:sz w:val="44"/>
        </w:rPr>
      </w:pPr>
      <w:r>
        <w:rPr>
          <w:rFonts w:ascii="黑体" w:eastAsia="黑体"/>
          <w:bCs/>
          <w:sz w:val="44"/>
        </w:rPr>
      </w:r>
      <w:r/>
    </w:p>
    <w:p>
      <w:pPr>
        <w:pStyle w:val="896"/>
        <w:rPr>
          <w:rFonts w:hint="eastAsia" w:ascii="黑体" w:eastAsia="黑体"/>
          <w:bCs/>
          <w:sz w:val="44"/>
        </w:rPr>
      </w:pPr>
      <w:r>
        <w:rPr>
          <w:rFonts w:hint="eastAsia" w:ascii="黑体" w:eastAsia="黑体"/>
          <w:bCs/>
          <w:sz w:val="44"/>
        </w:rPr>
        <w:t xml:space="preserve">第六章  投标</w:t>
      </w:r>
      <w:bookmarkEnd w:id="191"/>
      <w:r/>
      <w:bookmarkEnd w:id="192"/>
      <w:r/>
      <w:bookmarkEnd w:id="196"/>
      <w:r>
        <w:rPr>
          <w:rFonts w:hint="eastAsia" w:ascii="黑体" w:eastAsia="黑体"/>
          <w:bCs/>
          <w:sz w:val="44"/>
        </w:rPr>
        <w:t xml:space="preserve">文件格式 </w:t>
      </w:r>
      <w:r>
        <w:rPr>
          <w:rFonts w:hint="eastAsia" w:ascii="黑体" w:eastAsia="黑体"/>
          <w:bCs/>
          <w:sz w:val="44"/>
        </w:rPr>
      </w:r>
      <w:r/>
    </w:p>
    <w:p>
      <w:pPr>
        <w:pStyle w:val="895"/>
        <w:jc w:val="center"/>
        <w:rPr>
          <w:rFonts w:hint="eastAsia" w:ascii="宋体" w:hAnsi="宋体"/>
          <w:b/>
          <w:sz w:val="72"/>
        </w:rPr>
      </w:pPr>
      <w:r/>
      <w:bookmarkStart w:id="197" w:name="_Hlt26955039"/>
      <w:r/>
      <w:bookmarkEnd w:id="197"/>
      <w:r/>
      <w:bookmarkStart w:id="198" w:name="_Hlt26671244"/>
      <w:r/>
      <w:bookmarkEnd w:id="198"/>
      <w:r/>
      <w:bookmarkStart w:id="199" w:name="_Toc49090576"/>
      <w:r/>
      <w:bookmarkStart w:id="200" w:name="_Toc120614282"/>
      <w:r/>
      <w:bookmarkStart w:id="201" w:name="_Toc26554094"/>
      <w:r>
        <w:rPr>
          <w:rFonts w:hint="eastAsia" w:ascii="宋体" w:hAnsi="宋体"/>
          <w:b/>
          <w:sz w:val="72"/>
        </w:rPr>
      </w:r>
      <w:r/>
    </w:p>
    <w:p>
      <w:pPr>
        <w:pStyle w:val="89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5"/>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rPr>
      </w:pPr>
      <w:r>
        <w:rPr>
          <w:rFonts w:ascii="宋体" w:hAnsi="宋体"/>
        </w:rPr>
      </w:r>
      <w:r/>
    </w:p>
    <w:p>
      <w:pPr>
        <w:pStyle w:val="89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9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9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9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9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95"/>
        <w:ind w:firstLine="480"/>
        <w:spacing w:line="440" w:lineRule="exact"/>
        <w:rPr>
          <w:rFonts w:ascii="宋体" w:hAnsi="宋体"/>
          <w:sz w:val="24"/>
        </w:rPr>
      </w:pPr>
      <w:r>
        <w:rPr>
          <w:rFonts w:hint="eastAsia" w:ascii="宋体" w:hAnsi="宋体"/>
          <w:sz w:val="24"/>
        </w:rPr>
        <w:t xml:space="preserve">3.关于符合本国产品标准的声明函（格式见附件13）</w:t>
      </w:r>
      <w:r>
        <w:rPr>
          <w:rFonts w:ascii="宋体" w:hAnsi="宋体"/>
          <w:sz w:val="24"/>
        </w:rPr>
      </w:r>
      <w:r/>
    </w:p>
    <w:p>
      <w:pPr>
        <w:pStyle w:val="895"/>
        <w:rPr>
          <w:rFonts w:ascii="宋体" w:hAnsi="宋体"/>
          <w:b/>
          <w:color w:val="ff0000"/>
          <w:sz w:val="24"/>
          <w:szCs w:val="24"/>
        </w:rPr>
      </w:pPr>
      <w:r>
        <w:rPr>
          <w:rFonts w:ascii="宋体" w:hAnsi="宋体"/>
          <w:b/>
          <w:color w:val="ff0000"/>
          <w:sz w:val="24"/>
          <w:szCs w:val="24"/>
        </w:rPr>
      </w:r>
      <w:r/>
    </w:p>
    <w:p>
      <w:pPr>
        <w:pStyle w:val="89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5"/>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5"/>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8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5"/>
        <w:jc w:val="center"/>
        <w:rPr>
          <w:rFonts w:ascii="宋体" w:hAnsi="宋体"/>
          <w:b/>
          <w:sz w:val="24"/>
          <w:szCs w:val="24"/>
        </w:rPr>
      </w:pPr>
      <w:r>
        <w:rPr>
          <w:rFonts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10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06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r>
      <w:tr>
        <w:trPr>
          <w:cantSplit/>
          <w:trHeight w:val="29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106" w:type="dxa"/>
            <w:vAlign w:val="center"/>
            <w:textDirection w:val="lrTb"/>
            <w:noWrap w:val="false"/>
          </w:tcPr>
          <w:p>
            <w:pPr>
              <w:pStyle w:val="895"/>
              <w:spacing w:line="0" w:lineRule="atLeast"/>
              <w:rPr>
                <w:rFonts w:hint="eastAsia" w:ascii="宋体" w:hAnsi="宋体" w:cs="宋体"/>
                <w:sz w:val="24"/>
                <w:szCs w:val="24"/>
              </w:rPr>
            </w:pPr>
            <w:r>
              <w:rPr>
                <w:rFonts w:hint="eastAsia" w:ascii="宋体" w:hAnsi="宋体" w:cs="宋体"/>
                <w:sz w:val="24"/>
                <w:szCs w:val="24"/>
              </w:rPr>
              <w:t xml:space="preserve">分项服务名称/货物名称</w:t>
            </w:r>
            <w:r>
              <w:rPr>
                <w:rFonts w:hint="eastAsia" w:ascii="宋体" w:hAnsi="宋体" w:cs="宋体"/>
                <w:sz w:val="24"/>
                <w:szCs w:val="24"/>
              </w:rPr>
            </w:r>
            <w:r/>
          </w:p>
        </w:tc>
        <w:tc>
          <w:tcPr>
            <w:tcW w:w="106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品牌</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规格</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型号</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制造商名称</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产地</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交付期/服务期</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696"/>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10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highlight w:val="cyan"/>
              </w:rPr>
            </w:pPr>
            <w:r>
              <w:rPr>
                <w:rFonts w:hint="eastAsia" w:ascii="宋体" w:hAnsi="宋体" w:cs="宋体"/>
                <w:sz w:val="24"/>
                <w:szCs w:val="24"/>
                <w:highlight w:val="cyan"/>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10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10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8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10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06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34"/>
        </w:trPr>
        <w:tc>
          <w:tcPr>
            <w:gridSpan w:val="10"/>
            <w:tcW w:w="9861" w:type="dxa"/>
            <w:vAlign w:val="top"/>
            <w:textDirection w:val="lrTb"/>
            <w:noWrap w:val="false"/>
          </w:tcPr>
          <w:p>
            <w:pPr>
              <w:pStyle w:val="895"/>
              <w:spacing w:line="0" w:lineRule="atLeast"/>
              <w:rPr>
                <w:rFonts w:hint="eastAsia"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rPr>
                <w:rFonts w:hint="eastAsia" w:ascii="宋体" w:hAnsi="宋体" w:cs="宋体"/>
                <w:sz w:val="24"/>
                <w:szCs w:val="24"/>
                <w:u w:val="single"/>
              </w:rPr>
            </w:r>
            <w:r/>
          </w:p>
        </w:tc>
      </w:tr>
      <w:tr>
        <w:trPr>
          <w:cantSplit/>
          <w:trHeight w:val="757"/>
        </w:trPr>
        <w:tc>
          <w:tcPr>
            <w:gridSpan w:val="10"/>
            <w:tcW w:w="9861" w:type="dxa"/>
            <w:vAlign w:val="top"/>
            <w:textDirection w:val="lrTb"/>
            <w:noWrap w:val="false"/>
          </w:tcPr>
          <w:p>
            <w:pPr>
              <w:pStyle w:val="957"/>
              <w:spacing w:before="0" w:beforeAutospacing="0" w:after="0" w:afterAutospacing="0" w:line="0" w:lineRule="atLeast"/>
              <w:rPr>
                <w:rFonts w:hint="eastAsia"/>
              </w:rPr>
            </w:pPr>
            <w:r>
              <w:rPr>
                <w:rFonts w:hint="eastAsia"/>
              </w:rPr>
              <w:t xml:space="preserve">本采购包中提供的符合本国产品标准的货物成本之和占该采购包全部成本之和的比例为</w:t>
            </w:r>
            <w:r>
              <w:rPr>
                <w:rFonts w:hint="eastAsia"/>
                <w:u w:val="single"/>
              </w:rPr>
              <w:t xml:space="preserve">XX</w:t>
            </w:r>
            <w:r>
              <w:rPr>
                <w:rFonts w:hint="eastAsia"/>
              </w:rPr>
              <w:t xml:space="preserve">%。</w:t>
            </w:r>
            <w:r>
              <w:rPr>
                <w:rFonts w:hint="eastAsia"/>
              </w:rPr>
            </w:r>
            <w:r/>
          </w:p>
        </w:tc>
      </w:tr>
    </w:tbl>
    <w:p>
      <w:pPr>
        <w:pStyle w:val="895"/>
        <w:spacing w:line="0" w:lineRule="atLeast"/>
        <w:rPr>
          <w:rFonts w:hint="eastAsia" w:ascii="宋体" w:hAnsi="宋体"/>
          <w:sz w:val="24"/>
          <w:szCs w:val="24"/>
        </w:rPr>
      </w:pPr>
      <w:r>
        <w:rPr>
          <w:rFonts w:hint="eastAsia" w:ascii="宋体" w:hAnsi="宋体"/>
          <w:sz w:val="24"/>
          <w:szCs w:val="24"/>
        </w:rPr>
      </w:r>
      <w:r/>
    </w:p>
    <w:p>
      <w:pPr>
        <w:pStyle w:val="895"/>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宋体" w:hAnsi="宋体"/>
          <w:sz w:val="24"/>
          <w:szCs w:val="24"/>
        </w:rPr>
      </w:r>
      <w:r/>
    </w:p>
    <w:p>
      <w:pPr>
        <w:pStyle w:val="895"/>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hint="eastAsia" w:ascii="宋体" w:hAnsi="宋体"/>
          <w:sz w:val="24"/>
          <w:szCs w:val="24"/>
        </w:rPr>
      </w:r>
      <w:r/>
    </w:p>
    <w:p>
      <w:pPr>
        <w:pStyle w:val="895"/>
        <w:spacing w:line="0" w:lineRule="atLeast"/>
        <w:rPr>
          <w:rFonts w:hint="eastAsia" w:ascii="宋体" w:hAnsi="宋体"/>
          <w:sz w:val="24"/>
          <w:szCs w:val="24"/>
        </w:rPr>
      </w:pPr>
      <w:r>
        <w:rPr>
          <w:rFonts w:hint="eastAsia" w:ascii="宋体" w:hAnsi="宋体"/>
          <w:sz w:val="24"/>
          <w:szCs w:val="24"/>
        </w:rPr>
        <w:t xml:space="preserve">3.分项服务不需填写品牌、规格型号、制造商、产地。</w:t>
      </w:r>
      <w:r>
        <w:rPr>
          <w:rFonts w:hint="eastAsia" w:ascii="宋体" w:hAnsi="宋体"/>
          <w:sz w:val="24"/>
          <w:szCs w:val="24"/>
        </w:rPr>
      </w:r>
      <w:r/>
    </w:p>
    <w:p>
      <w:pPr>
        <w:pStyle w:val="895"/>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sz w:val="24"/>
          <w:szCs w:val="24"/>
        </w:rPr>
      </w:r>
      <w:r/>
    </w:p>
    <w:p>
      <w:pPr>
        <w:pStyle w:val="89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5"/>
        <w:rPr>
          <w:rFonts w:hint="eastAsia" w:ascii="宋体" w:hAnsi="宋体"/>
          <w:b/>
          <w:sz w:val="24"/>
        </w:rPr>
      </w:pPr>
      <w:r>
        <w:rPr>
          <w:rFonts w:hint="eastAsia" w:ascii="宋体" w:hAnsi="宋体"/>
          <w:b/>
          <w:sz w:val="24"/>
        </w:rPr>
      </w:r>
      <w:r/>
    </w:p>
    <w:p>
      <w:pPr>
        <w:pStyle w:val="895"/>
        <w:ind w:firstLine="480"/>
        <w:spacing w:line="440" w:lineRule="exact"/>
        <w:rPr>
          <w:rFonts w:ascii="宋体" w:hAnsi="宋体"/>
          <w:sz w:val="24"/>
        </w:rPr>
      </w:pPr>
      <w:r>
        <w:rPr>
          <w:rFonts w:ascii="宋体" w:hAnsi="宋体"/>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5"/>
        <w:ind w:left="480"/>
        <w:rPr>
          <w:rFonts w:ascii="宋体" w:hAnsi="宋体"/>
          <w:b/>
          <w:color w:val="000000"/>
          <w:sz w:val="24"/>
        </w:rPr>
      </w:pPr>
      <w:r>
        <w:rPr>
          <w:rFonts w:ascii="宋体" w:hAnsi="宋体"/>
          <w:b/>
          <w:color w:val="000000"/>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95"/>
        <w:jc w:val="center"/>
        <w:spacing w:line="460" w:lineRule="exact"/>
        <w:rPr>
          <w:rFonts w:ascii="宋体" w:hAnsi="宋体"/>
          <w:b/>
          <w:bCs/>
          <w:color w:val="000000"/>
          <w:sz w:val="24"/>
        </w:rPr>
      </w:pPr>
      <w:r>
        <w:rPr>
          <w:rFonts w:ascii="宋体" w:hAnsi="宋体"/>
          <w:b/>
          <w:bCs/>
          <w:color w:val="000000"/>
          <w:sz w:val="24"/>
        </w:rPr>
      </w:r>
      <w:r/>
    </w:p>
    <w:p>
      <w:pPr>
        <w:pStyle w:val="89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5"/>
        <w:ind w:firstLine="480"/>
        <w:spacing w:line="460" w:lineRule="exact"/>
        <w:rPr>
          <w:rFonts w:hint="eastAsia" w:ascii="宋体" w:hAnsi="宋体"/>
          <w:b/>
          <w:color w:val="000000"/>
          <w:sz w:val="24"/>
        </w:rPr>
      </w:pPr>
      <w:r>
        <w:rPr>
          <w:rFonts w:hint="eastAsia" w:ascii="宋体" w:hAnsi="宋体"/>
          <w:b/>
          <w:color w:val="000000"/>
          <w:sz w:val="24"/>
        </w:rPr>
      </w:r>
      <w:r/>
    </w:p>
    <w:p>
      <w:pPr>
        <w:pStyle w:val="89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5"/>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95"/>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8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8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8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8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8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98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8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8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8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8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8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8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8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8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82"/>
        <w:ind w:left="420"/>
        <w:spacing w:before="0" w:after="0" w:line="420" w:lineRule="exact"/>
        <w:rPr>
          <w:rFonts w:hint="eastAsia" w:ascii="宋体" w:hAnsi="宋体"/>
          <w:szCs w:val="21"/>
        </w:rPr>
      </w:pPr>
      <w:r>
        <w:rPr>
          <w:rFonts w:hint="eastAsia" w:ascii="宋体" w:hAnsi="宋体"/>
          <w:szCs w:val="21"/>
        </w:rPr>
        <w:t xml:space="preserve">账          号：</w:t>
      </w:r>
      <w:r>
        <w:rPr>
          <w:rFonts w:hint="eastAsia" w:ascii="宋体" w:hAnsi="宋体"/>
          <w:szCs w:val="21"/>
        </w:rPr>
      </w:r>
      <w:r/>
    </w:p>
    <w:p>
      <w:pPr>
        <w:pStyle w:val="982"/>
        <w:ind w:left="420"/>
        <w:spacing w:before="0" w:after="0" w:line="420" w:lineRule="exact"/>
        <w:rPr>
          <w:rFonts w:hint="eastAsia" w:ascii="宋体" w:hAnsi="宋体"/>
          <w:szCs w:val="21"/>
        </w:rPr>
      </w:pPr>
      <w:r>
        <w:rPr>
          <w:rFonts w:hint="eastAsia" w:ascii="宋体" w:hAnsi="宋体"/>
          <w:szCs w:val="21"/>
        </w:rPr>
        <w:t xml:space="preserve">供应商全称（加盖CA电子公章）：</w:t>
      </w:r>
      <w:r>
        <w:rPr>
          <w:rFonts w:hint="eastAsia" w:ascii="宋体" w:hAnsi="宋体"/>
          <w:szCs w:val="21"/>
        </w:rPr>
      </w:r>
      <w:r/>
    </w:p>
    <w:p>
      <w:pPr>
        <w:pStyle w:val="982"/>
        <w:ind w:left="420"/>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9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5"/>
        <w:spacing w:line="460" w:lineRule="exact"/>
        <w:rPr>
          <w:rFonts w:hint="eastAsia" w:ascii="黑体" w:hAnsi="黑体" w:eastAsia="黑体"/>
          <w:b/>
          <w:sz w:val="32"/>
          <w:szCs w:val="32"/>
        </w:rPr>
      </w:pPr>
      <w:r/>
      <w:bookmarkEnd w:id="199"/>
      <w:r/>
      <w:bookmarkEnd w:id="200"/>
      <w:r/>
      <w:bookmarkEnd w:id="201"/>
      <w:r/>
      <w:bookmarkStart w:id="202" w:name="_Toc120614284"/>
      <w:r>
        <w:rPr>
          <w:rFonts w:hint="eastAsia" w:ascii="黑体" w:hAnsi="黑体" w:eastAsia="黑体"/>
          <w:b/>
          <w:sz w:val="32"/>
          <w:szCs w:val="32"/>
        </w:rPr>
      </w:r>
      <w:r/>
    </w:p>
    <w:p>
      <w:pPr>
        <w:pStyle w:val="89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（采购人名称）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5"/>
        <w:ind w:right="720"/>
        <w:spacing w:line="400" w:lineRule="exact"/>
        <w:rPr>
          <w:rFonts w:hint="eastAsia" w:ascii="宋体" w:hAnsi="宋体"/>
          <w:sz w:val="24"/>
          <w:szCs w:val="24"/>
        </w:rPr>
      </w:pP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5"/>
        <w:ind w:firstLine="480"/>
        <w:spacing w:line="0" w:lineRule="atLeast"/>
        <w:rPr>
          <w:rFonts w:hint="eastAsia" w:ascii="宋体" w:hAnsi="宋体"/>
          <w:sz w:val="24"/>
        </w:rPr>
      </w:pP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5"/>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9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9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ind w:firstLine="645"/>
        <w:spacing w:line="0" w:lineRule="atLeast"/>
        <w:rPr>
          <w:rFonts w:hint="eastAsia" w:ascii="宋体" w:hAnsi="宋体"/>
          <w:sz w:val="24"/>
        </w:rPr>
      </w:pPr>
      <w:r>
        <w:rPr>
          <w:rFonts w:hint="eastAsia" w:ascii="宋体" w:hAnsi="宋体"/>
          <w:sz w:val="24"/>
        </w:rPr>
      </w:r>
      <w:r/>
    </w:p>
    <w:p>
      <w:pPr>
        <w:pStyle w:val="89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5"/>
        <w:ind w:firstLine="645"/>
        <w:spacing w:line="560" w:lineRule="exact"/>
        <w:rPr>
          <w:rFonts w:hint="eastAsia" w:ascii="宋体" w:hAnsi="宋体"/>
          <w:sz w:val="24"/>
        </w:rPr>
      </w:pPr>
      <w:r>
        <w:rPr>
          <w:rFonts w:hint="eastAsia" w:ascii="宋体" w:hAnsi="宋体"/>
          <w:sz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5"/>
        <w:rPr>
          <w:rFonts w:hint="eastAsia" w:ascii="宋体" w:hAnsi="宋体" w:cs="仿宋"/>
          <w:b/>
          <w:bCs/>
          <w:sz w:val="32"/>
          <w:szCs w:val="32"/>
        </w:rPr>
      </w:pPr>
      <w:r/>
      <w:bookmarkEnd w:id="189"/>
      <w:r/>
      <w:bookmarkEnd w:id="190"/>
      <w:r/>
      <w:bookmarkEnd w:id="202"/>
      <w:r>
        <w:rPr>
          <w:rFonts w:hint="eastAsia" w:ascii="宋体" w:hAnsi="宋体" w:cs="仿宋"/>
          <w:b/>
          <w:bCs/>
          <w:sz w:val="32"/>
          <w:szCs w:val="32"/>
        </w:rPr>
      </w:r>
      <w:r/>
    </w:p>
    <w:p>
      <w:pPr>
        <w:pStyle w:val="895"/>
        <w:spacing w:line="400" w:lineRule="exact"/>
        <w:rPr>
          <w:rFonts w:hint="eastAsia" w:ascii="宋体" w:hAnsi="宋体" w:cs="宋体"/>
          <w:b/>
          <w:bCs/>
          <w:sz w:val="24"/>
          <w:szCs w:val="24"/>
        </w:rPr>
      </w:pPr>
      <w:r>
        <w:rPr>
          <w:rFonts w:hint="eastAsia" w:ascii="宋体" w:hAnsi="宋体" w:cs="宋体"/>
          <w:b/>
          <w:bCs/>
          <w:sz w:val="24"/>
          <w:szCs w:val="24"/>
        </w:rPr>
        <w:t xml:space="preserve">附件13  关于符合本国产品标准的声明函（采购包号：XX）</w:t>
      </w:r>
      <w:r>
        <w:rPr>
          <w:rFonts w:hint="eastAsia" w:ascii="宋体" w:hAnsi="宋体" w:cs="宋体"/>
          <w:b/>
          <w:bCs/>
          <w:sz w:val="24"/>
          <w:szCs w:val="24"/>
        </w:rPr>
      </w:r>
      <w:r/>
    </w:p>
    <w:p>
      <w:pPr>
        <w:pStyle w:val="957"/>
        <w:ind w:firstLine="480"/>
        <w:spacing w:before="0" w:beforeAutospacing="0" w:after="0" w:afterAutospacing="0" w:line="4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57"/>
        <w:ind w:firstLine="480"/>
        <w:spacing w:before="30" w:beforeAutospacing="0" w:after="30" w:afterAutospacing="0" w:line="400" w:lineRule="exact"/>
        <w:rPr>
          <w:rFonts w:hint="eastAsia"/>
        </w:rPr>
      </w:pPr>
      <w:r>
        <w:rPr>
          <w:rFonts w:hint="eastAsia"/>
          <w:shd w:val="clear" w:color="auto" w:fill="ffffff"/>
        </w:rPr>
        <w:t xml:space="preserve">1.</w:t>
      </w:r>
      <w:r>
        <w:rPr>
          <w:rStyle w:val="969"/>
          <w:rFonts w:hint="eastAsia"/>
          <w:i w:val="0"/>
          <w:u w:val="single"/>
          <w:shd w:val="clear" w:color="auto" w:fill="ffffff"/>
        </w:rPr>
        <w:t xml:space="preserve">（产品名称1）</w:t>
      </w:r>
      <w:r>
        <w:rPr>
          <w:rStyle w:val="969"/>
          <w:rFonts w:hint="eastAsia"/>
          <w:i w:val="0"/>
          <w:shd w:val="clear" w:color="auto" w:fill="ffffff"/>
          <w:vertAlign w:val="superscript"/>
        </w:rPr>
        <w:t xml:space="preserve">1</w:t>
      </w:r>
      <w:r>
        <w:rPr>
          <w:rFonts w:hint="eastAsia"/>
          <w:shd w:val="clear" w:color="auto" w:fill="ffffff"/>
        </w:rPr>
        <w:t xml:space="preserve">，生产厂为</w:t>
      </w:r>
      <w:r>
        <w:rPr>
          <w:rStyle w:val="969"/>
          <w:rFonts w:hint="eastAsia"/>
          <w:i w:val="0"/>
          <w:u w:val="single"/>
          <w:shd w:val="clear" w:color="auto" w:fill="ffffff"/>
        </w:rPr>
        <w:t xml:space="preserve">（厂名）</w:t>
      </w:r>
      <w:r>
        <w:rPr>
          <w:rStyle w:val="969"/>
          <w:rFonts w:hint="eastAsia"/>
          <w:i w:val="0"/>
          <w:shd w:val="clear" w:color="auto" w:fill="ffffff"/>
          <w:vertAlign w:val="superscript"/>
        </w:rPr>
        <w:t xml:space="preserve">2</w:t>
      </w:r>
      <w:r>
        <w:rPr>
          <w:rFonts w:hint="eastAsia"/>
          <w:shd w:val="clear" w:color="auto" w:fill="ffffff"/>
        </w:rPr>
        <w:t xml:space="preserve">，厂址为</w:t>
      </w:r>
      <w:r>
        <w:rPr>
          <w:rStyle w:val="969"/>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69"/>
          <w:rFonts w:hint="eastAsia"/>
          <w:i w:val="0"/>
          <w:u w:val="single"/>
          <w:shd w:val="clear" w:color="auto" w:fill="ffffff"/>
        </w:rPr>
        <w:t xml:space="preserve">/  </w:t>
      </w:r>
      <w:r>
        <w:rPr>
          <w:rStyle w:val="969"/>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69"/>
          <w:rFonts w:hint="eastAsia"/>
          <w:i w:val="0"/>
          <w:u w:val="single"/>
          <w:shd w:val="clear" w:color="auto" w:fill="ffffff"/>
        </w:rPr>
        <w:t xml:space="preserve">/  </w:t>
      </w:r>
      <w:r>
        <w:rPr>
          <w:rStyle w:val="969"/>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69"/>
          <w:rFonts w:hint="eastAsia"/>
          <w:i w:val="0"/>
          <w:u w:val="single"/>
          <w:shd w:val="clear" w:color="auto" w:fill="ffffff"/>
        </w:rPr>
        <w:t xml:space="preserve">/  </w:t>
      </w:r>
      <w:r>
        <w:rPr>
          <w:rStyle w:val="969"/>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57"/>
        <w:ind w:firstLine="480"/>
        <w:spacing w:before="30" w:beforeAutospacing="0" w:after="30" w:afterAutospacing="0" w:line="400" w:lineRule="exact"/>
        <w:rPr>
          <w:rFonts w:hint="eastAsia"/>
        </w:rPr>
      </w:pPr>
      <w:r>
        <w:rPr>
          <w:rFonts w:hint="eastAsia"/>
          <w:shd w:val="clear" w:color="auto" w:fill="ffffff"/>
        </w:rPr>
        <w:t xml:space="preserve">2.</w:t>
      </w:r>
      <w:r>
        <w:rPr>
          <w:rStyle w:val="969"/>
          <w:rFonts w:hint="eastAsia"/>
          <w:i w:val="0"/>
          <w:u w:val="single"/>
          <w:shd w:val="clear" w:color="auto" w:fill="ffffff"/>
        </w:rPr>
        <w:t xml:space="preserve">（产品名称2）</w:t>
      </w:r>
      <w:r>
        <w:rPr>
          <w:rFonts w:hint="eastAsia"/>
          <w:shd w:val="clear" w:color="auto" w:fill="ffffff"/>
        </w:rPr>
        <w:t xml:space="preserve">，生产厂为</w:t>
      </w:r>
      <w:r>
        <w:rPr>
          <w:rStyle w:val="969"/>
          <w:rFonts w:hint="eastAsia"/>
          <w:i w:val="0"/>
          <w:u w:val="single"/>
          <w:shd w:val="clear" w:color="auto" w:fill="ffffff"/>
        </w:rPr>
        <w:t xml:space="preserve">（厂名）</w:t>
      </w:r>
      <w:r>
        <w:rPr>
          <w:rFonts w:hint="eastAsia"/>
          <w:shd w:val="clear" w:color="auto" w:fill="ffffff"/>
        </w:rPr>
        <w:t xml:space="preserve">，厂址为</w:t>
      </w:r>
      <w:r>
        <w:rPr>
          <w:rStyle w:val="969"/>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957"/>
        <w:ind w:firstLine="480"/>
        <w:spacing w:before="30" w:beforeAutospacing="0" w:after="30" w:afterAutospacing="0" w:line="400" w:lineRule="exact"/>
        <w:rPr>
          <w:rFonts w:hint="eastAsia"/>
        </w:rPr>
      </w:pPr>
      <w:r>
        <w:rPr>
          <w:rFonts w:hint="eastAsia"/>
          <w:shd w:val="clear" w:color="auto" w:fill="ffffff"/>
        </w:rPr>
        <w:t xml:space="preserve">……</w:t>
      </w:r>
      <w:r>
        <w:rPr>
          <w:rFonts w:hint="eastAsia"/>
        </w:rPr>
      </w:r>
      <w:r/>
    </w:p>
    <w:p>
      <w:pPr>
        <w:pStyle w:val="957"/>
        <w:ind w:firstLine="480"/>
        <w:spacing w:before="30" w:beforeAutospacing="0" w:after="30" w:afterAutospacing="0" w:line="4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57"/>
        <w:ind w:firstLine="480"/>
        <w:spacing w:before="30" w:beforeAutospacing="0" w:after="30" w:afterAutospacing="0" w:line="400" w:lineRule="exact"/>
        <w:rPr>
          <w:rFonts w:hint="eastAsia"/>
        </w:rPr>
      </w:pPr>
      <w:r>
        <w:rPr>
          <w:rFonts w:hint="eastAsia"/>
        </w:rPr>
      </w:r>
      <w:r/>
    </w:p>
    <w:p>
      <w:pPr>
        <w:pStyle w:val="957"/>
        <w:ind w:firstLine="480"/>
        <w:jc w:val="right"/>
        <w:spacing w:before="30" w:beforeAutospacing="0" w:after="30" w:afterAutospacing="0" w:line="400" w:lineRule="exact"/>
        <w:rPr>
          <w:rFonts w:hint="eastAsia"/>
        </w:rPr>
      </w:pPr>
      <w:r>
        <w:rPr>
          <w:rFonts w:hint="eastAsia"/>
          <w:shd w:val="clear" w:color="auto" w:fill="ffffff"/>
        </w:rPr>
        <w:t xml:space="preserve">    公司（单位）名称（加盖CA电子公章）：　        </w:t>
      </w:r>
      <w:r>
        <w:rPr>
          <w:rFonts w:hint="eastAsia"/>
        </w:rPr>
      </w:r>
      <w:r/>
    </w:p>
    <w:p>
      <w:pPr>
        <w:pStyle w:val="957"/>
        <w:ind w:firstLine="480"/>
        <w:jc w:val="center"/>
        <w:spacing w:before="30" w:beforeAutospacing="0" w:after="30" w:afterAutospacing="0" w:line="400" w:lineRule="exact"/>
        <w:rPr>
          <w:rFonts w:hint="eastAsia"/>
        </w:rPr>
      </w:pPr>
      <w:r>
        <w:rPr>
          <w:rFonts w:hint="eastAsia"/>
          <w:shd w:val="clear" w:color="auto" w:fill="ffffff"/>
        </w:rPr>
        <w:t xml:space="preserve">          日期：</w:t>
      </w:r>
      <w:r>
        <w:rPr>
          <w:rFonts w:hint="eastAsia"/>
        </w:rPr>
        <w:t xml:space="preserve">___年____月____日</w:t>
      </w:r>
      <w:r>
        <w:rPr>
          <w:rFonts w:hint="eastAsia"/>
          <w:shd w:val="clear" w:color="auto" w:fill="ffffff"/>
        </w:rPr>
        <w:t xml:space="preserve">        </w:t>
      </w:r>
      <w:r>
        <w:rPr>
          <w:rFonts w:hint="eastAsia"/>
        </w:rPr>
      </w:r>
      <w:r/>
    </w:p>
    <w:p>
      <w:pPr>
        <w:pStyle w:val="957"/>
        <w:ind w:firstLine="480"/>
        <w:spacing w:before="30" w:beforeAutospacing="0" w:after="30" w:afterAutospacing="0" w:line="400" w:lineRule="exact"/>
        <w:rPr>
          <w:rFonts w:hint="eastAsia"/>
        </w:rPr>
      </w:pPr>
      <w:r>
        <w:rPr>
          <w:rFonts w:hint="eastAsia"/>
          <w:shd w:val="clear" w:color="auto" w:fill="ffffff"/>
        </w:rPr>
        <w:t xml:space="preserve">__________________</w:t>
      </w:r>
      <w:r>
        <w:rPr>
          <w:rFonts w:hint="eastAsia"/>
        </w:rPr>
      </w:r>
      <w:r/>
    </w:p>
    <w:p>
      <w:pPr>
        <w:pStyle w:val="957"/>
        <w:ind w:firstLine="480"/>
        <w:spacing w:before="30" w:beforeAutospacing="0" w:after="30" w:afterAutospacing="0" w:line="400" w:lineRule="exact"/>
        <w:rPr>
          <w:rFonts w:hint="eastAsia"/>
        </w:rPr>
      </w:pPr>
      <w:r>
        <w:rPr>
          <w:rFonts w:hint="eastAsia"/>
          <w:shd w:val="clear" w:color="auto" w:fill="ffffff"/>
        </w:rPr>
        <w:t xml:space="preserve">1.产品如有型号，请在“产品名称”栏一并填写。</w:t>
      </w:r>
      <w:r>
        <w:rPr>
          <w:rFonts w:hint="eastAsia"/>
        </w:rPr>
      </w:r>
      <w:r/>
    </w:p>
    <w:p>
      <w:pPr>
        <w:pStyle w:val="957"/>
        <w:ind w:firstLine="480"/>
        <w:spacing w:before="30" w:beforeAutospacing="0" w:after="30" w:afterAutospacing="0" w:line="4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57"/>
        <w:ind w:firstLine="480"/>
        <w:spacing w:before="30" w:beforeAutospacing="0" w:after="30" w:afterAutospacing="0" w:line="4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57"/>
        <w:ind w:firstLine="480"/>
        <w:spacing w:before="30" w:beforeAutospacing="0" w:after="30" w:afterAutospacing="0" w:line="4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57"/>
        <w:ind w:firstLine="480"/>
        <w:spacing w:before="30" w:beforeAutospacing="0" w:after="30" w:afterAutospacing="0" w:line="4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57"/>
        <w:ind w:firstLine="480"/>
        <w:spacing w:before="30" w:beforeAutospacing="0" w:after="30" w:afterAutospacing="0" w:line="400" w:lineRule="exac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69"/>
          <w:rFonts w:hint="eastAsia"/>
          <w:i w:val="0"/>
          <w:u w:val="single"/>
          <w:shd w:val="clear" w:color="auto" w:fill="ffffff"/>
        </w:rPr>
        <w:t xml:space="preserve">/  </w:t>
      </w:r>
      <w:r>
        <w:rPr>
          <w:rFonts w:hint="eastAsia"/>
          <w:shd w:val="clear" w:color="auto" w:fill="ffffff"/>
        </w:rPr>
        <w:t xml:space="preserve">”的地方无需填写。</w:t>
      </w:r>
      <w:r>
        <w:rPr>
          <w:rFonts w:hint="eastAsia"/>
          <w:shd w:val="clear" w:color="auto" w:fill="ffffff"/>
        </w:rPr>
      </w:r>
      <w:r/>
    </w:p>
    <w:p>
      <w:pPr>
        <w:pStyle w:val="89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5"/>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Fonts w:ascii="宋体" w:hAnsi="宋体"/>
      </w:rPr>
      <w:framePr w:wrap="around" w:vAnchor="text" w:hAnchor="margin" w:xAlign="center" w:y="1"/>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46</w:t>
    </w:r>
    <w:r>
      <w:rPr>
        <w:rFonts w:ascii="宋体" w:hAnsi="宋体"/>
      </w:rPr>
      <w:fldChar w:fldCharType="end"/>
    </w:r>
    <w:r>
      <w:rPr>
        <w:rStyle w:val="967"/>
        <w:rFonts w:ascii="宋体" w:hAnsi="宋体"/>
      </w:rPr>
    </w:r>
    <w:r/>
  </w:p>
  <w:p>
    <w:pPr>
      <w:pStyle w:val="94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rPr>
        <w:rStyle w:val="967"/>
      </w:rPr>
    </w:r>
    <w:r/>
  </w:p>
  <w:p>
    <w:pPr>
      <w:pStyle w:val="9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4"/>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9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1"/>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1"/>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szCs w:val="21"/>
      <w:lang w:val="en-US" w:eastAsia="zh-CN" w:bidi="ar-SA"/>
    </w:rPr>
  </w:style>
  <w:style w:type="paragraph" w:styleId="896">
    <w:name w:val="标题 1"/>
    <w:basedOn w:val="895"/>
    <w:next w:val="895"/>
    <w:link w:val="907"/>
    <w:qFormat/>
    <w:pPr>
      <w:jc w:val="center"/>
      <w:keepNext/>
      <w:outlineLvl w:val="0"/>
    </w:pPr>
    <w:rPr>
      <w:rFonts w:ascii="楷体_GB2312" w:eastAsia="楷体_GB2312"/>
      <w:sz w:val="28"/>
      <w:szCs w:val="28"/>
    </w:rPr>
  </w:style>
  <w:style w:type="paragraph" w:styleId="897">
    <w:name w:val="标题 2"/>
    <w:basedOn w:val="895"/>
    <w:next w:val="909"/>
    <w:link w:val="908"/>
    <w:qFormat/>
    <w:pPr>
      <w:jc w:val="center"/>
      <w:keepLines/>
      <w:keepNext/>
      <w:spacing w:before="260" w:after="260" w:line="416" w:lineRule="auto"/>
      <w:outlineLvl w:val="1"/>
    </w:pPr>
    <w:rPr>
      <w:rFonts w:ascii="Arial" w:hAnsi="Arial" w:eastAsia="幼圆" w:cs="Arial"/>
      <w:b/>
      <w:bCs/>
      <w:sz w:val="44"/>
      <w:szCs w:val="44"/>
    </w:rPr>
  </w:style>
  <w:style w:type="paragraph" w:styleId="898">
    <w:name w:val="标题 3"/>
    <w:basedOn w:val="895"/>
    <w:next w:val="909"/>
    <w:link w:val="911"/>
    <w:qFormat/>
    <w:pPr>
      <w:keepLines/>
      <w:keepNext/>
      <w:spacing w:before="260" w:after="260" w:line="416" w:lineRule="auto"/>
      <w:outlineLvl w:val="2"/>
    </w:pPr>
    <w:rPr>
      <w:b/>
      <w:bCs/>
      <w:sz w:val="32"/>
      <w:szCs w:val="32"/>
    </w:rPr>
  </w:style>
  <w:style w:type="paragraph" w:styleId="899">
    <w:name w:val="标题 4"/>
    <w:basedOn w:val="895"/>
    <w:next w:val="909"/>
    <w:link w:val="912"/>
    <w:qFormat/>
    <w:pPr>
      <w:keepLines/>
      <w:keepNext/>
      <w:spacing w:before="280" w:after="290" w:line="376" w:lineRule="auto"/>
      <w:outlineLvl w:val="3"/>
    </w:pPr>
    <w:rPr>
      <w:rFonts w:ascii="Arial" w:hAnsi="Arial" w:eastAsia="黑体" w:cs="Arial"/>
      <w:b/>
      <w:bCs/>
      <w:sz w:val="28"/>
      <w:szCs w:val="28"/>
    </w:rPr>
  </w:style>
  <w:style w:type="paragraph" w:styleId="900">
    <w:name w:val="标题 5"/>
    <w:basedOn w:val="895"/>
    <w:next w:val="909"/>
    <w:link w:val="913"/>
    <w:qFormat/>
    <w:pPr>
      <w:keepNext/>
      <w:outlineLvl w:val="4"/>
    </w:pPr>
    <w:rPr>
      <w:rFonts w:ascii="宋体"/>
      <w:color w:val="000000"/>
      <w:sz w:val="28"/>
      <w:szCs w:val="28"/>
    </w:rPr>
  </w:style>
  <w:style w:type="paragraph" w:styleId="901">
    <w:name w:val="标题 6"/>
    <w:basedOn w:val="895"/>
    <w:next w:val="895"/>
    <w:link w:val="914"/>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15"/>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16"/>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17"/>
    <w:qFormat/>
    <w:pPr>
      <w:numPr>
        <w:ilvl w:val="8"/>
        <w:numId w:val="1"/>
      </w:numPr>
      <w:keepLines/>
      <w:keepNext/>
      <w:spacing w:before="240" w:after="64" w:line="320" w:lineRule="auto"/>
      <w:outlineLvl w:val="8"/>
    </w:pPr>
    <w:rPr>
      <w:rFonts w:ascii="Arial" w:hAnsi="Arial" w:eastAsia="黑体"/>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标题 1 字符"/>
    <w:next w:val="907"/>
    <w:link w:val="896"/>
    <w:rPr>
      <w:rFonts w:ascii="楷体_GB2312" w:hAnsi="Times New Roman" w:eastAsia="楷体_GB2312" w:cs="Times New Roman"/>
      <w:sz w:val="28"/>
      <w:szCs w:val="28"/>
    </w:rPr>
  </w:style>
  <w:style w:type="character" w:styleId="908">
    <w:name w:val="标题 2 字符"/>
    <w:next w:val="908"/>
    <w:link w:val="897"/>
    <w:rPr>
      <w:rFonts w:ascii="Arial" w:hAnsi="Arial" w:eastAsia="幼圆" w:cs="Arial"/>
      <w:b/>
      <w:bCs/>
      <w:sz w:val="44"/>
      <w:szCs w:val="44"/>
    </w:rPr>
  </w:style>
  <w:style w:type="paragraph" w:styleId="909">
    <w:name w:val="正文缩进"/>
    <w:basedOn w:val="895"/>
    <w:next w:val="909"/>
    <w:link w:val="910"/>
    <w:pPr>
      <w:ind w:firstLine="420"/>
    </w:pPr>
  </w:style>
  <w:style w:type="character" w:styleId="910">
    <w:name w:val="正文缩进 字符"/>
    <w:next w:val="910"/>
    <w:link w:val="909"/>
    <w:rPr>
      <w:rFonts w:ascii="Times New Roman" w:hAnsi="Times New Roman" w:eastAsia="宋体" w:cs="Times New Roman"/>
      <w:szCs w:val="21"/>
    </w:rPr>
  </w:style>
  <w:style w:type="character" w:styleId="911">
    <w:name w:val="标题 3 字符"/>
    <w:next w:val="911"/>
    <w:link w:val="898"/>
    <w:rPr>
      <w:rFonts w:ascii="Times New Roman" w:hAnsi="Times New Roman" w:eastAsia="宋体" w:cs="Times New Roman"/>
      <w:b/>
      <w:bCs/>
      <w:sz w:val="32"/>
      <w:szCs w:val="32"/>
    </w:rPr>
  </w:style>
  <w:style w:type="character" w:styleId="912">
    <w:name w:val="标题 4 字符"/>
    <w:next w:val="912"/>
    <w:link w:val="899"/>
    <w:rPr>
      <w:rFonts w:ascii="Arial" w:hAnsi="Arial" w:eastAsia="黑体" w:cs="Arial"/>
      <w:b/>
      <w:bCs/>
      <w:sz w:val="28"/>
      <w:szCs w:val="28"/>
    </w:rPr>
  </w:style>
  <w:style w:type="character" w:styleId="913">
    <w:name w:val="标题 5 字符"/>
    <w:next w:val="913"/>
    <w:link w:val="900"/>
    <w:rPr>
      <w:rFonts w:ascii="宋体" w:hAnsi="Times New Roman" w:eastAsia="宋体" w:cs="Times New Roman"/>
      <w:color w:val="000000"/>
      <w:sz w:val="28"/>
      <w:szCs w:val="28"/>
    </w:rPr>
  </w:style>
  <w:style w:type="character" w:styleId="914">
    <w:name w:val="标题 6 字符"/>
    <w:next w:val="914"/>
    <w:link w:val="901"/>
    <w:rPr>
      <w:rFonts w:ascii="Arial" w:hAnsi="Arial" w:eastAsia="黑体" w:cs="Times New Roman"/>
      <w:b/>
      <w:bCs/>
      <w:sz w:val="24"/>
      <w:szCs w:val="24"/>
    </w:rPr>
  </w:style>
  <w:style w:type="character" w:styleId="915">
    <w:name w:val="标题 7 字符"/>
    <w:next w:val="915"/>
    <w:link w:val="902"/>
    <w:rPr>
      <w:rFonts w:ascii="Times New Roman" w:hAnsi="Times New Roman" w:eastAsia="宋体" w:cs="Times New Roman"/>
      <w:b/>
      <w:bCs/>
      <w:sz w:val="24"/>
      <w:szCs w:val="24"/>
    </w:rPr>
  </w:style>
  <w:style w:type="character" w:styleId="916">
    <w:name w:val="标题 8 字符"/>
    <w:next w:val="916"/>
    <w:link w:val="903"/>
    <w:rPr>
      <w:rFonts w:ascii="Arial" w:hAnsi="Arial" w:eastAsia="黑体" w:cs="Times New Roman"/>
      <w:sz w:val="24"/>
      <w:szCs w:val="24"/>
    </w:rPr>
  </w:style>
  <w:style w:type="character" w:styleId="917">
    <w:name w:val="标题 9 字符"/>
    <w:next w:val="917"/>
    <w:link w:val="904"/>
    <w:rPr>
      <w:rFonts w:ascii="Arial" w:hAnsi="Arial" w:eastAsia="黑体" w:cs="Times New Roman"/>
      <w:szCs w:val="21"/>
    </w:rPr>
  </w:style>
  <w:style w:type="paragraph" w:styleId="918">
    <w:name w:val="列表 3"/>
    <w:basedOn w:val="895"/>
    <w:next w:val="918"/>
    <w:link w:val="895"/>
    <w:pPr>
      <w:ind w:left="100" w:hanging="200"/>
    </w:pPr>
  </w:style>
  <w:style w:type="paragraph" w:styleId="919">
    <w:name w:val="目录 7"/>
    <w:basedOn w:val="895"/>
    <w:next w:val="895"/>
    <w:link w:val="895"/>
    <w:semiHidden/>
    <w:pPr>
      <w:ind w:left="1260"/>
      <w:jc w:val="left"/>
    </w:pPr>
  </w:style>
  <w:style w:type="paragraph" w:styleId="920">
    <w:name w:val="文档结构图"/>
    <w:basedOn w:val="895"/>
    <w:next w:val="920"/>
    <w:link w:val="921"/>
    <w:semiHidden/>
    <w:pPr>
      <w:shd w:val="clear" w:color="auto" w:fill="000080"/>
    </w:pPr>
  </w:style>
  <w:style w:type="character" w:styleId="921">
    <w:name w:val="文档结构图 字符"/>
    <w:next w:val="921"/>
    <w:link w:val="920"/>
    <w:semiHidden/>
    <w:rPr>
      <w:rFonts w:ascii="Times New Roman" w:hAnsi="Times New Roman" w:eastAsia="宋体" w:cs="Times New Roman"/>
      <w:szCs w:val="21"/>
      <w:shd w:val="clear" w:color="auto" w:fill="000080"/>
    </w:rPr>
  </w:style>
  <w:style w:type="paragraph" w:styleId="922">
    <w:name w:val="批注文字"/>
    <w:basedOn w:val="895"/>
    <w:next w:val="922"/>
    <w:link w:val="923"/>
    <w:semiHidden/>
    <w:pPr>
      <w:jc w:val="left"/>
    </w:pPr>
  </w:style>
  <w:style w:type="character" w:styleId="923">
    <w:name w:val="批注文字 字符"/>
    <w:next w:val="923"/>
    <w:link w:val="922"/>
    <w:semiHidden/>
    <w:rPr>
      <w:rFonts w:ascii="Times New Roman" w:hAnsi="Times New Roman" w:eastAsia="宋体" w:cs="Times New Roman"/>
      <w:szCs w:val="21"/>
    </w:rPr>
  </w:style>
  <w:style w:type="paragraph" w:styleId="924">
    <w:name w:val="正文文本 3"/>
    <w:basedOn w:val="895"/>
    <w:next w:val="924"/>
    <w:link w:val="925"/>
    <w:rPr>
      <w:rFonts w:ascii="仿宋_GB2312" w:hAnsi="Arial" w:eastAsia="仿宋_GB2312"/>
      <w:sz w:val="32"/>
      <w:szCs w:val="32"/>
    </w:rPr>
  </w:style>
  <w:style w:type="character" w:styleId="925">
    <w:name w:val="正文文本 3 字符"/>
    <w:next w:val="925"/>
    <w:link w:val="924"/>
    <w:rPr>
      <w:rFonts w:ascii="仿宋_GB2312" w:hAnsi="Arial" w:eastAsia="仿宋_GB2312" w:cs="Times New Roman"/>
      <w:sz w:val="32"/>
      <w:szCs w:val="32"/>
    </w:rPr>
  </w:style>
  <w:style w:type="paragraph" w:styleId="926">
    <w:name w:val="正文文本"/>
    <w:basedOn w:val="895"/>
    <w:next w:val="926"/>
    <w:link w:val="927"/>
    <w:rPr>
      <w:rFonts w:ascii="楷体_GB2312" w:hAnsi="Arial" w:eastAsia="楷体_GB2312"/>
      <w:sz w:val="28"/>
      <w:szCs w:val="28"/>
    </w:rPr>
  </w:style>
  <w:style w:type="character" w:styleId="927">
    <w:name w:val="正文文本 字符"/>
    <w:next w:val="927"/>
    <w:link w:val="926"/>
    <w:rPr>
      <w:rFonts w:ascii="楷体_GB2312" w:hAnsi="Arial" w:eastAsia="楷体_GB2312" w:cs="Times New Roman"/>
      <w:sz w:val="28"/>
      <w:szCs w:val="28"/>
    </w:rPr>
  </w:style>
  <w:style w:type="paragraph" w:styleId="928">
    <w:name w:val="正文文本缩进"/>
    <w:basedOn w:val="895"/>
    <w:next w:val="928"/>
    <w:link w:val="929"/>
    <w:pPr>
      <w:ind w:firstLine="645"/>
    </w:pPr>
    <w:rPr>
      <w:rFonts w:ascii="楷体_GB2312" w:eastAsia="楷体_GB2312"/>
      <w:sz w:val="32"/>
      <w:szCs w:val="32"/>
    </w:rPr>
  </w:style>
  <w:style w:type="character" w:styleId="929">
    <w:name w:val="正文文本缩进 字符"/>
    <w:next w:val="929"/>
    <w:link w:val="928"/>
    <w:rPr>
      <w:rFonts w:ascii="楷体_GB2312" w:hAnsi="Times New Roman" w:eastAsia="楷体_GB2312" w:cs="Times New Roman"/>
      <w:sz w:val="32"/>
      <w:szCs w:val="32"/>
    </w:rPr>
  </w:style>
  <w:style w:type="paragraph" w:styleId="930">
    <w:name w:val="列表 2"/>
    <w:basedOn w:val="895"/>
    <w:next w:val="930"/>
    <w:link w:val="895"/>
    <w:pPr>
      <w:ind w:left="100" w:hanging="200"/>
    </w:pPr>
  </w:style>
  <w:style w:type="paragraph" w:styleId="931">
    <w:name w:val="目录 5"/>
    <w:basedOn w:val="895"/>
    <w:next w:val="895"/>
    <w:link w:val="895"/>
    <w:semiHidden/>
    <w:pPr>
      <w:ind w:left="840"/>
      <w:jc w:val="left"/>
    </w:pPr>
  </w:style>
  <w:style w:type="paragraph" w:styleId="932">
    <w:name w:val="目录 3"/>
    <w:basedOn w:val="895"/>
    <w:next w:val="895"/>
    <w:link w:val="895"/>
    <w:semiHidden/>
    <w:pPr>
      <w:ind w:left="420"/>
      <w:jc w:val="left"/>
    </w:pPr>
    <w:rPr>
      <w:i/>
      <w:iCs/>
      <w:szCs w:val="24"/>
    </w:rPr>
  </w:style>
  <w:style w:type="paragraph" w:styleId="933">
    <w:name w:val="纯文本"/>
    <w:basedOn w:val="895"/>
    <w:next w:val="933"/>
    <w:link w:val="934"/>
    <w:rPr>
      <w:rFonts w:ascii="宋体" w:hAnsi="Courier New" w:cs="Courier New"/>
    </w:rPr>
  </w:style>
  <w:style w:type="character" w:styleId="934">
    <w:name w:val="纯文本 字符"/>
    <w:next w:val="934"/>
    <w:link w:val="933"/>
    <w:rPr>
      <w:rFonts w:ascii="宋体" w:hAnsi="Courier New" w:eastAsia="宋体" w:cs="Courier New"/>
      <w:szCs w:val="21"/>
    </w:rPr>
  </w:style>
  <w:style w:type="paragraph" w:styleId="935">
    <w:name w:val="目录 8"/>
    <w:basedOn w:val="895"/>
    <w:next w:val="895"/>
    <w:link w:val="895"/>
    <w:semiHidden/>
    <w:pPr>
      <w:ind w:left="1470"/>
      <w:jc w:val="left"/>
    </w:pPr>
  </w:style>
  <w:style w:type="paragraph" w:styleId="936">
    <w:name w:val="日期"/>
    <w:basedOn w:val="895"/>
    <w:next w:val="895"/>
    <w:link w:val="937"/>
    <w:rPr>
      <w:sz w:val="24"/>
      <w:szCs w:val="24"/>
    </w:rPr>
  </w:style>
  <w:style w:type="character" w:styleId="937">
    <w:name w:val="日期 字符"/>
    <w:next w:val="937"/>
    <w:link w:val="936"/>
    <w:rPr>
      <w:rFonts w:ascii="Times New Roman" w:hAnsi="Times New Roman" w:eastAsia="宋体" w:cs="Times New Roman"/>
      <w:sz w:val="24"/>
      <w:szCs w:val="24"/>
    </w:rPr>
  </w:style>
  <w:style w:type="paragraph" w:styleId="938">
    <w:name w:val="正文文本缩进 2"/>
    <w:basedOn w:val="895"/>
    <w:next w:val="938"/>
    <w:link w:val="939"/>
    <w:pPr>
      <w:ind w:left="630" w:firstLine="645"/>
    </w:pPr>
    <w:rPr>
      <w:rFonts w:ascii="Arial" w:hAnsi="Arial" w:eastAsia="仿宋_GB2312" w:cs="Arial"/>
      <w:sz w:val="32"/>
      <w:szCs w:val="32"/>
    </w:rPr>
  </w:style>
  <w:style w:type="character" w:styleId="939">
    <w:name w:val="正文文本缩进 2 字符"/>
    <w:next w:val="939"/>
    <w:link w:val="938"/>
    <w:rPr>
      <w:rFonts w:ascii="Arial" w:hAnsi="Arial" w:eastAsia="仿宋_GB2312" w:cs="Arial"/>
      <w:sz w:val="32"/>
      <w:szCs w:val="32"/>
    </w:rPr>
  </w:style>
  <w:style w:type="paragraph" w:styleId="940">
    <w:name w:val="批注框文本"/>
    <w:basedOn w:val="895"/>
    <w:next w:val="940"/>
    <w:link w:val="941"/>
    <w:semiHidden/>
    <w:rPr>
      <w:sz w:val="18"/>
      <w:szCs w:val="18"/>
    </w:rPr>
  </w:style>
  <w:style w:type="character" w:styleId="941">
    <w:name w:val="批注框文本 字符"/>
    <w:next w:val="941"/>
    <w:link w:val="940"/>
    <w:semiHidden/>
    <w:rPr>
      <w:rFonts w:ascii="Times New Roman" w:hAnsi="Times New Roman" w:eastAsia="宋体" w:cs="Times New Roman"/>
      <w:sz w:val="18"/>
      <w:szCs w:val="18"/>
    </w:rPr>
  </w:style>
  <w:style w:type="paragraph" w:styleId="942">
    <w:name w:val="页脚"/>
    <w:basedOn w:val="895"/>
    <w:next w:val="942"/>
    <w:link w:val="943"/>
    <w:uiPriority w:val="99"/>
    <w:pPr>
      <w:jc w:val="left"/>
      <w:tabs>
        <w:tab w:val="center" w:pos="4153" w:leader="none"/>
        <w:tab w:val="right" w:pos="8306" w:leader="none"/>
      </w:tabs>
    </w:pPr>
    <w:rPr>
      <w:sz w:val="18"/>
      <w:szCs w:val="18"/>
    </w:rPr>
  </w:style>
  <w:style w:type="character" w:styleId="943">
    <w:name w:val="页脚 字符"/>
    <w:next w:val="943"/>
    <w:link w:val="942"/>
    <w:uiPriority w:val="99"/>
    <w:rPr>
      <w:rFonts w:ascii="Times New Roman" w:hAnsi="Times New Roman" w:eastAsia="宋体" w:cs="Times New Roman"/>
      <w:sz w:val="18"/>
      <w:szCs w:val="18"/>
    </w:rPr>
  </w:style>
  <w:style w:type="paragraph" w:styleId="944">
    <w:name w:val="页眉"/>
    <w:basedOn w:val="895"/>
    <w:next w:val="944"/>
    <w:link w:val="945"/>
    <w:pPr>
      <w:jc w:val="center"/>
      <w:tabs>
        <w:tab w:val="center" w:pos="4153" w:leader="none"/>
        <w:tab w:val="right" w:pos="8306" w:leader="none"/>
      </w:tabs>
      <w:pBdr>
        <w:bottom w:val="single" w:color="000000" w:sz="6" w:space="1"/>
      </w:pBdr>
    </w:pPr>
    <w:rPr>
      <w:sz w:val="18"/>
      <w:szCs w:val="18"/>
    </w:rPr>
  </w:style>
  <w:style w:type="character" w:styleId="945">
    <w:name w:val="页眉 字符"/>
    <w:next w:val="945"/>
    <w:link w:val="944"/>
    <w:rPr>
      <w:rFonts w:ascii="Times New Roman" w:hAnsi="Times New Roman" w:eastAsia="宋体" w:cs="Times New Roman"/>
      <w:sz w:val="18"/>
      <w:szCs w:val="18"/>
    </w:rPr>
  </w:style>
  <w:style w:type="paragraph" w:styleId="946">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47">
    <w:name w:val="目录 4"/>
    <w:basedOn w:val="895"/>
    <w:next w:val="895"/>
    <w:link w:val="895"/>
    <w:semiHidden/>
    <w:pPr>
      <w:ind w:left="630"/>
      <w:jc w:val="left"/>
    </w:pPr>
  </w:style>
  <w:style w:type="paragraph" w:styleId="948">
    <w:name w:val="列表"/>
    <w:basedOn w:val="895"/>
    <w:next w:val="948"/>
    <w:link w:val="895"/>
    <w:pPr>
      <w:ind w:left="200" w:hanging="200"/>
    </w:pPr>
  </w:style>
  <w:style w:type="paragraph" w:styleId="949">
    <w:name w:val="目录 6"/>
    <w:basedOn w:val="895"/>
    <w:next w:val="895"/>
    <w:link w:val="895"/>
    <w:semiHidden/>
    <w:pPr>
      <w:ind w:left="1050"/>
      <w:jc w:val="left"/>
    </w:pPr>
  </w:style>
  <w:style w:type="paragraph" w:styleId="950">
    <w:name w:val="正文文本缩进 3"/>
    <w:basedOn w:val="895"/>
    <w:next w:val="950"/>
    <w:link w:val="951"/>
    <w:pPr>
      <w:ind w:left="645" w:firstLine="645"/>
    </w:pPr>
    <w:rPr>
      <w:rFonts w:ascii="Arial" w:hAnsi="Arial" w:eastAsia="仿宋_GB2312" w:cs="Arial"/>
      <w:color w:val="ffff00"/>
      <w:sz w:val="32"/>
      <w:szCs w:val="32"/>
    </w:rPr>
  </w:style>
  <w:style w:type="character" w:styleId="951">
    <w:name w:val="正文文本缩进 3 字符"/>
    <w:next w:val="951"/>
    <w:link w:val="950"/>
    <w:rPr>
      <w:rFonts w:ascii="Arial" w:hAnsi="Arial" w:eastAsia="仿宋_GB2312" w:cs="Arial"/>
      <w:color w:val="ffff00"/>
      <w:sz w:val="32"/>
      <w:szCs w:val="32"/>
    </w:rPr>
  </w:style>
  <w:style w:type="paragraph" w:styleId="952">
    <w:name w:val="图表目录"/>
    <w:basedOn w:val="895"/>
    <w:next w:val="895"/>
    <w:link w:val="895"/>
    <w:semiHidden/>
    <w:pPr>
      <w:ind w:left="840" w:hanging="420"/>
    </w:pPr>
  </w:style>
  <w:style w:type="paragraph" w:styleId="953">
    <w:name w:val="目录 2"/>
    <w:basedOn w:val="895"/>
    <w:next w:val="895"/>
    <w:link w:val="895"/>
    <w:semiHidden/>
    <w:pPr>
      <w:ind w:left="210"/>
      <w:jc w:val="left"/>
    </w:pPr>
    <w:rPr>
      <w:smallCaps/>
      <w:szCs w:val="24"/>
    </w:rPr>
  </w:style>
  <w:style w:type="paragraph" w:styleId="954">
    <w:name w:val="目录 9"/>
    <w:basedOn w:val="895"/>
    <w:next w:val="895"/>
    <w:link w:val="895"/>
    <w:semiHidden/>
    <w:pPr>
      <w:ind w:left="1680"/>
      <w:jc w:val="left"/>
    </w:pPr>
  </w:style>
  <w:style w:type="paragraph" w:styleId="955">
    <w:name w:val="正文文本 2"/>
    <w:basedOn w:val="895"/>
    <w:next w:val="955"/>
    <w:link w:val="956"/>
    <w:pPr>
      <w:jc w:val="center"/>
      <w:widowControl/>
    </w:pPr>
    <w:rPr>
      <w:rFonts w:ascii="楷体_GB2312" w:eastAsia="楷体_GB2312"/>
      <w:sz w:val="28"/>
      <w:szCs w:val="28"/>
    </w:rPr>
  </w:style>
  <w:style w:type="character" w:styleId="956">
    <w:name w:val="正文文本 2 字符"/>
    <w:next w:val="956"/>
    <w:link w:val="955"/>
    <w:rPr>
      <w:rFonts w:ascii="楷体_GB2312" w:hAnsi="Times New Roman" w:eastAsia="楷体_GB2312" w:cs="Times New Roman"/>
      <w:sz w:val="28"/>
      <w:szCs w:val="28"/>
    </w:rPr>
  </w:style>
  <w:style w:type="paragraph" w:styleId="957">
    <w:name w:val="普通(网站)"/>
    <w:basedOn w:val="895"/>
    <w:next w:val="957"/>
    <w:link w:val="895"/>
    <w:uiPriority w:val="99"/>
    <w:pPr>
      <w:jc w:val="left"/>
      <w:spacing w:before="100" w:beforeAutospacing="1" w:after="100" w:afterAutospacing="1"/>
      <w:widowControl/>
    </w:pPr>
    <w:rPr>
      <w:rFonts w:ascii="宋体" w:hAnsi="宋体" w:cs="宋体"/>
      <w:sz w:val="24"/>
      <w:szCs w:val="24"/>
    </w:rPr>
  </w:style>
  <w:style w:type="paragraph" w:styleId="958">
    <w:name w:val="索引 1"/>
    <w:basedOn w:val="895"/>
    <w:next w:val="895"/>
    <w:link w:val="895"/>
    <w:semiHidden/>
    <w:pPr>
      <w:spacing w:line="240" w:lineRule="atLeast"/>
    </w:pPr>
    <w:rPr>
      <w:b/>
      <w:bCs/>
    </w:rPr>
  </w:style>
  <w:style w:type="paragraph" w:styleId="959">
    <w:name w:val="批注主题"/>
    <w:basedOn w:val="922"/>
    <w:next w:val="922"/>
    <w:link w:val="960"/>
    <w:semiHidden/>
    <w:rPr>
      <w:b/>
      <w:bCs/>
    </w:rPr>
  </w:style>
  <w:style w:type="character" w:styleId="960">
    <w:name w:val="批注主题 字符"/>
    <w:next w:val="960"/>
    <w:link w:val="959"/>
    <w:semiHidden/>
    <w:rPr>
      <w:rFonts w:ascii="Times New Roman" w:hAnsi="Times New Roman" w:eastAsia="宋体" w:cs="Times New Roman"/>
      <w:b/>
      <w:bCs/>
      <w:szCs w:val="21"/>
    </w:rPr>
  </w:style>
  <w:style w:type="paragraph" w:styleId="961">
    <w:name w:val="正文首行缩进"/>
    <w:basedOn w:val="895"/>
    <w:next w:val="961"/>
    <w:link w:val="962"/>
    <w:pPr>
      <w:ind w:firstLine="200"/>
      <w:spacing w:line="360" w:lineRule="auto"/>
    </w:pPr>
    <w:rPr>
      <w:rFonts w:ascii="仿宋_GB2312" w:eastAsia="仿宋_GB2312"/>
      <w:sz w:val="30"/>
      <w:szCs w:val="30"/>
    </w:rPr>
  </w:style>
  <w:style w:type="character" w:styleId="962">
    <w:name w:val="正文首行缩进 字符"/>
    <w:next w:val="962"/>
    <w:link w:val="961"/>
    <w:rPr>
      <w:rFonts w:ascii="仿宋_GB2312" w:hAnsi="Times New Roman" w:eastAsia="仿宋_GB2312" w:cs="Times New Roman"/>
      <w:sz w:val="30"/>
      <w:szCs w:val="30"/>
    </w:rPr>
  </w:style>
  <w:style w:type="paragraph" w:styleId="963">
    <w:name w:val="正文首行缩进 2"/>
    <w:basedOn w:val="928"/>
    <w:next w:val="963"/>
    <w:link w:val="964"/>
    <w:pPr>
      <w:ind w:firstLine="420"/>
      <w:spacing w:line="360" w:lineRule="auto"/>
    </w:pPr>
    <w:rPr>
      <w:rFonts w:ascii="宋体" w:hAnsi="宋体" w:eastAsia="宋体"/>
      <w:sz w:val="21"/>
      <w:szCs w:val="20"/>
    </w:rPr>
  </w:style>
  <w:style w:type="character" w:styleId="964">
    <w:name w:val="正文首行缩进 2 字符"/>
    <w:next w:val="964"/>
    <w:link w:val="963"/>
    <w:rPr>
      <w:rFonts w:ascii="宋体" w:hAnsi="宋体" w:eastAsia="宋体" w:cs="Times New Roman"/>
      <w:sz w:val="32"/>
      <w:szCs w:val="20"/>
    </w:rPr>
  </w:style>
  <w:style w:type="table" w:styleId="965">
    <w:name w:val="网格型"/>
    <w:basedOn w:val="906"/>
    <w:next w:val="965"/>
    <w:link w:val="895"/>
    <w:pPr>
      <w:jc w:val="both"/>
      <w:widowControl w:val="off"/>
    </w:pPr>
    <w:rPr>
      <w:rFonts w:ascii="Times New Roman" w:hAnsi="Times New Roman" w:eastAsia="宋体" w:cs="Times New Roman"/>
      <w:sz w:val="20"/>
      <w:szCs w:val="20"/>
    </w:rPr>
    <w:tblPr/>
  </w:style>
  <w:style w:type="character" w:styleId="966">
    <w:name w:val="要点"/>
    <w:next w:val="966"/>
    <w:link w:val="895"/>
    <w:qFormat/>
    <w:rPr>
      <w:b/>
      <w:bCs/>
    </w:rPr>
  </w:style>
  <w:style w:type="character" w:styleId="967">
    <w:name w:val="页码"/>
    <w:next w:val="967"/>
    <w:link w:val="895"/>
  </w:style>
  <w:style w:type="character" w:styleId="968">
    <w:name w:val="已访问的超链接"/>
    <w:next w:val="968"/>
    <w:link w:val="895"/>
    <w:rPr>
      <w:color w:val="800080"/>
      <w:u w:val="single"/>
    </w:rPr>
  </w:style>
  <w:style w:type="character" w:styleId="969">
    <w:name w:val="强调"/>
    <w:next w:val="969"/>
    <w:link w:val="895"/>
    <w:qFormat/>
    <w:rPr>
      <w:i/>
    </w:rPr>
  </w:style>
  <w:style w:type="character" w:styleId="970">
    <w:name w:val="超链接"/>
    <w:next w:val="970"/>
    <w:link w:val="895"/>
    <w:rPr>
      <w:color w:val="0000ff"/>
      <w:u w:val="single"/>
    </w:rPr>
  </w:style>
  <w:style w:type="character" w:styleId="971">
    <w:name w:val="批注引用"/>
    <w:next w:val="971"/>
    <w:link w:val="895"/>
    <w:semiHidden/>
    <w:rPr>
      <w:sz w:val="21"/>
      <w:szCs w:val="21"/>
    </w:rPr>
  </w:style>
  <w:style w:type="character" w:styleId="972">
    <w:name w:val="font5 Char"/>
    <w:next w:val="972"/>
    <w:link w:val="895"/>
    <w:rPr>
      <w:rFonts w:ascii="宋体" w:hAnsi="宋体" w:eastAsia="宋体"/>
      <w:sz w:val="28"/>
      <w:szCs w:val="28"/>
      <w:lang w:val="en-US" w:eastAsia="zh-CN" w:bidi="ar-SA"/>
    </w:rPr>
  </w:style>
  <w:style w:type="character" w:styleId="973">
    <w:name w:val="二级目录 Char"/>
    <w:next w:val="973"/>
    <w:link w:val="974"/>
    <w:rPr>
      <w:b/>
      <w:sz w:val="30"/>
      <w:szCs w:val="28"/>
    </w:rPr>
  </w:style>
  <w:style w:type="paragraph" w:styleId="974">
    <w:name w:val="二级目录"/>
    <w:next w:val="895"/>
    <w:link w:val="973"/>
    <w:pPr>
      <w:numPr>
        <w:ilvl w:val="0"/>
        <w:numId w:val="2"/>
      </w:numPr>
      <w:tabs>
        <w:tab w:val="left" w:pos="907" w:leader="none"/>
        <w:tab w:val="left" w:pos="1145" w:leader="none"/>
      </w:tabs>
      <w:outlineLvl w:val="1"/>
    </w:pPr>
    <w:rPr>
      <w:b/>
      <w:sz w:val="30"/>
      <w:szCs w:val="28"/>
      <w:lang w:val="en-US" w:eastAsia="zh-CN" w:bidi="ar-SA"/>
    </w:rPr>
  </w:style>
  <w:style w:type="character" w:styleId="975">
    <w:name w:val="列出段落 Char,Bullet List Char,numbered Char,FooterText Char,List Paragraph1 Char,Paragraphe de liste1 Char"/>
    <w:next w:val="975"/>
    <w:link w:val="976"/>
    <w:rPr>
      <w:rFonts w:ascii="Calibri" w:hAnsi="Calibri"/>
      <w:sz w:val="24"/>
      <w:szCs w:val="24"/>
      <w:lang w:eastAsia="en-US" w:bidi="en-US"/>
    </w:rPr>
  </w:style>
  <w:style w:type="paragraph" w:styleId="976">
    <w:name w:val="列出段落1"/>
    <w:basedOn w:val="895"/>
    <w:next w:val="976"/>
    <w:link w:val="975"/>
    <w:qFormat/>
    <w:pPr>
      <w:contextualSpacing/>
      <w:ind w:left="720"/>
      <w:jc w:val="left"/>
      <w:widowControl/>
    </w:pPr>
    <w:rPr>
      <w:rFonts w:ascii="Calibri" w:hAnsi="Calibri" w:eastAsia="宋体" w:cs="Times New Roman"/>
      <w:sz w:val="24"/>
      <w:szCs w:val="24"/>
      <w:lang w:eastAsia="en-US" w:bidi="en-US"/>
    </w:rPr>
  </w:style>
  <w:style w:type="paragraph" w:styleId="977">
    <w:name w:val="Body Text(ch)"/>
    <w:basedOn w:val="895"/>
    <w:next w:val="926"/>
    <w:link w:val="895"/>
    <w:pPr>
      <w:spacing w:after="120"/>
    </w:pPr>
    <w:rPr>
      <w:rFonts w:ascii="宋体" w:hAnsi="Arial"/>
      <w:bCs/>
      <w:iCs/>
      <w:szCs w:val="24"/>
    </w:rPr>
  </w:style>
  <w:style w:type="paragraph" w:styleId="978">
    <w:name w:val="xl27"/>
    <w:basedOn w:val="895"/>
    <w:next w:val="978"/>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6"/>
    <w:basedOn w:val="895"/>
    <w:next w:val="979"/>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name w:val="Char"/>
    <w:basedOn w:val="895"/>
    <w:next w:val="980"/>
    <w:link w:val="895"/>
    <w:pPr>
      <w:ind w:firstLine="200"/>
      <w:tabs>
        <w:tab w:val="left" w:pos="360" w:leader="none"/>
      </w:tabs>
    </w:pPr>
    <w:rPr>
      <w:sz w:val="28"/>
      <w:szCs w:val="30"/>
    </w:rPr>
  </w:style>
  <w:style w:type="paragraph" w:styleId="981">
    <w:name w:val=" Char"/>
    <w:basedOn w:val="920"/>
    <w:next w:val="981"/>
    <w:link w:val="895"/>
    <w:rPr>
      <w:rFonts w:ascii="Tahoma" w:hAnsi="Tahoma"/>
      <w:sz w:val="24"/>
      <w:szCs w:val="24"/>
    </w:rPr>
  </w:style>
  <w:style w:type="paragraph" w:styleId="982">
    <w:name w:val="普通正文"/>
    <w:basedOn w:val="895"/>
    <w:next w:val="982"/>
    <w:link w:val="895"/>
    <w:pPr>
      <w:ind w:firstLine="480"/>
      <w:jc w:val="left"/>
      <w:spacing w:before="120" w:after="120" w:line="360" w:lineRule="auto"/>
    </w:pPr>
    <w:rPr>
      <w:rFonts w:ascii="Arial" w:hAnsi="Arial"/>
      <w:sz w:val="24"/>
      <w:szCs w:val="24"/>
    </w:rPr>
  </w:style>
  <w:style w:type="paragraph" w:styleId="983">
    <w:name w:val="table_lines"/>
    <w:basedOn w:val="895"/>
    <w:next w:val="983"/>
    <w:link w:val="895"/>
    <w:pPr>
      <w:jc w:val="left"/>
      <w:widowControl/>
    </w:pPr>
    <w:rPr>
      <w:sz w:val="20"/>
      <w:szCs w:val="20"/>
      <w:lang w:val="de-DE" w:eastAsia="de-DE"/>
    </w:rPr>
  </w:style>
  <w:style w:type="paragraph" w:styleId="984">
    <w:name w:val="附录1"/>
    <w:next w:val="984"/>
    <w:link w:val="895"/>
    <w:pPr>
      <w:numPr>
        <w:ilvl w:val="0"/>
        <w:numId w:val="2"/>
      </w:numPr>
      <w:spacing w:before="240" w:line="600" w:lineRule="atLeast"/>
      <w:tabs>
        <w:tab w:val="left" w:pos="907" w:leader="none"/>
      </w:tabs>
    </w:pPr>
    <w:rPr>
      <w:b/>
      <w:i/>
      <w:sz w:val="28"/>
      <w:lang w:val="en-US" w:eastAsia="zh-CN" w:bidi="ar-SA"/>
    </w:rPr>
  </w:style>
  <w:style w:type="paragraph" w:styleId="985">
    <w:name w:val="font7"/>
    <w:basedOn w:val="895"/>
    <w:next w:val="985"/>
    <w:link w:val="895"/>
    <w:pPr>
      <w:jc w:val="left"/>
      <w:spacing w:before="100" w:beforeAutospacing="1" w:after="100" w:afterAutospacing="1"/>
      <w:widowControl/>
    </w:pPr>
    <w:rPr>
      <w:rFonts w:hint="eastAsia" w:ascii="宋体" w:hAnsi="宋体"/>
      <w:sz w:val="18"/>
      <w:szCs w:val="18"/>
    </w:rPr>
  </w:style>
  <w:style w:type="paragraph" w:styleId="986">
    <w:name w:val=" Char Char Char Char"/>
    <w:basedOn w:val="920"/>
    <w:next w:val="986"/>
    <w:link w:val="895"/>
    <w:pPr>
      <w:spacing w:line="360" w:lineRule="auto"/>
    </w:pPr>
    <w:rPr>
      <w:rFonts w:ascii="Tahoma" w:hAnsi="Tahoma"/>
      <w:sz w:val="24"/>
      <w:szCs w:val="24"/>
    </w:rPr>
  </w:style>
  <w:style w:type="paragraph" w:styleId="987">
    <w:name w:val="列出段落"/>
    <w:basedOn w:val="895"/>
    <w:next w:val="987"/>
    <w:link w:val="895"/>
    <w:qFormat/>
    <w:pPr>
      <w:contextualSpacing/>
      <w:ind w:left="720"/>
      <w:jc w:val="left"/>
      <w:widowControl/>
    </w:pPr>
    <w:rPr>
      <w:rFonts w:ascii="Calibri" w:hAnsi="Calibri"/>
      <w:sz w:val="24"/>
      <w:szCs w:val="24"/>
      <w:lang w:eastAsia="en-US" w:bidi="en-US"/>
    </w:rPr>
  </w:style>
  <w:style w:type="paragraph" w:styleId="988">
    <w:name w:val="4"/>
    <w:basedOn w:val="895"/>
    <w:next w:val="950"/>
    <w:link w:val="895"/>
    <w:pPr>
      <w:ind w:firstLine="420"/>
      <w:spacing w:line="360" w:lineRule="auto"/>
    </w:pPr>
    <w:rPr>
      <w:color w:val="ff0000"/>
      <w:sz w:val="24"/>
      <w:szCs w:val="24"/>
    </w:rPr>
  </w:style>
  <w:style w:type="paragraph" w:styleId="989">
    <w:name w:val="普通 (Web)"/>
    <w:basedOn w:val="895"/>
    <w:next w:val="989"/>
    <w:link w:val="895"/>
    <w:pPr>
      <w:jc w:val="left"/>
      <w:spacing w:before="100" w:beforeAutospacing="1" w:after="100" w:afterAutospacing="1"/>
      <w:widowControl/>
    </w:pPr>
    <w:rPr>
      <w:rFonts w:ascii="宋体" w:hAnsi="宋体"/>
      <w:sz w:val="24"/>
      <w:szCs w:val="24"/>
    </w:rPr>
  </w:style>
  <w:style w:type="paragraph" w:styleId="990">
    <w:name w:val=" Char Char Char Char Char Char Char Char Char Char"/>
    <w:basedOn w:val="895"/>
    <w:next w:val="990"/>
    <w:link w:val="895"/>
    <w:pPr>
      <w:spacing w:line="360" w:lineRule="auto"/>
    </w:pPr>
    <w:rPr>
      <w:sz w:val="24"/>
      <w:szCs w:val="20"/>
    </w:rPr>
  </w:style>
  <w:style w:type="paragraph" w:styleId="991">
    <w:name w:val="样式1"/>
    <w:basedOn w:val="895"/>
    <w:next w:val="991"/>
    <w:link w:val="895"/>
    <w:pPr>
      <w:numPr>
        <w:ilvl w:val="0"/>
        <w:numId w:val="3"/>
      </w:numPr>
      <w:tabs>
        <w:tab w:val="left" w:pos="709" w:leader="none"/>
      </w:tabs>
    </w:pPr>
    <w:rPr>
      <w:rFonts w:ascii="宋体" w:hAnsi="宋体"/>
    </w:rPr>
  </w:style>
  <w:style w:type="paragraph" w:styleId="992">
    <w:name w:val="font6"/>
    <w:basedOn w:val="895"/>
    <w:next w:val="992"/>
    <w:link w:val="895"/>
    <w:pPr>
      <w:jc w:val="left"/>
      <w:spacing w:before="100" w:beforeAutospacing="1" w:after="100" w:afterAutospacing="1"/>
      <w:widowControl/>
    </w:pPr>
    <w:rPr>
      <w:rFonts w:hint="eastAsia" w:ascii="宋体" w:hAnsi="宋体"/>
      <w:sz w:val="28"/>
      <w:szCs w:val="28"/>
      <w:u w:val="single"/>
    </w:rPr>
  </w:style>
  <w:style w:type="paragraph" w:styleId="993">
    <w:name w:val="xl25"/>
    <w:basedOn w:val="895"/>
    <w:next w:val="993"/>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name w:val="标题3"/>
    <w:basedOn w:val="895"/>
    <w:next w:val="895"/>
    <w:link w:val="895"/>
    <w:pPr>
      <w:ind w:firstLine="624"/>
      <w:spacing w:line="590" w:lineRule="atLeast"/>
    </w:pPr>
    <w:rPr>
      <w:rFonts w:ascii="方正黑体_GBK" w:eastAsia="方正黑体_GBK"/>
      <w:sz w:val="32"/>
      <w:szCs w:val="32"/>
    </w:rPr>
  </w:style>
  <w:style w:type="paragraph" w:styleId="996">
    <w:name w:val="xl24"/>
    <w:basedOn w:val="895"/>
    <w:next w:val="99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29"/>
    <w:basedOn w:val="895"/>
    <w:next w:val="997"/>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name w:val="Char Char Char Char Char Char Char Char"/>
    <w:basedOn w:val="895"/>
    <w:next w:val="998"/>
    <w:link w:val="895"/>
    <w:pPr>
      <w:jc w:val="left"/>
      <w:spacing w:after="160" w:line="240" w:lineRule="exact"/>
      <w:widowControl/>
    </w:pPr>
    <w:rPr>
      <w:rFonts w:ascii="Verdana" w:hAnsi="Verdana"/>
      <w:sz w:val="20"/>
      <w:szCs w:val="20"/>
      <w:lang w:eastAsia="en-US"/>
    </w:rPr>
  </w:style>
  <w:style w:type="paragraph" w:styleId="999">
    <w:name w:val="xl28"/>
    <w:basedOn w:val="895"/>
    <w:next w:val="999"/>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0">
    <w:name w:val=" Char Char Char Char Char Char Char Char"/>
    <w:basedOn w:val="895"/>
    <w:next w:val="1000"/>
    <w:link w:val="895"/>
    <w:pPr>
      <w:jc w:val="left"/>
      <w:spacing w:after="160" w:line="240" w:lineRule="exact"/>
      <w:widowControl/>
    </w:pPr>
    <w:rPr>
      <w:rFonts w:ascii="Verdana" w:hAnsi="Verdana"/>
      <w:sz w:val="20"/>
      <w:szCs w:val="20"/>
      <w:lang w:eastAsia="en-US"/>
    </w:rPr>
  </w:style>
  <w:style w:type="paragraph" w:styleId="1001">
    <w:name w:val="xl30"/>
    <w:basedOn w:val="895"/>
    <w:next w:val="1001"/>
    <w:link w:val="895"/>
    <w:pPr>
      <w:jc w:val="center"/>
      <w:spacing w:before="100" w:beforeAutospacing="1" w:after="100" w:afterAutospacing="1"/>
      <w:widowControl/>
    </w:pPr>
    <w:rPr>
      <w:rFonts w:ascii="宋体" w:hAnsi="宋体"/>
      <w:b/>
      <w:bCs/>
      <w:sz w:val="36"/>
      <w:szCs w:val="36"/>
    </w:rPr>
  </w:style>
  <w:style w:type="paragraph" w:styleId="1002">
    <w:name w:val="Char Char Char Char"/>
    <w:basedOn w:val="920"/>
    <w:next w:val="1002"/>
    <w:link w:val="895"/>
    <w:pPr>
      <w:spacing w:line="360" w:lineRule="auto"/>
    </w:pPr>
    <w:rPr>
      <w:rFonts w:ascii="Tahoma" w:hAnsi="Tahoma"/>
      <w:sz w:val="24"/>
      <w:szCs w:val="24"/>
    </w:rPr>
  </w:style>
  <w:style w:type="paragraph" w:styleId="1003">
    <w:name w:val="table_1stline"/>
    <w:basedOn w:val="895"/>
    <w:next w:val="1003"/>
    <w:link w:val="895"/>
    <w:pPr>
      <w:jc w:val="left"/>
      <w:spacing w:before="120"/>
      <w:widowControl/>
    </w:pPr>
    <w:rPr>
      <w:bCs/>
      <w:sz w:val="20"/>
      <w:szCs w:val="20"/>
      <w:lang w:val="de-DE" w:eastAsia="de-DE"/>
    </w:rPr>
  </w:style>
  <w:style w:type="paragraph" w:styleId="1004">
    <w:name w:val="font5"/>
    <w:basedOn w:val="895"/>
    <w:next w:val="1004"/>
    <w:link w:val="895"/>
    <w:pPr>
      <w:jc w:val="left"/>
      <w:spacing w:before="100" w:beforeAutospacing="1" w:after="100" w:afterAutospacing="1"/>
      <w:widowControl/>
    </w:pPr>
    <w:rPr>
      <w:rFonts w:hint="eastAsia" w:ascii="宋体" w:hAnsi="宋体"/>
      <w:sz w:val="28"/>
      <w:szCs w:val="28"/>
    </w:rPr>
  </w:style>
  <w:style w:type="paragraph" w:styleId="1005">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name w:val="修订"/>
    <w:next w:val="1006"/>
    <w:link w:val="895"/>
    <w:uiPriority w:val="99"/>
    <w:semiHidden/>
    <w:rPr>
      <w:sz w:val="21"/>
      <w:szCs w:val="21"/>
      <w:lang w:val="en-US" w:eastAsia="zh-CN" w:bidi="ar-SA"/>
    </w:rPr>
  </w:style>
  <w:style w:type="paragraph" w:styleId="1007">
    <w:name w:val="无间隔"/>
    <w:next w:val="1007"/>
    <w:link w:val="895"/>
    <w:uiPriority w:val="99"/>
    <w:qFormat/>
    <w:pPr>
      <w:jc w:val="both"/>
      <w:widowControl w:val="off"/>
    </w:pPr>
    <w:rPr>
      <w:sz w:val="21"/>
      <w:szCs w:val="21"/>
      <w:lang w:val="en-US" w:eastAsia="zh-CN" w:bidi="ar-SA"/>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王烨</cp:lastModifiedBy>
  <cp:revision>4</cp:revision>
  <dcterms:created xsi:type="dcterms:W3CDTF">2023-03-16T02:16:00Z</dcterms:created>
  <dcterms:modified xsi:type="dcterms:W3CDTF">2026-05-21T07:47:36Z</dcterms:modified>
</cp:coreProperties>
</file>