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themeColor="text1"/>
          <w:sz w:val="84"/>
          <w:szCs w:val="24"/>
          <w:highlight w:val="none"/>
          <w14:textFill>
            <w14:solidFill>
              <w14:schemeClr w14:val="tx1"/>
            </w14:solidFill>
          </w14:textFill>
        </w:rPr>
      </w:pPr>
      <w:r>
        <w:rPr>
          <w:rFonts w:hint="eastAsia" w:ascii="Arial" w:hAnsi="Arial" w:eastAsia="黑体"/>
          <w:b/>
          <w:bCs/>
          <w:color w:val="000000" w:themeColor="text1"/>
          <w:sz w:val="84"/>
          <w:szCs w:val="24"/>
          <w:highlight w:val="none"/>
          <w14:textFill>
            <w14:solidFill>
              <w14:schemeClr w14:val="tx1"/>
            </w14:solidFill>
          </w14:textFill>
        </w:rPr>
      </w:r>
      <w:r>
        <w:rPr>
          <w:highlight w:val="none"/>
        </w:rPr>
      </w:r>
    </w:p>
    <w:p>
      <w:pPr>
        <w:jc w:val="center"/>
        <w:spacing w:before="120" w:after="120" w:line="360" w:lineRule="auto"/>
        <w:rPr>
          <w:rFonts w:hint="eastAsia" w:ascii="Arial" w:hAnsi="Arial" w:eastAsia="黑体"/>
          <w:b/>
          <w:bCs/>
          <w:color w:val="000000" w:themeColor="text1"/>
          <w:sz w:val="84"/>
          <w:szCs w:val="24"/>
          <w:highlight w:val="none"/>
          <w14:textFill>
            <w14:solidFill>
              <w14:schemeClr w14:val="tx1"/>
            </w14:solidFill>
          </w14:textFill>
        </w:rPr>
      </w:pPr>
      <w:r>
        <w:rPr>
          <w:rFonts w:hint="eastAsia" w:ascii="Arial" w:hAnsi="Arial" w:eastAsia="黑体"/>
          <w:b/>
          <w:bCs/>
          <w:color w:val="000000" w:themeColor="text1"/>
          <w:sz w:val="84"/>
          <w:szCs w:val="24"/>
          <w:highlight w:val="none"/>
          <w14:textFill>
            <w14:solidFill>
              <w14:schemeClr w14:val="tx1"/>
            </w14:solidFill>
          </w14:textFill>
        </w:rPr>
        <w:t xml:space="preserve">招　标　文　件</w:t>
      </w:r>
      <w:r>
        <w:rPr>
          <w:highlight w:val="none"/>
        </w:rPr>
      </w:r>
    </w:p>
    <w:p>
      <w:pPr>
        <w:jc w:val="center"/>
        <w:spacing w:before="120" w:after="120"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项目名称：</w:t>
      </w:r>
      <w:r>
        <w:rPr>
          <w:rFonts w:hint="eastAsia" w:ascii="Arial" w:hAnsi="Arial"/>
          <w:b w:val="0"/>
          <w:bCs w:val="0"/>
          <w:color w:val="000000" w:themeColor="text1"/>
          <w:sz w:val="32"/>
          <w:szCs w:val="24"/>
          <w:highlight w:val="none"/>
          <w14:textFill>
            <w14:solidFill>
              <w14:schemeClr w14:val="tx1"/>
            </w14:solidFill>
          </w14:textFill>
        </w:rPr>
        <w:t xml:space="preserve">南通市田家炳初级中学新建食堂风雨操场综合楼食堂厨具（含桌凳）设备和安装采购项目</w:t>
      </w:r>
      <w:r>
        <w:rPr>
          <w:highlight w:val="none"/>
        </w:rPr>
      </w:r>
    </w:p>
    <w:p>
      <w:pPr>
        <w:jc w:val="left"/>
        <w:spacing w:before="120" w:after="120" w:line="360" w:lineRule="auto"/>
        <w:rPr>
          <w:rFonts w:hint="eastAsia" w:ascii="Arial" w:hAnsi="Arial"/>
          <w:b/>
          <w:bCs/>
          <w:color w:val="000000" w:themeColor="text1"/>
          <w:sz w:val="32"/>
          <w:szCs w:val="32"/>
          <w:highlight w:val="none"/>
          <w14:textFill>
            <w14:solidFill>
              <w14:schemeClr w14:val="tx1"/>
            </w14:solidFill>
          </w14:textFill>
        </w:rPr>
      </w:pPr>
      <w:r>
        <w:rPr>
          <w:rFonts w:hint="eastAsia" w:ascii="Arial" w:hAnsi="Arial"/>
          <w:b/>
          <w:bCs/>
          <w:color w:val="000000" w:themeColor="text1"/>
          <w:sz w:val="32"/>
          <w:szCs w:val="32"/>
          <w:highlight w:val="none"/>
          <w14:textFill>
            <w14:solidFill>
              <w14:schemeClr w14:val="tx1"/>
            </w14:solidFill>
          </w14:textFill>
        </w:rPr>
      </w:r>
      <w:r>
        <w:rPr>
          <w:highlight w:val="none"/>
        </w:rPr>
      </w:r>
    </w:p>
    <w:p>
      <w:pPr>
        <w:jc w:val="center"/>
        <w:spacing w:line="1000" w:lineRule="exact"/>
        <w:rPr>
          <w:rFonts w:hint="default" w:ascii="宋体" w:hAnsi="宋体" w:eastAsia="宋体" w:cs="宋体"/>
          <w:color w:val="000000" w:themeColor="text1"/>
          <w:sz w:val="32"/>
          <w:szCs w:val="32"/>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eastAsia" w:ascii="宋体" w:hAnsi="宋体" w:eastAsia="宋体" w:cs="宋体"/>
          <w:color w:val="000000" w:themeColor="text1"/>
          <w:sz w:val="32"/>
          <w:szCs w:val="32"/>
          <w:highlight w:val="none"/>
          <w14:textFill>
            <w14:solidFill>
              <w14:schemeClr w14:val="tx1"/>
            </w14:solidFill>
          </w14:textFill>
        </w:rPr>
        <w:t xml:space="preserve">JSZC-320600-JZCG-G202</w:t>
      </w:r>
      <w:r>
        <w:rPr>
          <w:rFonts w:hint="eastAsia" w:ascii="宋体" w:hAnsi="宋体" w:cs="宋体"/>
          <w:color w:val="000000" w:themeColor="text1"/>
          <w:sz w:val="32"/>
          <w:szCs w:val="32"/>
          <w:highlight w:val="none"/>
          <w:lang w:val="en-US" w:eastAsia="zh-CN"/>
          <w14:textFill>
            <w14:solidFill>
              <w14:schemeClr w14:val="tx1"/>
            </w14:solidFill>
          </w14:textFill>
        </w:rPr>
        <w:t xml:space="preserve">6</w:t>
      </w:r>
      <w:r>
        <w:rPr>
          <w:rFonts w:hint="eastAsia" w:ascii="宋体" w:hAnsi="宋体" w:eastAsia="宋体" w:cs="宋体"/>
          <w:color w:val="000000" w:themeColor="text1"/>
          <w:sz w:val="32"/>
          <w:szCs w:val="32"/>
          <w:highlight w:val="none"/>
          <w14:textFill>
            <w14:solidFill>
              <w14:schemeClr w14:val="tx1"/>
            </w14:solidFill>
          </w14:textFill>
        </w:rPr>
        <w:t xml:space="preserve">-</w:t>
      </w:r>
      <w:r>
        <w:rPr>
          <w:rFonts w:hint="eastAsia" w:ascii="宋体" w:hAnsi="宋体" w:cs="宋体"/>
          <w:color w:val="000000" w:themeColor="text1"/>
          <w:sz w:val="32"/>
          <w:szCs w:val="32"/>
          <w:highlight w:val="none"/>
          <w:lang w:val="en-US" w:eastAsia="zh-CN"/>
          <w14:textFill>
            <w14:solidFill>
              <w14:schemeClr w14:val="tx1"/>
            </w14:solidFill>
          </w14:textFill>
        </w:rPr>
        <w:t xml:space="preserve">0052</w:t>
      </w:r>
      <w:r>
        <w:rPr>
          <w:highlight w:val="none"/>
        </w:rPr>
      </w:r>
    </w:p>
    <w:p>
      <w:pPr>
        <w:ind w:left="3012" w:hanging="3012"/>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rPr>
          <w:highlight w:val="none"/>
        </w:rP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p>
      <w:pPr>
        <w:pStyle w:val="997"/>
        <w:ind w:firstLine="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r>
      <w:r>
        <w:rPr>
          <w:highlight w:val="none"/>
        </w:rPr>
      </w:r>
    </w:p>
    <w:p>
      <w:pPr>
        <w:pStyle w:val="997"/>
        <w:ind w:firstLine="0"/>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r>
      <w:r>
        <w:rPr>
          <w:highlight w:val="none"/>
        </w:rPr>
      </w:r>
    </w:p>
    <w:p>
      <w:pPr>
        <w:pStyle w:val="997"/>
        <w:ind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rPr>
          <w:highlight w:val="none"/>
        </w:rPr>
      </w:r>
    </w:p>
    <w:p>
      <w:pPr>
        <w:ind w:firstLine="2720"/>
        <w:spacing w:line="360" w:lineRule="auto"/>
        <w:rPr>
          <w:rFonts w:hint="eastAsia" w:ascii="宋体" w:hAnsi="宋体"/>
          <w:color w:val="000000" w:themeColor="text1"/>
          <w:sz w:val="32"/>
          <w:szCs w:val="20"/>
          <w:highlight w:val="none"/>
          <w14:textFill>
            <w14:solidFill>
              <w14:schemeClr w14:val="tx1"/>
            </w14:solidFill>
          </w14:textFill>
        </w:rPr>
      </w:pPr>
      <w:r>
        <w:rPr>
          <w:rFonts w:hint="eastAsia" w:ascii="宋体" w:hAnsi="宋体"/>
          <w:color w:val="000000" w:themeColor="text1"/>
          <w:sz w:val="32"/>
          <w:szCs w:val="20"/>
          <w:highlight w:val="none"/>
          <w14:textFill>
            <w14:solidFill>
              <w14:schemeClr w14:val="tx1"/>
            </w14:solidFill>
          </w14:textFill>
        </w:rPr>
        <w:t xml:space="preserve">南通市教育技术中心</w:t>
      </w:r>
      <w:r>
        <w:rPr>
          <w:highlight w:val="none"/>
        </w:rPr>
      </w:r>
    </w:p>
    <w:p>
      <w:pPr>
        <w:jc w:val="center"/>
        <w:spacing w:before="120" w:after="120" w:line="360" w:lineRule="auto"/>
        <w:rPr>
          <w:rFonts w:hint="eastAsia" w:ascii="Arial" w:hAnsi="Arial"/>
          <w:bCs/>
          <w:color w:val="000000" w:themeColor="text1"/>
          <w:sz w:val="32"/>
          <w:szCs w:val="24"/>
          <w:highlight w:val="none"/>
          <w14:textFill>
            <w14:solidFill>
              <w14:schemeClr w14:val="tx1"/>
            </w14:solidFill>
          </w14:textFill>
        </w:rPr>
      </w:pPr>
      <w:r>
        <w:rPr>
          <w:rFonts w:hint="eastAsia" w:ascii="Arial" w:hAnsi="Arial"/>
          <w:bCs/>
          <w:color w:val="000000" w:themeColor="text1"/>
          <w:sz w:val="32"/>
          <w:szCs w:val="24"/>
          <w:highlight w:val="none"/>
          <w14:textFill>
            <w14:solidFill>
              <w14:schemeClr w14:val="tx1"/>
            </w14:solidFill>
          </w14:textFill>
        </w:rPr>
        <w:t xml:space="preserve">202</w:t>
      </w:r>
      <w:r>
        <w:rPr>
          <w:rFonts w:hint="eastAsia" w:ascii="Arial" w:hAnsi="Arial"/>
          <w:bCs/>
          <w:color w:val="000000" w:themeColor="text1"/>
          <w:sz w:val="32"/>
          <w:szCs w:val="24"/>
          <w:highlight w:val="none"/>
          <w:lang w:val="en-US" w:eastAsia="zh-CN"/>
          <w14:textFill>
            <w14:solidFill>
              <w14:schemeClr w14:val="tx1"/>
            </w14:solidFill>
          </w14:textFill>
        </w:rPr>
        <w:t xml:space="preserve">6</w:t>
      </w:r>
      <w:r>
        <w:rPr>
          <w:rFonts w:hint="eastAsia" w:ascii="Arial" w:hAnsi="Arial"/>
          <w:bCs/>
          <w:color w:val="000000" w:themeColor="text1"/>
          <w:sz w:val="32"/>
          <w:szCs w:val="24"/>
          <w:highlight w:val="none"/>
          <w14:textFill>
            <w14:solidFill>
              <w14:schemeClr w14:val="tx1"/>
            </w14:solidFill>
          </w14:textFill>
        </w:rPr>
        <w:t xml:space="preserve">年</w:t>
      </w:r>
      <w:r>
        <w:rPr>
          <w:rFonts w:hint="eastAsia" w:ascii="Arial" w:hAnsi="Arial"/>
          <w:bCs/>
          <w:color w:val="000000" w:themeColor="text1"/>
          <w:sz w:val="32"/>
          <w:szCs w:val="24"/>
          <w:highlight w:val="none"/>
          <w:lang w:val="en-US" w:eastAsia="zh-CN"/>
          <w14:textFill>
            <w14:solidFill>
              <w14:schemeClr w14:val="tx1"/>
            </w14:solidFill>
          </w14:textFill>
        </w:rPr>
        <w:t xml:space="preserve">6</w:t>
      </w:r>
      <w:r>
        <w:rPr>
          <w:rFonts w:hint="eastAsia" w:ascii="Arial" w:hAnsi="Arial"/>
          <w:bCs/>
          <w:color w:val="000000" w:themeColor="text1"/>
          <w:sz w:val="32"/>
          <w:szCs w:val="24"/>
          <w:highlight w:val="none"/>
          <w14:textFill>
            <w14:solidFill>
              <w14:schemeClr w14:val="tx1"/>
            </w14:solidFill>
          </w14:textFill>
        </w:rPr>
        <w:t xml:space="preserve">月</w:t>
      </w:r>
      <w:r>
        <w:rPr>
          <w:highlight w:val="none"/>
        </w:rPr>
      </w:r>
    </w:p>
    <w:p>
      <w:pPr>
        <w:jc w:val="left"/>
        <w:spacing w:before="120" w:after="120" w:line="360" w:lineRule="auto"/>
        <w:rPr>
          <w:rFonts w:hint="eastAsia" w:ascii="Arial" w:hAnsi="Arial"/>
          <w:color w:val="000000" w:themeColor="text1"/>
          <w:sz w:val="24"/>
          <w:szCs w:val="24"/>
          <w:highlight w:val="none"/>
          <w:u w:val="single"/>
          <w14:textFill>
            <w14:solidFill>
              <w14:schemeClr w14:val="tx1"/>
            </w14:solidFill>
          </w14:textFill>
        </w:rPr>
      </w:pPr>
      <w:r>
        <w:rPr>
          <w:rFonts w:hint="eastAsia" w:ascii="Arial" w:hAnsi="Arial"/>
          <w:color w:val="000000" w:themeColor="text1"/>
          <w:sz w:val="24"/>
          <w:szCs w:val="24"/>
          <w:highlight w:val="none"/>
          <w14:textFill>
            <w14:solidFill>
              <w14:schemeClr w14:val="tx1"/>
            </w14:solidFill>
          </w14:textFill>
        </w:rPr>
        <w:t xml:space="preserve">                        </w:t>
      </w:r>
      <w:r>
        <w:rPr>
          <w:highlight w:val="none"/>
        </w:rPr>
      </w:r>
    </w:p>
    <w:p>
      <w:pPr>
        <w:jc w:val="center"/>
        <w:spacing w:line="480" w:lineRule="auto"/>
        <w:rPr>
          <w:rFonts w:hint="eastAsia" w:ascii="黑体" w:hAnsi="Arial" w:eastAsia="黑体"/>
          <w:b/>
          <w:color w:val="000000" w:themeColor="text1"/>
          <w:sz w:val="44"/>
          <w:szCs w:val="21"/>
          <w:highlight w:val="none"/>
          <w14:textFill>
            <w14:solidFill>
              <w14:schemeClr w14:val="tx1"/>
            </w14:solidFill>
          </w14:textFill>
        </w:rPr>
        <w:sectPr>
          <w:footerReference w:type="default" r:id="rId10"/>
          <w:footerReference w:type="first" r:id="rId11"/>
          <w:footnotePr/>
          <w:endnotePr/>
          <w:type w:val="nextPage"/>
          <w:pgSz w:w="11906" w:h="16838" w:orient="portrait"/>
          <w:pgMar w:top="1440" w:right="1800" w:bottom="1440" w:left="1800" w:header="851" w:footer="992" w:gutter="0"/>
          <w:cols w:num="1" w:sep="0" w:space="1701" w:equalWidth="1"/>
          <w:docGrid w:linePitch="360"/>
        </w:sectPr>
      </w:pPr>
      <w:r>
        <w:rPr>
          <w:highlight w:val="none"/>
        </w:rPr>
      </w:r>
      <w:bookmarkStart w:id="0" w:name="_Toc120614210"/>
      <w:r>
        <w:rPr>
          <w:highlight w:val="none"/>
        </w:rPr>
      </w:r>
      <w:bookmarkStart w:id="1" w:name="_Toc523127445"/>
      <w:r>
        <w:rPr>
          <w:highlight w:val="none"/>
        </w:rPr>
      </w:r>
      <w:bookmarkStart w:id="2" w:name="_Toc20823272"/>
      <w:r>
        <w:rPr>
          <w:highlight w:val="none"/>
        </w:rPr>
      </w:r>
      <w:bookmarkStart w:id="3" w:name="_Toc479757206"/>
      <w:r>
        <w:rPr>
          <w:highlight w:val="none"/>
        </w:rPr>
      </w:r>
      <w:bookmarkStart w:id="4" w:name="_Toc513029200"/>
      <w:r>
        <w:rPr>
          <w:highlight w:val="none"/>
        </w:rPr>
      </w:r>
      <w:bookmarkStart w:id="5" w:name="_Toc16938516"/>
      <w:r>
        <w:rPr>
          <w:highlight w:val="none"/>
        </w:rPr>
      </w:r>
      <w:r>
        <w:rPr>
          <w:highlight w:val="none"/>
        </w:rPr>
      </w:r>
    </w:p>
    <w:p>
      <w:pPr>
        <w:jc w:val="center"/>
        <w:spacing w:line="480" w:lineRule="auto"/>
        <w:rPr>
          <w:rFonts w:hint="eastAsia" w:ascii="黑体" w:hAnsi="Arial" w:eastAsia="黑体"/>
          <w:b/>
          <w:color w:val="000000" w:themeColor="text1"/>
          <w:sz w:val="44"/>
          <w:szCs w:val="21"/>
          <w:highlight w:val="none"/>
          <w14:textFill>
            <w14:solidFill>
              <w14:schemeClr w14:val="tx1"/>
            </w14:solidFill>
          </w14:textFill>
        </w:rPr>
      </w:pPr>
      <w:r>
        <w:rPr>
          <w:rFonts w:hint="eastAsia" w:ascii="黑体" w:hAnsi="Arial" w:eastAsia="黑体"/>
          <w:b/>
          <w:color w:val="000000" w:themeColor="text1"/>
          <w:sz w:val="44"/>
          <w:szCs w:val="21"/>
          <w:highlight w:val="none"/>
          <w14:textFill>
            <w14:solidFill>
              <w14:schemeClr w14:val="tx1"/>
            </w14:solidFill>
          </w14:textFill>
        </w:rPr>
        <w:t xml:space="preserve">总  目  录</w:t>
      </w:r>
      <w:r>
        <w:rPr>
          <w:highlight w:val="none"/>
        </w:rPr>
      </w:r>
    </w:p>
    <w:p>
      <w:pPr>
        <w:pStyle w:val="1008"/>
        <w:keepLines w:val="0"/>
        <w:keepNext w:val="0"/>
        <w:pageBreakBefore w:val="0"/>
        <w:spacing w:line="360" w:lineRule="auto"/>
        <w:widowControl w:val="off"/>
        <w:tabs>
          <w:tab w:val="right" w:pos="8306" w:leader="dot"/>
        </w:tabs>
        <w:rPr>
          <w:rFonts w:hint="eastAsia" w:ascii="黑体" w:hAnsi="黑体" w:eastAsia="黑体" w:cs="黑体"/>
          <w:sz w:val="40"/>
          <w:szCs w:val="28"/>
          <w:highlight w:val="none"/>
        </w:rPr>
      </w:pPr>
      <w:r>
        <w:rPr>
          <w:rFonts w:hint="eastAsia" w:ascii="黑体" w:hAnsi="黑体" w:eastAsia="黑体" w:cs="黑体"/>
          <w:b/>
          <w:color w:val="000000" w:themeColor="text1"/>
          <w:sz w:val="40"/>
          <w:szCs w:val="44"/>
          <w:highlight w:val="none"/>
          <w14:textFill>
            <w14:solidFill>
              <w14:schemeClr w14:val="tx1"/>
            </w14:solidFill>
          </w14:textFill>
        </w:rPr>
        <w:fldChar w:fldCharType="begin"/>
      </w:r>
      <w:r>
        <w:rPr>
          <w:rFonts w:hint="eastAsia" w:ascii="黑体" w:hAnsi="黑体" w:eastAsia="黑体" w:cs="黑体"/>
          <w:b/>
          <w:color w:val="000000" w:themeColor="text1"/>
          <w:sz w:val="40"/>
          <w:szCs w:val="44"/>
          <w:highlight w:val="none"/>
          <w14:textFill>
            <w14:solidFill>
              <w14:schemeClr w14:val="tx1"/>
            </w14:solidFill>
          </w14:textFill>
        </w:rPr>
        <w:instrText xml:space="preserve"> TOC \o "1-1" \h \z \u </w:instrText>
      </w:r>
      <w:r>
        <w:rPr>
          <w:rFonts w:hint="eastAsia" w:ascii="黑体" w:hAnsi="黑体" w:eastAsia="黑体" w:cs="黑体"/>
          <w:b/>
          <w:color w:val="000000" w:themeColor="text1"/>
          <w:sz w:val="40"/>
          <w:szCs w:val="44"/>
          <w:highlight w:val="none"/>
          <w14:textFill>
            <w14:solidFill>
              <w14:schemeClr w14:val="tx1"/>
            </w14:solidFill>
          </w14:textFill>
        </w:rPr>
        <w:fldChar w:fldCharType="separate"/>
      </w:r>
      <w:r>
        <w:rPr>
          <w:rFonts w:hint="eastAsia" w:ascii="黑体" w:hAnsi="黑体" w:eastAsia="黑体" w:cs="黑体"/>
          <w:color w:val="000000" w:themeColor="text1"/>
          <w:sz w:val="40"/>
          <w:szCs w:val="44"/>
          <w:highlight w:val="none"/>
          <w14:textFill>
            <w14:solidFill>
              <w14:schemeClr w14:val="tx1"/>
            </w14:solidFill>
          </w14:textFill>
        </w:rPr>
        <w:fldChar w:fldCharType="begin"/>
      </w:r>
      <w:r>
        <w:rPr>
          <w:rFonts w:hint="eastAsia" w:ascii="黑体" w:hAnsi="黑体" w:eastAsia="黑体" w:cs="黑体"/>
          <w:sz w:val="40"/>
          <w:szCs w:val="44"/>
          <w:highlight w:val="none"/>
        </w:rPr>
        <w:instrText xml:space="preserve"> HYPERLINK \l _Toc13312 </w:instrText>
      </w:r>
      <w:r>
        <w:rPr>
          <w:rFonts w:hint="eastAsia" w:ascii="黑体" w:hAnsi="黑体" w:eastAsia="黑体" w:cs="黑体"/>
          <w:sz w:val="40"/>
          <w:szCs w:val="44"/>
          <w:highlight w:val="none"/>
        </w:rPr>
        <w:fldChar w:fldCharType="separate"/>
      </w:r>
      <w:r>
        <w:rPr>
          <w:rFonts w:hint="eastAsia" w:ascii="黑体" w:hAnsi="黑体" w:eastAsia="黑体" w:cs="黑体"/>
          <w:sz w:val="40"/>
          <w:szCs w:val="52"/>
          <w:highlight w:val="none"/>
        </w:rPr>
        <w:t xml:space="preserve">第一章  投标邀请</w:t>
      </w:r>
      <w:r>
        <w:rPr>
          <w:rFonts w:hint="eastAsia" w:ascii="黑体" w:hAnsi="黑体" w:eastAsia="黑体" w:cs="黑体"/>
          <w:sz w:val="40"/>
          <w:szCs w:val="28"/>
          <w:highlight w:val="none"/>
        </w:rPr>
        <w:tab/>
      </w:r>
      <w:r>
        <w:rPr>
          <w:rFonts w:hint="eastAsia" w:ascii="黑体" w:hAnsi="黑体" w:eastAsia="黑体" w:cs="黑体"/>
          <w:sz w:val="40"/>
          <w:szCs w:val="28"/>
          <w:highlight w:val="none"/>
        </w:rPr>
        <w:fldChar w:fldCharType="begin"/>
      </w:r>
      <w:r>
        <w:rPr>
          <w:rFonts w:hint="eastAsia" w:ascii="黑体" w:hAnsi="黑体" w:eastAsia="黑体" w:cs="黑体"/>
          <w:sz w:val="40"/>
          <w:szCs w:val="28"/>
          <w:highlight w:val="none"/>
        </w:rPr>
        <w:instrText xml:space="preserve"> PAGEREF _Toc13312 \h </w:instrText>
      </w:r>
      <w:r>
        <w:rPr>
          <w:rFonts w:hint="eastAsia" w:ascii="黑体" w:hAnsi="黑体" w:eastAsia="黑体" w:cs="黑体"/>
          <w:sz w:val="40"/>
          <w:szCs w:val="28"/>
          <w:highlight w:val="none"/>
        </w:rPr>
        <w:fldChar w:fldCharType="separate"/>
      </w:r>
      <w:r>
        <w:rPr>
          <w:rFonts w:hint="eastAsia" w:ascii="黑体" w:hAnsi="黑体" w:eastAsia="黑体" w:cs="黑体"/>
          <w:sz w:val="40"/>
          <w:szCs w:val="28"/>
          <w:highlight w:val="none"/>
        </w:rPr>
        <w:t xml:space="preserve">1</w:t>
      </w:r>
      <w:r>
        <w:rPr>
          <w:rFonts w:hint="eastAsia" w:ascii="黑体" w:hAnsi="黑体" w:eastAsia="黑体" w:cs="黑体"/>
          <w:sz w:val="40"/>
          <w:szCs w:val="28"/>
          <w:highlight w:val="none"/>
        </w:rPr>
        <w:fldChar w:fldCharType="end"/>
      </w:r>
      <w:r>
        <w:rPr>
          <w:rFonts w:hint="eastAsia" w:ascii="黑体" w:hAnsi="黑体" w:eastAsia="黑体" w:cs="黑体"/>
          <w:color w:val="000000" w:themeColor="text1"/>
          <w:sz w:val="40"/>
          <w:szCs w:val="44"/>
          <w:highlight w:val="none"/>
          <w14:textFill>
            <w14:solidFill>
              <w14:schemeClr w14:val="tx1"/>
            </w14:solidFill>
          </w14:textFill>
        </w:rPr>
        <w:fldChar w:fldCharType="end"/>
      </w:r>
      <w:r>
        <w:rPr>
          <w:highlight w:val="none"/>
        </w:rPr>
      </w:r>
    </w:p>
    <w:p>
      <w:pPr>
        <w:pStyle w:val="1008"/>
        <w:keepLines w:val="0"/>
        <w:keepNext w:val="0"/>
        <w:pageBreakBefore w:val="0"/>
        <w:spacing w:line="360" w:lineRule="auto"/>
        <w:widowControl w:val="off"/>
        <w:tabs>
          <w:tab w:val="right" w:pos="8306" w:leader="dot"/>
        </w:tabs>
        <w:rPr>
          <w:rFonts w:hint="eastAsia" w:ascii="黑体" w:hAnsi="黑体" w:eastAsia="黑体" w:cs="黑体"/>
          <w:sz w:val="40"/>
          <w:szCs w:val="28"/>
          <w:highlight w:val="none"/>
        </w:rPr>
      </w:pPr>
      <w:r>
        <w:rPr>
          <w:rFonts w:hint="eastAsia" w:ascii="黑体" w:hAnsi="黑体" w:eastAsia="黑体" w:cs="黑体"/>
          <w:color w:val="000000" w:themeColor="text1"/>
          <w:sz w:val="40"/>
          <w:szCs w:val="44"/>
          <w:highlight w:val="none"/>
          <w14:textFill>
            <w14:solidFill>
              <w14:schemeClr w14:val="tx1"/>
            </w14:solidFill>
          </w14:textFill>
        </w:rPr>
        <w:fldChar w:fldCharType="begin"/>
      </w:r>
      <w:r>
        <w:rPr>
          <w:rFonts w:hint="eastAsia" w:ascii="黑体" w:hAnsi="黑体" w:eastAsia="黑体" w:cs="黑体"/>
          <w:sz w:val="40"/>
          <w:szCs w:val="44"/>
          <w:highlight w:val="none"/>
        </w:rPr>
        <w:instrText xml:space="preserve"> HYPERLINK \l _Toc28074 </w:instrText>
      </w:r>
      <w:r>
        <w:rPr>
          <w:rFonts w:hint="eastAsia" w:ascii="黑体" w:hAnsi="黑体" w:eastAsia="黑体" w:cs="黑体"/>
          <w:sz w:val="40"/>
          <w:szCs w:val="44"/>
          <w:highlight w:val="none"/>
        </w:rPr>
        <w:fldChar w:fldCharType="separate"/>
      </w:r>
      <w:r>
        <w:rPr>
          <w:rFonts w:hint="eastAsia" w:ascii="黑体" w:hAnsi="黑体" w:eastAsia="黑体" w:cs="黑体"/>
          <w:bCs/>
          <w:sz w:val="40"/>
          <w:szCs w:val="52"/>
          <w:highlight w:val="none"/>
        </w:rPr>
        <w:t xml:space="preserve">第二章  投标人须知</w:t>
      </w:r>
      <w:r>
        <w:rPr>
          <w:rFonts w:hint="eastAsia" w:ascii="黑体" w:hAnsi="黑体" w:eastAsia="黑体" w:cs="黑体"/>
          <w:sz w:val="40"/>
          <w:szCs w:val="28"/>
          <w:highlight w:val="none"/>
        </w:rPr>
        <w:tab/>
      </w:r>
      <w:r>
        <w:rPr>
          <w:rFonts w:hint="eastAsia" w:ascii="黑体" w:hAnsi="黑体" w:eastAsia="黑体" w:cs="黑体"/>
          <w:sz w:val="40"/>
          <w:szCs w:val="28"/>
          <w:highlight w:val="none"/>
        </w:rPr>
        <w:fldChar w:fldCharType="begin"/>
      </w:r>
      <w:r>
        <w:rPr>
          <w:rFonts w:hint="eastAsia" w:ascii="黑体" w:hAnsi="黑体" w:eastAsia="黑体" w:cs="黑体"/>
          <w:sz w:val="40"/>
          <w:szCs w:val="28"/>
          <w:highlight w:val="none"/>
        </w:rPr>
        <w:instrText xml:space="preserve"> PAGEREF _Toc28074 \h </w:instrText>
      </w:r>
      <w:r>
        <w:rPr>
          <w:rFonts w:hint="eastAsia" w:ascii="黑体" w:hAnsi="黑体" w:eastAsia="黑体" w:cs="黑体"/>
          <w:sz w:val="40"/>
          <w:szCs w:val="28"/>
          <w:highlight w:val="none"/>
        </w:rPr>
        <w:fldChar w:fldCharType="separate"/>
      </w:r>
      <w:r>
        <w:rPr>
          <w:rFonts w:hint="eastAsia" w:ascii="黑体" w:hAnsi="黑体" w:eastAsia="黑体" w:cs="黑体"/>
          <w:sz w:val="40"/>
          <w:szCs w:val="28"/>
          <w:highlight w:val="none"/>
        </w:rPr>
        <w:t xml:space="preserve">6</w:t>
      </w:r>
      <w:r>
        <w:rPr>
          <w:rFonts w:hint="eastAsia" w:ascii="黑体" w:hAnsi="黑体" w:eastAsia="黑体" w:cs="黑体"/>
          <w:sz w:val="40"/>
          <w:szCs w:val="28"/>
          <w:highlight w:val="none"/>
        </w:rPr>
        <w:fldChar w:fldCharType="end"/>
      </w:r>
      <w:r>
        <w:rPr>
          <w:rFonts w:hint="eastAsia" w:ascii="黑体" w:hAnsi="黑体" w:eastAsia="黑体" w:cs="黑体"/>
          <w:color w:val="000000" w:themeColor="text1"/>
          <w:sz w:val="40"/>
          <w:szCs w:val="44"/>
          <w:highlight w:val="none"/>
          <w14:textFill>
            <w14:solidFill>
              <w14:schemeClr w14:val="tx1"/>
            </w14:solidFill>
          </w14:textFill>
        </w:rPr>
        <w:fldChar w:fldCharType="end"/>
      </w:r>
      <w:r>
        <w:rPr>
          <w:highlight w:val="none"/>
        </w:rPr>
      </w:r>
    </w:p>
    <w:p>
      <w:pPr>
        <w:pStyle w:val="1008"/>
        <w:keepLines w:val="0"/>
        <w:keepNext w:val="0"/>
        <w:pageBreakBefore w:val="0"/>
        <w:spacing w:line="360" w:lineRule="auto"/>
        <w:widowControl w:val="off"/>
        <w:tabs>
          <w:tab w:val="right" w:pos="8306" w:leader="dot"/>
        </w:tabs>
        <w:rPr>
          <w:rFonts w:hint="eastAsia" w:ascii="黑体" w:hAnsi="黑体" w:eastAsia="黑体" w:cs="黑体"/>
          <w:sz w:val="40"/>
          <w:szCs w:val="28"/>
          <w:highlight w:val="none"/>
        </w:rPr>
      </w:pPr>
      <w:r>
        <w:rPr>
          <w:rFonts w:hint="eastAsia" w:ascii="黑体" w:hAnsi="黑体" w:eastAsia="黑体" w:cs="黑体"/>
          <w:color w:val="000000" w:themeColor="text1"/>
          <w:sz w:val="40"/>
          <w:szCs w:val="44"/>
          <w:highlight w:val="none"/>
          <w14:textFill>
            <w14:solidFill>
              <w14:schemeClr w14:val="tx1"/>
            </w14:solidFill>
          </w14:textFill>
        </w:rPr>
        <w:fldChar w:fldCharType="begin"/>
      </w:r>
      <w:r>
        <w:rPr>
          <w:rFonts w:hint="eastAsia" w:ascii="黑体" w:hAnsi="黑体" w:eastAsia="黑体" w:cs="黑体"/>
          <w:sz w:val="40"/>
          <w:szCs w:val="44"/>
          <w:highlight w:val="none"/>
        </w:rPr>
        <w:instrText xml:space="preserve"> HYPERLINK \l _Toc27420 </w:instrText>
      </w:r>
      <w:r>
        <w:rPr>
          <w:rFonts w:hint="eastAsia" w:ascii="黑体" w:hAnsi="黑体" w:eastAsia="黑体" w:cs="黑体"/>
          <w:sz w:val="40"/>
          <w:szCs w:val="44"/>
          <w:highlight w:val="none"/>
        </w:rPr>
        <w:fldChar w:fldCharType="separate"/>
      </w:r>
      <w:r>
        <w:rPr>
          <w:rFonts w:hint="eastAsia" w:ascii="黑体" w:hAnsi="黑体" w:eastAsia="黑体" w:cs="黑体"/>
          <w:bCs/>
          <w:sz w:val="40"/>
          <w:szCs w:val="36"/>
          <w:highlight w:val="none"/>
        </w:rPr>
        <w:t xml:space="preserve">第三章  合同文本</w:t>
      </w:r>
      <w:r>
        <w:rPr>
          <w:rFonts w:hint="eastAsia" w:ascii="黑体" w:hAnsi="黑体" w:eastAsia="黑体" w:cs="黑体"/>
          <w:sz w:val="40"/>
          <w:szCs w:val="28"/>
          <w:highlight w:val="none"/>
        </w:rPr>
        <w:tab/>
      </w:r>
      <w:r>
        <w:rPr>
          <w:rFonts w:hint="eastAsia" w:ascii="黑体" w:hAnsi="黑体" w:eastAsia="黑体" w:cs="黑体"/>
          <w:sz w:val="40"/>
          <w:szCs w:val="28"/>
          <w:highlight w:val="none"/>
        </w:rPr>
        <w:fldChar w:fldCharType="begin"/>
      </w:r>
      <w:r>
        <w:rPr>
          <w:rFonts w:hint="eastAsia" w:ascii="黑体" w:hAnsi="黑体" w:eastAsia="黑体" w:cs="黑体"/>
          <w:sz w:val="40"/>
          <w:szCs w:val="28"/>
          <w:highlight w:val="none"/>
        </w:rPr>
        <w:instrText xml:space="preserve"> PAGEREF _Toc27420 \h </w:instrText>
      </w:r>
      <w:r>
        <w:rPr>
          <w:rFonts w:hint="eastAsia" w:ascii="黑体" w:hAnsi="黑体" w:eastAsia="黑体" w:cs="黑体"/>
          <w:sz w:val="40"/>
          <w:szCs w:val="28"/>
          <w:highlight w:val="none"/>
        </w:rPr>
        <w:fldChar w:fldCharType="separate"/>
      </w:r>
      <w:r>
        <w:rPr>
          <w:rFonts w:hint="eastAsia" w:ascii="黑体" w:hAnsi="黑体" w:eastAsia="黑体" w:cs="黑体"/>
          <w:sz w:val="40"/>
          <w:szCs w:val="28"/>
          <w:highlight w:val="none"/>
        </w:rPr>
        <w:t xml:space="preserve">24</w:t>
      </w:r>
      <w:r>
        <w:rPr>
          <w:rFonts w:hint="eastAsia" w:ascii="黑体" w:hAnsi="黑体" w:eastAsia="黑体" w:cs="黑体"/>
          <w:sz w:val="40"/>
          <w:szCs w:val="28"/>
          <w:highlight w:val="none"/>
        </w:rPr>
        <w:fldChar w:fldCharType="end"/>
      </w:r>
      <w:r>
        <w:rPr>
          <w:rFonts w:hint="eastAsia" w:ascii="黑体" w:hAnsi="黑体" w:eastAsia="黑体" w:cs="黑体"/>
          <w:color w:val="000000" w:themeColor="text1"/>
          <w:sz w:val="40"/>
          <w:szCs w:val="44"/>
          <w:highlight w:val="none"/>
          <w14:textFill>
            <w14:solidFill>
              <w14:schemeClr w14:val="tx1"/>
            </w14:solidFill>
          </w14:textFill>
        </w:rPr>
        <w:fldChar w:fldCharType="end"/>
      </w:r>
      <w:r>
        <w:rPr>
          <w:highlight w:val="none"/>
        </w:rPr>
      </w:r>
    </w:p>
    <w:p>
      <w:pPr>
        <w:pStyle w:val="1008"/>
        <w:keepLines w:val="0"/>
        <w:keepNext w:val="0"/>
        <w:pageBreakBefore w:val="0"/>
        <w:spacing w:line="360" w:lineRule="auto"/>
        <w:widowControl w:val="off"/>
        <w:tabs>
          <w:tab w:val="right" w:pos="8306" w:leader="dot"/>
        </w:tabs>
        <w:rPr>
          <w:rFonts w:hint="eastAsia" w:ascii="黑体" w:hAnsi="黑体" w:eastAsia="黑体" w:cs="黑体"/>
          <w:sz w:val="40"/>
          <w:szCs w:val="28"/>
          <w:highlight w:val="none"/>
        </w:rPr>
      </w:pPr>
      <w:r>
        <w:rPr>
          <w:rFonts w:hint="eastAsia" w:ascii="黑体" w:hAnsi="黑体" w:eastAsia="黑体" w:cs="黑体"/>
          <w:color w:val="000000" w:themeColor="text1"/>
          <w:sz w:val="40"/>
          <w:szCs w:val="44"/>
          <w:highlight w:val="none"/>
          <w14:textFill>
            <w14:solidFill>
              <w14:schemeClr w14:val="tx1"/>
            </w14:solidFill>
          </w14:textFill>
        </w:rPr>
        <w:fldChar w:fldCharType="begin"/>
      </w:r>
      <w:r>
        <w:rPr>
          <w:rFonts w:hint="eastAsia" w:ascii="黑体" w:hAnsi="黑体" w:eastAsia="黑体" w:cs="黑体"/>
          <w:sz w:val="40"/>
          <w:szCs w:val="44"/>
          <w:highlight w:val="none"/>
        </w:rPr>
        <w:instrText xml:space="preserve"> HYPERLINK \l _Toc21863 </w:instrText>
      </w:r>
      <w:r>
        <w:rPr>
          <w:rFonts w:hint="eastAsia" w:ascii="黑体" w:hAnsi="黑体" w:eastAsia="黑体" w:cs="黑体"/>
          <w:sz w:val="40"/>
          <w:szCs w:val="44"/>
          <w:highlight w:val="none"/>
        </w:rPr>
        <w:fldChar w:fldCharType="separate"/>
      </w:r>
      <w:r>
        <w:rPr>
          <w:rFonts w:hint="eastAsia" w:ascii="黑体" w:hAnsi="黑体" w:eastAsia="黑体" w:cs="黑体"/>
          <w:bCs/>
          <w:sz w:val="40"/>
          <w:szCs w:val="24"/>
          <w:highlight w:val="none"/>
        </w:rPr>
        <w:t xml:space="preserve">第四章  采购需求</w:t>
      </w:r>
      <w:r>
        <w:rPr>
          <w:rFonts w:hint="eastAsia" w:ascii="黑体" w:hAnsi="黑体" w:eastAsia="黑体" w:cs="黑体"/>
          <w:sz w:val="40"/>
          <w:szCs w:val="28"/>
          <w:highlight w:val="none"/>
        </w:rPr>
        <w:tab/>
      </w:r>
      <w:r>
        <w:rPr>
          <w:rFonts w:hint="eastAsia" w:ascii="黑体" w:hAnsi="黑体" w:eastAsia="黑体" w:cs="黑体"/>
          <w:sz w:val="40"/>
          <w:szCs w:val="28"/>
          <w:highlight w:val="none"/>
        </w:rPr>
        <w:fldChar w:fldCharType="begin"/>
      </w:r>
      <w:r>
        <w:rPr>
          <w:rFonts w:hint="eastAsia" w:ascii="黑体" w:hAnsi="黑体" w:eastAsia="黑体" w:cs="黑体"/>
          <w:sz w:val="40"/>
          <w:szCs w:val="28"/>
          <w:highlight w:val="none"/>
        </w:rPr>
        <w:instrText xml:space="preserve"> PAGEREF _Toc21863 \h </w:instrText>
      </w:r>
      <w:r>
        <w:rPr>
          <w:rFonts w:hint="eastAsia" w:ascii="黑体" w:hAnsi="黑体" w:eastAsia="黑体" w:cs="黑体"/>
          <w:sz w:val="40"/>
          <w:szCs w:val="28"/>
          <w:highlight w:val="none"/>
        </w:rPr>
        <w:fldChar w:fldCharType="separate"/>
      </w:r>
      <w:r>
        <w:rPr>
          <w:rFonts w:hint="eastAsia" w:ascii="黑体" w:hAnsi="黑体" w:eastAsia="黑体" w:cs="黑体"/>
          <w:sz w:val="40"/>
          <w:szCs w:val="28"/>
          <w:highlight w:val="none"/>
        </w:rPr>
        <w:t xml:space="preserve">40</w:t>
      </w:r>
      <w:r>
        <w:rPr>
          <w:rFonts w:hint="eastAsia" w:ascii="黑体" w:hAnsi="黑体" w:eastAsia="黑体" w:cs="黑体"/>
          <w:sz w:val="40"/>
          <w:szCs w:val="28"/>
          <w:highlight w:val="none"/>
        </w:rPr>
        <w:fldChar w:fldCharType="end"/>
      </w:r>
      <w:r>
        <w:rPr>
          <w:rFonts w:hint="eastAsia" w:ascii="黑体" w:hAnsi="黑体" w:eastAsia="黑体" w:cs="黑体"/>
          <w:color w:val="000000" w:themeColor="text1"/>
          <w:sz w:val="40"/>
          <w:szCs w:val="44"/>
          <w:highlight w:val="none"/>
          <w14:textFill>
            <w14:solidFill>
              <w14:schemeClr w14:val="tx1"/>
            </w14:solidFill>
          </w14:textFill>
        </w:rPr>
        <w:fldChar w:fldCharType="end"/>
      </w:r>
      <w:r>
        <w:rPr>
          <w:highlight w:val="none"/>
        </w:rPr>
      </w:r>
    </w:p>
    <w:p>
      <w:pPr>
        <w:pStyle w:val="1008"/>
        <w:keepLines w:val="0"/>
        <w:keepNext w:val="0"/>
        <w:pageBreakBefore w:val="0"/>
        <w:spacing w:line="360" w:lineRule="auto"/>
        <w:widowControl w:val="off"/>
        <w:tabs>
          <w:tab w:val="right" w:pos="8306" w:leader="dot"/>
        </w:tabs>
        <w:rPr>
          <w:rFonts w:hint="eastAsia" w:ascii="黑体" w:hAnsi="黑体" w:eastAsia="黑体" w:cs="黑体"/>
          <w:sz w:val="40"/>
          <w:szCs w:val="28"/>
          <w:highlight w:val="none"/>
        </w:rPr>
      </w:pPr>
      <w:r>
        <w:rPr>
          <w:rFonts w:hint="eastAsia" w:ascii="黑体" w:hAnsi="黑体" w:eastAsia="黑体" w:cs="黑体"/>
          <w:color w:val="000000" w:themeColor="text1"/>
          <w:sz w:val="40"/>
          <w:szCs w:val="44"/>
          <w:highlight w:val="none"/>
          <w14:textFill>
            <w14:solidFill>
              <w14:schemeClr w14:val="tx1"/>
            </w14:solidFill>
          </w14:textFill>
        </w:rPr>
        <w:fldChar w:fldCharType="begin"/>
      </w:r>
      <w:r>
        <w:rPr>
          <w:rFonts w:hint="eastAsia" w:ascii="黑体" w:hAnsi="黑体" w:eastAsia="黑体" w:cs="黑体"/>
          <w:sz w:val="40"/>
          <w:szCs w:val="44"/>
          <w:highlight w:val="none"/>
        </w:rPr>
        <w:instrText xml:space="preserve"> HYPERLINK \l _Toc2258 </w:instrText>
      </w:r>
      <w:r>
        <w:rPr>
          <w:rFonts w:hint="eastAsia" w:ascii="黑体" w:hAnsi="黑体" w:eastAsia="黑体" w:cs="黑体"/>
          <w:sz w:val="40"/>
          <w:szCs w:val="44"/>
          <w:highlight w:val="none"/>
        </w:rPr>
        <w:fldChar w:fldCharType="separate"/>
      </w:r>
      <w:r>
        <w:rPr>
          <w:rFonts w:hint="eastAsia" w:ascii="黑体" w:hAnsi="黑体" w:eastAsia="黑体" w:cs="黑体"/>
          <w:bCs/>
          <w:sz w:val="40"/>
          <w:szCs w:val="36"/>
          <w:highlight w:val="none"/>
        </w:rPr>
        <w:t xml:space="preserve">第五章  评标方法与评标标准</w:t>
      </w:r>
      <w:r>
        <w:rPr>
          <w:rFonts w:hint="eastAsia" w:ascii="黑体" w:hAnsi="黑体" w:eastAsia="黑体" w:cs="黑体"/>
          <w:sz w:val="40"/>
          <w:szCs w:val="28"/>
          <w:highlight w:val="none"/>
        </w:rPr>
        <w:tab/>
      </w:r>
      <w:r>
        <w:rPr>
          <w:rFonts w:hint="eastAsia" w:ascii="黑体" w:hAnsi="黑体" w:eastAsia="黑体" w:cs="黑体"/>
          <w:sz w:val="40"/>
          <w:szCs w:val="28"/>
          <w:highlight w:val="none"/>
        </w:rPr>
        <w:fldChar w:fldCharType="begin"/>
      </w:r>
      <w:r>
        <w:rPr>
          <w:rFonts w:hint="eastAsia" w:ascii="黑体" w:hAnsi="黑体" w:eastAsia="黑体" w:cs="黑体"/>
          <w:sz w:val="40"/>
          <w:szCs w:val="28"/>
          <w:highlight w:val="none"/>
        </w:rPr>
        <w:instrText xml:space="preserve"> PAGEREF _Toc2258 \h </w:instrText>
      </w:r>
      <w:r>
        <w:rPr>
          <w:rFonts w:hint="eastAsia" w:ascii="黑体" w:hAnsi="黑体" w:eastAsia="黑体" w:cs="黑体"/>
          <w:sz w:val="40"/>
          <w:szCs w:val="28"/>
          <w:highlight w:val="none"/>
        </w:rPr>
        <w:fldChar w:fldCharType="separate"/>
      </w:r>
      <w:r>
        <w:rPr>
          <w:rFonts w:hint="eastAsia" w:ascii="黑体" w:hAnsi="黑体" w:eastAsia="黑体" w:cs="黑体"/>
          <w:sz w:val="40"/>
          <w:szCs w:val="28"/>
          <w:highlight w:val="none"/>
        </w:rPr>
        <w:t xml:space="preserve">78</w:t>
      </w:r>
      <w:r>
        <w:rPr>
          <w:rFonts w:hint="eastAsia" w:ascii="黑体" w:hAnsi="黑体" w:eastAsia="黑体" w:cs="黑体"/>
          <w:sz w:val="40"/>
          <w:szCs w:val="28"/>
          <w:highlight w:val="none"/>
        </w:rPr>
        <w:fldChar w:fldCharType="end"/>
      </w:r>
      <w:r>
        <w:rPr>
          <w:rFonts w:hint="eastAsia" w:ascii="黑体" w:hAnsi="黑体" w:eastAsia="黑体" w:cs="黑体"/>
          <w:color w:val="000000" w:themeColor="text1"/>
          <w:sz w:val="40"/>
          <w:szCs w:val="44"/>
          <w:highlight w:val="none"/>
          <w14:textFill>
            <w14:solidFill>
              <w14:schemeClr w14:val="tx1"/>
            </w14:solidFill>
          </w14:textFill>
        </w:rPr>
        <w:fldChar w:fldCharType="end"/>
      </w:r>
      <w:r>
        <w:rPr>
          <w:highlight w:val="none"/>
        </w:rPr>
      </w:r>
    </w:p>
    <w:p>
      <w:pPr>
        <w:pStyle w:val="1008"/>
        <w:keepLines w:val="0"/>
        <w:keepNext w:val="0"/>
        <w:pageBreakBefore w:val="0"/>
        <w:spacing w:line="360" w:lineRule="auto"/>
        <w:widowControl w:val="off"/>
        <w:tabs>
          <w:tab w:val="right" w:pos="8306" w:leader="dot"/>
        </w:tabs>
        <w:rPr>
          <w:rFonts w:hint="eastAsia" w:ascii="黑体" w:hAnsi="黑体" w:eastAsia="黑体" w:cs="黑体"/>
          <w:sz w:val="40"/>
          <w:szCs w:val="28"/>
          <w:highlight w:val="none"/>
        </w:rPr>
      </w:pPr>
      <w:r>
        <w:rPr>
          <w:rFonts w:hint="eastAsia" w:ascii="黑体" w:hAnsi="黑体" w:eastAsia="黑体" w:cs="黑体"/>
          <w:color w:val="000000" w:themeColor="text1"/>
          <w:sz w:val="40"/>
          <w:szCs w:val="44"/>
          <w:highlight w:val="none"/>
          <w14:textFill>
            <w14:solidFill>
              <w14:schemeClr w14:val="tx1"/>
            </w14:solidFill>
          </w14:textFill>
        </w:rPr>
        <w:fldChar w:fldCharType="begin"/>
      </w:r>
      <w:r>
        <w:rPr>
          <w:rFonts w:hint="eastAsia" w:ascii="黑体" w:hAnsi="黑体" w:eastAsia="黑体" w:cs="黑体"/>
          <w:sz w:val="40"/>
          <w:szCs w:val="44"/>
          <w:highlight w:val="none"/>
        </w:rPr>
        <w:instrText xml:space="preserve"> HYPERLINK \l _Toc2329 </w:instrText>
      </w:r>
      <w:r>
        <w:rPr>
          <w:rFonts w:hint="eastAsia" w:ascii="黑体" w:hAnsi="黑体" w:eastAsia="黑体" w:cs="黑体"/>
          <w:sz w:val="40"/>
          <w:szCs w:val="44"/>
          <w:highlight w:val="none"/>
        </w:rPr>
        <w:fldChar w:fldCharType="separate"/>
      </w:r>
      <w:r>
        <w:rPr>
          <w:rFonts w:hint="eastAsia" w:ascii="黑体" w:hAnsi="黑体" w:eastAsia="黑体" w:cs="黑体"/>
          <w:bCs/>
          <w:sz w:val="40"/>
          <w:szCs w:val="36"/>
          <w:highlight w:val="none"/>
        </w:rPr>
        <w:t xml:space="preserve">第六章  投标文件格式</w:t>
      </w:r>
      <w:r>
        <w:rPr>
          <w:rFonts w:hint="eastAsia" w:ascii="黑体" w:hAnsi="黑体" w:eastAsia="黑体" w:cs="黑体"/>
          <w:sz w:val="40"/>
          <w:szCs w:val="28"/>
          <w:highlight w:val="none"/>
        </w:rPr>
        <w:tab/>
      </w:r>
      <w:r>
        <w:rPr>
          <w:rFonts w:hint="eastAsia" w:ascii="黑体" w:hAnsi="黑体" w:eastAsia="黑体" w:cs="黑体"/>
          <w:sz w:val="40"/>
          <w:szCs w:val="28"/>
          <w:highlight w:val="none"/>
        </w:rPr>
        <w:fldChar w:fldCharType="begin"/>
      </w:r>
      <w:r>
        <w:rPr>
          <w:rFonts w:hint="eastAsia" w:ascii="黑体" w:hAnsi="黑体" w:eastAsia="黑体" w:cs="黑体"/>
          <w:sz w:val="40"/>
          <w:szCs w:val="28"/>
          <w:highlight w:val="none"/>
        </w:rPr>
        <w:instrText xml:space="preserve"> PAGEREF _Toc2329 \h </w:instrText>
      </w:r>
      <w:r>
        <w:rPr>
          <w:rFonts w:hint="eastAsia" w:ascii="黑体" w:hAnsi="黑体" w:eastAsia="黑体" w:cs="黑体"/>
          <w:sz w:val="40"/>
          <w:szCs w:val="28"/>
          <w:highlight w:val="none"/>
        </w:rPr>
        <w:fldChar w:fldCharType="separate"/>
      </w:r>
      <w:r>
        <w:rPr>
          <w:rFonts w:hint="eastAsia" w:ascii="黑体" w:hAnsi="黑体" w:eastAsia="黑体" w:cs="黑体"/>
          <w:sz w:val="40"/>
          <w:szCs w:val="28"/>
          <w:highlight w:val="none"/>
        </w:rPr>
        <w:t xml:space="preserve">85</w:t>
      </w:r>
      <w:r>
        <w:rPr>
          <w:rFonts w:hint="eastAsia" w:ascii="黑体" w:hAnsi="黑体" w:eastAsia="黑体" w:cs="黑体"/>
          <w:sz w:val="40"/>
          <w:szCs w:val="28"/>
          <w:highlight w:val="none"/>
        </w:rPr>
        <w:fldChar w:fldCharType="end"/>
      </w:r>
      <w:r>
        <w:rPr>
          <w:rFonts w:hint="eastAsia" w:ascii="黑体" w:hAnsi="黑体" w:eastAsia="黑体" w:cs="黑体"/>
          <w:color w:val="000000" w:themeColor="text1"/>
          <w:sz w:val="40"/>
          <w:szCs w:val="44"/>
          <w:highlight w:val="none"/>
          <w14:textFill>
            <w14:solidFill>
              <w14:schemeClr w14:val="tx1"/>
            </w14:solidFill>
          </w14:textFill>
        </w:rPr>
        <w:fldChar w:fldCharType="end"/>
      </w:r>
      <w:r>
        <w:rPr>
          <w:highlight w:val="none"/>
        </w:rPr>
      </w:r>
    </w:p>
    <w:p>
      <w:pPr>
        <w:keepLines w:val="0"/>
        <w:keepNext w:val="0"/>
        <w:pageBreakBefore w:val="0"/>
        <w:spacing w:line="360" w:lineRule="auto"/>
        <w:widowControl w:val="off"/>
        <w:rPr>
          <w:rFonts w:hint="eastAsia" w:ascii="黑体" w:hAnsi="黑体" w:eastAsia="黑体" w:cs="黑体"/>
          <w:color w:val="000000" w:themeColor="text1"/>
          <w:sz w:val="40"/>
          <w:szCs w:val="24"/>
          <w:highlight w:val="none"/>
          <w14:textFill>
            <w14:solidFill>
              <w14:schemeClr w14:val="tx1"/>
            </w14:solidFill>
          </w14:textFill>
        </w:rPr>
      </w:pPr>
      <w:r>
        <w:rPr>
          <w:rFonts w:hint="eastAsia" w:ascii="黑体" w:hAnsi="黑体" w:eastAsia="黑体" w:cs="黑体"/>
          <w:color w:val="000000" w:themeColor="text1"/>
          <w:sz w:val="40"/>
          <w:szCs w:val="44"/>
          <w:highlight w:val="none"/>
          <w14:textFill>
            <w14:solidFill>
              <w14:schemeClr w14:val="tx1"/>
            </w14:solidFill>
          </w14:textFill>
        </w:rPr>
        <w:fldChar w:fldCharType="end"/>
      </w:r>
      <w:r>
        <w:rPr>
          <w:highlight w:val="none"/>
        </w:rP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rPr>
          <w:rFonts w:hint="eastAsia"/>
          <w:color w:val="000000" w:themeColor="text1"/>
          <w:szCs w:val="21"/>
          <w:highlight w:val="none"/>
          <w14:textFill>
            <w14:solidFill>
              <w14:schemeClr w14:val="tx1"/>
            </w14:solidFill>
          </w14:textFill>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color w:val="000000" w:themeColor="text1"/>
          <w:szCs w:val="21"/>
          <w:highlight w:val="none"/>
          <w14:textFill>
            <w14:solidFill>
              <w14:schemeClr w14:val="tx1"/>
            </w14:solidFill>
          </w14:textFill>
        </w:rPr>
      </w:r>
      <w:r>
        <w:rPr>
          <w:highlight w:val="none"/>
        </w:rPr>
      </w:r>
    </w:p>
    <w:p>
      <w:pPr>
        <w:jc w:val="center"/>
        <w:keepNext/>
        <w:rPr>
          <w:rFonts w:hint="eastAsia" w:ascii="黑体" w:eastAsia="黑体"/>
          <w:bCs/>
          <w:color w:val="000000" w:themeColor="text1"/>
          <w:sz w:val="44"/>
          <w:szCs w:val="44"/>
          <w:highlight w:val="none"/>
          <w14:textFill>
            <w14:solidFill>
              <w14:schemeClr w14:val="tx1"/>
            </w14:solidFill>
          </w14:textFill>
        </w:rPr>
        <w:outlineLvl w:val="0"/>
      </w:pPr>
      <w:r>
        <w:rPr>
          <w:highlight w:val="none"/>
        </w:rPr>
      </w:r>
      <w:bookmarkStart w:id="6" w:name="_Toc13312"/>
      <w:r>
        <w:rPr>
          <w:rFonts w:hint="eastAsia" w:ascii="黑体" w:eastAsia="黑体"/>
          <w:color w:val="000000" w:themeColor="text1"/>
          <w:sz w:val="44"/>
          <w:szCs w:val="44"/>
          <w:highlight w:val="none"/>
          <w14:textFill>
            <w14:solidFill>
              <w14:schemeClr w14:val="tx1"/>
            </w14:solidFill>
          </w14:textFill>
        </w:rPr>
        <w:t xml:space="preserve">第一章  </w:t>
      </w:r>
      <w:bookmarkEnd w:id="0"/>
      <w:r>
        <w:rPr>
          <w:rFonts w:hint="eastAsia" w:ascii="黑体" w:eastAsia="黑体"/>
          <w:color w:val="000000" w:themeColor="text1"/>
          <w:sz w:val="44"/>
          <w:szCs w:val="44"/>
          <w:highlight w:val="none"/>
          <w14:textFill>
            <w14:solidFill>
              <w14:schemeClr w14:val="tx1"/>
            </w14:solidFill>
          </w14:textFill>
        </w:rPr>
        <w:t xml:space="preserve">投标邀请</w:t>
      </w:r>
      <w:bookmarkEnd w:id="6"/>
      <w:r>
        <w:rPr>
          <w:highlight w:val="none"/>
        </w:rPr>
      </w:r>
      <w:r>
        <w:rPr>
          <w:highlight w:val="none"/>
        </w:rP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受</w:t>
      </w:r>
      <w:r>
        <w:rPr>
          <w:rFonts w:hint="eastAsia" w:ascii="仿宋" w:hAnsi="仿宋" w:eastAsia="仿宋"/>
          <w:color w:val="000000" w:themeColor="text1"/>
          <w:sz w:val="28"/>
          <w:szCs w:val="28"/>
          <w:highlight w:val="none"/>
          <w14:textFill>
            <w14:solidFill>
              <w14:schemeClr w14:val="tx1"/>
            </w14:solidFill>
          </w14:textFill>
        </w:rPr>
        <w:t xml:space="preserve">南通市田家炳初级中学</w:t>
      </w:r>
      <w:r>
        <w:rPr>
          <w:rFonts w:hint="eastAsia" w:ascii="仿宋" w:hAnsi="仿宋" w:eastAsia="仿宋"/>
          <w:color w:val="000000" w:themeColor="text1"/>
          <w:sz w:val="28"/>
          <w:szCs w:val="28"/>
          <w:highlight w:val="none"/>
          <w14:textFill>
            <w14:solidFill>
              <w14:schemeClr w14:val="tx1"/>
            </w14:solidFill>
          </w14:textFill>
        </w:rPr>
        <w:t xml:space="preserve">的委托，南通市教育技术中心就</w:t>
      </w:r>
      <w:r>
        <w:rPr>
          <w:rFonts w:hint="eastAsia" w:ascii="仿宋" w:hAnsi="仿宋" w:eastAsia="仿宋"/>
          <w:color w:val="000000" w:themeColor="text1"/>
          <w:sz w:val="28"/>
          <w:szCs w:val="28"/>
          <w:highlight w:val="none"/>
          <w14:textFill>
            <w14:solidFill>
              <w14:schemeClr w14:val="tx1"/>
            </w14:solidFill>
          </w14:textFill>
        </w:rPr>
        <w:t xml:space="preserve">南通市田家炳初级中学新建食堂风雨操场综合楼食堂厨具（含桌凳）设备和安装采购项目</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JSZC-320600-JZCG-G</w:t>
      </w:r>
      <w:r>
        <w:rPr>
          <w:rFonts w:hint="eastAsia" w:ascii="仿宋" w:hAnsi="仿宋" w:eastAsia="仿宋"/>
          <w:color w:val="000000" w:themeColor="text1"/>
          <w:sz w:val="28"/>
          <w:szCs w:val="28"/>
          <w:highlight w:val="none"/>
          <w:lang w:eastAsia="zh-CN"/>
          <w14:textFill>
            <w14:solidFill>
              <w14:schemeClr w14:val="tx1"/>
            </w14:solidFill>
          </w14:textFill>
        </w:rPr>
        <w:t xml:space="preserve">2026-0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052）</w:t>
      </w:r>
      <w:r>
        <w:rPr>
          <w:rFonts w:hint="eastAsia" w:ascii="仿宋" w:hAnsi="仿宋" w:eastAsia="仿宋"/>
          <w:color w:val="000000" w:themeColor="text1"/>
          <w:sz w:val="28"/>
          <w:szCs w:val="28"/>
          <w:highlight w:val="none"/>
          <w14:textFill>
            <w14:solidFill>
              <w14:schemeClr w14:val="tx1"/>
            </w14:solidFill>
          </w14:textFill>
        </w:rPr>
        <w:t xml:space="preserve">进行公开招标采购，欢迎符合条件的供应商投标。</w:t>
      </w:r>
      <w:r>
        <w:rPr>
          <w:highlight w:val="none"/>
        </w:rP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themeColor="text1"/>
          <w:sz w:val="28"/>
          <w:szCs w:val="28"/>
          <w:highlight w:val="none"/>
          <w14:textFill>
            <w14:solidFill>
              <w14:schemeClr w14:val="tx1"/>
            </w14:solidFill>
          </w14:textFill>
        </w:rPr>
        <w:t xml:space="preserve">项目概况</w:t>
      </w:r>
      <w:r>
        <w:rPr>
          <w:highlight w:val="none"/>
        </w:rP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themeColor="text1"/>
          <w:sz w:val="28"/>
          <w:szCs w:val="28"/>
          <w:highlight w:val="none"/>
          <w:u w:val="single"/>
          <w:lang w:eastAsia="zh-CN"/>
          <w14:textFill>
            <w14:solidFill>
              <w14:schemeClr w14:val="tx1"/>
            </w14:solidFill>
          </w14:textFill>
        </w:rPr>
        <w:t xml:space="preserve">南通市田家炳初级中学新建食堂风雨操场综合楼食堂厨具（含桌凳）设备和安装采购项目</w:t>
      </w:r>
      <w:r>
        <w:rPr>
          <w:rFonts w:hint="eastAsia" w:ascii="仿宋" w:hAnsi="仿宋" w:eastAsia="仿宋"/>
          <w:color w:val="000000" w:themeColor="text1"/>
          <w:sz w:val="28"/>
          <w:szCs w:val="28"/>
          <w:highlight w:val="none"/>
          <w14:textFill>
            <w14:solidFill>
              <w14:schemeClr w14:val="tx1"/>
            </w14:solidFill>
          </w14:textFill>
        </w:rPr>
        <w:t xml:space="preserve">的潜在投标人可在</w:t>
      </w:r>
      <w:r>
        <w:rPr>
          <w:rFonts w:hint="eastAsia" w:ascii="仿宋" w:hAnsi="仿宋" w:eastAsia="仿宋"/>
          <w:color w:val="000000" w:themeColor="text1"/>
          <w:sz w:val="28"/>
          <w:szCs w:val="28"/>
          <w:highlight w:val="none"/>
          <w:u w:val="single"/>
          <w14:textFill>
            <w14:solidFill>
              <w14:schemeClr w14:val="tx1"/>
            </w14:solidFill>
          </w14:textFill>
        </w:rPr>
        <w:t xml:space="preserve">“江苏政府采购网”自行免费下载</w:t>
      </w:r>
      <w:r>
        <w:rPr>
          <w:rFonts w:hint="eastAsia" w:ascii="仿宋" w:hAnsi="仿宋" w:eastAsia="仿宋"/>
          <w:color w:val="000000" w:themeColor="text1"/>
          <w:sz w:val="28"/>
          <w:szCs w:val="28"/>
          <w:highlight w:val="none"/>
          <w14:textFill>
            <w14:solidFill>
              <w14:schemeClr w14:val="tx1"/>
            </w14:solidFill>
          </w14:textFill>
        </w:rPr>
        <w:t xml:space="preserve">招标文件，并于</w:t>
      </w:r>
      <w:r>
        <w:rPr>
          <w:rFonts w:hint="eastAsia" w:ascii="仿宋" w:hAnsi="仿宋" w:eastAsia="仿宋"/>
          <w:color w:val="000000" w:themeColor="text1"/>
          <w:sz w:val="28"/>
          <w:szCs w:val="28"/>
          <w:highlight w:val="none"/>
          <w:u w:val="single"/>
          <w14:textFill>
            <w14:solidFill>
              <w14:schemeClr w14:val="tx1"/>
            </w14:solidFill>
          </w14:textFill>
        </w:rPr>
        <w:t xml:space="preserve">202</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6</w:t>
      </w:r>
      <w:r>
        <w:rPr>
          <w:rFonts w:hint="eastAsia" w:ascii="仿宋" w:hAnsi="仿宋" w:eastAsia="仿宋"/>
          <w:bCs/>
          <w:color w:val="000000" w:themeColor="text1"/>
          <w:sz w:val="28"/>
          <w:szCs w:val="28"/>
          <w:highlight w:val="none"/>
          <w:u w:val="single"/>
          <w14:textFill>
            <w14:solidFill>
              <w14:schemeClr w14:val="tx1"/>
            </w14:solidFill>
          </w14:textFill>
        </w:rPr>
        <w:t xml:space="preserve">年7</w:t>
      </w:r>
      <w:r>
        <w:rPr>
          <w:rFonts w:hint="eastAsia" w:ascii="仿宋" w:hAnsi="仿宋" w:eastAsia="仿宋"/>
          <w:bCs/>
          <w:color w:val="000000" w:themeColor="text1"/>
          <w:sz w:val="28"/>
          <w:szCs w:val="28"/>
          <w:highlight w:val="none"/>
          <w:u w:val="single"/>
          <w14:textFill>
            <w14:solidFill>
              <w14:schemeClr w14:val="tx1"/>
            </w14:solidFill>
          </w14:textFill>
        </w:rPr>
        <w:t xml:space="preserve">月2</w:t>
      </w:r>
      <w:r>
        <w:rPr>
          <w:rFonts w:hint="eastAsia" w:ascii="仿宋" w:hAnsi="仿宋" w:eastAsia="仿宋"/>
          <w:bCs/>
          <w:color w:val="000000" w:themeColor="text1"/>
          <w:sz w:val="28"/>
          <w:szCs w:val="28"/>
          <w:highlight w:val="none"/>
          <w:u w:val="single"/>
          <w14:textFill>
            <w14:solidFill>
              <w14:schemeClr w14:val="tx1"/>
            </w14:solidFill>
          </w14:textFill>
        </w:rPr>
        <w:t xml:space="preserve">日</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14</w:t>
      </w:r>
      <w:r>
        <w:rPr>
          <w:rFonts w:hint="eastAsia" w:ascii="仿宋" w:hAnsi="仿宋" w:eastAsia="仿宋"/>
          <w:bCs/>
          <w:color w:val="000000" w:themeColor="text1"/>
          <w:sz w:val="28"/>
          <w:szCs w:val="28"/>
          <w:highlight w:val="none"/>
          <w:u w:val="single"/>
          <w14:textFill>
            <w14:solidFill>
              <w14:schemeClr w14:val="tx1"/>
            </w14:solidFill>
          </w14:textFill>
        </w:rPr>
        <w:t xml:space="preserve">点</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00</w:t>
      </w:r>
      <w:r>
        <w:rPr>
          <w:rFonts w:hint="eastAsia" w:ascii="仿宋" w:hAnsi="仿宋" w:eastAsia="仿宋"/>
          <w:bCs/>
          <w:color w:val="000000" w:themeColor="text1"/>
          <w:sz w:val="28"/>
          <w:szCs w:val="28"/>
          <w:highlight w:val="none"/>
          <w:u w:val="single"/>
          <w14:textFill>
            <w14:solidFill>
              <w14:schemeClr w14:val="tx1"/>
            </w14:solidFill>
          </w14:textFill>
        </w:rPr>
        <w:t xml:space="preserve">分</w:t>
      </w:r>
      <w:r>
        <w:rPr>
          <w:rFonts w:hint="eastAsia" w:ascii="仿宋" w:hAnsi="仿宋" w:eastAsia="仿宋"/>
          <w:bCs/>
          <w:color w:val="000000" w:themeColor="text1"/>
          <w:sz w:val="28"/>
          <w:szCs w:val="28"/>
          <w:highlight w:val="none"/>
          <w:u w:val="single"/>
          <w14:textFill>
            <w14:solidFill>
              <w14:schemeClr w14:val="tx1"/>
            </w14:solidFill>
          </w14:textFill>
        </w:rPr>
        <w:t xml:space="preserve">（</w:t>
      </w:r>
      <w:r>
        <w:rPr>
          <w:rFonts w:hint="eastAsia" w:ascii="仿宋" w:hAnsi="仿宋" w:eastAsia="仿宋"/>
          <w:bCs/>
          <w:color w:val="000000" w:themeColor="text1"/>
          <w:sz w:val="28"/>
          <w:szCs w:val="28"/>
          <w:highlight w:val="none"/>
          <w14:textFill>
            <w14:solidFill>
              <w14:schemeClr w14:val="tx1"/>
            </w14:solidFill>
          </w14:textFill>
        </w:rPr>
        <w:t xml:space="preserve">北京时间）前递交投标</w:t>
      </w:r>
      <w:r>
        <w:rPr>
          <w:rFonts w:ascii="仿宋" w:hAnsi="仿宋" w:eastAsia="仿宋"/>
          <w:bCs/>
          <w:color w:val="000000" w:themeColor="text1"/>
          <w:sz w:val="28"/>
          <w:szCs w:val="28"/>
          <w:highlight w:val="none"/>
          <w14:textFill>
            <w14:solidFill>
              <w14:schemeClr w14:val="tx1"/>
            </w14:solidFill>
          </w14:textFill>
        </w:rPr>
        <w:t xml:space="preserve">文件</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p>
    <w:p>
      <w:pPr>
        <w:keepLines/>
        <w:keepNext/>
        <w:pageBreakBefore w:val="0"/>
        <w:spacing w:before="120" w:after="120" w:line="560" w:lineRule="exact"/>
        <w:rPr>
          <w:rFonts w:ascii="仿宋" w:hAnsi="仿宋" w:eastAsia="仿宋"/>
          <w:b/>
          <w:bCs/>
          <w:color w:val="000000" w:themeColor="text1"/>
          <w:sz w:val="28"/>
          <w:szCs w:val="28"/>
          <w:highlight w:val="none"/>
          <w14:textFill>
            <w14:solidFill>
              <w14:schemeClr w14:val="tx1"/>
            </w14:solidFill>
          </w14:textFill>
        </w:rPr>
        <w:outlineLvl w:val="2"/>
      </w:pPr>
      <w:r>
        <w:rPr>
          <w:highlight w:val="none"/>
        </w:rPr>
      </w:r>
      <w:bookmarkStart w:id="7" w:name="_Toc35393621"/>
      <w:r>
        <w:rPr>
          <w:highlight w:val="none"/>
        </w:rPr>
      </w:r>
      <w:bookmarkStart w:id="8" w:name="_Toc35393790"/>
      <w:r>
        <w:rPr>
          <w:highlight w:val="none"/>
        </w:rPr>
      </w:r>
      <w:bookmarkStart w:id="9" w:name="_Toc38985263"/>
      <w:r>
        <w:rPr>
          <w:highlight w:val="none"/>
        </w:rPr>
      </w:r>
      <w:bookmarkStart w:id="10" w:name="_Toc28359079"/>
      <w:r>
        <w:rPr>
          <w:highlight w:val="none"/>
        </w:rPr>
      </w:r>
      <w:bookmarkStart w:id="11" w:name="_Toc28359002"/>
      <w:r>
        <w:rPr>
          <w:highlight w:val="none"/>
        </w:rPr>
      </w:r>
      <w:bookmarkStart w:id="12" w:name="_Hlk24379207"/>
      <w:r>
        <w:rPr>
          <w:rFonts w:hint="eastAsia" w:ascii="仿宋" w:hAnsi="仿宋" w:eastAsia="仿宋"/>
          <w:b/>
          <w:bCs/>
          <w:color w:val="000000" w:themeColor="text1"/>
          <w:sz w:val="28"/>
          <w:szCs w:val="28"/>
          <w:highlight w:val="none"/>
          <w14:textFill>
            <w14:solidFill>
              <w14:schemeClr w14:val="tx1"/>
            </w14:solidFill>
          </w14:textFill>
        </w:rPr>
        <w:t xml:space="preserve">一、项目基本情况</w:t>
      </w:r>
      <w:bookmarkEnd w:id="7"/>
      <w:r>
        <w:rPr>
          <w:highlight w:val="none"/>
        </w:rPr>
      </w:r>
      <w:bookmarkEnd w:id="8"/>
      <w:r>
        <w:rPr>
          <w:highlight w:val="none"/>
        </w:rPr>
      </w:r>
      <w:bookmarkEnd w:id="9"/>
      <w:r>
        <w:rPr>
          <w:highlight w:val="none"/>
        </w:rPr>
      </w:r>
      <w:bookmarkEnd w:id="10"/>
      <w:r>
        <w:rPr>
          <w:highlight w:val="none"/>
        </w:rPr>
      </w:r>
      <w:bookmarkEnd w:id="11"/>
      <w:r>
        <w:rPr>
          <w:highlight w:val="none"/>
        </w:rPr>
      </w:r>
      <w:r>
        <w:rPr>
          <w:highlight w:val="none"/>
        </w:rPr>
      </w:r>
    </w:p>
    <w:p>
      <w:pPr>
        <w:ind w:firstLine="560"/>
        <w:pageBreakBefore w:val="0"/>
        <w:spacing w:line="560" w:lineRule="exact"/>
        <w:rPr>
          <w:rFonts w:hint="default"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1.项目编号：</w:t>
      </w:r>
      <w:r>
        <w:rPr>
          <w:rFonts w:hint="eastAsia" w:ascii="仿宋" w:hAnsi="仿宋" w:eastAsia="仿宋"/>
          <w:color w:val="000000" w:themeColor="text1"/>
          <w:sz w:val="28"/>
          <w:szCs w:val="28"/>
          <w:highlight w:val="none"/>
          <w14:textFill>
            <w14:solidFill>
              <w14:schemeClr w14:val="tx1"/>
            </w14:solidFill>
          </w14:textFill>
        </w:rPr>
        <w:t xml:space="preserve">JSZC-320600-JZCG-G202</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0052</w:t>
      </w:r>
      <w:r>
        <w:rPr>
          <w:highlight w:val="none"/>
        </w:rPr>
      </w:r>
    </w:p>
    <w:p>
      <w:pPr>
        <w:ind w:firstLine="560"/>
        <w:pageBreakBefore w:val="0"/>
        <w:spacing w:line="56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2.项目名称：</w:t>
      </w:r>
      <w:bookmarkEnd w:id="12"/>
      <w:r>
        <w:rPr>
          <w:rFonts w:hint="eastAsia" w:ascii="仿宋" w:hAnsi="仿宋" w:eastAsia="仿宋"/>
          <w:color w:val="000000" w:themeColor="text1"/>
          <w:sz w:val="28"/>
          <w:szCs w:val="28"/>
          <w:highlight w:val="none"/>
          <w14:textFill>
            <w14:solidFill>
              <w14:schemeClr w14:val="tx1"/>
            </w14:solidFill>
          </w14:textFill>
        </w:rPr>
        <w:t xml:space="preserve">南通市田家炳初级中学新建食堂风雨操场综合楼食堂厨具（含桌凳）设备和安装采购项目</w:t>
      </w:r>
      <w:r>
        <w:rPr>
          <w:highlight w:val="none"/>
        </w:rPr>
      </w:r>
    </w:p>
    <w:p>
      <w:pPr>
        <w:ind w:firstLine="560"/>
        <w:pageBreakBefore w:val="0"/>
        <w:spacing w:line="56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3.预算金额：</w:t>
      </w:r>
      <w:bookmarkStart w:id="13" w:name="_Toc28359003"/>
      <w:r>
        <w:rPr>
          <w:highlight w:val="none"/>
        </w:rPr>
      </w:r>
      <w:bookmarkStart w:id="14" w:name="_Toc35393791"/>
      <w:r>
        <w:rPr>
          <w:highlight w:val="none"/>
        </w:rPr>
      </w:r>
      <w:bookmarkStart w:id="15" w:name="_Toc28359080"/>
      <w:r>
        <w:rPr>
          <w:highlight w:val="none"/>
        </w:rPr>
      </w:r>
      <w:bookmarkStart w:id="16" w:name="_Toc38985264"/>
      <w:r>
        <w:rPr>
          <w:highlight w:val="none"/>
        </w:rPr>
      </w:r>
      <w:bookmarkStart w:id="17" w:name="_Toc35393622"/>
      <w:r>
        <w:rPr>
          <w:rFonts w:hint="eastAsia" w:ascii="仿宋" w:hAnsi="仿宋" w:eastAsia="仿宋"/>
          <w:color w:val="000000" w:themeColor="text1"/>
          <w:sz w:val="28"/>
          <w:szCs w:val="28"/>
          <w:highlight w:val="none"/>
          <w14:textFill>
            <w14:solidFill>
              <w14:schemeClr w14:val="tx1"/>
            </w14:solidFill>
          </w14:textFill>
        </w:rPr>
        <w:t xml:space="preserve">275.42 万元</w:t>
      </w:r>
      <w:r>
        <w:rPr>
          <w:highlight w:val="none"/>
        </w:rPr>
      </w:r>
    </w:p>
    <w:p>
      <w:pPr>
        <w:ind w:firstLine="560"/>
        <w:pageBreakBefore w:val="0"/>
        <w:spacing w:line="560" w:lineRule="exact"/>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 xml:space="preserve">4.最高限价：</w:t>
      </w:r>
      <w:r>
        <w:rPr>
          <w:rFonts w:hint="eastAsia" w:ascii="仿宋" w:hAnsi="仿宋" w:eastAsia="仿宋"/>
          <w:color w:val="000000" w:themeColor="text1"/>
          <w:sz w:val="28"/>
          <w:szCs w:val="28"/>
          <w:highlight w:val="none"/>
          <w14:textFill>
            <w14:solidFill>
              <w14:schemeClr w14:val="tx1"/>
            </w14:solidFill>
          </w14:textFill>
        </w:rPr>
        <w:t xml:space="preserve">275.42 万元</w:t>
      </w:r>
      <w:r>
        <w:rPr>
          <w:highlight w:val="none"/>
        </w:rPr>
      </w:r>
    </w:p>
    <w:p>
      <w:pPr>
        <w:ind w:firstLine="560"/>
        <w:spacing w:after="62" w:line="480" w:lineRule="exact"/>
        <w:rPr>
          <w:rFonts w:ascii="Times New Roman" w:hAnsi="Times New Roman" w:eastAsia="仿宋" w:cs="Times New Roman"/>
          <w:color w:val="000000"/>
          <w:sz w:val="28"/>
          <w:szCs w:val="28"/>
          <w:highlight w:val="none"/>
        </w:rPr>
      </w:pPr>
      <w:r>
        <w:rPr>
          <w:rFonts w:hint="eastAsia" w:ascii="仿宋" w:hAnsi="仿宋" w:eastAsia="仿宋"/>
          <w:color w:val="000000" w:themeColor="text1"/>
          <w:sz w:val="28"/>
          <w:szCs w:val="28"/>
          <w:highlight w:val="none"/>
          <w14:textFill>
            <w14:solidFill>
              <w14:schemeClr w14:val="tx1"/>
            </w14:solidFill>
          </w14:textFill>
        </w:rPr>
        <w:t xml:space="preserve">5.采购需求（简介）：</w:t>
      </w:r>
      <w:r>
        <w:rPr>
          <w:rFonts w:ascii="Times New Roman" w:hAnsi="Times New Roman" w:eastAsia="仿宋" w:cs="Times New Roman"/>
          <w:color w:val="000000"/>
          <w:sz w:val="28"/>
          <w:szCs w:val="28"/>
          <w:highlight w:val="none"/>
        </w:rPr>
        <w:t xml:space="preserve">学校食堂设备采购项目，满足学校师生员工就餐需求。采购范围包括学校厨房设备的制作、运输、安装、摆放就位、检测、售后服务等，性能、材料、结构、外观、安全等技术参数详见清单。</w:t>
      </w:r>
      <w:r>
        <w:rPr>
          <w:highlight w:val="none"/>
        </w:rPr>
      </w:r>
    </w:p>
    <w:p>
      <w:pPr>
        <w:ind w:firstLine="560"/>
        <w:spacing w:after="62" w:line="480" w:lineRule="exact"/>
        <w:rPr>
          <w:rFonts w:ascii="仿宋" w:hAnsi="仿宋" w:eastAsia="仿宋"/>
          <w:color w:val="000000" w:themeColor="text1"/>
          <w:sz w:val="28"/>
          <w:szCs w:val="28"/>
          <w:highlight w:val="none"/>
          <w:u w:val="single"/>
          <w14:textFill>
            <w14:solidFill>
              <w14:schemeClr w14:val="tx1"/>
            </w14:solidFill>
          </w14:textFill>
        </w:rPr>
      </w:pPr>
      <w:r>
        <w:rPr>
          <w:rFonts w:ascii="Times New Roman" w:hAnsi="Times New Roman" w:eastAsia="仿宋" w:cs="Times New Roman"/>
          <w:color w:val="000000"/>
          <w:sz w:val="28"/>
          <w:szCs w:val="28"/>
          <w:highlight w:val="none"/>
        </w:rPr>
        <w:t xml:space="preserve">6.合同履行期限：签订合同后30天内完成供货安装调试，并通过采购人验收。</w:t>
      </w:r>
      <w:r>
        <w:rPr>
          <w:highlight w:val="none"/>
        </w:rPr>
      </w:r>
    </w:p>
    <w:p>
      <w:pPr>
        <w:pageBreakBefore w:val="0"/>
        <w:spacing w:line="56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二、申请人的资格要求：</w:t>
      </w:r>
      <w:bookmarkEnd w:id="13"/>
      <w:r>
        <w:rPr>
          <w:highlight w:val="none"/>
        </w:rPr>
      </w:r>
      <w:bookmarkEnd w:id="14"/>
      <w:r>
        <w:rPr>
          <w:highlight w:val="none"/>
        </w:rPr>
      </w:r>
      <w:bookmarkEnd w:id="15"/>
      <w:r>
        <w:rPr>
          <w:highlight w:val="none"/>
        </w:rPr>
      </w:r>
      <w:bookmarkEnd w:id="16"/>
      <w:r>
        <w:rPr>
          <w:highlight w:val="none"/>
        </w:rPr>
      </w:r>
      <w:bookmarkEnd w:id="17"/>
      <w:r>
        <w:rPr>
          <w:highlight w:val="none"/>
        </w:rPr>
      </w:r>
      <w:r>
        <w:rPr>
          <w:highlight w:val="none"/>
        </w:rP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Pr>
      <w:r>
        <w:rPr>
          <w:highlight w:val="none"/>
        </w:rPr>
      </w:r>
      <w:bookmarkStart w:id="18" w:name="_Toc28359081"/>
      <w:r>
        <w:rPr>
          <w:highlight w:val="none"/>
        </w:rPr>
      </w:r>
      <w:bookmarkStart w:id="19" w:name="_Toc28359004"/>
      <w:r>
        <w:rPr>
          <w:highlight w:val="none"/>
        </w:rPr>
      </w:r>
      <w:bookmarkStart w:id="20" w:name="_Toc38985265"/>
      <w:r>
        <w:rPr>
          <w:highlight w:val="none"/>
        </w:rPr>
      </w:r>
      <w:bookmarkStart w:id="21" w:name="_Toc35393792"/>
      <w:r>
        <w:rPr>
          <w:highlight w:val="none"/>
        </w:rPr>
      </w:r>
      <w:bookmarkStart w:id="22" w:name="_Toc35393623"/>
      <w:r>
        <w:rPr>
          <w:rFonts w:hint="eastAsia" w:ascii="仿宋" w:hAnsi="仿宋" w:eastAsia="仿宋"/>
          <w:color w:val="000000" w:themeColor="text1"/>
          <w:sz w:val="28"/>
          <w:szCs w:val="28"/>
          <w:highlight w:val="none"/>
          <w14:textFill>
            <w14:solidFill>
              <w14:schemeClr w14:val="tx1"/>
            </w14:solidFill>
          </w14:textFill>
        </w:rPr>
        <w:t xml:space="preserve">（一</w:t>
      </w:r>
      <w:r>
        <w:rPr>
          <w:rFonts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通用</w:t>
      </w:r>
      <w:r>
        <w:rPr>
          <w:rFonts w:ascii="仿宋" w:hAnsi="仿宋" w:eastAsia="仿宋"/>
          <w:color w:val="000000" w:themeColor="text1"/>
          <w:sz w:val="28"/>
          <w:szCs w:val="28"/>
          <w:highlight w:val="none"/>
          <w14:textFill>
            <w14:solidFill>
              <w14:schemeClr w14:val="tx1"/>
            </w14:solidFill>
          </w14:textFill>
        </w:rPr>
        <w:t xml:space="preserve">资格要求</w:t>
      </w:r>
      <w:r>
        <w:rPr>
          <w:highlight w:val="none"/>
        </w:rP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1.满足《中华人民共和国政府采购法》第二十二条规定。</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提供声明函</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highlight w:val="none"/>
        </w:rP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highlight w:val="none"/>
        </w:rP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3.落实政府采购政策需满足的资格要求：</w:t>
      </w:r>
      <w:r>
        <w:rPr>
          <w:rFonts w:hint="eastAsia" w:ascii="仿宋" w:hAnsi="仿宋" w:eastAsia="仿宋"/>
          <w:color w:val="000000" w:themeColor="text1"/>
          <w:sz w:val="28"/>
          <w:szCs w:val="28"/>
          <w:highlight w:val="none"/>
          <w14:textFill>
            <w14:solidFill>
              <w14:schemeClr w14:val="tx1"/>
            </w14:solidFill>
          </w14:textFill>
        </w:rPr>
        <w:t xml:space="preserve">本项目专门面向中小微型企业采购</w:t>
      </w:r>
      <w:r>
        <w:rPr>
          <w:rFonts w:hint="eastAsia" w:ascii="仿宋" w:hAnsi="仿宋" w:eastAsia="仿宋"/>
          <w:color w:val="000000" w:themeColor="text1"/>
          <w:sz w:val="28"/>
          <w:szCs w:val="28"/>
          <w:highlight w:val="none"/>
          <w14:textFill>
            <w14:solidFill>
              <w14:schemeClr w14:val="tx1"/>
            </w14:solidFill>
          </w14:textFill>
        </w:rPr>
        <w:t xml:space="preserve">。残疾人福利性单位、监狱和戒毒企业（简称监狱企业）视同小型、微型企业。（供应商按要求填写并提供《中小微企业声明函》或《残疾人福利性单位声明函》，或提供由省级以上监狱管理局、戒毒管理局</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含新疆生产建设兵团</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出具的属于监狱企业的证明文件。）</w:t>
      </w:r>
      <w:r>
        <w:rPr>
          <w:highlight w:val="none"/>
        </w:rP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4.本项目不接受联合体投标。</w:t>
      </w:r>
      <w:r>
        <w:rPr>
          <w:highlight w:val="none"/>
        </w:rPr>
      </w:r>
    </w:p>
    <w:p>
      <w:pPr>
        <w:ind w:firstLine="560"/>
        <w:pageBreakBefore w:val="0"/>
        <w:spacing w:line="56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5.本项目不接受分包。</w:t>
      </w:r>
      <w:r>
        <w:rPr>
          <w:highlight w:val="none"/>
        </w:rPr>
      </w:r>
    </w:p>
    <w:p>
      <w:pPr>
        <w:ind w:firstLine="560"/>
        <w:pageBreakBefore w:val="0"/>
        <w:spacing w:line="56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（二）本项目的特定资格要求</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无</w:t>
      </w:r>
      <w:r>
        <w:rPr>
          <w:highlight w:val="none"/>
        </w:rPr>
      </w:r>
    </w:p>
    <w:p>
      <w:pPr>
        <w:keepLines/>
        <w:keepNext/>
        <w:pageBreakBefore w:val="0"/>
        <w:spacing w:before="120" w:after="120" w:line="560" w:lineRule="exact"/>
        <w:rPr>
          <w:rFonts w:ascii="仿宋" w:hAnsi="仿宋" w:eastAsia="仿宋"/>
          <w:b/>
          <w:bCs/>
          <w:color w:val="000000" w:themeColor="text1"/>
          <w:sz w:val="28"/>
          <w:szCs w:val="28"/>
          <w:highlight w:val="none"/>
          <w14:textFill>
            <w14:solidFill>
              <w14:schemeClr w14:val="tx1"/>
            </w14:solidFill>
          </w14:textFill>
        </w:rPr>
        <w:outlineLvl w:val="2"/>
      </w:pPr>
      <w:r>
        <w:rPr>
          <w:rFonts w:hint="eastAsia" w:ascii="仿宋" w:hAnsi="仿宋" w:eastAsia="仿宋"/>
          <w:b/>
          <w:bCs/>
          <w:color w:val="000000" w:themeColor="text1"/>
          <w:sz w:val="28"/>
          <w:szCs w:val="28"/>
          <w:highlight w:val="none"/>
          <w14:textFill>
            <w14:solidFill>
              <w14:schemeClr w14:val="tx1"/>
            </w14:solidFill>
          </w14:textFill>
        </w:rPr>
        <w:t xml:space="preserve">三、获取招标文件</w:t>
      </w:r>
      <w:bookmarkEnd w:id="18"/>
      <w:r>
        <w:rPr>
          <w:highlight w:val="none"/>
        </w:rPr>
      </w:r>
      <w:bookmarkEnd w:id="19"/>
      <w:r>
        <w:rPr>
          <w:highlight w:val="none"/>
        </w:rPr>
      </w:r>
      <w:bookmarkEnd w:id="20"/>
      <w:r>
        <w:rPr>
          <w:highlight w:val="none"/>
        </w:rPr>
      </w:r>
      <w:bookmarkEnd w:id="21"/>
      <w:r>
        <w:rPr>
          <w:highlight w:val="none"/>
        </w:rPr>
      </w:r>
      <w:bookmarkEnd w:id="22"/>
      <w:r>
        <w:rPr>
          <w:highlight w:val="none"/>
        </w:rPr>
      </w:r>
      <w:r>
        <w:rPr>
          <w:highlight w:val="none"/>
        </w:rPr>
      </w:r>
    </w:p>
    <w:p>
      <w:pPr>
        <w:ind w:firstLine="540"/>
        <w:pageBreakBefore w:val="0"/>
        <w:spacing w:line="560" w:lineRule="exact"/>
        <w:rPr>
          <w:rFonts w:ascii="仿宋" w:hAnsi="仿宋" w:eastAsia="仿宋" w:cs="宋体"/>
          <w:color w:val="000000" w:themeColor="text1"/>
          <w:sz w:val="28"/>
          <w:szCs w:val="28"/>
          <w:highlight w:val="none"/>
          <w14:textFill>
            <w14:solidFill>
              <w14:schemeClr w14:val="tx1"/>
            </w14:solidFill>
          </w14:textFill>
        </w:rPr>
      </w:pPr>
      <w:r>
        <w:rPr>
          <w:highlight w:val="none"/>
        </w:rPr>
      </w:r>
      <w:bookmarkStart w:id="23" w:name="_Toc28359082"/>
      <w:r>
        <w:rPr>
          <w:highlight w:val="none"/>
        </w:rPr>
      </w:r>
      <w:bookmarkStart w:id="24" w:name="_Toc28359005"/>
      <w:r>
        <w:rPr>
          <w:highlight w:val="none"/>
        </w:rPr>
      </w:r>
      <w:bookmarkStart w:id="25" w:name="_Toc38985266"/>
      <w:r>
        <w:rPr>
          <w:highlight w:val="none"/>
        </w:rPr>
      </w:r>
      <w:bookmarkStart w:id="26" w:name="_Toc35393624"/>
      <w:r>
        <w:rPr>
          <w:highlight w:val="none"/>
        </w:rPr>
      </w:r>
      <w:bookmarkStart w:id="27" w:name="_Toc35393793"/>
      <w:r>
        <w:rPr>
          <w:rFonts w:hint="eastAsia" w:ascii="仿宋" w:hAnsi="仿宋" w:eastAsia="仿宋" w:cs="宋体"/>
          <w:color w:val="000000" w:themeColor="text1"/>
          <w:sz w:val="28"/>
          <w:szCs w:val="28"/>
          <w:highlight w:val="none"/>
          <w14:textFill>
            <w14:solidFill>
              <w14:schemeClr w14:val="tx1"/>
            </w14:solidFill>
          </w14:textFill>
        </w:rPr>
        <w:t xml:space="preserve">1.时间：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12</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月18</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23:59</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highlight w:val="none"/>
        </w:rPr>
      </w:r>
    </w:p>
    <w:p>
      <w:pPr>
        <w:ind w:firstLine="540"/>
        <w:pageBreakBefore w:val="0"/>
        <w:spacing w:line="560" w:lineRule="exact"/>
        <w:rPr>
          <w:rFonts w:ascii="仿宋" w:hAnsi="仿宋" w:eastAsia="仿宋" w:cs="宋体"/>
          <w:color w:val="000000" w:themeColor="text1"/>
          <w:sz w:val="28"/>
          <w:szCs w:val="28"/>
          <w:highlight w:val="none"/>
          <w:u w:val="singl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2.方式：在“江苏政府采购网”自行免费下载招标文件。</w:t>
      </w:r>
      <w:r>
        <w:rPr>
          <w:highlight w:val="none"/>
        </w:rPr>
      </w:r>
    </w:p>
    <w:p>
      <w:pPr>
        <w:keepLines/>
        <w:keepNext/>
        <w:pageBreakBefore w:val="0"/>
        <w:spacing w:before="120" w:after="120" w:line="560" w:lineRule="exact"/>
        <w:rPr>
          <w:rFonts w:ascii="仿宋" w:hAnsi="仿宋" w:eastAsia="仿宋"/>
          <w:b/>
          <w:bCs/>
          <w:color w:val="000000" w:themeColor="text1"/>
          <w:sz w:val="28"/>
          <w:szCs w:val="28"/>
          <w:highlight w:val="none"/>
          <w14:textFill>
            <w14:solidFill>
              <w14:schemeClr w14:val="tx1"/>
            </w14:solidFill>
          </w14:textFill>
        </w:rPr>
        <w:outlineLvl w:val="2"/>
      </w:pPr>
      <w:r>
        <w:rPr>
          <w:rFonts w:hint="eastAsia" w:ascii="仿宋" w:hAnsi="仿宋" w:eastAsia="仿宋"/>
          <w:b/>
          <w:bCs/>
          <w:color w:val="000000" w:themeColor="text1"/>
          <w:sz w:val="28"/>
          <w:szCs w:val="28"/>
          <w:highlight w:val="none"/>
          <w14:textFill>
            <w14:solidFill>
              <w14:schemeClr w14:val="tx1"/>
            </w14:solidFill>
          </w14:textFill>
        </w:rPr>
        <w:t xml:space="preserve">四、提交投标文件</w:t>
      </w:r>
      <w:bookmarkEnd w:id="23"/>
      <w:r>
        <w:rPr>
          <w:highlight w:val="none"/>
        </w:rPr>
      </w:r>
      <w:bookmarkEnd w:id="24"/>
      <w:r>
        <w:rPr>
          <w:rFonts w:hint="eastAsia" w:ascii="仿宋" w:hAnsi="仿宋" w:eastAsia="仿宋"/>
          <w:b/>
          <w:bCs/>
          <w:color w:val="000000" w:themeColor="text1"/>
          <w:sz w:val="28"/>
          <w:szCs w:val="28"/>
          <w:highlight w:val="none"/>
          <w14:textFill>
            <w14:solidFill>
              <w14:schemeClr w14:val="tx1"/>
            </w14:solidFill>
          </w14:textFill>
        </w:rPr>
        <w:t xml:space="preserve">截止时间、开标时间和地点</w:t>
      </w:r>
      <w:bookmarkEnd w:id="25"/>
      <w:r>
        <w:rPr>
          <w:highlight w:val="none"/>
        </w:rPr>
      </w:r>
      <w:bookmarkEnd w:id="26"/>
      <w:r>
        <w:rPr>
          <w:highlight w:val="none"/>
        </w:rPr>
      </w:r>
      <w:bookmarkEnd w:id="27"/>
      <w:r>
        <w:rPr>
          <w:highlight w:val="none"/>
        </w:rPr>
      </w:r>
      <w:r>
        <w:rPr>
          <w:highlight w:val="none"/>
        </w:rPr>
      </w:r>
    </w:p>
    <w:p>
      <w:pPr>
        <w:ind w:firstLine="560"/>
        <w:pageBreakBefore w:val="0"/>
        <w:spacing w:line="560" w:lineRule="exact"/>
        <w:rPr>
          <w:rFonts w:hint="eastAsia" w:ascii="仿宋" w:hAnsi="仿宋" w:eastAsia="仿宋" w:cs="宋体"/>
          <w:i/>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u w:val="single"/>
          <w14:textFill>
            <w14:solidFill>
              <w14:schemeClr w14:val="tx1"/>
            </w14:solidFill>
          </w14:textFill>
        </w:rPr>
        <w:t xml:space="preserve">1.</w:t>
      </w:r>
      <w:r>
        <w:rPr>
          <w:rFonts w:hint="eastAsia" w:ascii="仿宋" w:hAnsi="仿宋" w:eastAsia="仿宋"/>
          <w:bCs/>
          <w:color w:val="000000" w:themeColor="text1"/>
          <w:sz w:val="28"/>
          <w:szCs w:val="28"/>
          <w:highlight w:val="none"/>
          <w:u w:val="single"/>
          <w:lang w:eastAsia="zh-CN"/>
          <w14:textFill>
            <w14:solidFill>
              <w14:schemeClr w14:val="tx1"/>
            </w14:solidFill>
          </w14:textFill>
        </w:rPr>
        <w:t xml:space="preserve">2026</w:t>
      </w:r>
      <w:r>
        <w:rPr>
          <w:rFonts w:hint="eastAsia" w:ascii="仿宋" w:hAnsi="仿宋" w:eastAsia="仿宋"/>
          <w:bCs/>
          <w:color w:val="000000" w:themeColor="text1"/>
          <w:sz w:val="28"/>
          <w:szCs w:val="28"/>
          <w:highlight w:val="none"/>
          <w:u w:val="single"/>
          <w14:textFill>
            <w14:solidFill>
              <w14:schemeClr w14:val="tx1"/>
            </w14:solidFill>
          </w14:textFill>
        </w:rPr>
        <w:t xml:space="preserve">年</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7</w:t>
      </w:r>
      <w:r>
        <w:rPr>
          <w:rFonts w:hint="eastAsia" w:ascii="仿宋" w:hAnsi="仿宋" w:eastAsia="仿宋"/>
          <w:bCs/>
          <w:color w:val="000000" w:themeColor="text1"/>
          <w:sz w:val="28"/>
          <w:szCs w:val="28"/>
          <w:highlight w:val="none"/>
          <w:u w:val="single"/>
          <w14:textFill>
            <w14:solidFill>
              <w14:schemeClr w14:val="tx1"/>
            </w14:solidFill>
          </w14:textFill>
        </w:rPr>
        <w:t xml:space="preserve">月</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2</w:t>
      </w:r>
      <w:r>
        <w:rPr>
          <w:rFonts w:hint="eastAsia" w:ascii="仿宋" w:hAnsi="仿宋" w:eastAsia="仿宋"/>
          <w:bCs/>
          <w:color w:val="000000" w:themeColor="text1"/>
          <w:sz w:val="28"/>
          <w:szCs w:val="28"/>
          <w:highlight w:val="none"/>
          <w:u w:val="single"/>
          <w14:textFill>
            <w14:solidFill>
              <w14:schemeClr w14:val="tx1"/>
            </w14:solidFill>
          </w14:textFill>
        </w:rPr>
        <w:t xml:space="preserve">日</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14</w:t>
      </w:r>
      <w:r>
        <w:rPr>
          <w:rFonts w:hint="eastAsia" w:ascii="仿宋" w:hAnsi="仿宋" w:eastAsia="仿宋"/>
          <w:bCs/>
          <w:color w:val="000000" w:themeColor="text1"/>
          <w:sz w:val="28"/>
          <w:szCs w:val="28"/>
          <w:highlight w:val="none"/>
          <w:u w:val="single"/>
          <w14:textFill>
            <w14:solidFill>
              <w14:schemeClr w14:val="tx1"/>
            </w14:solidFill>
          </w14:textFill>
        </w:rPr>
        <w:t xml:space="preserve">点</w:t>
      </w:r>
      <w:r>
        <w:rPr>
          <w:rFonts w:hint="eastAsia" w:ascii="仿宋" w:hAnsi="仿宋" w:eastAsia="仿宋"/>
          <w:bCs/>
          <w:color w:val="000000" w:themeColor="text1"/>
          <w:sz w:val="28"/>
          <w:szCs w:val="28"/>
          <w:highlight w:val="none"/>
          <w:u w:val="single"/>
          <w:lang w:val="en-US" w:eastAsia="zh-CN"/>
          <w14:textFill>
            <w14:solidFill>
              <w14:schemeClr w14:val="tx1"/>
            </w14:solidFill>
          </w14:textFill>
        </w:rPr>
        <w:t xml:space="preserve">0</w:t>
      </w:r>
      <w:r>
        <w:rPr>
          <w:rFonts w:hint="eastAsia" w:ascii="仿宋" w:hAnsi="仿宋" w:eastAsia="仿宋"/>
          <w:bCs/>
          <w:color w:val="000000" w:themeColor="text1"/>
          <w:sz w:val="28"/>
          <w:szCs w:val="28"/>
          <w:highlight w:val="none"/>
          <w:u w:val="single"/>
          <w14:textFill>
            <w14:solidFill>
              <w14:schemeClr w14:val="tx1"/>
            </w14:solidFill>
          </w14:textFill>
        </w:rPr>
        <w:t xml:space="preserve">0分</w:t>
      </w:r>
      <w:r>
        <w:rPr>
          <w:rFonts w:hint="eastAsia" w:ascii="仿宋" w:hAnsi="仿宋" w:eastAsia="仿宋"/>
          <w:bCs/>
          <w:color w:val="000000" w:themeColor="text1"/>
          <w:sz w:val="28"/>
          <w:szCs w:val="28"/>
          <w:highlight w:val="none"/>
          <w14:textFill>
            <w14:solidFill>
              <w14:schemeClr w14:val="tx1"/>
            </w14:solidFill>
          </w14:textFill>
        </w:rPr>
        <w:t xml:space="preserve">（北京时间）</w:t>
      </w:r>
      <w:r>
        <w:rPr>
          <w:highlight w:val="none"/>
        </w:rPr>
      </w:r>
    </w:p>
    <w:p>
      <w:pPr>
        <w:ind w:firstLine="560"/>
        <w:pageBreakBefore w:val="0"/>
        <w:spacing w:line="560" w:lineRule="exact"/>
        <w:rPr>
          <w:rFonts w:hint="eastAsia" w:ascii="仿宋" w:hAnsi="仿宋" w:eastAsia="仿宋"/>
          <w:bCs/>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2.地点：“苏采云”政府采购交易系统网上开标大厅</w:t>
      </w:r>
      <w:r>
        <w:rPr>
          <w:highlight w:val="none"/>
        </w:rPr>
      </w:r>
    </w:p>
    <w:p>
      <w:pPr>
        <w:keepLines/>
        <w:keepNext/>
        <w:pageBreakBefore w:val="0"/>
        <w:spacing w:before="120" w:after="120" w:line="560" w:lineRule="exact"/>
        <w:rPr>
          <w:rFonts w:ascii="仿宋" w:hAnsi="仿宋" w:eastAsia="仿宋"/>
          <w:b/>
          <w:bCs/>
          <w:color w:val="000000" w:themeColor="text1"/>
          <w:sz w:val="28"/>
          <w:szCs w:val="28"/>
          <w:highlight w:val="none"/>
          <w14:textFill>
            <w14:solidFill>
              <w14:schemeClr w14:val="tx1"/>
            </w14:solidFill>
          </w14:textFill>
        </w:rPr>
        <w:outlineLvl w:val="2"/>
      </w:pPr>
      <w:r>
        <w:rPr>
          <w:highlight w:val="none"/>
        </w:rPr>
      </w:r>
      <w:bookmarkStart w:id="28" w:name="_Toc28359084"/>
      <w:r>
        <w:rPr>
          <w:highlight w:val="none"/>
        </w:rPr>
      </w:r>
      <w:bookmarkStart w:id="29" w:name="_Toc38985267"/>
      <w:r>
        <w:rPr>
          <w:highlight w:val="none"/>
        </w:rPr>
      </w:r>
      <w:bookmarkStart w:id="30" w:name="_Toc28359007"/>
      <w:r>
        <w:rPr>
          <w:highlight w:val="none"/>
        </w:rPr>
      </w:r>
      <w:bookmarkStart w:id="31" w:name="_Toc35393794"/>
      <w:r>
        <w:rPr>
          <w:highlight w:val="none"/>
        </w:rPr>
      </w:r>
      <w:bookmarkStart w:id="32" w:name="_Toc35393625"/>
      <w:r>
        <w:rPr>
          <w:rFonts w:hint="eastAsia" w:ascii="仿宋" w:hAnsi="仿宋" w:eastAsia="仿宋"/>
          <w:b/>
          <w:bCs/>
          <w:color w:val="000000" w:themeColor="text1"/>
          <w:sz w:val="28"/>
          <w:szCs w:val="28"/>
          <w:highlight w:val="none"/>
          <w14:textFill>
            <w14:solidFill>
              <w14:schemeClr w14:val="tx1"/>
            </w14:solidFill>
          </w14:textFill>
        </w:rPr>
        <w:t xml:space="preserve">五、公告期限</w:t>
      </w:r>
      <w:bookmarkEnd w:id="28"/>
      <w:r>
        <w:rPr>
          <w:highlight w:val="none"/>
        </w:rPr>
      </w:r>
      <w:bookmarkEnd w:id="29"/>
      <w:r>
        <w:rPr>
          <w:highlight w:val="none"/>
        </w:rPr>
      </w:r>
      <w:bookmarkEnd w:id="30"/>
      <w:r>
        <w:rPr>
          <w:highlight w:val="none"/>
        </w:rPr>
      </w:r>
      <w:bookmarkEnd w:id="31"/>
      <w:r>
        <w:rPr>
          <w:highlight w:val="none"/>
        </w:rPr>
      </w:r>
      <w:bookmarkEnd w:id="32"/>
      <w:r>
        <w:rPr>
          <w:highlight w:val="none"/>
        </w:rPr>
      </w:r>
      <w:r>
        <w:rPr>
          <w:highlight w:val="none"/>
        </w:rPr>
      </w:r>
    </w:p>
    <w:p>
      <w:pPr>
        <w:pageBreakBefore w:val="0"/>
        <w:spacing w:line="560" w:lineRule="exact"/>
        <w:rPr>
          <w:rFonts w:ascii="仿宋" w:hAnsi="仿宋" w:eastAsia="仿宋" w:cs="宋体"/>
          <w:color w:val="000000" w:themeColor="text1"/>
          <w:sz w:val="28"/>
          <w:szCs w:val="28"/>
          <w:highlight w:val="none"/>
          <w14:textFill>
            <w14:solidFill>
              <w14:schemeClr w14:val="tx1"/>
            </w14:solidFill>
          </w14:textFill>
        </w:rPr>
      </w:pPr>
      <w:r>
        <w:rPr>
          <w:highlight w:val="none"/>
        </w:rPr>
      </w:r>
      <w:bookmarkStart w:id="33" w:name="_Toc35393795"/>
      <w:r>
        <w:rPr>
          <w:highlight w:val="none"/>
        </w:rPr>
      </w:r>
      <w:bookmarkStart w:id="34" w:name="_Toc35393626"/>
      <w:r>
        <w:rPr>
          <w:highlight w:val="none"/>
        </w:rPr>
      </w:r>
      <w:bookmarkStart w:id="35" w:name="_Toc38985268"/>
      <w:r>
        <w:rPr>
          <w:rFonts w:hint="eastAsia" w:ascii="仿宋" w:hAnsi="仿宋" w:eastAsia="仿宋" w:cs="宋体"/>
          <w:color w:val="000000" w:themeColor="text1"/>
          <w:sz w:val="28"/>
          <w:szCs w:val="28"/>
          <w:highlight w:val="none"/>
          <w14:textFill>
            <w14:solidFill>
              <w14:schemeClr w14:val="tx1"/>
            </w14:solidFill>
          </w14:textFill>
        </w:rPr>
        <w:t xml:space="preserve">招标公告及招标文件公告期限为自本公告发布之日起5个工作日。</w:t>
      </w:r>
      <w:r>
        <w:rPr>
          <w:highlight w:val="none"/>
        </w:rPr>
      </w:r>
    </w:p>
    <w:p>
      <w:pPr>
        <w:keepLines/>
        <w:keepNext/>
        <w:pageBreakBefore w:val="0"/>
        <w:spacing w:before="120" w:after="120" w:line="560" w:lineRule="exact"/>
        <w:rPr>
          <w:rFonts w:ascii="仿宋" w:hAnsi="仿宋" w:eastAsia="仿宋"/>
          <w:b/>
          <w:bCs/>
          <w:color w:val="000000" w:themeColor="text1"/>
          <w:sz w:val="28"/>
          <w:szCs w:val="28"/>
          <w:highlight w:val="none"/>
          <w14:textFill>
            <w14:solidFill>
              <w14:schemeClr w14:val="tx1"/>
            </w14:solidFill>
          </w14:textFill>
        </w:rPr>
        <w:outlineLvl w:val="2"/>
      </w:pPr>
      <w:r>
        <w:rPr>
          <w:rFonts w:hint="eastAsia" w:ascii="仿宋" w:hAnsi="仿宋" w:eastAsia="仿宋"/>
          <w:b/>
          <w:bCs/>
          <w:color w:val="000000" w:themeColor="text1"/>
          <w:sz w:val="28"/>
          <w:szCs w:val="28"/>
          <w:highlight w:val="none"/>
          <w14:textFill>
            <w14:solidFill>
              <w14:schemeClr w14:val="tx1"/>
            </w14:solidFill>
          </w14:textFill>
        </w:rPr>
        <w:t xml:space="preserve">六、其他补充事宜</w:t>
      </w:r>
      <w:bookmarkEnd w:id="33"/>
      <w:r>
        <w:rPr>
          <w:highlight w:val="none"/>
        </w:rPr>
      </w:r>
      <w:bookmarkEnd w:id="34"/>
      <w:r>
        <w:rPr>
          <w:highlight w:val="none"/>
        </w:rPr>
      </w:r>
      <w:bookmarkEnd w:id="35"/>
      <w:r>
        <w:rPr>
          <w:highlight w:val="none"/>
        </w:rPr>
      </w:r>
      <w:r>
        <w:rPr>
          <w:highlight w:val="none"/>
        </w:rPr>
      </w:r>
    </w:p>
    <w:p>
      <w:pPr>
        <w:ind w:right="119" w:firstLine="560"/>
        <w:pageBreakBefore w:val="0"/>
        <w:spacing w:line="56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1.</w:t>
      </w:r>
      <w:r>
        <w:rPr>
          <w:rFonts w:ascii="仿宋" w:hAnsi="仿宋" w:eastAsia="仿宋" w:cs="宋体"/>
          <w:color w:val="000000" w:themeColor="text1"/>
          <w:sz w:val="28"/>
          <w:szCs w:val="28"/>
          <w:highlight w:val="none"/>
          <w14:textFill>
            <w14:solidFill>
              <w14:schemeClr w14:val="tx1"/>
            </w14:solidFill>
          </w14:textFill>
        </w:rPr>
        <w:t xml:space="preserve">投标保证金：免收</w:t>
      </w:r>
      <w:r>
        <w:rPr>
          <w:highlight w:val="none"/>
        </w:rPr>
      </w:r>
    </w:p>
    <w:p>
      <w:pPr>
        <w:ind w:right="119" w:firstLine="560"/>
        <w:pageBreakBefore w:val="0"/>
        <w:spacing w:line="56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2.</w:t>
      </w:r>
      <w:r>
        <w:rPr>
          <w:rFonts w:ascii="仿宋" w:hAnsi="仿宋" w:eastAsia="仿宋" w:cs="宋体"/>
          <w:color w:val="000000" w:themeColor="text1"/>
          <w:sz w:val="28"/>
          <w:szCs w:val="28"/>
          <w:highlight w:val="none"/>
          <w14:textFill>
            <w14:solidFill>
              <w14:schemeClr w14:val="tx1"/>
            </w14:solidFill>
          </w14:textFill>
        </w:rPr>
        <w:t xml:space="preserve">项目演示、样品、答辩等：</w:t>
      </w:r>
      <w:r>
        <w:rPr>
          <w:rFonts w:hint="eastAsia" w:ascii="仿宋" w:hAnsi="仿宋" w:eastAsia="仿宋" w:cs="宋体"/>
          <w:color w:val="000000" w:themeColor="text1"/>
          <w:sz w:val="28"/>
          <w:szCs w:val="28"/>
          <w:highlight w:val="none"/>
          <w14:textFill>
            <w14:solidFill>
              <w14:schemeClr w14:val="tx1"/>
            </w14:solidFill>
          </w14:textFill>
        </w:rPr>
        <w:t xml:space="preserve">详见采购文件</w:t>
      </w:r>
      <w:r>
        <w:rPr>
          <w:highlight w:val="none"/>
        </w:rPr>
      </w:r>
    </w:p>
    <w:p>
      <w:pPr>
        <w:ind w:right="119" w:firstLine="560"/>
        <w:pageBreakBefore w:val="0"/>
        <w:spacing w:line="56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3.供应商（含潜在供应商）对采购方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r>
        <w:rPr>
          <w:highlight w:val="none"/>
        </w:rPr>
      </w:r>
    </w:p>
    <w:p>
      <w:pPr>
        <w:ind w:right="119" w:firstLine="560"/>
        <w:pageBreakBefore w:val="0"/>
        <w:spacing w:line="56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4.有关本次招标的事项若存在变动或修改，均以江苏政府采购网发布的更正或补充通知为准，敬请及时关注。</w:t>
      </w:r>
      <w:r>
        <w:rPr>
          <w:highlight w:val="none"/>
        </w:rPr>
      </w:r>
    </w:p>
    <w:p>
      <w:pPr>
        <w:ind w:right="119" w:firstLine="560"/>
        <w:pageBreakBefore w:val="0"/>
        <w:spacing w:line="56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highlight w:val="none"/>
        </w:rPr>
      </w:r>
    </w:p>
    <w:p>
      <w:pPr>
        <w:ind w:right="119" w:firstLine="560"/>
        <w:pageBreakBefore w:val="0"/>
        <w:spacing w:line="560" w:lineRule="exact"/>
        <w:rPr>
          <w:rFonts w:hint="eastAsia"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 xml:space="preserve">6.“苏采云”系统使用相关提醒</w:t>
      </w:r>
      <w:r>
        <w:rPr>
          <w:highlight w:val="none"/>
        </w:rPr>
      </w:r>
    </w:p>
    <w:p>
      <w:pPr>
        <w:ind w:right="119" w:firstLine="560"/>
        <w:pageBreakBefore w:val="0"/>
        <w:spacing w:line="560" w:lineRule="exact"/>
        <w:rPr>
          <w:rFonts w:hint="eastAsia"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 xml:space="preserve">6.1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highlight w:val="none"/>
        </w:rPr>
      </w:r>
    </w:p>
    <w:p>
      <w:pPr>
        <w:ind w:right="119"/>
        <w:pageBreakBefore w:val="0"/>
        <w:spacing w:line="560" w:lineRule="exact"/>
        <w:rPr>
          <w:rFonts w:hint="eastAsia"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 xml:space="preserve">http://www.ccgp-jiangsu.gov.cn/jiangsu/zlxz/ee/ee3a4bc5a3454aa2b0d9312230633ce9.html</w:t>
      </w:r>
      <w:r>
        <w:rPr>
          <w:highlight w:val="none"/>
        </w:rPr>
      </w:r>
    </w:p>
    <w:p>
      <w:pPr>
        <w:ind w:right="119" w:firstLine="560"/>
        <w:pageBreakBefore w:val="0"/>
        <w:spacing w:line="560" w:lineRule="exact"/>
        <w:rPr>
          <w:rFonts w:hint="eastAsia" w:ascii="仿宋" w:hAnsi="仿宋" w:eastAsia="仿宋" w:cs="宋体"/>
          <w:bCs/>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 xml:space="preserve">6.2领取CA和办理电子签章请至南通市政务服务中心裙楼四楼（南通市公共资源交</w:t>
      </w:r>
      <w:r>
        <w:rPr>
          <w:rFonts w:hint="eastAsia" w:ascii="仿宋" w:hAnsi="仿宋" w:eastAsia="仿宋" w:cs="宋体"/>
          <w:bCs/>
          <w:color w:val="000000" w:themeColor="text1"/>
          <w:sz w:val="28"/>
          <w:szCs w:val="28"/>
          <w:highlight w:val="none"/>
          <w:lang w:val="en-US" w:eastAsia="zh-CN"/>
          <w14:textFill>
            <w14:solidFill>
              <w14:schemeClr w14:val="tx1"/>
            </w14:solidFill>
          </w14:textFill>
        </w:rPr>
        <w:t xml:space="preserve">易</w:t>
      </w:r>
      <w:r>
        <w:rPr>
          <w:rFonts w:hint="eastAsia" w:ascii="仿宋" w:hAnsi="仿宋" w:eastAsia="仿宋" w:cs="宋体"/>
          <w:bCs/>
          <w:color w:val="000000" w:themeColor="text1"/>
          <w:sz w:val="28"/>
          <w:szCs w:val="28"/>
          <w:highlight w:val="none"/>
          <w14:textFill>
            <w14:solidFill>
              <w14:schemeClr w14:val="tx1"/>
            </w14:solidFill>
          </w14:textFill>
        </w:rPr>
        <w:t xml:space="preserve">中心）CA办理窗口办理，详见《江苏省政府采购数字证书</w:t>
      </w:r>
      <w:r>
        <w:rPr>
          <w:rFonts w:hint="eastAsia" w:ascii="仿宋" w:hAnsi="仿宋" w:eastAsia="仿宋" w:cs="宋体"/>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bCs/>
          <w:color w:val="000000" w:themeColor="text1"/>
          <w:sz w:val="28"/>
          <w:szCs w:val="28"/>
          <w:highlight w:val="none"/>
          <w14:textFill>
            <w14:solidFill>
              <w14:schemeClr w14:val="tx1"/>
            </w14:solidFill>
          </w14:textFill>
        </w:rPr>
        <w:t xml:space="preserve">供应商</w:t>
      </w:r>
      <w:r>
        <w:rPr>
          <w:rFonts w:hint="eastAsia" w:ascii="仿宋" w:hAnsi="仿宋" w:eastAsia="仿宋" w:cs="宋体"/>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bCs/>
          <w:color w:val="000000" w:themeColor="text1"/>
          <w:sz w:val="28"/>
          <w:szCs w:val="28"/>
          <w:highlight w:val="none"/>
          <w14:textFill>
            <w14:solidFill>
              <w14:schemeClr w14:val="tx1"/>
            </w14:solidFill>
          </w14:textFill>
        </w:rPr>
        <w:t xml:space="preserve">CA</w:t>
      </w:r>
      <w:r>
        <w:rPr>
          <w:rFonts w:hint="eastAsia" w:ascii="仿宋" w:hAnsi="仿宋" w:eastAsia="仿宋" w:cs="宋体"/>
          <w:bCs/>
          <w:color w:val="000000" w:themeColor="text1"/>
          <w:sz w:val="28"/>
          <w:szCs w:val="28"/>
          <w:highlight w:val="none"/>
          <w14:textFill>
            <w14:solidFill>
              <w14:schemeClr w14:val="tx1"/>
            </w14:solidFill>
          </w14:textFill>
        </w:rPr>
        <w:t xml:space="preserve">及电子签章办理指南》，请及时进行注册并按要求制作、上传电子投标文件。</w:t>
      </w:r>
      <w:r>
        <w:rPr>
          <w:highlight w:val="none"/>
        </w:rPr>
      </w:r>
    </w:p>
    <w:p>
      <w:pPr>
        <w:ind w:right="119" w:firstLine="560"/>
        <w:pageBreakBefore w:val="0"/>
        <w:spacing w:line="560" w:lineRule="exact"/>
        <w:rPr>
          <w:rFonts w:hint="eastAsia" w:ascii="仿宋" w:hAnsi="仿宋" w:eastAsia="仿宋" w:cs="宋体"/>
          <w:b/>
          <w:color w:val="000000" w:themeColor="text1"/>
          <w:sz w:val="28"/>
          <w:szCs w:val="28"/>
          <w:highlight w:val="none"/>
          <w14:textFill>
            <w14:solidFill>
              <w14:schemeClr w14:val="tx1"/>
            </w14:solidFill>
          </w14:textFill>
        </w:rPr>
      </w:pPr>
      <w:r>
        <w:rPr>
          <w:rFonts w:hint="eastAsia" w:ascii="仿宋" w:hAnsi="仿宋" w:eastAsia="仿宋" w:cs="宋体"/>
          <w:bCs/>
          <w:color w:val="000000" w:themeColor="text1"/>
          <w:sz w:val="28"/>
          <w:szCs w:val="28"/>
          <w:highlight w:val="none"/>
          <w14:textFill>
            <w14:solidFill>
              <w14:schemeClr w14:val="tx1"/>
            </w14:solidFill>
          </w14:textFill>
        </w:rPr>
        <w:t xml:space="preserve">6.3开标当天投标供应商应及时登录“苏采云”不见面开标大厅，并在规定时</w:t>
      </w:r>
      <w:r>
        <w:rPr>
          <w:rFonts w:hint="eastAsia" w:ascii="仿宋" w:hAnsi="仿宋" w:eastAsia="仿宋" w:cs="宋体"/>
          <w:bCs/>
          <w:color w:val="000000" w:themeColor="text1"/>
          <w:sz w:val="28"/>
          <w:szCs w:val="28"/>
          <w:highlight w:val="none"/>
          <w14:textFill>
            <w14:solidFill>
              <w14:schemeClr w14:val="tx1"/>
            </w14:solidFill>
          </w14:textFill>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highlight w:val="none"/>
        </w:rPr>
      </w:r>
    </w:p>
    <w:p>
      <w:pPr>
        <w:keepLines/>
        <w:keepNext/>
        <w:pageBreakBefore w:val="0"/>
        <w:spacing w:before="120" w:after="120" w:line="560" w:lineRule="exact"/>
        <w:rPr>
          <w:rFonts w:ascii="仿宋" w:hAnsi="仿宋" w:eastAsia="仿宋"/>
          <w:b/>
          <w:bCs/>
          <w:color w:val="000000" w:themeColor="text1"/>
          <w:sz w:val="28"/>
          <w:szCs w:val="28"/>
          <w:highlight w:val="none"/>
          <w14:textFill>
            <w14:solidFill>
              <w14:schemeClr w14:val="tx1"/>
            </w14:solidFill>
          </w14:textFill>
        </w:rPr>
        <w:outlineLvl w:val="2"/>
      </w:pPr>
      <w:r>
        <w:rPr>
          <w:highlight w:val="none"/>
        </w:rPr>
      </w:r>
      <w:bookmarkStart w:id="36" w:name="_Toc28359008"/>
      <w:r>
        <w:rPr>
          <w:highlight w:val="none"/>
        </w:rPr>
      </w:r>
      <w:bookmarkStart w:id="37" w:name="_Toc35393796"/>
      <w:r>
        <w:rPr>
          <w:highlight w:val="none"/>
        </w:rPr>
      </w:r>
      <w:bookmarkStart w:id="38" w:name="_Toc28359085"/>
      <w:r>
        <w:rPr>
          <w:highlight w:val="none"/>
        </w:rPr>
      </w:r>
      <w:bookmarkStart w:id="39" w:name="_Toc38985269"/>
      <w:r>
        <w:rPr>
          <w:highlight w:val="none"/>
        </w:rPr>
      </w:r>
      <w:bookmarkStart w:id="40" w:name="_Toc35393627"/>
      <w:r>
        <w:rPr>
          <w:rFonts w:hint="eastAsia" w:ascii="仿宋" w:hAnsi="仿宋" w:eastAsia="仿宋"/>
          <w:b/>
          <w:bCs/>
          <w:color w:val="000000" w:themeColor="text1"/>
          <w:sz w:val="28"/>
          <w:szCs w:val="28"/>
          <w:highlight w:val="none"/>
          <w14:textFill>
            <w14:solidFill>
              <w14:schemeClr w14:val="tx1"/>
            </w14:solidFill>
          </w14:textFill>
        </w:rPr>
        <w:t xml:space="preserve">七、本次招标联系方式</w:t>
      </w:r>
      <w:bookmarkEnd w:id="36"/>
      <w:r>
        <w:rPr>
          <w:highlight w:val="none"/>
        </w:rPr>
      </w:r>
      <w:bookmarkEnd w:id="37"/>
      <w:r>
        <w:rPr>
          <w:highlight w:val="none"/>
        </w:rPr>
      </w:r>
      <w:bookmarkEnd w:id="38"/>
      <w:r>
        <w:rPr>
          <w:highlight w:val="none"/>
        </w:rPr>
      </w:r>
      <w:bookmarkEnd w:id="39"/>
      <w:r>
        <w:rPr>
          <w:highlight w:val="none"/>
        </w:rPr>
      </w:r>
      <w:bookmarkEnd w:id="40"/>
      <w:r>
        <w:rPr>
          <w:highlight w:val="none"/>
        </w:rPr>
      </w:r>
      <w:r>
        <w:rPr>
          <w:highlight w:val="none"/>
        </w:rPr>
      </w:r>
    </w:p>
    <w:p>
      <w:pPr>
        <w:jc w:val="left"/>
        <w:pageBreakBefore w:val="0"/>
        <w:spacing w:line="56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　1.采购人信息</w:t>
      </w:r>
      <w:r>
        <w:rPr>
          <w:highlight w:val="none"/>
        </w:rPr>
      </w:r>
    </w:p>
    <w:p>
      <w:pPr>
        <w:ind w:firstLine="280"/>
        <w:jc w:val="left"/>
        <w:pageBreakBefore w:val="0"/>
        <w:spacing w:line="56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名称：南通市田家炳初级中学</w:t>
      </w:r>
      <w:r>
        <w:rPr>
          <w:highlight w:val="none"/>
        </w:rPr>
      </w:r>
    </w:p>
    <w:p>
      <w:pPr>
        <w:ind w:firstLine="280"/>
        <w:jc w:val="left"/>
        <w:pageBreakBefore w:val="0"/>
        <w:spacing w:line="56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地址：江苏省南通市崇川区南园路21号</w:t>
      </w:r>
      <w:r>
        <w:rPr>
          <w:highlight w:val="none"/>
        </w:rPr>
      </w:r>
    </w:p>
    <w:p>
      <w:pPr>
        <w:ind w:firstLine="280"/>
        <w:jc w:val="left"/>
        <w:pageBreakBefore w:val="0"/>
        <w:spacing w:line="56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联系人：</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王老师</w:t>
      </w:r>
      <w:r>
        <w:rPr>
          <w:highlight w:val="none"/>
        </w:rPr>
      </w:r>
    </w:p>
    <w:p>
      <w:pPr>
        <w:ind w:firstLine="280"/>
        <w:jc w:val="left"/>
        <w:pageBreakBefore w:val="0"/>
        <w:spacing w:line="56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联系方式：</w:t>
      </w:r>
      <w:bookmarkStart w:id="41" w:name="_Toc28359009"/>
      <w:r>
        <w:rPr>
          <w:highlight w:val="none"/>
        </w:rPr>
      </w:r>
      <w:bookmarkStart w:id="42" w:name="_Toc28359086"/>
      <w:r>
        <w:rPr>
          <w:rFonts w:hint="eastAsia" w:ascii="仿宋" w:hAnsi="仿宋" w:eastAsia="仿宋"/>
          <w:color w:val="000000" w:themeColor="text1"/>
          <w:sz w:val="28"/>
          <w:szCs w:val="28"/>
          <w:highlight w:val="none"/>
          <w14:textFill>
            <w14:solidFill>
              <w14:schemeClr w14:val="tx1"/>
            </w14:solidFill>
          </w14:textFill>
        </w:rPr>
        <w:t xml:space="preserve">85051338</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 </w:t>
      </w:r>
      <w:r>
        <w:rPr>
          <w:highlight w:val="none"/>
        </w:rPr>
      </w:r>
    </w:p>
    <w:p>
      <w:pPr>
        <w:numPr>
          <w:ilvl w:val="0"/>
          <w:numId w:val="0"/>
        </w:numPr>
        <w:ind w:firstLine="280"/>
        <w:jc w:val="left"/>
        <w:pageBreakBefore w:val="0"/>
        <w:spacing w:line="560" w:lineRule="exact"/>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2.采购代理机构</w:t>
      </w:r>
      <w:r>
        <w:rPr>
          <w:rFonts w:hint="eastAsia" w:ascii="仿宋" w:hAnsi="仿宋" w:eastAsia="仿宋" w:cs="宋体"/>
          <w:color w:val="000000" w:themeColor="text1"/>
          <w:sz w:val="28"/>
          <w:szCs w:val="28"/>
          <w:highlight w:val="none"/>
          <w14:textFill>
            <w14:solidFill>
              <w14:schemeClr w14:val="tx1"/>
            </w14:solidFill>
          </w14:textFill>
        </w:rPr>
        <w:t xml:space="preserve">信息</w:t>
      </w:r>
      <w:bookmarkEnd w:id="41"/>
      <w:r>
        <w:rPr>
          <w:highlight w:val="none"/>
        </w:rPr>
      </w:r>
      <w:bookmarkEnd w:id="42"/>
      <w:r>
        <w:rPr>
          <w:highlight w:val="none"/>
        </w:rPr>
      </w:r>
      <w:r>
        <w:rPr>
          <w:highlight w:val="none"/>
        </w:rPr>
      </w:r>
    </w:p>
    <w:p>
      <w:pPr>
        <w:numPr>
          <w:ilvl w:val="0"/>
          <w:numId w:val="0"/>
        </w:numPr>
        <w:ind w:firstLine="280"/>
        <w:jc w:val="left"/>
        <w:pageBreakBefore w:val="0"/>
        <w:spacing w:line="560" w:lineRule="exact"/>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名称：南通市教育技术中心</w:t>
      </w:r>
      <w:r>
        <w:rPr>
          <w:highlight w:val="none"/>
        </w:rPr>
      </w:r>
    </w:p>
    <w:p>
      <w:pPr>
        <w:ind w:firstLine="280"/>
        <w:pageBreakBefore w:val="0"/>
        <w:spacing w:line="56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地址：</w:t>
      </w:r>
      <w:r>
        <w:rPr>
          <w:rFonts w:ascii="仿宋" w:hAnsi="仿宋" w:eastAsia="仿宋"/>
          <w:color w:val="000000" w:themeColor="text1"/>
          <w:sz w:val="28"/>
          <w:szCs w:val="28"/>
          <w:highlight w:val="none"/>
          <w14:textFill>
            <w14:solidFill>
              <w14:schemeClr w14:val="tx1"/>
            </w14:solidFill>
          </w14:textFill>
        </w:rPr>
        <w:t xml:space="preserve">南通市</w:t>
      </w:r>
      <w:r>
        <w:rPr>
          <w:rFonts w:hint="eastAsia" w:ascii="仿宋" w:hAnsi="仿宋" w:eastAsia="仿宋"/>
          <w:color w:val="000000" w:themeColor="text1"/>
          <w:sz w:val="28"/>
          <w:szCs w:val="28"/>
          <w:highlight w:val="none"/>
          <w14:textFill>
            <w14:solidFill>
              <w14:schemeClr w14:val="tx1"/>
            </w14:solidFill>
          </w14:textFill>
        </w:rPr>
        <w:t xml:space="preserve">崇川区板桥路45号</w:t>
      </w:r>
      <w:r>
        <w:rPr>
          <w:highlight w:val="none"/>
        </w:rPr>
      </w:r>
    </w:p>
    <w:p>
      <w:pPr>
        <w:ind w:firstLine="280"/>
        <w:pageBreakBefore w:val="0"/>
        <w:spacing w:line="560" w:lineRule="exact"/>
        <w:rPr>
          <w:rFonts w:hint="default"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联系人：</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成老师</w:t>
      </w:r>
      <w:r>
        <w:rPr>
          <w:highlight w:val="none"/>
        </w:rPr>
      </w:r>
    </w:p>
    <w:p>
      <w:pPr>
        <w:ind w:firstLine="280"/>
        <w:pageBreakBefore w:val="0"/>
        <w:spacing w:line="560" w:lineRule="exact"/>
        <w:rPr>
          <w:rFonts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联系方式：</w:t>
      </w:r>
      <w:bookmarkStart w:id="43" w:name="_Toc28359087"/>
      <w:r>
        <w:rPr>
          <w:highlight w:val="none"/>
        </w:rPr>
      </w:r>
      <w:bookmarkStart w:id="44" w:name="_Toc28359010"/>
      <w:r>
        <w:rPr>
          <w:rFonts w:hint="eastAsia" w:ascii="仿宋" w:hAnsi="仿宋" w:eastAsia="仿宋"/>
          <w:color w:val="000000" w:themeColor="text1"/>
          <w:sz w:val="28"/>
          <w:szCs w:val="28"/>
          <w:highlight w:val="none"/>
          <w14:textFill>
            <w14:solidFill>
              <w14:schemeClr w14:val="tx1"/>
            </w14:solidFill>
          </w14:textFill>
        </w:rPr>
        <w:t xml:space="preserve">0513-85010355</w:t>
      </w:r>
      <w:r>
        <w:rPr>
          <w:highlight w:val="none"/>
        </w:rPr>
      </w:r>
    </w:p>
    <w:p>
      <w:pPr>
        <w:ind w:firstLine="280"/>
        <w:pageBreakBefore w:val="0"/>
        <w:spacing w:line="56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3.软件技术支持：0519-86722801</w:t>
      </w:r>
      <w:bookmarkEnd w:id="43"/>
      <w:r>
        <w:rPr>
          <w:highlight w:val="none"/>
        </w:rPr>
      </w:r>
      <w:bookmarkEnd w:id="44"/>
      <w:r>
        <w:rPr>
          <w:highlight w:val="none"/>
        </w:rPr>
      </w:r>
      <w:r>
        <w:rPr>
          <w:highlight w:val="none"/>
        </w:rPr>
      </w:r>
    </w:p>
    <w:p>
      <w:pPr>
        <w:rPr>
          <w:rFonts w:hint="eastAsia" w:ascii="黑体" w:hAnsi="Arial" w:eastAsia="黑体" w:cs="Arial"/>
          <w:b/>
          <w:bCs/>
          <w:color w:val="000000" w:themeColor="text1"/>
          <w:sz w:val="44"/>
          <w:szCs w:val="44"/>
          <w:highlight w:val="none"/>
          <w14:textFill>
            <w14:solidFill>
              <w14:schemeClr w14:val="tx1"/>
            </w14:solidFill>
          </w14:textFill>
        </w:rPr>
      </w:pPr>
      <w:r>
        <w:rPr>
          <w:highlight w:val="none"/>
        </w:rPr>
      </w:r>
      <w:bookmarkStart w:id="45" w:name="_Toc120614211"/>
      <w:r>
        <w:rPr>
          <w:rFonts w:hint="eastAsia" w:ascii="黑体" w:hAnsi="Arial" w:eastAsia="黑体" w:cs="Arial"/>
          <w:b/>
          <w:bCs/>
          <w:color w:val="000000" w:themeColor="text1"/>
          <w:sz w:val="44"/>
          <w:szCs w:val="44"/>
          <w:highlight w:val="none"/>
          <w14:textFill>
            <w14:solidFill>
              <w14:schemeClr w14:val="tx1"/>
            </w14:solidFill>
          </w14:textFill>
        </w:rPr>
        <w:br w:type="page" w:clear="all"/>
      </w:r>
      <w:r>
        <w:rPr>
          <w:highlight w:val="none"/>
        </w:rPr>
      </w:r>
    </w:p>
    <w:p>
      <w:pPr>
        <w:ind w:right="839"/>
        <w:jc w:val="center"/>
        <w:rPr>
          <w:rFonts w:hint="eastAsia" w:ascii="黑体" w:hAnsi="Arial" w:eastAsia="黑体" w:cs="Arial"/>
          <w:color w:val="000000" w:themeColor="text1"/>
          <w:sz w:val="44"/>
          <w:szCs w:val="44"/>
          <w:highlight w:val="none"/>
          <w14:textFill>
            <w14:solidFill>
              <w14:schemeClr w14:val="tx1"/>
            </w14:solidFill>
          </w14:textFill>
        </w:rPr>
        <w:outlineLvl w:val="0"/>
      </w:pPr>
      <w:r>
        <w:rPr>
          <w:highlight w:val="none"/>
        </w:rPr>
      </w:r>
      <w:bookmarkStart w:id="46" w:name="_Toc28074"/>
      <w:r>
        <w:rPr>
          <w:rFonts w:hint="eastAsia" w:ascii="黑体" w:hAnsi="Arial" w:eastAsia="黑体" w:cs="Arial"/>
          <w:b/>
          <w:bCs/>
          <w:color w:val="000000" w:themeColor="text1"/>
          <w:sz w:val="44"/>
          <w:szCs w:val="44"/>
          <w:highlight w:val="none"/>
          <w14:textFill>
            <w14:solidFill>
              <w14:schemeClr w14:val="tx1"/>
            </w14:solidFill>
          </w14:textFill>
        </w:rPr>
        <w:t xml:space="preserve">第二章  </w:t>
      </w:r>
      <w:bookmarkEnd w:id="1"/>
      <w:r>
        <w:rPr>
          <w:highlight w:val="none"/>
        </w:rPr>
      </w:r>
      <w:bookmarkEnd w:id="2"/>
      <w:r>
        <w:rPr>
          <w:highlight w:val="none"/>
        </w:rPr>
      </w:r>
      <w:bookmarkEnd w:id="3"/>
      <w:r>
        <w:rPr>
          <w:highlight w:val="none"/>
        </w:rPr>
      </w:r>
      <w:bookmarkEnd w:id="4"/>
      <w:r>
        <w:rPr>
          <w:highlight w:val="none"/>
        </w:rPr>
      </w:r>
      <w:bookmarkEnd w:id="5"/>
      <w:r>
        <w:rPr>
          <w:highlight w:val="none"/>
        </w:rPr>
      </w:r>
      <w:bookmarkEnd w:id="45"/>
      <w:r>
        <w:rPr>
          <w:highlight w:val="none"/>
        </w:rPr>
      </w:r>
      <w:bookmarkStart w:id="47" w:name="_Toc120614213"/>
      <w:r>
        <w:rPr>
          <w:highlight w:val="none"/>
        </w:rPr>
      </w:r>
      <w:bookmarkStart w:id="48" w:name="_Toc20823274"/>
      <w:r>
        <w:rPr>
          <w:highlight w:val="none"/>
        </w:rPr>
      </w:r>
      <w:bookmarkStart w:id="49" w:name="_Toc16938518"/>
      <w:r>
        <w:rPr>
          <w:highlight w:val="none"/>
        </w:rPr>
      </w:r>
      <w:bookmarkStart w:id="50" w:name="_Toc513029202"/>
      <w:r>
        <w:rPr>
          <w:rFonts w:hint="eastAsia" w:ascii="黑体" w:hAnsi="Arial" w:eastAsia="黑体" w:cs="Arial"/>
          <w:b/>
          <w:bCs/>
          <w:color w:val="000000" w:themeColor="text1"/>
          <w:sz w:val="44"/>
          <w:szCs w:val="44"/>
          <w:highlight w:val="none"/>
          <w14:textFill>
            <w14:solidFill>
              <w14:schemeClr w14:val="tx1"/>
            </w14:solidFill>
          </w14:textFill>
        </w:rPr>
        <w:t xml:space="preserve">投标人须知</w:t>
      </w:r>
      <w:bookmarkEnd w:id="46"/>
      <w:r>
        <w:rPr>
          <w:highlight w:val="none"/>
        </w:rPr>
      </w:r>
      <w:bookmarkEnd w:id="47"/>
      <w:r>
        <w:rPr>
          <w:highlight w:val="none"/>
        </w:rPr>
      </w:r>
      <w:bookmarkEnd w:id="48"/>
      <w:r>
        <w:rPr>
          <w:highlight w:val="none"/>
        </w:rPr>
      </w:r>
      <w:bookmarkEnd w:id="49"/>
      <w:r>
        <w:rPr>
          <w:highlight w:val="none"/>
        </w:rPr>
      </w:r>
      <w:bookmarkEnd w:id="50"/>
      <w:r>
        <w:rPr>
          <w:highlight w:val="none"/>
        </w:rPr>
      </w:r>
      <w:r>
        <w:rPr>
          <w:highlight w:val="none"/>
        </w:rPr>
      </w:r>
    </w:p>
    <w:p>
      <w:pPr>
        <w:keepLines/>
        <w:keepNext/>
        <w:pageBreakBefore w:val="0"/>
        <w:spacing w:line="560" w:lineRule="exact"/>
        <w:widowControl w:val="off"/>
        <w:rPr>
          <w:rFonts w:ascii="仿宋" w:hAnsi="仿宋" w:eastAsia="仿宋"/>
          <w:b/>
          <w:bCs/>
          <w:color w:val="000000" w:themeColor="text1"/>
          <w:sz w:val="28"/>
          <w:szCs w:val="28"/>
          <w:highlight w:val="none"/>
          <w14:textFill>
            <w14:solidFill>
              <w14:schemeClr w14:val="tx1"/>
            </w14:solidFill>
          </w14:textFill>
        </w:rPr>
        <w:outlineLvl w:val="2"/>
      </w:pPr>
      <w:r>
        <w:rPr>
          <w:highlight w:val="none"/>
        </w:rPr>
      </w:r>
      <w:bookmarkStart w:id="51" w:name="_Toc120614214"/>
      <w:r>
        <w:rPr>
          <w:highlight w:val="none"/>
        </w:rPr>
      </w:r>
      <w:bookmarkStart w:id="52" w:name="_Toc20823275"/>
      <w:r>
        <w:rPr>
          <w:highlight w:val="none"/>
        </w:rPr>
      </w:r>
      <w:bookmarkStart w:id="53" w:name="_Toc16938519"/>
      <w:r>
        <w:rPr>
          <w:highlight w:val="none"/>
        </w:rPr>
      </w:r>
      <w:bookmarkStart w:id="54" w:name="_Toc513029203"/>
      <w:r>
        <w:rPr>
          <w:rFonts w:ascii="仿宋" w:hAnsi="仿宋" w:eastAsia="仿宋"/>
          <w:b/>
          <w:bCs/>
          <w:color w:val="000000" w:themeColor="text1"/>
          <w:sz w:val="28"/>
          <w:szCs w:val="28"/>
          <w:highlight w:val="none"/>
          <w14:textFill>
            <w14:solidFill>
              <w14:schemeClr w14:val="tx1"/>
            </w14:solidFill>
          </w14:textFill>
        </w:rPr>
        <w:t xml:space="preserve">（一）总则</w:t>
      </w:r>
      <w:bookmarkEnd w:id="51"/>
      <w:r>
        <w:rPr>
          <w:highlight w:val="none"/>
        </w:rPr>
      </w:r>
      <w:bookmarkEnd w:id="52"/>
      <w:r>
        <w:rPr>
          <w:highlight w:val="none"/>
        </w:rPr>
      </w:r>
      <w:bookmarkEnd w:id="53"/>
      <w:r>
        <w:rPr>
          <w:highlight w:val="none"/>
        </w:rPr>
      </w:r>
      <w:bookmarkEnd w:id="54"/>
      <w:r>
        <w:rPr>
          <w:highlight w:val="none"/>
        </w:rPr>
      </w:r>
      <w:r>
        <w:rPr>
          <w:highlight w:val="none"/>
        </w:rPr>
      </w:r>
    </w:p>
    <w:p>
      <w:pPr>
        <w:keepNext/>
        <w:pageBreakBefore w:val="0"/>
        <w:spacing w:line="560" w:lineRule="exact"/>
        <w:widowControl w:val="off"/>
        <w:rPr>
          <w:rFonts w:ascii="仿宋" w:hAnsi="仿宋" w:eastAsia="仿宋"/>
          <w:b/>
          <w:bCs/>
          <w:color w:val="000000" w:themeColor="text1"/>
          <w:sz w:val="28"/>
          <w:szCs w:val="28"/>
          <w:highlight w:val="none"/>
          <w14:textFill>
            <w14:solidFill>
              <w14:schemeClr w14:val="tx1"/>
            </w14:solidFill>
          </w14:textFill>
        </w:rPr>
        <w:outlineLvl w:val="3"/>
      </w:pPr>
      <w:r>
        <w:rPr>
          <w:highlight w:val="none"/>
        </w:rPr>
      </w:r>
      <w:bookmarkStart w:id="55" w:name="_Hlt16619475"/>
      <w:r>
        <w:rPr>
          <w:highlight w:val="none"/>
        </w:rPr>
      </w:r>
      <w:bookmarkEnd w:id="55"/>
      <w:r>
        <w:rPr>
          <w:highlight w:val="none"/>
        </w:rPr>
      </w:r>
      <w:bookmarkStart w:id="56" w:name="_Toc458694821"/>
      <w:r>
        <w:rPr>
          <w:highlight w:val="none"/>
        </w:rPr>
      </w:r>
      <w:bookmarkStart w:id="57" w:name="_Toc513029204"/>
      <w:r>
        <w:rPr>
          <w:highlight w:val="none"/>
        </w:rPr>
      </w:r>
      <w:bookmarkStart w:id="58" w:name="_Toc16938520"/>
      <w:r>
        <w:rPr>
          <w:highlight w:val="none"/>
        </w:rPr>
      </w:r>
      <w:bookmarkStart w:id="59" w:name="_Toc20823276"/>
      <w:r>
        <w:rPr>
          <w:rFonts w:ascii="仿宋" w:hAnsi="仿宋" w:eastAsia="仿宋"/>
          <w:color w:val="000000" w:themeColor="text1"/>
          <w:sz w:val="28"/>
          <w:szCs w:val="28"/>
          <w:highlight w:val="none"/>
          <w14:textFill>
            <w14:solidFill>
              <w14:schemeClr w14:val="tx1"/>
            </w14:solidFill>
          </w14:textFill>
        </w:rPr>
        <w:t xml:space="preserve">1</w:t>
      </w:r>
      <w:bookmarkEnd w:id="56"/>
      <w:r>
        <w:rPr>
          <w:rFonts w:ascii="仿宋" w:hAnsi="仿宋" w:eastAsia="仿宋"/>
          <w:color w:val="000000" w:themeColor="text1"/>
          <w:sz w:val="28"/>
          <w:szCs w:val="28"/>
          <w:highlight w:val="none"/>
          <w14:textFill>
            <w14:solidFill>
              <w14:schemeClr w14:val="tx1"/>
            </w14:solidFill>
          </w14:textFill>
        </w:rPr>
        <w:t xml:space="preserve">.招标方式</w:t>
      </w:r>
      <w:bookmarkEnd w:id="57"/>
      <w:r>
        <w:rPr>
          <w:highlight w:val="none"/>
        </w:rPr>
      </w:r>
      <w:bookmarkEnd w:id="58"/>
      <w:r>
        <w:rPr>
          <w:highlight w:val="none"/>
        </w:rPr>
      </w:r>
      <w:bookmarkEnd w:id="59"/>
      <w:r>
        <w:rPr>
          <w:highlight w:val="none"/>
        </w:rPr>
      </w:r>
      <w:r>
        <w:rPr>
          <w:highlight w:val="none"/>
        </w:rP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1.1 本次招标采取公开招标方式，本招标文件仅适用于招标公告中所述项目。</w:t>
      </w:r>
      <w:r>
        <w:rPr>
          <w:highlight w:val="none"/>
        </w:rPr>
      </w:r>
    </w:p>
    <w:p>
      <w:pPr>
        <w:keepNext/>
        <w:pageBreakBefore w:val="0"/>
        <w:spacing w:line="560" w:lineRule="exact"/>
        <w:widowControl w:val="off"/>
        <w:rPr>
          <w:rFonts w:ascii="仿宋" w:hAnsi="仿宋" w:eastAsia="仿宋"/>
          <w:b/>
          <w:bCs/>
          <w:color w:val="000000" w:themeColor="text1"/>
          <w:sz w:val="28"/>
          <w:szCs w:val="28"/>
          <w:highlight w:val="none"/>
          <w14:textFill>
            <w14:solidFill>
              <w14:schemeClr w14:val="tx1"/>
            </w14:solidFill>
          </w14:textFill>
        </w:rPr>
        <w:outlineLvl w:val="3"/>
      </w:pPr>
      <w:r>
        <w:rPr>
          <w:highlight w:val="none"/>
        </w:rPr>
      </w:r>
      <w:bookmarkStart w:id="60" w:name="_Toc20823277"/>
      <w:r>
        <w:rPr>
          <w:highlight w:val="none"/>
        </w:rPr>
      </w:r>
      <w:bookmarkStart w:id="61" w:name="_Toc513029205"/>
      <w:r>
        <w:rPr>
          <w:highlight w:val="none"/>
        </w:rPr>
      </w:r>
      <w:bookmarkStart w:id="62" w:name="_Toc16938521"/>
      <w:r>
        <w:rPr>
          <w:rFonts w:ascii="仿宋" w:hAnsi="仿宋" w:eastAsia="仿宋"/>
          <w:color w:val="000000" w:themeColor="text1"/>
          <w:sz w:val="28"/>
          <w:szCs w:val="28"/>
          <w:highlight w:val="none"/>
          <w14:textFill>
            <w14:solidFill>
              <w14:schemeClr w14:val="tx1"/>
            </w14:solidFill>
          </w14:textFill>
        </w:rPr>
        <w:t xml:space="preserve">2.合格的投标人</w:t>
      </w:r>
      <w:bookmarkEnd w:id="60"/>
      <w:r>
        <w:rPr>
          <w:highlight w:val="none"/>
        </w:rPr>
      </w:r>
      <w:bookmarkEnd w:id="61"/>
      <w:r>
        <w:rPr>
          <w:highlight w:val="none"/>
        </w:rPr>
      </w:r>
      <w:bookmarkEnd w:id="62"/>
      <w:r>
        <w:rPr>
          <w:highlight w:val="none"/>
        </w:rPr>
      </w:r>
      <w:r>
        <w:rPr>
          <w:highlight w:val="none"/>
        </w:rP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2.1满足招标公告中供应商的资格要求的规定。</w:t>
      </w:r>
      <w:r>
        <w:rPr>
          <w:highlight w:val="none"/>
        </w:rP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2.2 满足本文件实质性条款的规定。</w:t>
      </w:r>
      <w:r>
        <w:rPr>
          <w:highlight w:val="none"/>
        </w:rPr>
      </w:r>
    </w:p>
    <w:p>
      <w:pPr>
        <w:keepNext/>
        <w:pageBreakBefore w:val="0"/>
        <w:spacing w:line="560" w:lineRule="exact"/>
        <w:widowControl w:val="off"/>
        <w:rPr>
          <w:rFonts w:ascii="仿宋" w:hAnsi="仿宋" w:eastAsia="仿宋"/>
          <w:b/>
          <w:bCs/>
          <w:color w:val="000000" w:themeColor="text1"/>
          <w:sz w:val="28"/>
          <w:szCs w:val="28"/>
          <w:highlight w:val="none"/>
          <w14:textFill>
            <w14:solidFill>
              <w14:schemeClr w14:val="tx1"/>
            </w14:solidFill>
          </w14:textFill>
        </w:rPr>
        <w:outlineLvl w:val="3"/>
      </w:pPr>
      <w:r>
        <w:rPr>
          <w:highlight w:val="none"/>
        </w:rPr>
      </w:r>
      <w:bookmarkStart w:id="63" w:name="_Toc513029206"/>
      <w:r>
        <w:rPr>
          <w:highlight w:val="none"/>
        </w:rPr>
      </w:r>
      <w:bookmarkStart w:id="64" w:name="_Toc20823278"/>
      <w:r>
        <w:rPr>
          <w:highlight w:val="none"/>
        </w:rPr>
      </w:r>
      <w:bookmarkStart w:id="65" w:name="_Toc16938522"/>
      <w:r>
        <w:rPr>
          <w:rFonts w:ascii="仿宋" w:hAnsi="仿宋" w:eastAsia="仿宋"/>
          <w:color w:val="000000" w:themeColor="text1"/>
          <w:sz w:val="28"/>
          <w:szCs w:val="28"/>
          <w:highlight w:val="none"/>
          <w14:textFill>
            <w14:solidFill>
              <w14:schemeClr w14:val="tx1"/>
            </w14:solidFill>
          </w14:textFill>
        </w:rPr>
        <w:t xml:space="preserve">3.适用法律</w:t>
      </w:r>
      <w:bookmarkEnd w:id="63"/>
      <w:r>
        <w:rPr>
          <w:highlight w:val="none"/>
        </w:rPr>
      </w:r>
      <w:bookmarkEnd w:id="64"/>
      <w:r>
        <w:rPr>
          <w:highlight w:val="none"/>
        </w:rPr>
      </w:r>
      <w:bookmarkEnd w:id="65"/>
      <w:r>
        <w:rPr>
          <w:highlight w:val="none"/>
        </w:rPr>
      </w:r>
      <w:r>
        <w:rPr>
          <w:highlight w:val="none"/>
        </w:rPr>
      </w:r>
    </w:p>
    <w:p>
      <w:pPr>
        <w:ind w:firstLine="49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3.1 本次招标及由此产生的合同受中华人民共和国有关的法律法规制约和保护。</w:t>
      </w:r>
      <w:r>
        <w:rPr>
          <w:highlight w:val="none"/>
        </w:rPr>
      </w:r>
    </w:p>
    <w:p>
      <w:pPr>
        <w:keepNext/>
        <w:pageBreakBefore w:val="0"/>
        <w:spacing w:line="560" w:lineRule="exact"/>
        <w:widowControl w:val="off"/>
        <w:rPr>
          <w:rFonts w:ascii="仿宋" w:hAnsi="仿宋" w:eastAsia="仿宋"/>
          <w:b/>
          <w:bCs/>
          <w:color w:val="000000" w:themeColor="text1"/>
          <w:sz w:val="28"/>
          <w:szCs w:val="28"/>
          <w:highlight w:val="none"/>
          <w14:textFill>
            <w14:solidFill>
              <w14:schemeClr w14:val="tx1"/>
            </w14:solidFill>
          </w14:textFill>
        </w:rPr>
        <w:outlineLvl w:val="3"/>
      </w:pPr>
      <w:r>
        <w:rPr>
          <w:highlight w:val="none"/>
        </w:rPr>
      </w:r>
      <w:bookmarkStart w:id="66" w:name="_Toc513029207"/>
      <w:r>
        <w:rPr>
          <w:highlight w:val="none"/>
        </w:rPr>
      </w:r>
      <w:bookmarkStart w:id="67" w:name="_Toc20823279"/>
      <w:r>
        <w:rPr>
          <w:highlight w:val="none"/>
        </w:rPr>
      </w:r>
      <w:bookmarkStart w:id="68" w:name="_Toc462564067"/>
      <w:r>
        <w:rPr>
          <w:highlight w:val="none"/>
        </w:rPr>
      </w:r>
      <w:bookmarkStart w:id="69" w:name="_Toc16938523"/>
      <w:r>
        <w:rPr>
          <w:rFonts w:ascii="仿宋" w:hAnsi="仿宋" w:eastAsia="仿宋"/>
          <w:color w:val="000000" w:themeColor="text1"/>
          <w:sz w:val="28"/>
          <w:szCs w:val="28"/>
          <w:highlight w:val="none"/>
          <w14:textFill>
            <w14:solidFill>
              <w14:schemeClr w14:val="tx1"/>
            </w14:solidFill>
          </w14:textFill>
        </w:rPr>
        <w:t xml:space="preserve">4.投标费用</w:t>
      </w:r>
      <w:bookmarkEnd w:id="66"/>
      <w:r>
        <w:rPr>
          <w:highlight w:val="none"/>
        </w:rPr>
      </w:r>
      <w:bookmarkEnd w:id="67"/>
      <w:r>
        <w:rPr>
          <w:highlight w:val="none"/>
        </w:rPr>
      </w:r>
      <w:bookmarkEnd w:id="68"/>
      <w:r>
        <w:rPr>
          <w:highlight w:val="none"/>
        </w:rPr>
      </w:r>
      <w:bookmarkEnd w:id="69"/>
      <w:r>
        <w:rPr>
          <w:highlight w:val="none"/>
        </w:rPr>
      </w:r>
      <w:r>
        <w:rPr>
          <w:highlight w:val="none"/>
        </w:rP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bCs/>
          <w:color w:val="000000" w:themeColor="text1"/>
          <w:sz w:val="28"/>
          <w:szCs w:val="28"/>
          <w:highlight w:val="none"/>
          <w14:textFill>
            <w14:solidFill>
              <w14:schemeClr w14:val="tx1"/>
            </w14:solidFill>
          </w14:textFill>
        </w:rPr>
        <w:t xml:space="preserve">4.1</w:t>
      </w:r>
      <w:r>
        <w:rPr>
          <w:rFonts w:ascii="仿宋" w:hAnsi="仿宋" w:eastAsia="仿宋"/>
          <w:color w:val="000000" w:themeColor="text1"/>
          <w:sz w:val="28"/>
          <w:szCs w:val="28"/>
          <w:highlight w:val="none"/>
          <w14:textFill>
            <w14:solidFill>
              <w14:schemeClr w14:val="tx1"/>
            </w14:solidFill>
          </w14:textFill>
        </w:rPr>
        <w:t xml:space="preserve"> 投标人应自行承担所有与参加投标有关的费用，无论投标过程中的做法和结果如何，</w:t>
      </w:r>
      <w:r>
        <w:rPr>
          <w:rFonts w:hint="eastAsia" w:ascii="仿宋" w:hAnsi="仿宋" w:eastAsia="仿宋"/>
          <w:color w:val="000000" w:themeColor="text1"/>
          <w:sz w:val="28"/>
          <w:szCs w:val="28"/>
          <w:highlight w:val="none"/>
          <w14:textFill>
            <w14:solidFill>
              <w14:schemeClr w14:val="tx1"/>
            </w14:solidFill>
          </w14:textFill>
        </w:rPr>
        <w:t xml:space="preserve">南通市教育技术中心</w:t>
      </w:r>
      <w:r>
        <w:rPr>
          <w:rFonts w:ascii="仿宋" w:hAnsi="仿宋" w:eastAsia="仿宋"/>
          <w:color w:val="000000" w:themeColor="text1"/>
          <w:sz w:val="28"/>
          <w:szCs w:val="28"/>
          <w:highlight w:val="none"/>
          <w14:textFill>
            <w14:solidFill>
              <w14:schemeClr w14:val="tx1"/>
            </w14:solidFill>
          </w14:textFill>
        </w:rPr>
        <w:t xml:space="preserve">在任何情况下均无义务和责任承担这些费用。</w:t>
      </w:r>
      <w:r>
        <w:rPr>
          <w:highlight w:val="none"/>
        </w:rP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4.2本次招标</w:t>
      </w:r>
      <w:r>
        <w:rPr>
          <w:rFonts w:hint="eastAsia" w:ascii="仿宋" w:hAnsi="仿宋" w:eastAsia="仿宋"/>
          <w:color w:val="000000" w:themeColor="text1"/>
          <w:sz w:val="28"/>
          <w:szCs w:val="28"/>
          <w:highlight w:val="none"/>
          <w14:textFill>
            <w14:solidFill>
              <w14:schemeClr w14:val="tx1"/>
            </w14:solidFill>
          </w14:textFill>
        </w:rPr>
        <w:t xml:space="preserve">南通市教育技术</w:t>
      </w:r>
      <w:r>
        <w:rPr>
          <w:rFonts w:ascii="仿宋" w:hAnsi="仿宋" w:eastAsia="仿宋"/>
          <w:color w:val="000000" w:themeColor="text1"/>
          <w:sz w:val="28"/>
          <w:szCs w:val="28"/>
          <w:highlight w:val="none"/>
          <w14:textFill>
            <w14:solidFill>
              <w14:schemeClr w14:val="tx1"/>
            </w14:solidFill>
          </w14:textFill>
        </w:rPr>
        <w:t xml:space="preserve">中心和采购人不收取标书工本费与中标服务费。</w:t>
      </w:r>
      <w:r>
        <w:rPr>
          <w:highlight w:val="none"/>
        </w:rPr>
      </w:r>
    </w:p>
    <w:p>
      <w:pPr>
        <w:keepNext/>
        <w:pageBreakBefore w:val="0"/>
        <w:spacing w:line="560" w:lineRule="exact"/>
        <w:widowControl w:val="off"/>
        <w:rPr>
          <w:rFonts w:ascii="仿宋" w:hAnsi="仿宋" w:eastAsia="仿宋"/>
          <w:b/>
          <w:bCs/>
          <w:color w:val="000000" w:themeColor="text1"/>
          <w:sz w:val="28"/>
          <w:szCs w:val="28"/>
          <w:highlight w:val="none"/>
          <w14:textFill>
            <w14:solidFill>
              <w14:schemeClr w14:val="tx1"/>
            </w14:solidFill>
          </w14:textFill>
        </w:rPr>
        <w:outlineLvl w:val="3"/>
      </w:pPr>
      <w:r>
        <w:rPr>
          <w:rFonts w:ascii="仿宋" w:hAnsi="仿宋" w:eastAsia="仿宋"/>
          <w:color w:val="000000" w:themeColor="text1"/>
          <w:sz w:val="28"/>
          <w:szCs w:val="28"/>
          <w:highlight w:val="none"/>
          <w14:textFill>
            <w14:solidFill>
              <w14:schemeClr w14:val="tx1"/>
            </w14:solidFill>
          </w14:textFill>
        </w:rPr>
        <w:t xml:space="preserve">5.招标文件的约束力</w:t>
      </w:r>
      <w:r>
        <w:rPr>
          <w:highlight w:val="none"/>
        </w:rP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bCs/>
          <w:color w:val="000000" w:themeColor="text1"/>
          <w:sz w:val="28"/>
          <w:szCs w:val="28"/>
          <w:highlight w:val="none"/>
          <w14:textFill>
            <w14:solidFill>
              <w14:schemeClr w14:val="tx1"/>
            </w14:solidFill>
          </w14:textFill>
        </w:rPr>
        <w:t xml:space="preserve">5.1</w:t>
      </w:r>
      <w:r>
        <w:rPr>
          <w:rFonts w:ascii="仿宋" w:hAnsi="仿宋" w:eastAsia="仿宋"/>
          <w:color w:val="000000" w:themeColor="text1"/>
          <w:sz w:val="28"/>
          <w:szCs w:val="28"/>
          <w:highlight w:val="none"/>
          <w14:textFill>
            <w14:solidFill>
              <w14:schemeClr w14:val="tx1"/>
            </w14:solidFill>
          </w14:textFill>
        </w:rPr>
        <w:t xml:space="preserve"> 投标人一旦参加本项目采购活动，即被认为接受了本招标文件的规定和约束。</w:t>
      </w:r>
      <w:r>
        <w:rPr>
          <w:highlight w:val="none"/>
        </w:rPr>
      </w:r>
    </w:p>
    <w:p>
      <w:pPr>
        <w:keepLines/>
        <w:keepNext/>
        <w:pageBreakBefore w:val="0"/>
        <w:spacing w:before="120" w:after="120"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outlineLvl w:val="2"/>
      </w:pPr>
      <w:r>
        <w:rPr>
          <w:highlight w:val="none"/>
        </w:rPr>
      </w:r>
      <w:bookmarkStart w:id="70" w:name="_Toc16938525"/>
      <w:r>
        <w:rPr>
          <w:highlight w:val="none"/>
        </w:rPr>
      </w:r>
      <w:bookmarkStart w:id="71" w:name="_Toc20823281"/>
      <w:r>
        <w:rPr>
          <w:highlight w:val="none"/>
        </w:rPr>
      </w:r>
      <w:bookmarkStart w:id="72" w:name="_Toc513029209"/>
      <w:r>
        <w:rPr>
          <w:highlight w:val="none"/>
        </w:rPr>
      </w:r>
      <w:bookmarkStart w:id="73" w:name="_Toc120614215"/>
      <w:r>
        <w:rPr>
          <w:rFonts w:hint="eastAsia" w:ascii="仿宋" w:hAnsi="仿宋" w:eastAsia="仿宋"/>
          <w:b/>
          <w:bCs/>
          <w:color w:val="000000" w:themeColor="text1"/>
          <w:sz w:val="28"/>
          <w:szCs w:val="28"/>
          <w:highlight w:val="none"/>
          <w14:textFill>
            <w14:solidFill>
              <w14:schemeClr w14:val="tx1"/>
            </w14:solidFill>
          </w14:textFill>
        </w:rPr>
        <w:t xml:space="preserve">二、招标文件</w:t>
      </w:r>
      <w:bookmarkEnd w:id="70"/>
      <w:r>
        <w:rPr>
          <w:highlight w:val="none"/>
        </w:rPr>
      </w:r>
      <w:bookmarkEnd w:id="71"/>
      <w:r>
        <w:rPr>
          <w:highlight w:val="none"/>
        </w:rPr>
      </w:r>
      <w:bookmarkEnd w:id="72"/>
      <w:r>
        <w:rPr>
          <w:highlight w:val="none"/>
        </w:rPr>
      </w:r>
      <w:bookmarkEnd w:id="73"/>
      <w:r>
        <w:rPr>
          <w:highlight w:val="none"/>
        </w:rPr>
      </w:r>
      <w:r>
        <w:rPr>
          <w:highlight w:val="none"/>
        </w:rP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74" w:name="_Toc20823282"/>
      <w:r>
        <w:rPr>
          <w:highlight w:val="none"/>
        </w:rPr>
      </w:r>
      <w:bookmarkStart w:id="75" w:name="_Toc16938526"/>
      <w:r>
        <w:rPr>
          <w:highlight w:val="none"/>
        </w:rPr>
      </w:r>
      <w:bookmarkStart w:id="76" w:name="_Toc513029210"/>
      <w:r>
        <w:rPr>
          <w:rFonts w:hint="eastAsia" w:ascii="仿宋" w:hAnsi="仿宋" w:eastAsia="仿宋" w:cs="Arial"/>
          <w:color w:val="000000" w:themeColor="text1"/>
          <w:sz w:val="28"/>
          <w:szCs w:val="28"/>
          <w:highlight w:val="none"/>
          <w:lang w:eastAsia="zh-CN"/>
          <w14:textFill>
            <w14:solidFill>
              <w14:schemeClr w14:val="tx1"/>
            </w14:solidFill>
          </w14:textFill>
        </w:rPr>
        <w:t xml:space="preserve">6.</w:t>
      </w:r>
      <w:r>
        <w:rPr>
          <w:rFonts w:hint="eastAsia" w:ascii="仿宋" w:hAnsi="仿宋" w:eastAsia="仿宋" w:cs="Arial"/>
          <w:color w:val="000000" w:themeColor="text1"/>
          <w:sz w:val="28"/>
          <w:szCs w:val="28"/>
          <w:highlight w:val="none"/>
          <w14:textFill>
            <w14:solidFill>
              <w14:schemeClr w14:val="tx1"/>
            </w14:solidFill>
          </w14:textFill>
        </w:rPr>
        <w:t xml:space="preserve">招标文件构成</w:t>
      </w:r>
      <w:bookmarkEnd w:id="74"/>
      <w:r>
        <w:rPr>
          <w:highlight w:val="none"/>
        </w:rPr>
      </w:r>
      <w:bookmarkEnd w:id="75"/>
      <w:r>
        <w:rPr>
          <w:highlight w:val="none"/>
        </w:rPr>
      </w:r>
      <w:bookmarkEnd w:id="76"/>
      <w:r>
        <w:rPr>
          <w:highlight w:val="none"/>
        </w:rPr>
      </w:r>
      <w:r>
        <w:rPr>
          <w:highlight w:val="none"/>
        </w:rP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6.1</w:t>
      </w:r>
      <w:r>
        <w:rPr>
          <w:rFonts w:hint="eastAsia" w:ascii="仿宋" w:hAnsi="仿宋" w:eastAsia="仿宋"/>
          <w:color w:val="000000" w:themeColor="text1"/>
          <w:sz w:val="28"/>
          <w:szCs w:val="28"/>
          <w:highlight w:val="none"/>
          <w14:textFill>
            <w14:solidFill>
              <w14:schemeClr w14:val="tx1"/>
            </w14:solidFill>
          </w14:textFill>
        </w:rPr>
        <w:t xml:space="preserve"> 招标文件由以下部分组成：</w:t>
      </w:r>
      <w:r>
        <w:rPr>
          <w:highlight w:val="none"/>
        </w:rP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（1）投标</w:t>
      </w:r>
      <w:r>
        <w:rPr>
          <w:rFonts w:ascii="仿宋" w:hAnsi="仿宋" w:eastAsia="仿宋"/>
          <w:color w:val="000000" w:themeColor="text1"/>
          <w:sz w:val="28"/>
          <w:szCs w:val="28"/>
          <w:highlight w:val="none"/>
          <w14:textFill>
            <w14:solidFill>
              <w14:schemeClr w14:val="tx1"/>
            </w14:solidFill>
          </w14:textFill>
        </w:rPr>
        <w:t xml:space="preserve">邀请</w:t>
      </w:r>
      <w:r>
        <w:rPr>
          <w:highlight w:val="none"/>
        </w:rP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（2）投标人须知</w:t>
      </w:r>
      <w:r>
        <w:rPr>
          <w:highlight w:val="none"/>
        </w:rP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（3）合同文本</w:t>
      </w:r>
      <w:r>
        <w:rPr>
          <w:highlight w:val="none"/>
        </w:rP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（4）采购需求</w:t>
      </w:r>
      <w:r>
        <w:rPr>
          <w:highlight w:val="none"/>
        </w:rP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（5）评标方法与评标标准</w:t>
      </w:r>
      <w:r>
        <w:rPr>
          <w:highlight w:val="none"/>
        </w:rP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（6）投标文件格式</w:t>
      </w:r>
      <w:r>
        <w:rPr>
          <w:highlight w:val="none"/>
        </w:rP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请仔细检查招标文件是否齐全，如有缺漏请立即与南通市教育技术中心联系解决。</w:t>
      </w:r>
      <w:r>
        <w:rPr>
          <w:highlight w:val="none"/>
        </w:rP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6.2</w:t>
      </w:r>
      <w:r>
        <w:rPr>
          <w:rFonts w:hint="eastAsia" w:ascii="仿宋" w:hAnsi="仿宋" w:eastAsia="仿宋"/>
          <w:color w:val="000000" w:themeColor="text1"/>
          <w:sz w:val="28"/>
          <w:szCs w:val="28"/>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77" w:name="_Toc20823283"/>
      <w:r>
        <w:rPr>
          <w:highlight w:val="none"/>
        </w:rPr>
      </w:r>
      <w:bookmarkStart w:id="78" w:name="_Toc16938527"/>
      <w:r>
        <w:rPr>
          <w:highlight w:val="none"/>
        </w:rPr>
      </w:r>
      <w:bookmarkStart w:id="79" w:name="_Toc462564070"/>
      <w:r>
        <w:rPr>
          <w:highlight w:val="none"/>
        </w:rPr>
      </w:r>
      <w:bookmarkStart w:id="80" w:name="_Toc513029211"/>
      <w:r>
        <w:rPr>
          <w:rFonts w:hint="eastAsia" w:ascii="仿宋" w:hAnsi="仿宋" w:eastAsia="仿宋" w:cs="Arial"/>
          <w:color w:val="000000" w:themeColor="text1"/>
          <w:sz w:val="28"/>
          <w:szCs w:val="28"/>
          <w:highlight w:val="none"/>
          <w:lang w:eastAsia="zh-CN"/>
          <w14:textFill>
            <w14:solidFill>
              <w14:schemeClr w14:val="tx1"/>
            </w14:solidFill>
          </w14:textFill>
        </w:rPr>
        <w:t xml:space="preserve">7.</w:t>
      </w:r>
      <w:r>
        <w:rPr>
          <w:rFonts w:hint="eastAsia" w:ascii="仿宋" w:hAnsi="仿宋" w:eastAsia="仿宋" w:cs="Arial"/>
          <w:color w:val="000000" w:themeColor="text1"/>
          <w:sz w:val="28"/>
          <w:szCs w:val="28"/>
          <w:highlight w:val="none"/>
          <w14:textFill>
            <w14:solidFill>
              <w14:schemeClr w14:val="tx1"/>
            </w14:solidFill>
          </w14:textFill>
        </w:rPr>
        <w:t xml:space="preserve">招标文件的澄清</w:t>
      </w:r>
      <w:bookmarkEnd w:id="77"/>
      <w:r>
        <w:rPr>
          <w:highlight w:val="none"/>
        </w:rPr>
      </w:r>
      <w:bookmarkEnd w:id="78"/>
      <w:r>
        <w:rPr>
          <w:highlight w:val="none"/>
        </w:rPr>
      </w:r>
      <w:bookmarkEnd w:id="79"/>
      <w:r>
        <w:rPr>
          <w:highlight w:val="none"/>
        </w:rPr>
      </w:r>
      <w:bookmarkEnd w:id="80"/>
      <w:r>
        <w:rPr>
          <w:highlight w:val="none"/>
        </w:rPr>
      </w:r>
      <w:r>
        <w:rPr>
          <w:highlight w:val="none"/>
        </w:rP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任何要求对招标文件进行澄清的投标人，应在投标截止期</w:t>
      </w:r>
      <w:r>
        <w:rPr>
          <w:rFonts w:hint="eastAsia" w:ascii="仿宋" w:hAnsi="仿宋" w:eastAsia="仿宋"/>
          <w:b/>
          <w:color w:val="000000" w:themeColor="text1"/>
          <w:sz w:val="28"/>
          <w:szCs w:val="28"/>
          <w:highlight w:val="none"/>
          <w14:textFill>
            <w14:solidFill>
              <w14:schemeClr w14:val="tx1"/>
            </w14:solidFill>
          </w14:textFill>
        </w:rPr>
        <w:t xml:space="preserve">十日</w:t>
      </w:r>
      <w:r>
        <w:rPr>
          <w:rFonts w:hint="eastAsia" w:ascii="仿宋" w:hAnsi="仿宋" w:eastAsia="仿宋"/>
          <w:color w:val="000000" w:themeColor="text1"/>
          <w:sz w:val="28"/>
          <w:szCs w:val="28"/>
          <w:highlight w:val="none"/>
          <w14:textFill>
            <w14:solidFill>
              <w14:schemeClr w14:val="tx1"/>
            </w14:solidFill>
          </w14:textFill>
        </w:rPr>
        <w:t xml:space="preserve">前按招标公告中的通讯地址，以书面形式通知南通市教育技术中心。采购人有权对发出的招标文件进行必要的澄清或修改。</w:t>
      </w:r>
      <w:r>
        <w:rPr>
          <w:highlight w:val="none"/>
        </w:rP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81" w:name="_Toc462564071"/>
      <w:r>
        <w:rPr>
          <w:highlight w:val="none"/>
        </w:rPr>
      </w:r>
      <w:bookmarkStart w:id="82" w:name="_Toc16938528"/>
      <w:r>
        <w:rPr>
          <w:highlight w:val="none"/>
        </w:rPr>
      </w:r>
      <w:bookmarkStart w:id="83" w:name="_Toc513029212"/>
      <w:r>
        <w:rPr>
          <w:highlight w:val="none"/>
        </w:rPr>
      </w:r>
      <w:bookmarkStart w:id="84" w:name="_Toc20823284"/>
      <w:r>
        <w:rPr>
          <w:rFonts w:hint="eastAsia" w:ascii="仿宋" w:hAnsi="仿宋" w:eastAsia="仿宋" w:cs="Arial"/>
          <w:color w:val="000000" w:themeColor="text1"/>
          <w:sz w:val="28"/>
          <w:szCs w:val="28"/>
          <w:highlight w:val="none"/>
          <w:lang w:eastAsia="zh-CN"/>
          <w14:textFill>
            <w14:solidFill>
              <w14:schemeClr w14:val="tx1"/>
            </w14:solidFill>
          </w14:textFill>
        </w:rPr>
        <w:t xml:space="preserve">8.</w:t>
      </w:r>
      <w:r>
        <w:rPr>
          <w:rFonts w:hint="eastAsia" w:ascii="仿宋" w:hAnsi="仿宋" w:eastAsia="仿宋" w:cs="Arial"/>
          <w:color w:val="000000" w:themeColor="text1"/>
          <w:sz w:val="28"/>
          <w:szCs w:val="28"/>
          <w:highlight w:val="none"/>
          <w14:textFill>
            <w14:solidFill>
              <w14:schemeClr w14:val="tx1"/>
            </w14:solidFill>
          </w14:textFill>
        </w:rPr>
        <w:t xml:space="preserve">招标文件的修改</w:t>
      </w:r>
      <w:bookmarkEnd w:id="81"/>
      <w:r>
        <w:rPr>
          <w:highlight w:val="none"/>
        </w:rPr>
      </w:r>
      <w:bookmarkEnd w:id="82"/>
      <w:r>
        <w:rPr>
          <w:highlight w:val="none"/>
        </w:rPr>
      </w:r>
      <w:bookmarkEnd w:id="83"/>
      <w:r>
        <w:rPr>
          <w:highlight w:val="none"/>
        </w:rPr>
      </w:r>
      <w:bookmarkEnd w:id="84"/>
      <w:r>
        <w:rPr>
          <w:highlight w:val="none"/>
        </w:rPr>
      </w:r>
      <w:r>
        <w:rPr>
          <w:highlight w:val="none"/>
        </w:rP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8.1</w:t>
      </w:r>
      <w:r>
        <w:rPr>
          <w:rFonts w:hint="eastAsia" w:ascii="仿宋" w:hAnsi="仿宋" w:eastAsia="仿宋"/>
          <w:color w:val="000000" w:themeColor="text1"/>
          <w:sz w:val="28"/>
          <w:szCs w:val="28"/>
          <w:highlight w:val="none"/>
          <w14:textFill>
            <w14:solidFill>
              <w14:schemeClr w14:val="tx1"/>
            </w14:solidFill>
          </w14:textFill>
        </w:rPr>
        <w:t xml:space="preserve"> 在投标截止时</w:t>
      </w:r>
      <w:r>
        <w:rPr>
          <w:rFonts w:hint="eastAsia" w:ascii="仿宋" w:hAnsi="仿宋" w:eastAsia="仿宋"/>
          <w:color w:val="000000" w:themeColor="text1"/>
          <w:sz w:val="28"/>
          <w:szCs w:val="28"/>
          <w:highlight w:val="none"/>
          <w:lang w:eastAsia="zh-CN"/>
          <w14:textFill>
            <w14:solidFill>
              <w14:schemeClr w14:val="tx1"/>
            </w14:solidFill>
          </w14:textFill>
        </w:rPr>
        <w:t xml:space="preserve">间之</w:t>
      </w:r>
      <w:r>
        <w:rPr>
          <w:rFonts w:hint="eastAsia" w:ascii="仿宋" w:hAnsi="仿宋" w:eastAsia="仿宋"/>
          <w:color w:val="000000" w:themeColor="text1"/>
          <w:sz w:val="28"/>
          <w:szCs w:val="28"/>
          <w:highlight w:val="none"/>
          <w14:textFill>
            <w14:solidFill>
              <w14:schemeClr w14:val="tx1"/>
            </w14:solidFill>
          </w14:textFill>
        </w:rPr>
        <w:t xml:space="preserve">前，南通市教育技术中心可以对招标文件进行修改。</w:t>
      </w:r>
      <w:r>
        <w:rPr>
          <w:highlight w:val="none"/>
        </w:rP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8.2 </w:t>
      </w:r>
      <w:r>
        <w:rPr>
          <w:rFonts w:hint="eastAsia" w:ascii="仿宋" w:hAnsi="仿宋" w:eastAsia="仿宋"/>
          <w:color w:val="000000" w:themeColor="text1"/>
          <w:sz w:val="28"/>
          <w:szCs w:val="28"/>
          <w:highlight w:val="none"/>
          <w14:textFill>
            <w14:solidFill>
              <w14:schemeClr w14:val="tx1"/>
            </w14:solidFill>
          </w14:textFill>
        </w:rPr>
        <w:t xml:space="preserve">南通市教育技术中心有权按照法定的要求推迟投标截止日期和开标日期。</w:t>
      </w:r>
      <w:r>
        <w:rPr>
          <w:highlight w:val="none"/>
        </w:rP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8.3 </w:t>
      </w:r>
      <w:r>
        <w:rPr>
          <w:rFonts w:hint="eastAsia" w:ascii="仿宋" w:hAnsi="仿宋" w:eastAsia="仿宋"/>
          <w:color w:val="000000" w:themeColor="text1"/>
          <w:sz w:val="28"/>
          <w:szCs w:val="28"/>
          <w:highlight w:val="none"/>
          <w14:textFill>
            <w14:solidFill>
              <w14:schemeClr w14:val="tx1"/>
            </w14:solidFill>
          </w14:textFill>
        </w:rPr>
        <w:t xml:space="preserve">招标文件的修改将在江苏政府采购网公布，补充文件将作为招标文件的组成部分，并对投标人具有约束力。</w:t>
      </w:r>
      <w:r>
        <w:rPr>
          <w:highlight w:val="none"/>
        </w:rPr>
      </w:r>
    </w:p>
    <w:p>
      <w:pPr>
        <w:keepLines/>
        <w:keepNext/>
        <w:pageBreakBefore w:val="0"/>
        <w:spacing w:before="120" w:after="120"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outlineLvl w:val="2"/>
      </w:pPr>
      <w:r>
        <w:rPr>
          <w:highlight w:val="none"/>
        </w:rPr>
      </w:r>
      <w:bookmarkStart w:id="85" w:name="_Toc16938529"/>
      <w:r>
        <w:rPr>
          <w:highlight w:val="none"/>
        </w:rPr>
      </w:r>
      <w:bookmarkStart w:id="86" w:name="_Toc462564072"/>
      <w:r>
        <w:rPr>
          <w:highlight w:val="none"/>
        </w:rPr>
      </w:r>
      <w:bookmarkStart w:id="87" w:name="_Toc20823285"/>
      <w:r>
        <w:rPr>
          <w:highlight w:val="none"/>
        </w:rPr>
      </w:r>
      <w:bookmarkStart w:id="88" w:name="_Toc120614216"/>
      <w:r>
        <w:rPr>
          <w:highlight w:val="none"/>
        </w:rPr>
      </w:r>
      <w:bookmarkStart w:id="89" w:name="_Toc513029213"/>
      <w:r>
        <w:rPr>
          <w:rFonts w:hint="eastAsia" w:ascii="仿宋" w:hAnsi="仿宋" w:eastAsia="仿宋"/>
          <w:b/>
          <w:bCs/>
          <w:color w:val="000000" w:themeColor="text1"/>
          <w:sz w:val="28"/>
          <w:szCs w:val="28"/>
          <w:highlight w:val="none"/>
          <w14:textFill>
            <w14:solidFill>
              <w14:schemeClr w14:val="tx1"/>
            </w14:solidFill>
          </w14:textFill>
        </w:rPr>
        <w:t xml:space="preserve">三、投标文件的编制</w:t>
      </w:r>
      <w:bookmarkEnd w:id="85"/>
      <w:r>
        <w:rPr>
          <w:highlight w:val="none"/>
        </w:rPr>
      </w:r>
      <w:bookmarkEnd w:id="86"/>
      <w:r>
        <w:rPr>
          <w:highlight w:val="none"/>
        </w:rPr>
      </w:r>
      <w:bookmarkEnd w:id="87"/>
      <w:r>
        <w:rPr>
          <w:highlight w:val="none"/>
        </w:rPr>
      </w:r>
      <w:bookmarkEnd w:id="88"/>
      <w:r>
        <w:rPr>
          <w:highlight w:val="none"/>
        </w:rPr>
      </w:r>
      <w:bookmarkEnd w:id="89"/>
      <w:r>
        <w:rPr>
          <w:highlight w:val="none"/>
        </w:rPr>
      </w:r>
      <w:r>
        <w:rPr>
          <w:highlight w:val="none"/>
        </w:rPr>
      </w:r>
    </w:p>
    <w:p>
      <w:pPr>
        <w:keepLines/>
        <w:keepNext/>
        <w:pageBreakBefore w:val="0"/>
        <w:spacing w:line="560" w:lineRule="exact"/>
        <w:widowControl w:val="off"/>
        <w:rPr>
          <w:rFonts w:hint="eastAsia" w:ascii="仿宋" w:hAnsi="仿宋" w:eastAsia="仿宋" w:cs="Arial"/>
          <w:b/>
          <w:color w:val="000000" w:themeColor="text1"/>
          <w:sz w:val="28"/>
          <w:szCs w:val="28"/>
          <w:highlight w:val="none"/>
          <w14:textFill>
            <w14:solidFill>
              <w14:schemeClr w14:val="tx1"/>
            </w14:solidFill>
          </w14:textFill>
        </w:rPr>
        <w:outlineLvl w:val="3"/>
      </w:pPr>
      <w:r>
        <w:rPr>
          <w:highlight w:val="none"/>
        </w:rPr>
      </w:r>
      <w:bookmarkStart w:id="90" w:name="_Toc16938530"/>
      <w:r>
        <w:rPr>
          <w:highlight w:val="none"/>
        </w:rPr>
      </w:r>
      <w:bookmarkStart w:id="91" w:name="_Toc20823286"/>
      <w:r>
        <w:rPr>
          <w:highlight w:val="none"/>
        </w:rPr>
      </w:r>
      <w:bookmarkStart w:id="92" w:name="_Toc462564073"/>
      <w:r>
        <w:rPr>
          <w:highlight w:val="none"/>
        </w:rPr>
      </w:r>
      <w:bookmarkStart w:id="93" w:name="_Toc513029214"/>
      <w:r>
        <w:rPr>
          <w:rFonts w:hint="eastAsia" w:ascii="仿宋" w:hAnsi="仿宋" w:eastAsia="仿宋" w:cs="Arial"/>
          <w:color w:val="000000" w:themeColor="text1"/>
          <w:sz w:val="28"/>
          <w:szCs w:val="28"/>
          <w:highlight w:val="none"/>
          <w:lang w:eastAsia="zh-CN"/>
          <w14:textFill>
            <w14:solidFill>
              <w14:schemeClr w14:val="tx1"/>
            </w14:solidFill>
          </w14:textFill>
        </w:rPr>
        <w:t xml:space="preserve">9.</w:t>
      </w:r>
      <w:r>
        <w:rPr>
          <w:rFonts w:hint="eastAsia" w:ascii="仿宋" w:hAnsi="仿宋" w:eastAsia="仿宋" w:cs="Arial"/>
          <w:color w:val="000000" w:themeColor="text1"/>
          <w:sz w:val="28"/>
          <w:szCs w:val="28"/>
          <w:highlight w:val="none"/>
          <w14:textFill>
            <w14:solidFill>
              <w14:schemeClr w14:val="tx1"/>
            </w14:solidFill>
          </w14:textFill>
        </w:rPr>
        <w:t xml:space="preserve">投标文件的语言及度量衡单位</w:t>
      </w:r>
      <w:bookmarkEnd w:id="90"/>
      <w:r>
        <w:rPr>
          <w:highlight w:val="none"/>
        </w:rPr>
      </w:r>
      <w:bookmarkEnd w:id="91"/>
      <w:r>
        <w:rPr>
          <w:highlight w:val="none"/>
        </w:rPr>
      </w:r>
      <w:bookmarkEnd w:id="92"/>
      <w:r>
        <w:rPr>
          <w:highlight w:val="none"/>
        </w:rPr>
      </w:r>
      <w:bookmarkEnd w:id="93"/>
      <w:r>
        <w:rPr>
          <w:highlight w:val="none"/>
        </w:rPr>
      </w:r>
      <w:r>
        <w:rPr>
          <w:highlight w:val="none"/>
        </w:rP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9.1</w:t>
      </w:r>
      <w:r>
        <w:rPr>
          <w:rFonts w:hint="eastAsia" w:ascii="仿宋" w:hAnsi="仿宋" w:eastAsia="仿宋"/>
          <w:color w:val="000000" w:themeColor="text1"/>
          <w:sz w:val="28"/>
          <w:szCs w:val="28"/>
          <w:highlight w:val="none"/>
          <w14:textFill>
            <w14:solidFill>
              <w14:schemeClr w14:val="tx1"/>
            </w14:solidFill>
          </w14:textFill>
        </w:rPr>
        <w:t xml:space="preserve"> 投标人提交的投标文件以及投标人与南通市教育技术中心就有关投标的所有来往通知、函件和文件均应使用简体中文。</w:t>
      </w:r>
      <w:r>
        <w:rPr>
          <w:highlight w:val="none"/>
        </w:rP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9.2</w:t>
      </w:r>
      <w:r>
        <w:rPr>
          <w:rFonts w:hint="eastAsia" w:ascii="仿宋" w:hAnsi="仿宋" w:eastAsia="仿宋"/>
          <w:color w:val="000000" w:themeColor="text1"/>
          <w:sz w:val="28"/>
          <w:szCs w:val="28"/>
          <w:highlight w:val="none"/>
          <w14:textFill>
            <w14:solidFill>
              <w14:schemeClr w14:val="tx1"/>
            </w14:solidFill>
          </w14:textFill>
        </w:rPr>
        <w:t xml:space="preserve"> 除技术性能另有规定外，投标文件所使用的度量衡单位，均须采用国家法定计量单位。</w:t>
      </w:r>
      <w:r>
        <w:rPr>
          <w:highlight w:val="none"/>
        </w:rP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94" w:name="_Toc513029215"/>
      <w:r>
        <w:rPr>
          <w:highlight w:val="none"/>
        </w:rPr>
      </w:r>
      <w:bookmarkStart w:id="95" w:name="_Toc20823287"/>
      <w:r>
        <w:rPr>
          <w:highlight w:val="none"/>
        </w:rPr>
      </w:r>
      <w:bookmarkStart w:id="96" w:name="_Toc16938531"/>
      <w:r>
        <w:rPr>
          <w:highlight w:val="none"/>
        </w:rPr>
      </w:r>
      <w:bookmarkStart w:id="97" w:name="_Toc462564074"/>
      <w:r>
        <w:rPr>
          <w:rFonts w:hint="eastAsia" w:ascii="仿宋" w:hAnsi="仿宋" w:eastAsia="仿宋" w:cs="Arial"/>
          <w:color w:val="000000" w:themeColor="text1"/>
          <w:sz w:val="28"/>
          <w:szCs w:val="28"/>
          <w:highlight w:val="none"/>
          <w:lang w:eastAsia="zh-CN"/>
          <w14:textFill>
            <w14:solidFill>
              <w14:schemeClr w14:val="tx1"/>
            </w14:solidFill>
          </w14:textFill>
        </w:rPr>
        <w:t xml:space="preserve">10.</w:t>
      </w:r>
      <w:r>
        <w:rPr>
          <w:rFonts w:hint="eastAsia" w:ascii="仿宋" w:hAnsi="仿宋" w:eastAsia="仿宋" w:cs="Arial"/>
          <w:color w:val="000000" w:themeColor="text1"/>
          <w:sz w:val="28"/>
          <w:szCs w:val="28"/>
          <w:highlight w:val="none"/>
          <w14:textFill>
            <w14:solidFill>
              <w14:schemeClr w14:val="tx1"/>
            </w14:solidFill>
          </w14:textFill>
        </w:rPr>
        <w:t xml:space="preserve">投标文件构成</w:t>
      </w:r>
      <w:bookmarkEnd w:id="94"/>
      <w:r>
        <w:rPr>
          <w:highlight w:val="none"/>
        </w:rPr>
      </w:r>
      <w:bookmarkEnd w:id="95"/>
      <w:r>
        <w:rPr>
          <w:highlight w:val="none"/>
        </w:rPr>
      </w:r>
      <w:bookmarkEnd w:id="96"/>
      <w:r>
        <w:rPr>
          <w:highlight w:val="none"/>
        </w:rPr>
      </w:r>
      <w:bookmarkEnd w:id="97"/>
      <w:r>
        <w:rPr>
          <w:highlight w:val="none"/>
        </w:rPr>
      </w:r>
      <w:r>
        <w:rPr>
          <w:highlight w:val="none"/>
        </w:rP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10.1</w:t>
      </w:r>
      <w:r>
        <w:rPr>
          <w:rFonts w:hint="eastAsia" w:ascii="仿宋" w:hAnsi="仿宋" w:eastAsia="仿宋"/>
          <w:color w:val="000000" w:themeColor="text1"/>
          <w:sz w:val="28"/>
          <w:szCs w:val="28"/>
          <w:highlight w:val="none"/>
          <w14:textFill>
            <w14:solidFill>
              <w14:schemeClr w14:val="tx1"/>
            </w14:solidFill>
          </w14:textFill>
        </w:rPr>
        <w:t xml:space="preserve"> 投标人编写的投标文件应包括资格证明文件、实质性要求响应及偏离表、投标分项报价表、技术要求响应及偏离表、商务要求响应及偏离表、其他证明文件、投标函、开标一览表等部分。</w:t>
      </w:r>
      <w:r>
        <w:rPr>
          <w:highlight w:val="none"/>
        </w:rP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10.2 如标书制作工具中格式和内容与“江苏政府采购网”发布的招标文件不一致，请以“江苏政府采购网”发布的招标文件为准。</w:t>
      </w:r>
      <w:r>
        <w:rPr>
          <w:highlight w:val="none"/>
        </w:rP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98" w:name="_Hlt26954838"/>
      <w:r>
        <w:rPr>
          <w:highlight w:val="none"/>
        </w:rPr>
      </w:r>
      <w:bookmarkEnd w:id="98"/>
      <w:r>
        <w:rPr>
          <w:highlight w:val="none"/>
        </w:rPr>
      </w:r>
      <w:bookmarkStart w:id="99" w:name="_Hlt26668975"/>
      <w:r>
        <w:rPr>
          <w:highlight w:val="none"/>
        </w:rPr>
      </w:r>
      <w:bookmarkEnd w:id="99"/>
      <w:r>
        <w:rPr>
          <w:highlight w:val="none"/>
        </w:rPr>
      </w:r>
      <w:bookmarkStart w:id="100" w:name="_Hlt26670360"/>
      <w:r>
        <w:rPr>
          <w:highlight w:val="none"/>
        </w:rPr>
      </w:r>
      <w:bookmarkEnd w:id="100"/>
      <w:r>
        <w:rPr>
          <w:highlight w:val="none"/>
        </w:rPr>
      </w:r>
      <w:bookmarkStart w:id="101" w:name="_Toc14577354"/>
      <w:r>
        <w:rPr>
          <w:highlight w:val="none"/>
        </w:rPr>
      </w:r>
      <w:bookmarkStart w:id="102" w:name="_Toc513029219"/>
      <w:r>
        <w:rPr>
          <w:highlight w:val="none"/>
        </w:rPr>
      </w:r>
      <w:bookmarkStart w:id="103" w:name="_Toc513029216"/>
      <w:r>
        <w:rPr>
          <w:highlight w:val="none"/>
        </w:rPr>
      </w:r>
      <w:bookmarkStart w:id="104" w:name="_Toc14577357"/>
      <w:r>
        <w:rPr>
          <w:highlight w:val="none"/>
        </w:rPr>
      </w:r>
      <w:bookmarkStart w:id="105" w:name="_Toc49090507"/>
      <w:r>
        <w:rPr>
          <w:highlight w:val="none"/>
        </w:rPr>
      </w:r>
      <w:bookmarkStart w:id="106" w:name="_Toc49090509"/>
      <w:r>
        <w:rPr>
          <w:highlight w:val="none"/>
        </w:rPr>
      </w:r>
      <w:bookmarkStart w:id="107" w:name="_Toc14577355"/>
      <w:r>
        <w:rPr>
          <w:highlight w:val="none"/>
        </w:rPr>
      </w:r>
      <w:bookmarkStart w:id="108" w:name="_Toc49090508"/>
      <w:r>
        <w:rPr>
          <w:rFonts w:hint="eastAsia" w:ascii="仿宋" w:hAnsi="仿宋" w:eastAsia="仿宋" w:cs="Arial"/>
          <w:color w:val="000000" w:themeColor="text1"/>
          <w:sz w:val="28"/>
          <w:szCs w:val="28"/>
          <w:highlight w:val="none"/>
          <w:lang w:eastAsia="zh-CN"/>
          <w14:textFill>
            <w14:solidFill>
              <w14:schemeClr w14:val="tx1"/>
            </w14:solidFill>
          </w14:textFill>
        </w:rPr>
        <w:t xml:space="preserve">11.</w:t>
      </w:r>
      <w:r>
        <w:rPr>
          <w:rFonts w:hint="eastAsia" w:ascii="仿宋" w:hAnsi="仿宋" w:eastAsia="仿宋" w:cs="Arial"/>
          <w:color w:val="000000" w:themeColor="text1"/>
          <w:sz w:val="28"/>
          <w:szCs w:val="28"/>
          <w:highlight w:val="none"/>
          <w14:textFill>
            <w14:solidFill>
              <w14:schemeClr w14:val="tx1"/>
            </w14:solidFill>
          </w14:textFill>
        </w:rPr>
        <w:t xml:space="preserve">证明投标人及投标标的符合招标文件规定的文件</w:t>
      </w:r>
      <w:bookmarkEnd w:id="101"/>
      <w:r>
        <w:rPr>
          <w:highlight w:val="none"/>
        </w:rPr>
      </w:r>
      <w:bookmarkEnd w:id="102"/>
      <w:r>
        <w:rPr>
          <w:highlight w:val="none"/>
        </w:rPr>
      </w:r>
      <w:bookmarkEnd w:id="103"/>
      <w:r>
        <w:rPr>
          <w:highlight w:val="none"/>
        </w:rPr>
      </w:r>
      <w:bookmarkEnd w:id="104"/>
      <w:r>
        <w:rPr>
          <w:highlight w:val="none"/>
        </w:rPr>
      </w:r>
      <w:bookmarkEnd w:id="105"/>
      <w:r>
        <w:rPr>
          <w:highlight w:val="none"/>
        </w:rPr>
      </w:r>
      <w:bookmarkEnd w:id="106"/>
      <w:r>
        <w:rPr>
          <w:highlight w:val="none"/>
        </w:rPr>
      </w:r>
      <w:r>
        <w:rPr>
          <w:highlight w:val="none"/>
        </w:rPr>
      </w:r>
    </w:p>
    <w:p>
      <w:pPr>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11.1 投标人应按照招标文件要求提交证明文件，证明其及投标标的符合招标文件规定。</w:t>
      </w:r>
      <w:r>
        <w:rPr>
          <w:highlight w:val="none"/>
        </w:rP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11.2招标文件对证明文件无明确形式要求的，证明文件可以以文字资料、图纸和数据等形式提交。</w:t>
      </w:r>
      <w:bookmarkEnd w:id="107"/>
      <w:r>
        <w:rPr>
          <w:highlight w:val="none"/>
        </w:rPr>
      </w:r>
      <w:bookmarkEnd w:id="108"/>
      <w:r>
        <w:rPr>
          <w:highlight w:val="none"/>
        </w:rPr>
      </w:r>
      <w:r>
        <w:rPr>
          <w:highlight w:val="none"/>
        </w:rP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rFonts w:hint="eastAsia" w:ascii="仿宋" w:hAnsi="仿宋" w:eastAsia="仿宋" w:cs="Arial"/>
          <w:color w:val="000000" w:themeColor="text1"/>
          <w:sz w:val="28"/>
          <w:szCs w:val="28"/>
          <w:highlight w:val="none"/>
          <w:lang w:eastAsia="zh-CN"/>
          <w14:textFill>
            <w14:solidFill>
              <w14:schemeClr w14:val="tx1"/>
            </w14:solidFill>
          </w14:textFill>
        </w:rPr>
        <w:t xml:space="preserve">12.</w:t>
      </w:r>
      <w:r>
        <w:rPr>
          <w:rFonts w:hint="eastAsia" w:ascii="仿宋" w:hAnsi="仿宋" w:eastAsia="仿宋" w:cs="Arial"/>
          <w:color w:val="000000" w:themeColor="text1"/>
          <w:sz w:val="28"/>
          <w:szCs w:val="28"/>
          <w:highlight w:val="none"/>
          <w14:textFill>
            <w14:solidFill>
              <w14:schemeClr w14:val="tx1"/>
            </w14:solidFill>
          </w14:textFill>
        </w:rPr>
        <w:t xml:space="preserve">投标分项报价表</w:t>
      </w:r>
      <w:r>
        <w:rPr>
          <w:highlight w:val="none"/>
        </w:rP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12.1</w:t>
      </w:r>
      <w:r>
        <w:rPr>
          <w:rFonts w:hint="eastAsia" w:ascii="仿宋" w:hAnsi="仿宋" w:eastAsia="仿宋"/>
          <w:color w:val="000000" w:themeColor="text1"/>
          <w:sz w:val="28"/>
          <w:szCs w:val="28"/>
          <w:highlight w:val="none"/>
          <w14:textFill>
            <w14:solidFill>
              <w14:schemeClr w14:val="tx1"/>
            </w14:solidFill>
          </w14:textFill>
        </w:rPr>
        <w:t xml:space="preserve"> 投标人按照招标文件规定格式填报投标分项报价表。</w:t>
      </w:r>
      <w:r>
        <w:rPr>
          <w:highlight w:val="none"/>
        </w:rP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12.2</w:t>
      </w:r>
      <w:r>
        <w:rPr>
          <w:rFonts w:hint="eastAsia" w:ascii="仿宋" w:hAnsi="仿宋" w:eastAsia="仿宋"/>
          <w:bCs/>
          <w:color w:val="000000" w:themeColor="text1"/>
          <w:sz w:val="28"/>
          <w:szCs w:val="28"/>
          <w:highlight w:val="none"/>
          <w14:textFill>
            <w14:solidFill>
              <w14:schemeClr w14:val="tx1"/>
            </w14:solidFill>
          </w14:textFill>
        </w:rPr>
        <w:t xml:space="preserve">投标货币。投标文件中的单价和总价无特殊规定的采用人民币报价，以元为单位标注。</w:t>
      </w:r>
      <w:r>
        <w:rPr>
          <w:rFonts w:hint="eastAsia" w:ascii="仿宋" w:hAnsi="仿宋" w:eastAsia="仿宋"/>
          <w:color w:val="000000" w:themeColor="text1"/>
          <w:sz w:val="28"/>
          <w:szCs w:val="28"/>
          <w:highlight w:val="none"/>
          <w14:textFill>
            <w14:solidFill>
              <w14:schemeClr w14:val="tx1"/>
            </w14:solidFill>
          </w14:textFill>
        </w:rPr>
        <w:t xml:space="preserve">招标文件中另有规定的按规定执行。</w:t>
      </w:r>
      <w:r>
        <w:rPr>
          <w:highlight w:val="none"/>
        </w:rP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109" w:name="_Hlt26670482"/>
      <w:r>
        <w:rPr>
          <w:highlight w:val="none"/>
        </w:rPr>
      </w:r>
      <w:bookmarkEnd w:id="109"/>
      <w:r>
        <w:rPr>
          <w:highlight w:val="none"/>
        </w:rPr>
      </w:r>
      <w:bookmarkStart w:id="110" w:name="_Hlt26954731"/>
      <w:r>
        <w:rPr>
          <w:highlight w:val="none"/>
        </w:rPr>
      </w:r>
      <w:bookmarkEnd w:id="110"/>
      <w:r>
        <w:rPr>
          <w:highlight w:val="none"/>
        </w:rPr>
      </w:r>
      <w:bookmarkStart w:id="111" w:name="_Hlt26670486"/>
      <w:r>
        <w:rPr>
          <w:highlight w:val="none"/>
        </w:rPr>
      </w:r>
      <w:bookmarkEnd w:id="111"/>
      <w:r>
        <w:rPr>
          <w:highlight w:val="none"/>
        </w:rPr>
      </w:r>
      <w:bookmarkStart w:id="112" w:name="_Hlt26954848"/>
      <w:r>
        <w:rPr>
          <w:highlight w:val="none"/>
        </w:rPr>
      </w:r>
      <w:bookmarkEnd w:id="112"/>
      <w:r>
        <w:rPr>
          <w:highlight w:val="none"/>
        </w:rPr>
      </w:r>
      <w:bookmarkStart w:id="113" w:name="_Hlt26954846"/>
      <w:r>
        <w:rPr>
          <w:highlight w:val="none"/>
        </w:rPr>
      </w:r>
      <w:bookmarkEnd w:id="113"/>
      <w:r>
        <w:rPr>
          <w:rFonts w:hint="eastAsia" w:ascii="仿宋" w:hAnsi="仿宋" w:eastAsia="仿宋" w:cs="Arial"/>
          <w:color w:val="000000" w:themeColor="text1"/>
          <w:sz w:val="28"/>
          <w:szCs w:val="28"/>
          <w:highlight w:val="none"/>
          <w:lang w:eastAsia="zh-CN"/>
          <w14:textFill>
            <w14:solidFill>
              <w14:schemeClr w14:val="tx1"/>
            </w14:solidFill>
          </w14:textFill>
        </w:rPr>
        <w:t xml:space="preserve">13.</w:t>
      </w:r>
      <w:r>
        <w:rPr>
          <w:rFonts w:hint="eastAsia" w:ascii="仿宋" w:hAnsi="仿宋" w:eastAsia="仿宋" w:cs="Arial"/>
          <w:color w:val="000000" w:themeColor="text1"/>
          <w:sz w:val="28"/>
          <w:szCs w:val="28"/>
          <w:highlight w:val="none"/>
          <w14:textFill>
            <w14:solidFill>
              <w14:schemeClr w14:val="tx1"/>
            </w14:solidFill>
          </w14:textFill>
        </w:rPr>
        <w:t xml:space="preserve">技术要求响应及偏离表、商务要求响应及偏离表</w:t>
      </w:r>
      <w:r>
        <w:rPr>
          <w:highlight w:val="none"/>
        </w:rPr>
      </w:r>
    </w:p>
    <w:p>
      <w:pPr>
        <w:ind w:firstLine="480"/>
        <w:pageBreakBefore w:val="0"/>
        <w:spacing w:line="560" w:lineRule="exact"/>
        <w:widowControl w:val="off"/>
        <w:rPr>
          <w:rFonts w:hint="eastAsia" w:ascii="仿宋" w:hAnsi="仿宋" w:eastAsia="仿宋" w:cs="宋体"/>
          <w:color w:val="000000" w:themeColor="text1"/>
          <w:sz w:val="28"/>
          <w:szCs w:val="28"/>
          <w:highlight w:val="none"/>
          <w14:textFill>
            <w14:solidFill>
              <w14:schemeClr w14:val="tx1"/>
            </w14:solidFill>
          </w14:textFill>
        </w:rPr>
      </w:pPr>
      <w:r>
        <w:rPr>
          <w:rFonts w:ascii="仿宋" w:hAnsi="仿宋" w:eastAsia="仿宋" w:cs="宋体"/>
          <w:bCs/>
          <w:color w:val="000000" w:themeColor="text1"/>
          <w:sz w:val="28"/>
          <w:szCs w:val="28"/>
          <w:highlight w:val="none"/>
          <w:lang w:val="zh-CN"/>
          <w14:textFill>
            <w14:solidFill>
              <w14:schemeClr w14:val="tx1"/>
            </w14:solidFill>
          </w14:textFill>
        </w:rPr>
        <w:t xml:space="preserve">1</w:t>
      </w:r>
      <w:r>
        <w:rPr>
          <w:rFonts w:hint="eastAsia" w:ascii="仿宋" w:hAnsi="仿宋" w:eastAsia="仿宋" w:cs="宋体"/>
          <w:bCs/>
          <w:color w:val="000000" w:themeColor="text1"/>
          <w:sz w:val="28"/>
          <w:szCs w:val="28"/>
          <w:highlight w:val="none"/>
          <w:lang w:val="zh-CN"/>
          <w14:textFill>
            <w14:solidFill>
              <w14:schemeClr w14:val="tx1"/>
            </w14:solidFill>
          </w14:textFill>
        </w:rPr>
        <w:t xml:space="preserve">3</w:t>
      </w:r>
      <w:r>
        <w:rPr>
          <w:rFonts w:ascii="仿宋" w:hAnsi="仿宋" w:eastAsia="仿宋" w:cs="宋体"/>
          <w:bCs/>
          <w:color w:val="000000" w:themeColor="text1"/>
          <w:sz w:val="28"/>
          <w:szCs w:val="28"/>
          <w:highlight w:val="none"/>
          <w:lang w:val="zh-CN"/>
          <w14:textFill>
            <w14:solidFill>
              <w14:schemeClr w14:val="tx1"/>
            </w14:solidFill>
          </w14:textFill>
        </w:rPr>
        <w:t xml:space="preserve">.1</w:t>
      </w:r>
      <w:r>
        <w:rPr>
          <w:rFonts w:hint="eastAsia" w:ascii="仿宋" w:hAnsi="仿宋" w:eastAsia="仿宋" w:cs="宋体"/>
          <w:bCs/>
          <w:color w:val="000000" w:themeColor="text1"/>
          <w:sz w:val="28"/>
          <w:szCs w:val="28"/>
          <w:highlight w:val="none"/>
          <w:lang w:val="zh-CN"/>
          <w14:textFill>
            <w14:solidFill>
              <w14:schemeClr w14:val="tx1"/>
            </w14:solidFill>
          </w14:textFill>
        </w:rPr>
        <w:t xml:space="preserve"> </w:t>
      </w:r>
      <w:r>
        <w:rPr>
          <w:rFonts w:hint="eastAsia" w:ascii="仿宋" w:hAnsi="仿宋" w:eastAsia="仿宋" w:cs="宋体"/>
          <w:color w:val="000000" w:themeColor="text1"/>
          <w:sz w:val="28"/>
          <w:szCs w:val="28"/>
          <w:highlight w:val="none"/>
          <w:lang w:val="zh-CN"/>
          <w14:textFill>
            <w14:solidFill>
              <w14:schemeClr w14:val="tx1"/>
            </w14:solidFill>
          </w14:textFill>
        </w:rPr>
        <w:t xml:space="preserve">投标人需对招标文件中的技术要求与商务要求逐项作出响应或偏离，并说明原因。</w:t>
      </w:r>
      <w:r>
        <w:rPr>
          <w:highlight w:val="none"/>
        </w:rPr>
      </w:r>
    </w:p>
    <w:p>
      <w:pPr>
        <w:ind w:firstLine="480"/>
        <w:pageBreakBefore w:val="0"/>
        <w:spacing w:line="560" w:lineRule="exact"/>
        <w:widowControl w:val="off"/>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zh-CN"/>
          <w14:textFill>
            <w14:solidFill>
              <w14:schemeClr w14:val="tx1"/>
            </w14:solidFill>
          </w14:textFill>
        </w:rPr>
        <w:t xml:space="preserve">13.2投标人需按照招标文件要求，在投标文件中提供与技术要求和商务要求相关的证明材料。</w:t>
      </w:r>
      <w:r>
        <w:rPr>
          <w:highlight w:val="none"/>
        </w:rP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rFonts w:hint="eastAsia" w:ascii="仿宋" w:hAnsi="仿宋" w:eastAsia="仿宋" w:cs="Arial"/>
          <w:color w:val="000000" w:themeColor="text1"/>
          <w:sz w:val="28"/>
          <w:szCs w:val="28"/>
          <w:highlight w:val="none"/>
          <w:lang w:eastAsia="zh-CN"/>
          <w14:textFill>
            <w14:solidFill>
              <w14:schemeClr w14:val="tx1"/>
            </w14:solidFill>
          </w14:textFill>
        </w:rPr>
        <w:t xml:space="preserve">14.</w:t>
      </w:r>
      <w:r>
        <w:rPr>
          <w:rFonts w:hint="eastAsia" w:ascii="仿宋" w:hAnsi="仿宋" w:eastAsia="仿宋" w:cs="Arial"/>
          <w:color w:val="000000" w:themeColor="text1"/>
          <w:sz w:val="28"/>
          <w:szCs w:val="28"/>
          <w:highlight w:val="none"/>
          <w14:textFill>
            <w14:solidFill>
              <w14:schemeClr w14:val="tx1"/>
            </w14:solidFill>
          </w14:textFill>
        </w:rPr>
        <w:t xml:space="preserve">服务承诺、培训计划、人员安排及其他</w:t>
      </w:r>
      <w:r>
        <w:rPr>
          <w:highlight w:val="none"/>
        </w:rPr>
      </w:r>
    </w:p>
    <w:p>
      <w:pPr>
        <w:ind w:firstLine="48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14.1 </w:t>
      </w:r>
      <w:r>
        <w:rPr>
          <w:rFonts w:hint="eastAsia" w:ascii="仿宋" w:hAnsi="仿宋" w:eastAsia="仿宋"/>
          <w:color w:val="000000" w:themeColor="text1"/>
          <w:sz w:val="28"/>
          <w:szCs w:val="28"/>
          <w:highlight w:val="none"/>
          <w14:textFill>
            <w14:solidFill>
              <w14:schemeClr w14:val="tx1"/>
            </w14:solidFill>
          </w14:textFill>
        </w:rPr>
        <w:t xml:space="preserve">投标人需根据招标文件要求提供有关售后服务的管理制度，售后服务机构的分布情况，售后服务人员的数量、素质、技术水平及售后服务的反应能力等。</w:t>
      </w:r>
      <w:r>
        <w:rPr>
          <w:highlight w:val="none"/>
        </w:rPr>
      </w:r>
    </w:p>
    <w:p>
      <w:pPr>
        <w:ind w:firstLine="48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14.2 投标人需根据招标文件要求提供培训计划。</w:t>
      </w:r>
      <w:r>
        <w:rPr>
          <w:highlight w:val="none"/>
        </w:rPr>
      </w:r>
    </w:p>
    <w:p>
      <w:pPr>
        <w:ind w:firstLine="48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14.3投标人需根据招标文件要求提供</w:t>
      </w:r>
      <w:r>
        <w:rPr>
          <w:rFonts w:hint="eastAsia" w:ascii="仿宋" w:hAnsi="仿宋" w:eastAsia="仿宋" w:cs="宋体"/>
          <w:color w:val="000000" w:themeColor="text1"/>
          <w:sz w:val="28"/>
          <w:szCs w:val="28"/>
          <w:highlight w:val="none"/>
          <w:lang w:val="zh-CN"/>
          <w14:textFill>
            <w14:solidFill>
              <w14:schemeClr w14:val="tx1"/>
            </w14:solidFill>
          </w14:textFill>
        </w:rPr>
        <w:t xml:space="preserve">所投标的的主要组成部分、功能设计、实现思路及关键技术等。</w:t>
      </w:r>
      <w:r>
        <w:rPr>
          <w:highlight w:val="none"/>
        </w:rP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114" w:name="_Toc49090510"/>
      <w:r>
        <w:rPr>
          <w:highlight w:val="none"/>
        </w:rPr>
      </w:r>
      <w:bookmarkStart w:id="115" w:name="_Toc14577359"/>
      <w:r>
        <w:rPr>
          <w:rFonts w:hint="eastAsia" w:ascii="仿宋" w:hAnsi="仿宋" w:eastAsia="仿宋" w:cs="Arial"/>
          <w:color w:val="000000" w:themeColor="text1"/>
          <w:sz w:val="28"/>
          <w:szCs w:val="28"/>
          <w:highlight w:val="none"/>
          <w:lang w:eastAsia="zh-CN"/>
          <w14:textFill>
            <w14:solidFill>
              <w14:schemeClr w14:val="tx1"/>
            </w14:solidFill>
          </w14:textFill>
        </w:rPr>
        <w:t xml:space="preserve">15.</w:t>
      </w:r>
      <w:r>
        <w:rPr>
          <w:rFonts w:hint="eastAsia" w:ascii="仿宋" w:hAnsi="仿宋" w:eastAsia="仿宋" w:cs="Arial"/>
          <w:color w:val="000000" w:themeColor="text1"/>
          <w:sz w:val="28"/>
          <w:szCs w:val="28"/>
          <w:highlight w:val="none"/>
          <w14:textFill>
            <w14:solidFill>
              <w14:schemeClr w14:val="tx1"/>
            </w14:solidFill>
          </w14:textFill>
        </w:rPr>
        <w:t xml:space="preserve">投标函和开标一览表</w:t>
      </w:r>
      <w:r>
        <w:rPr>
          <w:highlight w:val="none"/>
        </w:rP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15.1</w:t>
      </w:r>
      <w:r>
        <w:rPr>
          <w:rFonts w:hint="eastAsia" w:ascii="仿宋" w:hAnsi="仿宋" w:eastAsia="仿宋"/>
          <w:color w:val="000000" w:themeColor="text1"/>
          <w:sz w:val="28"/>
          <w:szCs w:val="28"/>
          <w:highlight w:val="none"/>
          <w14:textFill>
            <w14:solidFill>
              <w14:schemeClr w14:val="tx1"/>
            </w14:solidFill>
          </w14:textFill>
        </w:rPr>
        <w:t xml:space="preserve"> 投标人应按照招标文件中提供的格式完整、正确填写投标函、开标一览表。</w:t>
      </w:r>
      <w:r>
        <w:rPr>
          <w:highlight w:val="none"/>
        </w:rP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15.2 对于采用货币报价的项目，开标一览表中的投标总报价应与分项报价表中的投标总报价一致，如不一致，不作为无效投标处理，但评标时按开标一览表中价格为准。</w:t>
      </w:r>
      <w:bookmarkEnd w:id="114"/>
      <w:r>
        <w:rPr>
          <w:highlight w:val="none"/>
        </w:rPr>
      </w:r>
      <w:bookmarkEnd w:id="115"/>
      <w:r>
        <w:rPr>
          <w:highlight w:val="none"/>
        </w:rPr>
      </w:r>
      <w:r>
        <w:rPr>
          <w:highlight w:val="none"/>
        </w:rP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116" w:name="_Toc14577360"/>
      <w:r>
        <w:rPr>
          <w:highlight w:val="none"/>
        </w:rPr>
      </w:r>
      <w:bookmarkStart w:id="117" w:name="_Toc49090511"/>
      <w:r>
        <w:rPr>
          <w:rFonts w:hint="eastAsia" w:ascii="仿宋" w:hAnsi="仿宋" w:eastAsia="仿宋" w:cs="Arial"/>
          <w:color w:val="000000" w:themeColor="text1"/>
          <w:sz w:val="28"/>
          <w:szCs w:val="28"/>
          <w:highlight w:val="none"/>
          <w:lang w:eastAsia="zh-CN"/>
          <w14:textFill>
            <w14:solidFill>
              <w14:schemeClr w14:val="tx1"/>
            </w14:solidFill>
          </w14:textFill>
        </w:rPr>
        <w:t xml:space="preserve">16.</w:t>
      </w:r>
      <w:r>
        <w:rPr>
          <w:rFonts w:hint="eastAsia" w:ascii="仿宋" w:hAnsi="仿宋" w:eastAsia="仿宋" w:cs="Arial"/>
          <w:color w:val="000000" w:themeColor="text1"/>
          <w:sz w:val="28"/>
          <w:szCs w:val="28"/>
          <w:highlight w:val="none"/>
          <w14:textFill>
            <w14:solidFill>
              <w14:schemeClr w14:val="tx1"/>
            </w14:solidFill>
          </w14:textFill>
        </w:rPr>
        <w:t xml:space="preserve">投标有效期</w:t>
      </w:r>
      <w:bookmarkEnd w:id="116"/>
      <w:r>
        <w:rPr>
          <w:highlight w:val="none"/>
        </w:rPr>
      </w:r>
      <w:bookmarkEnd w:id="117"/>
      <w:r>
        <w:rPr>
          <w:highlight w:val="none"/>
        </w:rPr>
      </w:r>
      <w:r>
        <w:rPr>
          <w:highlight w:val="none"/>
        </w:rP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16.1投标有效期为</w:t>
      </w:r>
      <w:r>
        <w:rPr>
          <w:rFonts w:hint="eastAsia" w:ascii="仿宋" w:hAnsi="仿宋" w:eastAsia="仿宋"/>
          <w:color w:val="000000" w:themeColor="text1"/>
          <w:sz w:val="28"/>
          <w:szCs w:val="28"/>
          <w:highlight w:val="none"/>
          <w14:textFill>
            <w14:solidFill>
              <w14:schemeClr w14:val="tx1"/>
            </w14:solidFill>
          </w14:textFill>
        </w:rPr>
        <w:t xml:space="preserve">南通市教育技术中心</w:t>
      </w:r>
      <w:r>
        <w:rPr>
          <w:rFonts w:hint="eastAsia" w:ascii="仿宋" w:hAnsi="仿宋" w:eastAsia="仿宋"/>
          <w:bCs/>
          <w:color w:val="000000" w:themeColor="text1"/>
          <w:sz w:val="28"/>
          <w:szCs w:val="28"/>
          <w:highlight w:val="none"/>
          <w14:textFill>
            <w14:solidFill>
              <w14:schemeClr w14:val="tx1"/>
            </w14:solidFill>
          </w14:textFill>
        </w:rPr>
        <w:t xml:space="preserve">规定的开标之日后</w:t>
      </w:r>
      <w:r>
        <w:rPr>
          <w:rFonts w:hint="eastAsia" w:ascii="仿宋" w:hAnsi="仿宋" w:eastAsia="仿宋"/>
          <w:color w:val="000000" w:themeColor="text1"/>
          <w:sz w:val="28"/>
          <w:szCs w:val="28"/>
          <w:highlight w:val="none"/>
          <w:u w:val="single"/>
          <w14:textFill>
            <w14:solidFill>
              <w14:schemeClr w14:val="tx1"/>
            </w14:solidFill>
          </w14:textFill>
        </w:rPr>
        <w:t xml:space="preserve">九十（90）天</w:t>
      </w:r>
      <w:r>
        <w:rPr>
          <w:rFonts w:hint="eastAsia" w:ascii="仿宋" w:hAnsi="仿宋" w:eastAsia="仿宋"/>
          <w:bCs/>
          <w:color w:val="000000" w:themeColor="text1"/>
          <w:sz w:val="28"/>
          <w:szCs w:val="28"/>
          <w:highlight w:val="none"/>
          <w14:textFill>
            <w14:solidFill>
              <w14:schemeClr w14:val="tx1"/>
            </w14:solidFill>
          </w14:textFill>
        </w:rPr>
        <w:t xml:space="preserve">。投标有效期比规定短的将被视为未实质性响应招标文件而予以拒绝。</w:t>
      </w:r>
      <w:r>
        <w:rPr>
          <w:highlight w:val="none"/>
        </w:rP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rFonts w:hint="eastAsia" w:ascii="仿宋" w:hAnsi="仿宋" w:eastAsia="仿宋" w:cs="Arial"/>
          <w:color w:val="000000" w:themeColor="text1"/>
          <w:sz w:val="28"/>
          <w:szCs w:val="28"/>
          <w:highlight w:val="none"/>
          <w:lang w:eastAsia="zh-CN"/>
          <w14:textFill>
            <w14:solidFill>
              <w14:schemeClr w14:val="tx1"/>
            </w14:solidFill>
          </w14:textFill>
        </w:rPr>
        <w:t xml:space="preserve">17.</w:t>
      </w:r>
      <w:r>
        <w:rPr>
          <w:rFonts w:hint="eastAsia" w:ascii="仿宋" w:hAnsi="仿宋" w:eastAsia="仿宋" w:cs="Arial"/>
          <w:color w:val="000000" w:themeColor="text1"/>
          <w:sz w:val="28"/>
          <w:szCs w:val="28"/>
          <w:highlight w:val="none"/>
          <w14:textFill>
            <w14:solidFill>
              <w14:schemeClr w14:val="tx1"/>
            </w14:solidFill>
          </w14:textFill>
        </w:rPr>
        <w:t xml:space="preserve">投标有效期的延长</w:t>
      </w:r>
      <w:r>
        <w:rPr>
          <w:highlight w:val="none"/>
        </w:rP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17.1在特殊情况下，</w:t>
      </w:r>
      <w:r>
        <w:rPr>
          <w:rFonts w:hint="eastAsia" w:ascii="仿宋" w:hAnsi="仿宋" w:eastAsia="仿宋"/>
          <w:color w:val="000000" w:themeColor="text1"/>
          <w:sz w:val="28"/>
          <w:szCs w:val="28"/>
          <w:highlight w:val="none"/>
          <w14:textFill>
            <w14:solidFill>
              <w14:schemeClr w14:val="tx1"/>
            </w14:solidFill>
          </w14:textFill>
        </w:rPr>
        <w:t xml:space="preserve">南通市教育技术中心</w:t>
      </w:r>
      <w:r>
        <w:rPr>
          <w:rFonts w:hint="eastAsia" w:ascii="仿宋" w:hAnsi="仿宋" w:eastAsia="仿宋"/>
          <w:bCs/>
          <w:color w:val="000000" w:themeColor="text1"/>
          <w:sz w:val="28"/>
          <w:szCs w:val="28"/>
          <w:highlight w:val="none"/>
          <w14:textFill>
            <w14:solidFill>
              <w14:schemeClr w14:val="tx1"/>
            </w14:solidFill>
          </w14:textFill>
        </w:rPr>
        <w:t xml:space="preserve">于原投标有效期满之前，可向投标人提出延长投标有效期的要求。这种要求与答复均应采用书面形式。投标人可以拒绝南通市教育技术中心的这一要求而放弃投标，同意延长投标有效期的投标人既不能要求也不允许修改其投标文件。</w:t>
      </w:r>
      <w:r>
        <w:rPr>
          <w:rFonts w:hint="eastAsia" w:ascii="仿宋" w:hAnsi="仿宋" w:eastAsia="仿宋"/>
          <w:color w:val="000000" w:themeColor="text1"/>
          <w:sz w:val="28"/>
          <w:szCs w:val="28"/>
          <w:highlight w:val="none"/>
          <w14:textFill>
            <w14:solidFill>
              <w14:schemeClr w14:val="tx1"/>
            </w14:solidFill>
          </w14:textFill>
        </w:rPr>
        <w:t xml:space="preserve">受投标有效期约束的所有权利与义务均延长至新的有效期</w:t>
      </w:r>
      <w:r>
        <w:rPr>
          <w:rFonts w:hint="eastAsia" w:ascii="仿宋" w:hAnsi="仿宋" w:eastAsia="仿宋"/>
          <w:bCs/>
          <w:color w:val="000000" w:themeColor="text1"/>
          <w:sz w:val="28"/>
          <w:szCs w:val="28"/>
          <w:highlight w:val="none"/>
          <w14:textFill>
            <w14:solidFill>
              <w14:schemeClr w14:val="tx1"/>
            </w14:solidFill>
          </w14:textFill>
        </w:rPr>
        <w:t xml:space="preserve">。</w:t>
      </w:r>
      <w:r>
        <w:rPr>
          <w:highlight w:val="none"/>
        </w:rPr>
      </w:r>
    </w:p>
    <w:p>
      <w:pPr>
        <w:keepLines/>
        <w:keepNext/>
        <w:pageBreakBefore w:val="0"/>
        <w:spacing w:before="120" w:after="120"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outlineLvl w:val="2"/>
      </w:pPr>
      <w:r>
        <w:rPr>
          <w:highlight w:val="none"/>
        </w:rPr>
      </w:r>
      <w:bookmarkStart w:id="118" w:name="_Hlt26954852"/>
      <w:r>
        <w:rPr>
          <w:highlight w:val="none"/>
        </w:rPr>
      </w:r>
      <w:bookmarkEnd w:id="118"/>
      <w:r>
        <w:rPr>
          <w:highlight w:val="none"/>
        </w:rPr>
      </w:r>
      <w:bookmarkStart w:id="119" w:name="_Hlt26954739"/>
      <w:r>
        <w:rPr>
          <w:highlight w:val="none"/>
        </w:rPr>
      </w:r>
      <w:bookmarkEnd w:id="119"/>
      <w:r>
        <w:rPr>
          <w:highlight w:val="none"/>
        </w:rPr>
      </w:r>
      <w:bookmarkStart w:id="120" w:name="_Toc16938540"/>
      <w:r>
        <w:rPr>
          <w:highlight w:val="none"/>
        </w:rPr>
      </w:r>
      <w:bookmarkStart w:id="121" w:name="_Toc120614217"/>
      <w:r>
        <w:rPr>
          <w:highlight w:val="none"/>
        </w:rPr>
      </w:r>
      <w:bookmarkStart w:id="122" w:name="_Toc20823296"/>
      <w:r>
        <w:rPr>
          <w:highlight w:val="none"/>
        </w:rPr>
      </w:r>
      <w:bookmarkStart w:id="123" w:name="_Toc513029224"/>
      <w:r>
        <w:rPr>
          <w:rFonts w:hint="eastAsia" w:ascii="仿宋" w:hAnsi="仿宋" w:eastAsia="仿宋"/>
          <w:b/>
          <w:bCs/>
          <w:color w:val="000000" w:themeColor="text1"/>
          <w:sz w:val="28"/>
          <w:szCs w:val="28"/>
          <w:highlight w:val="none"/>
          <w14:textFill>
            <w14:solidFill>
              <w14:schemeClr w14:val="tx1"/>
            </w14:solidFill>
          </w14:textFill>
        </w:rPr>
        <w:t xml:space="preserve">四、投标文件的递交</w:t>
      </w:r>
      <w:bookmarkEnd w:id="120"/>
      <w:r>
        <w:rPr>
          <w:highlight w:val="none"/>
        </w:rPr>
      </w:r>
      <w:bookmarkEnd w:id="121"/>
      <w:r>
        <w:rPr>
          <w:highlight w:val="none"/>
        </w:rPr>
      </w:r>
      <w:bookmarkEnd w:id="122"/>
      <w:r>
        <w:rPr>
          <w:highlight w:val="none"/>
        </w:rPr>
      </w:r>
      <w:bookmarkEnd w:id="123"/>
      <w:r>
        <w:rPr>
          <w:highlight w:val="none"/>
        </w:rPr>
      </w:r>
      <w:r>
        <w:rPr>
          <w:highlight w:val="none"/>
        </w:rPr>
      </w:r>
    </w:p>
    <w:p>
      <w:pPr>
        <w:keepLines/>
        <w:keepNext/>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outlineLvl w:val="3"/>
      </w:pPr>
      <w:r>
        <w:rPr>
          <w:highlight w:val="none"/>
        </w:rPr>
      </w:r>
      <w:bookmarkStart w:id="124" w:name="_Toc462564084"/>
      <w:r>
        <w:rPr>
          <w:highlight w:val="none"/>
        </w:rPr>
      </w:r>
      <w:bookmarkStart w:id="125" w:name="_Toc16938541"/>
      <w:r>
        <w:rPr>
          <w:highlight w:val="none"/>
        </w:rPr>
      </w:r>
      <w:bookmarkStart w:id="126" w:name="_Toc20823297"/>
      <w:r>
        <w:rPr>
          <w:highlight w:val="none"/>
        </w:rPr>
      </w:r>
      <w:bookmarkStart w:id="127" w:name="_Toc513029225"/>
      <w:r>
        <w:rPr>
          <w:rFonts w:hint="eastAsia" w:ascii="仿宋" w:hAnsi="仿宋" w:eastAsia="仿宋"/>
          <w:bCs/>
          <w:color w:val="000000" w:themeColor="text1"/>
          <w:sz w:val="28"/>
          <w:szCs w:val="28"/>
          <w:highlight w:val="none"/>
          <w:lang w:eastAsia="zh-CN"/>
          <w14:textFill>
            <w14:solidFill>
              <w14:schemeClr w14:val="tx1"/>
            </w14:solidFill>
          </w14:textFill>
        </w:rPr>
        <w:t xml:space="preserve">18.</w:t>
      </w:r>
      <w:r>
        <w:rPr>
          <w:rFonts w:hint="eastAsia" w:ascii="仿宋" w:hAnsi="仿宋" w:eastAsia="仿宋"/>
          <w:bCs/>
          <w:color w:val="000000" w:themeColor="text1"/>
          <w:sz w:val="28"/>
          <w:szCs w:val="28"/>
          <w:highlight w:val="none"/>
          <w14:textFill>
            <w14:solidFill>
              <w14:schemeClr w14:val="tx1"/>
            </w14:solidFill>
          </w14:textFill>
        </w:rPr>
        <w:t xml:space="preserve">电子投标文件</w:t>
      </w:r>
      <w:bookmarkEnd w:id="124"/>
      <w:r>
        <w:rPr>
          <w:highlight w:val="none"/>
        </w:rPr>
      </w:r>
      <w:bookmarkEnd w:id="125"/>
      <w:r>
        <w:rPr>
          <w:highlight w:val="none"/>
        </w:rPr>
      </w:r>
      <w:bookmarkEnd w:id="126"/>
      <w:r>
        <w:rPr>
          <w:highlight w:val="none"/>
        </w:rPr>
      </w:r>
      <w:bookmarkEnd w:id="127"/>
      <w:r>
        <w:rPr>
          <w:rFonts w:hint="eastAsia" w:ascii="仿宋" w:hAnsi="仿宋" w:eastAsia="仿宋"/>
          <w:bCs/>
          <w:color w:val="000000" w:themeColor="text1"/>
          <w:sz w:val="28"/>
          <w:szCs w:val="28"/>
          <w:highlight w:val="none"/>
          <w14:textFill>
            <w14:solidFill>
              <w14:schemeClr w14:val="tx1"/>
            </w14:solidFill>
          </w14:textFill>
        </w:rPr>
        <w:t xml:space="preserve">的递交</w:t>
      </w:r>
      <w:r>
        <w:rPr>
          <w:highlight w:val="none"/>
        </w:rPr>
      </w:r>
    </w:p>
    <w:p>
      <w:pPr>
        <w:ind w:firstLine="560"/>
        <w:pageBreakBefore w:val="0"/>
        <w:spacing w:line="560" w:lineRule="exact"/>
        <w:widowControl w:val="off"/>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18.1投标人应当按照《操作手册》规定，在投标截止时间前</w:t>
      </w:r>
      <w:r>
        <w:rPr>
          <w:rFonts w:ascii="仿宋" w:hAnsi="仿宋" w:eastAsia="仿宋"/>
          <w:bCs/>
          <w:color w:val="000000" w:themeColor="text1"/>
          <w:sz w:val="28"/>
          <w:szCs w:val="28"/>
          <w:highlight w:val="none"/>
          <w14:textFill>
            <w14:solidFill>
              <w14:schemeClr w14:val="tx1"/>
            </w14:solidFill>
          </w14:textFill>
        </w:rPr>
        <w:t xml:space="preserve">制作</w:t>
      </w:r>
      <w:r>
        <w:rPr>
          <w:rFonts w:hint="eastAsia" w:ascii="仿宋" w:hAnsi="仿宋" w:eastAsia="仿宋"/>
          <w:bCs/>
          <w:color w:val="000000" w:themeColor="text1"/>
          <w:sz w:val="28"/>
          <w:szCs w:val="28"/>
          <w:highlight w:val="none"/>
          <w14:textFill>
            <w14:solidFill>
              <w14:schemeClr w14:val="tx1"/>
            </w14:solidFill>
          </w14:textFill>
        </w:rPr>
        <w:t xml:space="preserve">并上传电子投标文件。</w:t>
      </w:r>
      <w:bookmarkStart w:id="128" w:name="_Toc513029226"/>
      <w:r>
        <w:rPr>
          <w:highlight w:val="none"/>
        </w:rPr>
      </w:r>
      <w:bookmarkStart w:id="129" w:name="_Toc20823298"/>
      <w:r>
        <w:rPr>
          <w:highlight w:val="none"/>
        </w:rPr>
      </w:r>
      <w:bookmarkStart w:id="130" w:name="_Toc16938542"/>
      <w:r>
        <w:rPr>
          <w:highlight w:val="none"/>
        </w:rPr>
      </w:r>
      <w:r>
        <w:rPr>
          <w:highlight w:val="none"/>
        </w:rPr>
      </w:r>
    </w:p>
    <w:p>
      <w:pPr>
        <w:keepLines/>
        <w:keepNext/>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outlineLvl w:val="3"/>
      </w:pPr>
      <w:r>
        <w:rPr>
          <w:rFonts w:hint="eastAsia" w:ascii="仿宋" w:hAnsi="仿宋" w:eastAsia="仿宋"/>
          <w:bCs/>
          <w:color w:val="000000" w:themeColor="text1"/>
          <w:sz w:val="28"/>
          <w:szCs w:val="28"/>
          <w:highlight w:val="none"/>
          <w:lang w:eastAsia="zh-CN"/>
          <w14:textFill>
            <w14:solidFill>
              <w14:schemeClr w14:val="tx1"/>
            </w14:solidFill>
          </w14:textFill>
        </w:rPr>
        <w:t xml:space="preserve">19.</w:t>
      </w:r>
      <w:r>
        <w:rPr>
          <w:rFonts w:hint="eastAsia" w:ascii="仿宋" w:hAnsi="仿宋" w:eastAsia="仿宋"/>
          <w:bCs/>
          <w:color w:val="000000" w:themeColor="text1"/>
          <w:sz w:val="28"/>
          <w:szCs w:val="28"/>
          <w:highlight w:val="none"/>
          <w14:textFill>
            <w14:solidFill>
              <w14:schemeClr w14:val="tx1"/>
            </w14:solidFill>
          </w14:textFill>
        </w:rPr>
        <w:t xml:space="preserve">投标截止日期</w:t>
      </w:r>
      <w:bookmarkEnd w:id="128"/>
      <w:r>
        <w:rPr>
          <w:highlight w:val="none"/>
        </w:rPr>
      </w:r>
      <w:bookmarkEnd w:id="129"/>
      <w:r>
        <w:rPr>
          <w:highlight w:val="none"/>
        </w:rPr>
      </w:r>
      <w:bookmarkEnd w:id="130"/>
      <w:r>
        <w:rPr>
          <w:highlight w:val="none"/>
        </w:rPr>
      </w:r>
      <w:r>
        <w:rPr>
          <w:highlight w:val="none"/>
        </w:rPr>
      </w:r>
    </w:p>
    <w:p>
      <w:pPr>
        <w:ind w:firstLine="562"/>
        <w:pageBreakBefore w:val="0"/>
        <w:spacing w:line="560" w:lineRule="exact"/>
        <w:widowControl w:val="off"/>
        <w:rPr>
          <w:rFonts w:hint="eastAsia" w:ascii="仿宋" w:hAnsi="仿宋" w:eastAsia="仿宋"/>
          <w:b/>
          <w:bCs/>
          <w:color w:val="000000" w:themeColor="text1"/>
          <w:sz w:val="28"/>
          <w:szCs w:val="28"/>
          <w:highlight w:val="none"/>
          <w:u w:val="single"/>
          <w14:textFill>
            <w14:solidFill>
              <w14:schemeClr w14:val="tx1"/>
            </w14:solidFill>
          </w14:textFill>
        </w:rPr>
      </w:pPr>
      <w:r>
        <w:rPr>
          <w:rFonts w:ascii="仿宋" w:hAnsi="仿宋" w:eastAsia="仿宋"/>
          <w:b/>
          <w:color w:val="000000" w:themeColor="text1"/>
          <w:sz w:val="28"/>
          <w:szCs w:val="28"/>
          <w:highlight w:val="none"/>
          <w:u w:val="single"/>
          <w14:textFill>
            <w14:solidFill>
              <w14:schemeClr w14:val="tx1"/>
            </w14:solidFill>
          </w14:textFill>
        </w:rPr>
        <w:t xml:space="preserve">19</w:t>
      </w:r>
      <w:r>
        <w:rPr>
          <w:rFonts w:hint="eastAsia" w:ascii="仿宋" w:hAnsi="仿宋" w:eastAsia="仿宋"/>
          <w:b/>
          <w:color w:val="000000" w:themeColor="text1"/>
          <w:sz w:val="28"/>
          <w:szCs w:val="28"/>
          <w:highlight w:val="none"/>
          <w:u w:val="singl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 投标人上传电子投标文件的时间不得迟于招标公告中规定的投标截止时间。</w:t>
      </w:r>
      <w:r>
        <w:rPr>
          <w:highlight w:val="none"/>
        </w:rP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投标人应</w:t>
      </w:r>
      <w:r>
        <w:rPr>
          <w:rFonts w:hint="eastAsia" w:ascii="仿宋" w:hAnsi="仿宋" w:eastAsia="仿宋"/>
          <w:bCs/>
          <w:color w:val="000000" w:themeColor="text1"/>
          <w:sz w:val="28"/>
          <w:szCs w:val="28"/>
          <w:highlight w:val="none"/>
          <w:lang w:eastAsia="zh-CN"/>
          <w14:textFill>
            <w14:solidFill>
              <w14:schemeClr w14:val="tx1"/>
            </w14:solidFill>
          </w14:textFill>
        </w:rPr>
        <w:t xml:space="preserve">充分考虑</w:t>
      </w:r>
      <w:r>
        <w:rPr>
          <w:rFonts w:hint="eastAsia" w:ascii="仿宋" w:hAnsi="仿宋" w:eastAsia="仿宋"/>
          <w:bCs/>
          <w:color w:val="000000" w:themeColor="text1"/>
          <w:sz w:val="28"/>
          <w:szCs w:val="28"/>
          <w:highlight w:val="none"/>
          <w14:textFill>
            <w14:solidFill>
              <w14:schemeClr w14:val="tx1"/>
            </w14:solidFill>
          </w14:textFill>
        </w:rPr>
        <w:t xml:space="preserve">网络环境、网络带宽等风险因素，如因投标人自身原因造成电子投标文件上传不成功的，按照本招标文件第二章第27.1.2条规定</w:t>
      </w:r>
      <w:r>
        <w:rPr>
          <w:rFonts w:hint="eastAsia" w:ascii="仿宋" w:hAnsi="仿宋" w:eastAsia="仿宋"/>
          <w:bCs/>
          <w:color w:val="000000" w:themeColor="text1"/>
          <w:sz w:val="28"/>
          <w:szCs w:val="28"/>
          <w:highlight w:val="none"/>
          <w:lang w:eastAsia="zh-CN"/>
          <w14:textFill>
            <w14:solidFill>
              <w14:schemeClr w14:val="tx1"/>
            </w14:solidFill>
          </w14:textFill>
        </w:rPr>
        <w:t xml:space="preserve">作无效投标</w:t>
      </w:r>
      <w:r>
        <w:rPr>
          <w:rFonts w:hint="eastAsia" w:ascii="仿宋" w:hAnsi="仿宋" w:eastAsia="仿宋"/>
          <w:bCs/>
          <w:color w:val="000000" w:themeColor="text1"/>
          <w:sz w:val="28"/>
          <w:szCs w:val="28"/>
          <w:highlight w:val="none"/>
          <w14:textFill>
            <w14:solidFill>
              <w14:schemeClr w14:val="tx1"/>
            </w14:solidFill>
          </w14:textFill>
        </w:rPr>
        <w:t xml:space="preserve">处理。</w:t>
      </w:r>
      <w:r>
        <w:rPr>
          <w:highlight w:val="none"/>
        </w:rP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19</w:t>
      </w: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Cs/>
          <w:color w:val="000000" w:themeColor="text1"/>
          <w:sz w:val="28"/>
          <w:szCs w:val="28"/>
          <w:highlight w:val="none"/>
          <w14:textFill>
            <w14:solidFill>
              <w14:schemeClr w14:val="tx1"/>
            </w14:solidFill>
          </w14:textFill>
        </w:rPr>
        <w:t xml:space="preserve"> 南通市教育技术中心可以按照规定，通过修改招标文件酌情延长投标截止日期，在此情况下，投标人的所有权利和义务以及投标人受制的截止日期均应以延长后新的截止日期为准。</w:t>
      </w:r>
      <w:r>
        <w:rPr>
          <w:highlight w:val="none"/>
        </w:rP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131" w:name="_Toc16938543"/>
      <w:r>
        <w:rPr>
          <w:highlight w:val="none"/>
        </w:rPr>
      </w:r>
      <w:bookmarkStart w:id="132" w:name="_Toc513029227"/>
      <w:r>
        <w:rPr>
          <w:highlight w:val="none"/>
        </w:rPr>
      </w:r>
      <w:bookmarkStart w:id="133" w:name="_Toc20823299"/>
      <w:r>
        <w:rPr>
          <w:rFonts w:hint="eastAsia" w:ascii="仿宋" w:hAnsi="仿宋" w:eastAsia="仿宋" w:cs="Arial"/>
          <w:color w:val="000000" w:themeColor="text1"/>
          <w:sz w:val="28"/>
          <w:szCs w:val="28"/>
          <w:highlight w:val="none"/>
          <w:lang w:eastAsia="zh-CN"/>
          <w14:textFill>
            <w14:solidFill>
              <w14:schemeClr w14:val="tx1"/>
            </w14:solidFill>
          </w14:textFill>
        </w:rPr>
        <w:t xml:space="preserve">20.</w:t>
      </w:r>
      <w:r>
        <w:rPr>
          <w:rFonts w:hint="eastAsia" w:ascii="仿宋" w:hAnsi="仿宋" w:eastAsia="仿宋" w:cs="Arial"/>
          <w:color w:val="000000" w:themeColor="text1"/>
          <w:sz w:val="28"/>
          <w:szCs w:val="28"/>
          <w:highlight w:val="none"/>
          <w14:textFill>
            <w14:solidFill>
              <w14:schemeClr w14:val="tx1"/>
            </w14:solidFill>
          </w14:textFill>
        </w:rPr>
        <w:t xml:space="preserve">投标文件</w:t>
      </w:r>
      <w:bookmarkEnd w:id="131"/>
      <w:r>
        <w:rPr>
          <w:highlight w:val="none"/>
        </w:rPr>
      </w:r>
      <w:bookmarkEnd w:id="132"/>
      <w:r>
        <w:rPr>
          <w:highlight w:val="none"/>
        </w:rPr>
      </w:r>
      <w:bookmarkEnd w:id="133"/>
      <w:r>
        <w:rPr>
          <w:rFonts w:hint="eastAsia" w:ascii="仿宋" w:hAnsi="仿宋" w:eastAsia="仿宋" w:cs="Arial"/>
          <w:color w:val="000000" w:themeColor="text1"/>
          <w:sz w:val="28"/>
          <w:szCs w:val="28"/>
          <w:highlight w:val="none"/>
          <w14:textFill>
            <w14:solidFill>
              <w14:schemeClr w14:val="tx1"/>
            </w14:solidFill>
          </w14:textFill>
        </w:rPr>
        <w:t xml:space="preserve">的拒收</w:t>
      </w:r>
      <w:r>
        <w:rPr>
          <w:highlight w:val="none"/>
        </w:rP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20.1 南通市教育技术中心拒绝接收在其规定的投标截止时间后上传的任何投标文件。</w:t>
      </w:r>
      <w:r>
        <w:rPr>
          <w:highlight w:val="none"/>
        </w:rP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134" w:name="_Toc20823300"/>
      <w:r>
        <w:rPr>
          <w:highlight w:val="none"/>
        </w:rPr>
      </w:r>
      <w:bookmarkStart w:id="135" w:name="_Toc513029228"/>
      <w:r>
        <w:rPr>
          <w:highlight w:val="none"/>
        </w:rPr>
      </w:r>
      <w:bookmarkStart w:id="136" w:name="_Toc16938544"/>
      <w:r>
        <w:rPr>
          <w:rFonts w:hint="eastAsia" w:ascii="仿宋" w:hAnsi="仿宋" w:eastAsia="仿宋" w:cs="Arial"/>
          <w:color w:val="000000" w:themeColor="text1"/>
          <w:sz w:val="28"/>
          <w:szCs w:val="28"/>
          <w:highlight w:val="none"/>
          <w:lang w:eastAsia="zh-CN"/>
          <w14:textFill>
            <w14:solidFill>
              <w14:schemeClr w14:val="tx1"/>
            </w14:solidFill>
          </w14:textFill>
        </w:rPr>
        <w:t xml:space="preserve">21.</w:t>
      </w:r>
      <w:r>
        <w:rPr>
          <w:rFonts w:hint="eastAsia" w:ascii="仿宋" w:hAnsi="仿宋" w:eastAsia="仿宋" w:cs="Arial"/>
          <w:color w:val="000000" w:themeColor="text1"/>
          <w:sz w:val="28"/>
          <w:szCs w:val="28"/>
          <w:highlight w:val="none"/>
          <w14:textFill>
            <w14:solidFill>
              <w14:schemeClr w14:val="tx1"/>
            </w14:solidFill>
          </w14:textFill>
        </w:rPr>
        <w:t xml:space="preserve">投标文件的撤回和修改</w:t>
      </w:r>
      <w:bookmarkEnd w:id="134"/>
      <w:r>
        <w:rPr>
          <w:highlight w:val="none"/>
        </w:rPr>
      </w:r>
      <w:bookmarkEnd w:id="135"/>
      <w:r>
        <w:rPr>
          <w:highlight w:val="none"/>
        </w:rPr>
      </w:r>
      <w:bookmarkEnd w:id="136"/>
      <w:r>
        <w:rPr>
          <w:highlight w:val="none"/>
        </w:rPr>
      </w:r>
      <w:r>
        <w:rPr>
          <w:highlight w:val="none"/>
        </w:rP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.1 投标文件的撤回</w:t>
      </w:r>
      <w:r>
        <w:rPr>
          <w:highlight w:val="none"/>
        </w:rP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.1.1 电子投标文件的撤回</w:t>
      </w:r>
      <w:r>
        <w:rPr>
          <w:highlight w:val="none"/>
        </w:rP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投标人可在投标截止时间前，撤回其电子投标文件，具体操作方法见《操作手册》。</w:t>
      </w:r>
      <w:r>
        <w:rPr>
          <w:highlight w:val="none"/>
        </w:rP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.1.</w:t>
      </w: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 投标人撤回电子投标文件，则认为其不再参与本项目投标活动。</w:t>
      </w:r>
      <w:r>
        <w:rPr>
          <w:highlight w:val="none"/>
        </w:rP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.2 投标文件的修改</w:t>
      </w:r>
      <w:r>
        <w:rPr>
          <w:highlight w:val="none"/>
        </w:rP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21.2.1投标人可在投标截止时间前，对其电子投标文件进行修改，具体操作方法见《操作手册》。</w:t>
      </w:r>
      <w:r>
        <w:rPr>
          <w:highlight w:val="none"/>
        </w:rP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2.2</w:t>
      </w:r>
      <w:r>
        <w:rPr>
          <w:rFonts w:hint="eastAsia" w:ascii="仿宋" w:hAnsi="仿宋" w:eastAsia="仿宋"/>
          <w:bCs/>
          <w:color w:val="000000" w:themeColor="text1"/>
          <w:sz w:val="28"/>
          <w:szCs w:val="28"/>
          <w:highlight w:val="none"/>
          <w14:textFill>
            <w14:solidFill>
              <w14:schemeClr w14:val="tx1"/>
            </w14:solidFill>
          </w14:textFill>
        </w:rPr>
        <w:t xml:space="preserve"> 在投标截止时间之后，投标人不得对其电子投标文件作任何修改。</w:t>
      </w:r>
      <w:r>
        <w:rPr>
          <w:highlight w:val="none"/>
        </w:rP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bCs/>
          <w:color w:val="000000" w:themeColor="text1"/>
          <w:sz w:val="28"/>
          <w:szCs w:val="28"/>
          <w:highlight w:val="none"/>
          <w14:textFill>
            <w14:solidFill>
              <w14:schemeClr w14:val="tx1"/>
            </w14:solidFill>
          </w14:textFill>
        </w:rPr>
        <w:t xml:space="preserve"> 在投标截止时间至招标文件中规定的投标有效期满之间的这段时间内，投标人不得撤回其投标。</w:t>
      </w:r>
      <w:r>
        <w:rPr>
          <w:highlight w:val="none"/>
        </w:rPr>
      </w:r>
    </w:p>
    <w:p>
      <w:pPr>
        <w:keepLines/>
        <w:keepNext/>
        <w:pageBreakBefore w:val="0"/>
        <w:spacing w:before="120" w:after="120"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outlineLvl w:val="2"/>
      </w:pPr>
      <w:r>
        <w:rPr>
          <w:highlight w:val="none"/>
        </w:rPr>
      </w:r>
      <w:bookmarkStart w:id="137" w:name="_Toc120614218"/>
      <w:r>
        <w:rPr>
          <w:highlight w:val="none"/>
        </w:rPr>
      </w:r>
      <w:bookmarkStart w:id="138" w:name="_Toc16938545"/>
      <w:r>
        <w:rPr>
          <w:highlight w:val="none"/>
        </w:rPr>
      </w:r>
      <w:bookmarkStart w:id="139" w:name="_Toc513029229"/>
      <w:r>
        <w:rPr>
          <w:highlight w:val="none"/>
        </w:rPr>
      </w:r>
      <w:bookmarkStart w:id="140" w:name="_Toc20823301"/>
      <w:r>
        <w:rPr>
          <w:rFonts w:hint="eastAsia" w:ascii="仿宋" w:hAnsi="仿宋" w:eastAsia="仿宋"/>
          <w:b/>
          <w:bCs/>
          <w:color w:val="000000" w:themeColor="text1"/>
          <w:sz w:val="28"/>
          <w:szCs w:val="28"/>
          <w:highlight w:val="none"/>
          <w14:textFill>
            <w14:solidFill>
              <w14:schemeClr w14:val="tx1"/>
            </w14:solidFill>
          </w14:textFill>
        </w:rPr>
        <w:t xml:space="preserve">五、开标与评标</w:t>
      </w:r>
      <w:bookmarkEnd w:id="137"/>
      <w:r>
        <w:rPr>
          <w:highlight w:val="none"/>
        </w:rPr>
      </w:r>
      <w:bookmarkEnd w:id="138"/>
      <w:r>
        <w:rPr>
          <w:highlight w:val="none"/>
        </w:rPr>
      </w:r>
      <w:bookmarkEnd w:id="139"/>
      <w:r>
        <w:rPr>
          <w:highlight w:val="none"/>
        </w:rPr>
      </w:r>
      <w:bookmarkEnd w:id="140"/>
      <w:r>
        <w:rPr>
          <w:highlight w:val="none"/>
        </w:rPr>
      </w:r>
      <w:r>
        <w:rPr>
          <w:highlight w:val="none"/>
        </w:rP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141" w:name="_Toc16938546"/>
      <w:r>
        <w:rPr>
          <w:highlight w:val="none"/>
        </w:rPr>
      </w:r>
      <w:bookmarkStart w:id="142" w:name="_Toc513029230"/>
      <w:r>
        <w:rPr>
          <w:highlight w:val="none"/>
        </w:rPr>
      </w:r>
      <w:bookmarkStart w:id="143" w:name="_Toc20823302"/>
      <w:r>
        <w:rPr>
          <w:rFonts w:hint="eastAsia" w:ascii="仿宋" w:hAnsi="仿宋" w:eastAsia="仿宋" w:cs="Arial"/>
          <w:color w:val="000000" w:themeColor="text1"/>
          <w:sz w:val="28"/>
          <w:szCs w:val="28"/>
          <w:highlight w:val="none"/>
          <w:lang w:eastAsia="zh-CN"/>
          <w14:textFill>
            <w14:solidFill>
              <w14:schemeClr w14:val="tx1"/>
            </w14:solidFill>
          </w14:textFill>
        </w:rPr>
        <w:t xml:space="preserve">22.</w:t>
      </w:r>
      <w:r>
        <w:rPr>
          <w:rFonts w:hint="eastAsia" w:ascii="仿宋" w:hAnsi="仿宋" w:eastAsia="仿宋" w:cs="Arial"/>
          <w:color w:val="000000" w:themeColor="text1"/>
          <w:sz w:val="28"/>
          <w:szCs w:val="28"/>
          <w:highlight w:val="none"/>
          <w14:textFill>
            <w14:solidFill>
              <w14:schemeClr w14:val="tx1"/>
            </w14:solidFill>
          </w14:textFill>
        </w:rPr>
        <w:t xml:space="preserve">开标</w:t>
      </w:r>
      <w:bookmarkEnd w:id="141"/>
      <w:r>
        <w:rPr>
          <w:highlight w:val="none"/>
        </w:rPr>
      </w:r>
      <w:bookmarkEnd w:id="142"/>
      <w:r>
        <w:rPr>
          <w:highlight w:val="none"/>
        </w:rPr>
      </w:r>
      <w:bookmarkEnd w:id="143"/>
      <w:r>
        <w:rPr>
          <w:highlight w:val="none"/>
        </w:rPr>
      </w:r>
      <w:r>
        <w:rPr>
          <w:highlight w:val="none"/>
        </w:rP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Cs/>
          <w:color w:val="000000" w:themeColor="text1"/>
          <w:sz w:val="28"/>
          <w:szCs w:val="28"/>
          <w:highlight w:val="none"/>
          <w14:textFill>
            <w14:solidFill>
              <w14:schemeClr w14:val="tx1"/>
            </w14:solidFill>
          </w14:textFill>
        </w:rPr>
        <w:t xml:space="preserve"> 南通市教育技术中心将在招标公告中规定的时间和地点组织公开开标</w:t>
      </w:r>
      <w:r>
        <w:rPr>
          <w:rFonts w:hint="eastAsia" w:ascii="仿宋" w:hAnsi="仿宋" w:eastAsia="仿宋"/>
          <w:color w:val="000000" w:themeColor="text1"/>
          <w:sz w:val="28"/>
          <w:szCs w:val="28"/>
          <w:highlight w:val="none"/>
          <w14:textFill>
            <w14:solidFill>
              <w14:schemeClr w14:val="tx1"/>
            </w14:solidFill>
          </w14:textFill>
        </w:rPr>
        <w:t xml:space="preserve">。投标人应当按照《操作手册》规定，</w:t>
      </w:r>
      <w:r>
        <w:rPr>
          <w:rFonts w:ascii="仿宋" w:hAnsi="仿宋" w:eastAsia="仿宋"/>
          <w:color w:val="000000" w:themeColor="text1"/>
          <w:sz w:val="28"/>
          <w:szCs w:val="28"/>
          <w:highlight w:val="none"/>
          <w14:textFill>
            <w14:solidFill>
              <w14:schemeClr w14:val="tx1"/>
            </w14:solidFill>
          </w14:textFill>
        </w:rPr>
        <w:t xml:space="preserve">参加开标活动</w:t>
      </w:r>
      <w:r>
        <w:rPr>
          <w:rFonts w:hint="eastAsia" w:ascii="仿宋" w:hAnsi="仿宋" w:eastAsia="仿宋"/>
          <w:color w:val="000000" w:themeColor="text1"/>
          <w:sz w:val="28"/>
          <w:szCs w:val="28"/>
          <w:highlight w:val="none"/>
          <w14:textFill>
            <w14:solidFill>
              <w14:schemeClr w14:val="tx1"/>
            </w14:solidFill>
          </w14:textFill>
        </w:rPr>
        <w:t xml:space="preserve">和在苏采云系统规定的时间内对投标文件进行解密。</w:t>
      </w:r>
      <w:r>
        <w:rPr>
          <w:highlight w:val="none"/>
        </w:rPr>
      </w:r>
    </w:p>
    <w:p>
      <w:pPr>
        <w:ind w:firstLine="48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w:t>
      </w:r>
      <w:r>
        <w:rPr>
          <w:rFonts w:ascii="仿宋" w:hAnsi="仿宋" w:eastAsia="仿宋"/>
          <w:bCs/>
          <w:color w:val="000000" w:themeColor="text1"/>
          <w:sz w:val="28"/>
          <w:szCs w:val="28"/>
          <w:highlight w:val="none"/>
          <w14:textFill>
            <w14:solidFill>
              <w14:schemeClr w14:val="tx1"/>
            </w14:solidFill>
          </w14:textFill>
        </w:rPr>
        <w:t xml:space="preserve">2</w:t>
      </w:r>
      <w:r>
        <w:rPr>
          <w:rFonts w:hint="eastAsia" w:ascii="仿宋" w:hAnsi="仿宋" w:eastAsia="仿宋"/>
          <w:bCs/>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开标仪式由南通市教育技术中心组织。苏采云系统将自动对</w:t>
      </w:r>
      <w:r>
        <w:rPr>
          <w:rFonts w:ascii="仿宋" w:hAnsi="仿宋" w:eastAsia="仿宋"/>
          <w:color w:val="000000" w:themeColor="text1"/>
          <w:sz w:val="28"/>
          <w:szCs w:val="28"/>
          <w:highlight w:val="none"/>
          <w14:textFill>
            <w14:solidFill>
              <w14:schemeClr w14:val="tx1"/>
            </w14:solidFill>
          </w14:textFill>
        </w:rPr>
        <w:t xml:space="preserve">项目进行开标，</w:t>
      </w:r>
      <w:r>
        <w:rPr>
          <w:rFonts w:hint="eastAsia" w:ascii="仿宋" w:hAnsi="仿宋" w:eastAsia="仿宋"/>
          <w:color w:val="000000" w:themeColor="text1"/>
          <w:sz w:val="28"/>
          <w:szCs w:val="28"/>
          <w:highlight w:val="none"/>
          <w14:textFill>
            <w14:solidFill>
              <w14:schemeClr w14:val="tx1"/>
            </w14:solidFill>
          </w14:textFill>
        </w:rPr>
        <w:t xml:space="preserve">并宣布各投标人名称和投标价格。</w:t>
      </w:r>
      <w:r>
        <w:rPr>
          <w:highlight w:val="none"/>
        </w:rP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w:t>
      </w:r>
      <w:r>
        <w:rPr>
          <w:rFonts w:ascii="仿宋" w:hAnsi="仿宋" w:eastAsia="仿宋"/>
          <w:bCs/>
          <w:color w:val="000000" w:themeColor="text1"/>
          <w:sz w:val="28"/>
          <w:szCs w:val="28"/>
          <w:highlight w:val="none"/>
          <w14:textFill>
            <w14:solidFill>
              <w14:schemeClr w14:val="tx1"/>
            </w14:solidFill>
          </w14:textFill>
        </w:rPr>
        <w:t xml:space="preserve">2</w:t>
      </w:r>
      <w:r>
        <w:rPr>
          <w:rFonts w:hint="eastAsia" w:ascii="仿宋" w:hAnsi="仿宋" w:eastAsia="仿宋"/>
          <w:bCs/>
          <w:color w:val="000000" w:themeColor="text1"/>
          <w:sz w:val="28"/>
          <w:szCs w:val="28"/>
          <w:highlight w:val="none"/>
          <w14:textFill>
            <w14:solidFill>
              <w14:schemeClr w14:val="tx1"/>
            </w14:solidFill>
          </w14:textFill>
        </w:rPr>
        <w:t xml:space="preserve">.3投标人在开标过程中</w:t>
      </w:r>
      <w:r>
        <w:rPr>
          <w:rFonts w:hint="eastAsia" w:ascii="仿宋" w:hAnsi="仿宋" w:eastAsia="仿宋"/>
          <w:bCs/>
          <w:color w:val="000000" w:themeColor="text1"/>
          <w:sz w:val="28"/>
          <w:szCs w:val="28"/>
          <w:highlight w:val="none"/>
          <w:lang w:eastAsia="zh-CN"/>
          <w14:textFill>
            <w14:solidFill>
              <w14:schemeClr w14:val="tx1"/>
            </w14:solidFill>
          </w14:textFill>
        </w:rPr>
        <w:t xml:space="preserve">涉及</w:t>
      </w:r>
      <w:r>
        <w:rPr>
          <w:rFonts w:hint="eastAsia" w:ascii="仿宋" w:hAnsi="仿宋" w:eastAsia="仿宋"/>
          <w:bCs/>
          <w:color w:val="000000" w:themeColor="text1"/>
          <w:sz w:val="28"/>
          <w:szCs w:val="28"/>
          <w:highlight w:val="none"/>
          <w14:textFill>
            <w14:solidFill>
              <w14:schemeClr w14:val="tx1"/>
            </w14:solidFill>
          </w14:textFill>
        </w:rPr>
        <w:t xml:space="preserve">的投标文件解密、开标结果确认等工作，应按照《操作手册》规定执行。</w:t>
      </w:r>
      <w:r>
        <w:rPr>
          <w:highlight w:val="none"/>
        </w:rP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.4投标人如果对开标过程和开标记录有疑义，应当根据《操作手册》规定提出，如苏采云系统中《开标记录表》宣布后5分钟内未提出的，视同认可开标结果。</w:t>
      </w:r>
      <w:r>
        <w:rPr>
          <w:highlight w:val="none"/>
        </w:rP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144" w:name="_Toc513029231"/>
      <w:r>
        <w:rPr>
          <w:highlight w:val="none"/>
        </w:rPr>
      </w:r>
      <w:bookmarkStart w:id="145" w:name="_Toc20823303"/>
      <w:r>
        <w:rPr>
          <w:highlight w:val="none"/>
        </w:rPr>
      </w:r>
      <w:bookmarkStart w:id="146" w:name="_Toc16938547"/>
      <w:r>
        <w:rPr>
          <w:rFonts w:hint="eastAsia" w:ascii="仿宋" w:hAnsi="仿宋" w:eastAsia="仿宋" w:cs="Arial"/>
          <w:color w:val="000000" w:themeColor="text1"/>
          <w:sz w:val="28"/>
          <w:szCs w:val="28"/>
          <w:highlight w:val="none"/>
          <w:lang w:eastAsia="zh-CN"/>
          <w14:textFill>
            <w14:solidFill>
              <w14:schemeClr w14:val="tx1"/>
            </w14:solidFill>
          </w14:textFill>
        </w:rPr>
        <w:t xml:space="preserve">23.</w:t>
      </w:r>
      <w:r>
        <w:rPr>
          <w:rFonts w:hint="eastAsia" w:ascii="仿宋" w:hAnsi="仿宋" w:eastAsia="仿宋" w:cs="Arial"/>
          <w:color w:val="000000" w:themeColor="text1"/>
          <w:sz w:val="28"/>
          <w:szCs w:val="28"/>
          <w:highlight w:val="none"/>
          <w14:textFill>
            <w14:solidFill>
              <w14:schemeClr w14:val="tx1"/>
            </w14:solidFill>
          </w14:textFill>
        </w:rPr>
        <w:t xml:space="preserve">评标委员会</w:t>
      </w:r>
      <w:r>
        <w:rPr>
          <w:highlight w:val="none"/>
        </w:rPr>
      </w:r>
    </w:p>
    <w:p>
      <w:pPr>
        <w:pageBreakBefore w:val="0"/>
        <w:spacing w:line="5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2</w:t>
      </w:r>
      <w:r>
        <w:rPr>
          <w:rFonts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开标后，南通市教育技术中心将立即组织评标委员会（以下简称评委会）进行评标。</w:t>
      </w:r>
      <w:r>
        <w:rPr>
          <w:highlight w:val="none"/>
        </w:rPr>
      </w:r>
    </w:p>
    <w:p>
      <w:pPr>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2</w:t>
      </w:r>
      <w:r>
        <w:rPr>
          <w:rFonts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.2 评委会由采购人代表和有关技术、经济等方面的专家组成，且人员构成符合政府采购有关规定。</w:t>
      </w:r>
      <w:r>
        <w:rPr>
          <w:highlight w:val="none"/>
        </w:rPr>
      </w:r>
    </w:p>
    <w:p>
      <w:pPr>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2</w:t>
      </w:r>
      <w:r>
        <w:rPr>
          <w:rFonts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.3评委会独立工作，负责评审所有投标文件并确定中标</w:t>
      </w:r>
      <w:r>
        <w:rPr>
          <w:rFonts w:hint="eastAsia" w:ascii="仿宋" w:hAnsi="仿宋" w:eastAsia="仿宋"/>
          <w:color w:val="000000" w:themeColor="text1"/>
          <w:sz w:val="28"/>
          <w:szCs w:val="28"/>
          <w:highlight w:val="none"/>
          <w:lang w:eastAsia="zh-CN"/>
          <w14:textFill>
            <w14:solidFill>
              <w14:schemeClr w14:val="tx1"/>
            </w14:solidFill>
          </w14:textFill>
        </w:rPr>
        <w:t xml:space="preserve">候选人</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rFonts w:hint="eastAsia" w:ascii="仿宋" w:hAnsi="仿宋" w:eastAsia="仿宋" w:cs="Arial"/>
          <w:color w:val="000000" w:themeColor="text1"/>
          <w:sz w:val="28"/>
          <w:szCs w:val="28"/>
          <w:highlight w:val="none"/>
          <w:lang w:eastAsia="zh-CN"/>
          <w14:textFill>
            <w14:solidFill>
              <w14:schemeClr w14:val="tx1"/>
            </w14:solidFill>
          </w14:textFill>
        </w:rPr>
        <w:t xml:space="preserve">24.</w:t>
      </w:r>
      <w:r>
        <w:rPr>
          <w:rFonts w:hint="eastAsia" w:ascii="仿宋" w:hAnsi="仿宋" w:eastAsia="仿宋" w:cs="Arial"/>
          <w:color w:val="000000" w:themeColor="text1"/>
          <w:sz w:val="28"/>
          <w:szCs w:val="28"/>
          <w:highlight w:val="none"/>
          <w14:textFill>
            <w14:solidFill>
              <w14:schemeClr w14:val="tx1"/>
            </w14:solidFill>
          </w14:textFill>
        </w:rPr>
        <w:t xml:space="preserve">评标过程的保密与公正</w:t>
      </w:r>
      <w:bookmarkEnd w:id="144"/>
      <w:r>
        <w:rPr>
          <w:highlight w:val="none"/>
        </w:rPr>
      </w:r>
      <w:bookmarkEnd w:id="145"/>
      <w:r>
        <w:rPr>
          <w:highlight w:val="none"/>
        </w:rPr>
      </w:r>
      <w:bookmarkEnd w:id="146"/>
      <w:r>
        <w:rPr>
          <w:highlight w:val="none"/>
        </w:rPr>
      </w:r>
      <w:r>
        <w:rPr>
          <w:highlight w:val="none"/>
        </w:rP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Cs/>
          <w:color w:val="000000" w:themeColor="text1"/>
          <w:sz w:val="28"/>
          <w:szCs w:val="28"/>
          <w:highlight w:val="none"/>
          <w14:textFill>
            <w14:solidFill>
              <w14:schemeClr w14:val="tx1"/>
            </w14:solidFill>
          </w14:textFill>
        </w:rPr>
        <w:t xml:space="preserve">凡是与审查、澄清、评价和比较投标的有关资料以及授标建议等，采购人、评委、南通市教育技术中心均不得向投标人或与评标无关的其他人员透露。</w:t>
      </w:r>
      <w:r>
        <w:rPr>
          <w:highlight w:val="none"/>
        </w:rP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.2在评标过程中，投标人不得以任何行为影响评标过程，否则其投标文件将被作为无效投标文件。</w:t>
      </w:r>
      <w:r>
        <w:rPr>
          <w:highlight w:val="none"/>
        </w:rPr>
      </w:r>
    </w:p>
    <w:p>
      <w:pPr>
        <w:ind w:firstLine="560"/>
        <w:pageBreakBefore w:val="0"/>
        <w:spacing w:line="5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24</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 南通市教育技术中心和评标委员会不向未中标的投标人解释未中标原因，也不公布评标过程中的相关细节。</w:t>
      </w:r>
      <w:r>
        <w:rPr>
          <w:highlight w:val="none"/>
        </w:rPr>
      </w:r>
    </w:p>
    <w:p>
      <w:pPr>
        <w:ind w:firstLine="560"/>
        <w:pageBreakBefore w:val="0"/>
        <w:spacing w:line="560" w:lineRule="exact"/>
        <w:widowControl w:val="off"/>
        <w:rPr>
          <w:rFonts w:ascii="仿宋" w:hAnsi="仿宋" w:eastAsia="仿宋"/>
          <w:i/>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 采用综合评分法的项目，未中标的投标人可于中标结果公告期限届满之日起通过苏采云系统查看自己的评审得分及排序情况。</w:t>
      </w:r>
      <w:r>
        <w:rPr>
          <w:highlight w:val="none"/>
        </w:rP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highlight w:val="none"/>
        </w:rPr>
      </w:r>
      <w:bookmarkStart w:id="147" w:name="_Toc513029232"/>
      <w:r>
        <w:rPr>
          <w:highlight w:val="none"/>
        </w:rPr>
      </w:r>
      <w:bookmarkStart w:id="148" w:name="_Toc20823304"/>
      <w:r>
        <w:rPr>
          <w:highlight w:val="none"/>
        </w:rPr>
      </w:r>
      <w:bookmarkStart w:id="149" w:name="_Toc16938548"/>
      <w:r>
        <w:rPr>
          <w:rFonts w:hint="eastAsia" w:ascii="仿宋" w:hAnsi="仿宋" w:eastAsia="仿宋" w:cs="Arial"/>
          <w:color w:val="000000" w:themeColor="text1"/>
          <w:sz w:val="28"/>
          <w:szCs w:val="28"/>
          <w:highlight w:val="none"/>
          <w:lang w:eastAsia="zh-CN"/>
          <w14:textFill>
            <w14:solidFill>
              <w14:schemeClr w14:val="tx1"/>
            </w14:solidFill>
          </w14:textFill>
        </w:rPr>
        <w:t xml:space="preserve">25.</w:t>
      </w:r>
      <w:r>
        <w:rPr>
          <w:rFonts w:hint="eastAsia" w:ascii="仿宋" w:hAnsi="仿宋" w:eastAsia="仿宋" w:cs="Arial"/>
          <w:color w:val="000000" w:themeColor="text1"/>
          <w:sz w:val="28"/>
          <w:szCs w:val="28"/>
          <w:highlight w:val="none"/>
          <w14:textFill>
            <w14:solidFill>
              <w14:schemeClr w14:val="tx1"/>
            </w14:solidFill>
          </w14:textFill>
        </w:rPr>
        <w:t xml:space="preserve">投标文件的澄清</w:t>
      </w:r>
      <w:bookmarkEnd w:id="147"/>
      <w:r>
        <w:rPr>
          <w:highlight w:val="none"/>
        </w:rPr>
      </w:r>
      <w:bookmarkEnd w:id="148"/>
      <w:r>
        <w:rPr>
          <w:highlight w:val="none"/>
        </w:rPr>
      </w:r>
      <w:bookmarkEnd w:id="149"/>
      <w:r>
        <w:rPr>
          <w:highlight w:val="none"/>
        </w:rPr>
      </w:r>
      <w:r>
        <w:rPr>
          <w:highlight w:val="none"/>
        </w:rP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highlight w:val="none"/>
        </w:rPr>
      </w:r>
      <w:bookmarkStart w:id="150" w:name="_Toc16938549"/>
      <w:r>
        <w:rPr>
          <w:highlight w:val="none"/>
        </w:rPr>
      </w:r>
      <w:bookmarkStart w:id="151" w:name="_Toc513029233"/>
      <w:r>
        <w:rPr>
          <w:highlight w:val="none"/>
        </w:rPr>
      </w:r>
      <w:bookmarkStart w:id="152" w:name="_Toc20823305"/>
      <w:r>
        <w:rPr>
          <w:rFonts w:ascii="仿宋" w:hAnsi="仿宋" w:eastAsia="仿宋"/>
          <w:color w:val="000000" w:themeColor="text1"/>
          <w:sz w:val="28"/>
          <w:szCs w:val="28"/>
          <w:highlight w:val="none"/>
          <w14:textFill>
            <w14:solidFill>
              <w14:schemeClr w14:val="tx1"/>
            </w14:solidFill>
          </w14:textFill>
        </w:rPr>
        <w:t xml:space="preserve">25</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评标期间，评委会对投标文件中含义不明确、同类问题表述不一致或者有明显文字和计算错误的内容</w:t>
      </w:r>
      <w:r>
        <w:rPr>
          <w:rFonts w:ascii="仿宋" w:hAnsi="仿宋" w:eastAsia="仿宋"/>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，有权要求投标人作出必要的澄清、说明或者补正。</w:t>
      </w:r>
      <w:r>
        <w:rPr>
          <w:highlight w:val="none"/>
        </w:rP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投标人的澄清、说明或者补正不得超出投标文件的范围或者改变投标文件的实质性内容。</w:t>
      </w:r>
      <w:r>
        <w:rPr>
          <w:highlight w:val="none"/>
        </w:rP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评标</w:t>
      </w:r>
      <w:r>
        <w:rPr>
          <w:rFonts w:ascii="仿宋" w:hAnsi="仿宋" w:eastAsia="仿宋"/>
          <w:color w:val="000000" w:themeColor="text1"/>
          <w:sz w:val="28"/>
          <w:szCs w:val="28"/>
          <w:highlight w:val="none"/>
          <w14:textFill>
            <w14:solidFill>
              <w14:schemeClr w14:val="tx1"/>
            </w14:solidFill>
          </w14:textFill>
        </w:rPr>
        <w:t xml:space="preserve">委员会并非对每个投标人都做澄清要求</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p>
    <w:p>
      <w:pPr>
        <w:ind w:firstLine="48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5</w:t>
      </w:r>
      <w:r>
        <w:rPr>
          <w:rFonts w:hint="eastAsia" w:ascii="仿宋" w:hAnsi="仿宋" w:eastAsia="仿宋"/>
          <w:color w:val="000000" w:themeColor="text1"/>
          <w:sz w:val="28"/>
          <w:szCs w:val="28"/>
          <w:highlight w:val="none"/>
          <w14:textFill>
            <w14:solidFill>
              <w14:schemeClr w14:val="tx1"/>
            </w14:solidFill>
          </w14:textFill>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highlight w:val="none"/>
        </w:rPr>
      </w:r>
    </w:p>
    <w:p>
      <w:pPr>
        <w:ind w:firstLine="48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5</w:t>
      </w:r>
      <w:r>
        <w:rPr>
          <w:rFonts w:hint="eastAsia" w:ascii="仿宋" w:hAnsi="仿宋" w:eastAsia="仿宋"/>
          <w:color w:val="000000" w:themeColor="text1"/>
          <w:sz w:val="28"/>
          <w:szCs w:val="28"/>
          <w:highlight w:val="none"/>
          <w14:textFill>
            <w14:solidFill>
              <w14:schemeClr w14:val="tx1"/>
            </w14:solidFill>
          </w14:textFill>
        </w:rPr>
        <w:t xml:space="preserve">.3 接到评委会澄清、说明和补正要求的投标人如未按规定</w:t>
      </w:r>
      <w:r>
        <w:rPr>
          <w:rFonts w:hint="eastAsia" w:ascii="仿宋" w:hAnsi="仿宋" w:eastAsia="仿宋"/>
          <w:color w:val="000000" w:themeColor="text1"/>
          <w:sz w:val="28"/>
          <w:szCs w:val="28"/>
          <w:highlight w:val="none"/>
          <w:lang w:eastAsia="zh-CN"/>
          <w14:textFill>
            <w14:solidFill>
              <w14:schemeClr w14:val="tx1"/>
            </w14:solidFill>
          </w14:textFill>
        </w:rPr>
        <w:t xml:space="preserve">作出</w:t>
      </w:r>
      <w:r>
        <w:rPr>
          <w:rFonts w:hint="eastAsia" w:ascii="仿宋" w:hAnsi="仿宋" w:eastAsia="仿宋"/>
          <w:color w:val="000000" w:themeColor="text1"/>
          <w:sz w:val="28"/>
          <w:szCs w:val="28"/>
          <w:highlight w:val="none"/>
          <w14:textFill>
            <w14:solidFill>
              <w14:schemeClr w14:val="tx1"/>
            </w14:solidFill>
          </w14:textFill>
        </w:rPr>
        <w:t xml:space="preserve">澄清、说明和补正，其风险由投标人自行承担。</w:t>
      </w:r>
      <w:r>
        <w:rPr>
          <w:highlight w:val="none"/>
        </w:rPr>
      </w:r>
    </w:p>
    <w:p>
      <w:pPr>
        <w:keepLines/>
        <w:keepNext/>
        <w:pageBreakBefore w:val="0"/>
        <w:spacing w:line="560" w:lineRule="exact"/>
        <w:widowControl w:val="off"/>
        <w:rPr>
          <w:rFonts w:hint="eastAsia" w:ascii="仿宋" w:hAnsi="仿宋" w:eastAsia="仿宋" w:cs="Arial"/>
          <w:color w:val="000000" w:themeColor="text1"/>
          <w:sz w:val="28"/>
          <w:szCs w:val="28"/>
          <w:highlight w:val="none"/>
          <w14:textFill>
            <w14:solidFill>
              <w14:schemeClr w14:val="tx1"/>
            </w14:solidFill>
          </w14:textFill>
        </w:rPr>
        <w:outlineLvl w:val="3"/>
      </w:pPr>
      <w:r>
        <w:rPr>
          <w:rFonts w:hint="eastAsia" w:ascii="仿宋" w:hAnsi="仿宋" w:eastAsia="仿宋" w:cs="Arial"/>
          <w:color w:val="000000" w:themeColor="text1"/>
          <w:sz w:val="28"/>
          <w:szCs w:val="28"/>
          <w:highlight w:val="none"/>
          <w:lang w:eastAsia="zh-CN"/>
          <w14:textFill>
            <w14:solidFill>
              <w14:schemeClr w14:val="tx1"/>
            </w14:solidFill>
          </w14:textFill>
        </w:rPr>
        <w:t xml:space="preserve">26.</w:t>
      </w:r>
      <w:r>
        <w:rPr>
          <w:rFonts w:hint="eastAsia" w:ascii="仿宋" w:hAnsi="仿宋" w:eastAsia="仿宋" w:cs="Arial"/>
          <w:color w:val="000000" w:themeColor="text1"/>
          <w:sz w:val="28"/>
          <w:szCs w:val="28"/>
          <w:highlight w:val="none"/>
          <w14:textFill>
            <w14:solidFill>
              <w14:schemeClr w14:val="tx1"/>
            </w14:solidFill>
          </w14:textFill>
        </w:rPr>
        <w:t xml:space="preserve">对投标文件的初审</w:t>
      </w:r>
      <w:bookmarkEnd w:id="150"/>
      <w:r>
        <w:rPr>
          <w:highlight w:val="none"/>
        </w:rPr>
      </w:r>
      <w:bookmarkEnd w:id="151"/>
      <w:r>
        <w:rPr>
          <w:highlight w:val="none"/>
        </w:rPr>
      </w:r>
      <w:bookmarkEnd w:id="152"/>
      <w:r>
        <w:rPr>
          <w:highlight w:val="none"/>
        </w:rPr>
      </w:r>
      <w:r>
        <w:rPr>
          <w:highlight w:val="none"/>
        </w:rP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Cs/>
          <w:color w:val="000000" w:themeColor="text1"/>
          <w:sz w:val="28"/>
          <w:szCs w:val="28"/>
          <w:highlight w:val="none"/>
          <w14:textFill>
            <w14:solidFill>
              <w14:schemeClr w14:val="tx1"/>
            </w14:solidFill>
          </w14:textFill>
        </w:rPr>
        <w:t xml:space="preserve">投标文件初审分为资格审查和符合性审查。</w:t>
      </w:r>
      <w:r>
        <w:rPr>
          <w:highlight w:val="none"/>
        </w:rPr>
      </w:r>
    </w:p>
    <w:p>
      <w:pPr>
        <w:ind w:firstLine="562"/>
        <w:pageBreakBefore w:val="0"/>
        <w:spacing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w:t>
      </w:r>
      <w:r>
        <w:rPr>
          <w:rFonts w:ascii="仿宋" w:hAnsi="仿宋" w:eastAsia="仿宋"/>
          <w:b/>
          <w:bCs/>
          <w:color w:val="000000" w:themeColor="text1"/>
          <w:sz w:val="28"/>
          <w:szCs w:val="28"/>
          <w:highlight w:val="none"/>
          <w14:textFill>
            <w14:solidFill>
              <w14:schemeClr w14:val="tx1"/>
            </w14:solidFill>
          </w14:textFill>
        </w:rPr>
        <w:t xml:space="preserve">6</w:t>
      </w:r>
      <w:r>
        <w:rPr>
          <w:rFonts w:hint="eastAsia" w:ascii="仿宋" w:hAnsi="仿宋" w:eastAsia="仿宋"/>
          <w:b/>
          <w:bCs/>
          <w:color w:val="000000" w:themeColor="text1"/>
          <w:sz w:val="28"/>
          <w:szCs w:val="28"/>
          <w:highlight w:val="none"/>
          <w14:textFill>
            <w14:solidFill>
              <w14:schemeClr w14:val="tx1"/>
            </w14:solidFill>
          </w14:textFill>
        </w:rPr>
        <w:t xml:space="preserve">.1.1 资格审查：依据法律法规和招标文件的规定，由采购人对投标文件中的资格证明文件进行审查。资格审查的结论，采购人以书面形式向评委会进行反馈。</w:t>
      </w:r>
      <w:r>
        <w:rPr>
          <w:highlight w:val="none"/>
        </w:rPr>
      </w:r>
    </w:p>
    <w:p>
      <w:pPr>
        <w:ind w:firstLine="562"/>
        <w:pageBreakBefore w:val="0"/>
        <w:spacing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采购人在进行资格性审查的同时，将在“信用中国”网站（www.creditchina.gov.cn）查询投标人的信用记录，以确定投标人是否具备投标资格</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查询结果留存并归档。</w:t>
      </w:r>
      <w:r>
        <w:rPr>
          <w:highlight w:val="none"/>
        </w:rP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接受联合体的项目，两个以上的自然人、法人或者其他组织组成一个联合体，以一个供应商的身份共同参加政府采购活动的</w:t>
      </w:r>
      <w:r>
        <w:rPr>
          <w:rFonts w:hint="eastAsia" w:ascii="仿宋" w:hAnsi="仿宋" w:eastAsia="仿宋"/>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Cs/>
          <w:color w:val="000000" w:themeColor="text1"/>
          <w:sz w:val="28"/>
          <w:szCs w:val="28"/>
          <w:highlight w:val="none"/>
          <w14:textFill>
            <w14:solidFill>
              <w14:schemeClr w14:val="tx1"/>
            </w14:solidFill>
          </w14:textFill>
        </w:rPr>
        <w:t xml:space="preserve">联合体成员中任何一方存在不良信用记录的，视同联合体存在不良应用记录。</w:t>
      </w:r>
      <w:r>
        <w:rPr>
          <w:highlight w:val="none"/>
        </w:rP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w:t>
      </w:r>
      <w:r>
        <w:rPr>
          <w:rFonts w:ascii="仿宋" w:hAnsi="仿宋" w:eastAsia="仿宋"/>
          <w:bCs/>
          <w:color w:val="000000" w:themeColor="text1"/>
          <w:sz w:val="28"/>
          <w:szCs w:val="28"/>
          <w:highlight w:val="none"/>
          <w14:textFill>
            <w14:solidFill>
              <w14:schemeClr w14:val="tx1"/>
            </w14:solidFill>
          </w14:textFill>
        </w:rPr>
        <w:t xml:space="preserve">6</w:t>
      </w:r>
      <w:r>
        <w:rPr>
          <w:rFonts w:hint="eastAsia" w:ascii="仿宋" w:hAnsi="仿宋" w:eastAsia="仿宋"/>
          <w:bCs/>
          <w:color w:val="000000" w:themeColor="text1"/>
          <w:sz w:val="28"/>
          <w:szCs w:val="28"/>
          <w:highlight w:val="none"/>
          <w14:textFill>
            <w14:solidFill>
              <w14:schemeClr w14:val="tx1"/>
            </w14:solidFill>
          </w14:textFill>
        </w:rPr>
        <w:t xml:space="preserve">.1.2 符合性审查：依据招标文件的规定，由评委会从投标文件的有效性、完整性和对招标文件的响应程度进行审查，以确定是否对招标文件的实质性要求作出响应。</w:t>
      </w:r>
      <w:r>
        <w:rPr>
          <w:highlight w:val="none"/>
        </w:rPr>
      </w:r>
    </w:p>
    <w:p>
      <w:pPr>
        <w:ind w:firstLine="562"/>
        <w:pageBreakBefore w:val="0"/>
        <w:spacing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w:t>
      </w:r>
      <w:r>
        <w:rPr>
          <w:rFonts w:ascii="仿宋" w:hAnsi="仿宋" w:eastAsia="仿宋"/>
          <w:b/>
          <w:bCs/>
          <w:color w:val="000000" w:themeColor="text1"/>
          <w:sz w:val="28"/>
          <w:szCs w:val="28"/>
          <w:highlight w:val="none"/>
          <w14:textFill>
            <w14:solidFill>
              <w14:schemeClr w14:val="tx1"/>
            </w14:solidFill>
          </w14:textFill>
        </w:rPr>
        <w:t xml:space="preserve">6</w:t>
      </w:r>
      <w:r>
        <w:rPr>
          <w:rFonts w:hint="eastAsia" w:ascii="仿宋" w:hAnsi="仿宋" w:eastAsia="仿宋"/>
          <w:b/>
          <w:bCs/>
          <w:color w:val="000000" w:themeColor="text1"/>
          <w:sz w:val="28"/>
          <w:szCs w:val="28"/>
          <w:highlight w:val="none"/>
          <w14:textFill>
            <w14:solidFill>
              <w14:schemeClr w14:val="tx1"/>
            </w14:solidFill>
          </w14:textFill>
        </w:rPr>
        <w:t xml:space="preserve">.1.3 未通过资格审查或符合性审查的投标人，南通市教育技术中心将在</w:t>
      </w:r>
      <w:r>
        <w:rPr>
          <w:rFonts w:hint="eastAsia" w:ascii="仿宋" w:hAnsi="仿宋" w:eastAsia="仿宋"/>
          <w:b/>
          <w:color w:val="000000" w:themeColor="text1"/>
          <w:sz w:val="28"/>
          <w:szCs w:val="28"/>
          <w:highlight w:val="none"/>
          <w14:textFill>
            <w14:solidFill>
              <w14:schemeClr w14:val="tx1"/>
            </w14:solidFill>
          </w14:textFill>
        </w:rPr>
        <w:t xml:space="preserve">苏采云系统</w:t>
      </w:r>
      <w:r>
        <w:rPr>
          <w:rFonts w:hint="eastAsia" w:ascii="仿宋" w:hAnsi="仿宋" w:eastAsia="仿宋"/>
          <w:b/>
          <w:bCs/>
          <w:color w:val="000000" w:themeColor="text1"/>
          <w:sz w:val="28"/>
          <w:szCs w:val="28"/>
          <w:highlight w:val="none"/>
          <w14:textFill>
            <w14:solidFill>
              <w14:schemeClr w14:val="tx1"/>
            </w14:solidFill>
          </w14:textFill>
        </w:rPr>
        <w:t xml:space="preserve">中告知未通过资格审查或符合性审查的原因，评审结束后，南通市教育技术中心将不再告知未通过资格审查或符合性审查的原因。</w:t>
      </w:r>
      <w:r>
        <w:rPr>
          <w:highlight w:val="none"/>
        </w:rP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rPr>
          <w:highlight w:val="none"/>
        </w:rP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南通市教育技术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000000" w:themeColor="text1"/>
          <w:sz w:val="28"/>
          <w:szCs w:val="28"/>
          <w:highlight w:val="none"/>
          <w14:textFill>
            <w14:solidFill>
              <w14:schemeClr w14:val="tx1"/>
            </w14:solidFill>
          </w14:textFill>
        </w:rPr>
        <w:t xml:space="preserve">评委决定投标文件的响应性只根据投标文件本身的内容，而不寻求外部的证据。</w:t>
      </w:r>
      <w:r>
        <w:rPr>
          <w:highlight w:val="none"/>
        </w:rP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bCs/>
          <w:color w:val="000000" w:themeColor="text1"/>
          <w:sz w:val="28"/>
          <w:szCs w:val="28"/>
          <w:highlight w:val="none"/>
          <w14:textFill>
            <w14:solidFill>
              <w14:schemeClr w14:val="tx1"/>
            </w14:solidFill>
          </w14:textFill>
        </w:rPr>
        <w:t xml:space="preserve">如果投标文件实质上没有响应招标文件的要求，评委会将予以拒绝，投标人不得通过修改或撤销</w:t>
      </w:r>
      <w:r>
        <w:rPr>
          <w:rFonts w:hint="eastAsia" w:ascii="仿宋" w:hAnsi="仿宋" w:eastAsia="仿宋"/>
          <w:bCs/>
          <w:color w:val="000000" w:themeColor="text1"/>
          <w:sz w:val="28"/>
          <w:szCs w:val="28"/>
          <w:highlight w:val="none"/>
          <w:lang w:eastAsia="zh-CN"/>
          <w14:textFill>
            <w14:solidFill>
              <w14:schemeClr w14:val="tx1"/>
            </w14:solidFill>
          </w14:textFill>
        </w:rPr>
        <w:t xml:space="preserve">不符</w:t>
      </w:r>
      <w:r>
        <w:rPr>
          <w:rFonts w:hint="eastAsia" w:ascii="仿宋" w:hAnsi="仿宋" w:eastAsia="仿宋"/>
          <w:bCs/>
          <w:color w:val="000000" w:themeColor="text1"/>
          <w:sz w:val="28"/>
          <w:szCs w:val="28"/>
          <w:highlight w:val="none"/>
          <w14:textFill>
            <w14:solidFill>
              <w14:schemeClr w14:val="tx1"/>
            </w14:solidFill>
          </w14:textFill>
        </w:rPr>
        <w:t xml:space="preserve">合要求的偏离或保留而使其投标成为实质性响应的投标。</w:t>
      </w:r>
      <w:r>
        <w:rPr>
          <w:highlight w:val="none"/>
        </w:rP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.4</w:t>
      </w:r>
      <w:r>
        <w:rPr>
          <w:rFonts w:hint="eastAsia" w:ascii="仿宋" w:hAnsi="仿宋" w:eastAsia="仿宋"/>
          <w:bCs/>
          <w:color w:val="000000" w:themeColor="text1"/>
          <w:sz w:val="28"/>
          <w:szCs w:val="28"/>
          <w:highlight w:val="none"/>
          <w14:textFill>
            <w14:solidFill>
              <w14:schemeClr w14:val="tx1"/>
            </w14:solidFill>
          </w14:textFill>
        </w:rPr>
        <w:t xml:space="preserve">评委会将对确定为实质性响应的投标进行进一步审核，看其是否有计算上或累加上的算术错误，修正错误的原则如下：</w:t>
      </w:r>
      <w:r>
        <w:rPr>
          <w:highlight w:val="none"/>
        </w:rPr>
      </w:r>
    </w:p>
    <w:p>
      <w:pPr>
        <w:ind w:firstLine="560"/>
        <w:pageBreakBefore w:val="0"/>
        <w:spacing w:line="560" w:lineRule="exact"/>
        <w:widowControl w:val="off"/>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（1）投标文件中开标一览表内容与投标文件中相应内容不一致的，以开标一览表为准。</w:t>
      </w:r>
      <w:r>
        <w:rPr>
          <w:highlight w:val="none"/>
        </w:rPr>
      </w:r>
    </w:p>
    <w:p>
      <w:pPr>
        <w:ind w:firstLine="560"/>
        <w:pageBreakBefore w:val="0"/>
        <w:spacing w:line="560" w:lineRule="exact"/>
        <w:widowControl w:val="off"/>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（2）大写金额和小写金额不一致的，以大写金额为准。</w:t>
      </w:r>
      <w:r>
        <w:rPr>
          <w:highlight w:val="none"/>
        </w:rPr>
      </w:r>
    </w:p>
    <w:p>
      <w:pPr>
        <w:ind w:firstLine="560"/>
        <w:pageBreakBefore w:val="0"/>
        <w:spacing w:line="560" w:lineRule="exact"/>
        <w:widowControl w:val="off"/>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（3）单价金额小数点或者百分比有明显错位的，以开标一览表的总价为准，并修改单价。</w:t>
      </w:r>
      <w:r>
        <w:rPr>
          <w:highlight w:val="none"/>
        </w:rP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（4）总价金额与按单价汇总金额不一致的，以单价金额计算结果为准。</w:t>
      </w:r>
      <w:r>
        <w:rPr>
          <w:highlight w:val="none"/>
        </w:rPr>
      </w:r>
    </w:p>
    <w:p>
      <w:pPr>
        <w:ind w:firstLine="560"/>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同时出现两种以上错误的，按照前款规定的顺序修正。</w:t>
      </w:r>
      <w:r>
        <w:rPr>
          <w:highlight w:val="none"/>
        </w:rPr>
      </w:r>
    </w:p>
    <w:p>
      <w:pPr>
        <w:ind w:firstLine="560"/>
        <w:pageBreakBefore w:val="0"/>
        <w:spacing w:line="560" w:lineRule="exact"/>
        <w:widowControl w:val="off"/>
        <w:rPr>
          <w:rFonts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.5</w:t>
      </w:r>
      <w:r>
        <w:rPr>
          <w:rFonts w:hint="eastAsia" w:ascii="仿宋" w:hAnsi="仿宋" w:eastAsia="仿宋"/>
          <w:bCs/>
          <w:color w:val="000000" w:themeColor="text1"/>
          <w:sz w:val="28"/>
          <w:szCs w:val="28"/>
          <w:highlight w:val="none"/>
          <w14:textFill>
            <w14:solidFill>
              <w14:schemeClr w14:val="tx1"/>
            </w14:solidFill>
          </w14:textFill>
        </w:rPr>
        <w:t xml:space="preserve">评委会将按上述修正错误的方法调整投标文件中的投标报价，并</w:t>
      </w:r>
      <w:r>
        <w:rPr>
          <w:rFonts w:ascii="仿宋" w:hAnsi="仿宋" w:eastAsia="仿宋"/>
          <w:bCs/>
          <w:color w:val="000000" w:themeColor="text1"/>
          <w:sz w:val="28"/>
          <w:szCs w:val="28"/>
          <w:highlight w:val="none"/>
          <w14:textFill>
            <w14:solidFill>
              <w14:schemeClr w14:val="tx1"/>
            </w14:solidFill>
          </w14:textFill>
        </w:rPr>
        <w:t xml:space="preserve">通过</w:t>
      </w:r>
      <w:r>
        <w:rPr>
          <w:rFonts w:hint="eastAsia" w:ascii="仿宋" w:hAnsi="仿宋" w:eastAsia="仿宋"/>
          <w:color w:val="000000" w:themeColor="text1"/>
          <w:sz w:val="28"/>
          <w:szCs w:val="28"/>
          <w:highlight w:val="none"/>
          <w14:textFill>
            <w14:solidFill>
              <w14:schemeClr w14:val="tx1"/>
            </w14:solidFill>
          </w14:textFill>
        </w:rPr>
        <w:t xml:space="preserve">苏采云系统</w:t>
      </w:r>
      <w:r>
        <w:rPr>
          <w:rFonts w:hint="eastAsia" w:ascii="仿宋" w:hAnsi="仿宋" w:eastAsia="仿宋"/>
          <w:bCs/>
          <w:color w:val="000000" w:themeColor="text1"/>
          <w:sz w:val="28"/>
          <w:szCs w:val="28"/>
          <w:highlight w:val="none"/>
          <w14:textFill>
            <w14:solidFill>
              <w14:schemeClr w14:val="tx1"/>
            </w14:solidFill>
          </w14:textFill>
        </w:rPr>
        <w:t xml:space="preserve">告知</w:t>
      </w:r>
      <w:r>
        <w:rPr>
          <w:rFonts w:ascii="仿宋" w:hAnsi="仿宋" w:eastAsia="仿宋"/>
          <w:bCs/>
          <w:color w:val="000000" w:themeColor="text1"/>
          <w:sz w:val="28"/>
          <w:szCs w:val="28"/>
          <w:highlight w:val="none"/>
          <w14:textFill>
            <w14:solidFill>
              <w14:schemeClr w14:val="tx1"/>
            </w14:solidFill>
          </w14:textFill>
        </w:rPr>
        <w:t xml:space="preserve">投标人，</w:t>
      </w:r>
      <w:r>
        <w:rPr>
          <w:rFonts w:hint="eastAsia" w:ascii="仿宋" w:hAnsi="仿宋" w:eastAsia="仿宋"/>
          <w:bCs/>
          <w:color w:val="000000" w:themeColor="text1"/>
          <w:sz w:val="28"/>
          <w:szCs w:val="28"/>
          <w:highlight w:val="none"/>
          <w14:textFill>
            <w14:solidFill>
              <w14:schemeClr w14:val="tx1"/>
            </w14:solidFill>
          </w14:textFill>
        </w:rPr>
        <w:t xml:space="preserve">调整后的价格应对投标人具有约束力。如果投标人不接受修正后的价格，则其投标将被拒绝。</w:t>
      </w:r>
      <w:r>
        <w:rPr>
          <w:highlight w:val="none"/>
        </w:rP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highlight w:val="none"/>
        </w:rPr>
      </w:r>
      <w:bookmarkStart w:id="153" w:name="_Toc20823306"/>
      <w:r>
        <w:rPr>
          <w:highlight w:val="none"/>
        </w:rPr>
      </w:r>
      <w:bookmarkStart w:id="154" w:name="_Toc513029234"/>
      <w:r>
        <w:rPr>
          <w:highlight w:val="none"/>
        </w:rPr>
      </w:r>
      <w:bookmarkStart w:id="155" w:name="_Toc16938550"/>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themeColor="text1"/>
          <w:sz w:val="28"/>
          <w:szCs w:val="28"/>
          <w:highlight w:val="none"/>
          <w14:textFill>
            <w14:solidFill>
              <w14:schemeClr w14:val="tx1"/>
            </w14:solidFill>
          </w14:textFill>
        </w:rPr>
        <w:t xml:space="preserve">按照招标文件规定的方式（招标文件未规定的通过</w:t>
      </w:r>
      <w:r>
        <w:rPr>
          <w:rFonts w:ascii="仿宋" w:hAnsi="仿宋" w:eastAsia="仿宋"/>
          <w:color w:val="000000" w:themeColor="text1"/>
          <w:sz w:val="28"/>
          <w:szCs w:val="28"/>
          <w:highlight w:val="none"/>
          <w14:textFill>
            <w14:solidFill>
              <w14:schemeClr w14:val="tx1"/>
            </w14:solidFill>
          </w14:textFill>
        </w:rPr>
        <w:t xml:space="preserve">随机抽取</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ascii="仿宋" w:hAnsi="仿宋" w:eastAsia="仿宋"/>
          <w:color w:val="000000" w:themeColor="text1"/>
          <w:sz w:val="28"/>
          <w:szCs w:val="28"/>
          <w:highlight w:val="none"/>
          <w14:textFill>
            <w14:solidFill>
              <w14:schemeClr w14:val="tx1"/>
            </w14:solidFill>
          </w14:textFill>
        </w:rPr>
        <w:t xml:space="preserve">方式</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确定一个参加评标的投标人，其他投标无效。</w:t>
      </w:r>
      <w:r>
        <w:rPr>
          <w:highlight w:val="none"/>
        </w:rPr>
      </w:r>
    </w:p>
    <w:p>
      <w:pPr>
        <w:ind w:firstLine="56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themeColor="text1"/>
          <w:sz w:val="28"/>
          <w:szCs w:val="28"/>
          <w:highlight w:val="none"/>
          <w14:textFill>
            <w14:solidFill>
              <w14:schemeClr w14:val="tx1"/>
            </w14:solidFill>
          </w14:textFill>
        </w:rPr>
        <w:t xml:space="preserve">根据招标文件规定的方式（招标文件未规定的采取随机抽取的方式）</w:t>
      </w:r>
      <w:r>
        <w:rPr>
          <w:rFonts w:ascii="仿宋" w:hAnsi="仿宋" w:eastAsia="仿宋"/>
          <w:color w:val="000000" w:themeColor="text1"/>
          <w:sz w:val="28"/>
          <w:szCs w:val="28"/>
          <w:highlight w:val="none"/>
          <w14:textFill>
            <w14:solidFill>
              <w14:schemeClr w14:val="tx1"/>
            </w14:solidFill>
          </w14:textFill>
        </w:rPr>
        <w:t xml:space="preserve">确定</w:t>
      </w:r>
      <w:r>
        <w:rPr>
          <w:rFonts w:hint="eastAsia" w:ascii="仿宋" w:hAnsi="仿宋" w:eastAsia="仿宋"/>
          <w:color w:val="000000" w:themeColor="text1"/>
          <w:sz w:val="28"/>
          <w:szCs w:val="28"/>
          <w:highlight w:val="none"/>
          <w14:textFill>
            <w14:solidFill>
              <w14:schemeClr w14:val="tx1"/>
            </w14:solidFill>
          </w14:textFill>
        </w:rPr>
        <w:t xml:space="preserve">一个中标候选人</w:t>
      </w:r>
      <w:r>
        <w:rPr>
          <w:rFonts w:ascii="仿宋" w:hAnsi="仿宋" w:eastAsia="仿宋"/>
          <w:color w:val="000000" w:themeColor="text1"/>
          <w:sz w:val="28"/>
          <w:szCs w:val="28"/>
          <w:highlight w:val="none"/>
          <w14:textFill>
            <w14:solidFill>
              <w14:schemeClr w14:val="tx1"/>
            </w14:solidFill>
          </w14:textFill>
        </w:rPr>
        <w:t xml:space="preserve">，其他同品牌投标人不作为中标候选人。</w:t>
      </w:r>
      <w:r>
        <w:rPr>
          <w:highlight w:val="none"/>
        </w:rP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非单一产品采购项目，招标文件中</w:t>
      </w:r>
      <w:r>
        <w:rPr>
          <w:rFonts w:hint="eastAsia" w:ascii="仿宋" w:hAnsi="仿宋" w:eastAsia="仿宋"/>
          <w:color w:val="000000" w:themeColor="text1"/>
          <w:sz w:val="28"/>
          <w:szCs w:val="28"/>
          <w:highlight w:val="none"/>
          <w14:textFill>
            <w14:solidFill>
              <w14:schemeClr w14:val="tx1"/>
            </w14:solidFill>
          </w14:textFill>
        </w:rPr>
        <w:t xml:space="preserve">将载明其中的核心产品</w:t>
      </w:r>
      <w:r>
        <w:rPr>
          <w:rFonts w:ascii="仿宋" w:hAnsi="仿宋" w:eastAsia="仿宋"/>
          <w:color w:val="000000" w:themeColor="text1"/>
          <w:sz w:val="28"/>
          <w:szCs w:val="28"/>
          <w:highlight w:val="none"/>
          <w14:textFill>
            <w14:solidFill>
              <w14:schemeClr w14:val="tx1"/>
            </w14:solidFill>
          </w14:textFill>
        </w:rPr>
        <w:t xml:space="preserve">。多家投标人提供的核心产品品牌相同的，按前两款规定处理。</w:t>
      </w:r>
      <w:r>
        <w:rPr>
          <w:highlight w:val="none"/>
        </w:rP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.7投标人在开、评标全过程中应</w:t>
      </w:r>
      <w:r>
        <w:rPr>
          <w:rFonts w:hint="eastAsia" w:ascii="仿宋" w:hAnsi="仿宋" w:eastAsia="仿宋"/>
          <w:color w:val="000000" w:themeColor="text1"/>
          <w:sz w:val="28"/>
          <w:szCs w:val="28"/>
          <w:highlight w:val="none"/>
          <w:lang w:eastAsia="zh-CN"/>
          <w14:textFill>
            <w14:solidFill>
              <w14:schemeClr w14:val="tx1"/>
            </w14:solidFill>
          </w14:textFill>
        </w:rPr>
        <w:t xml:space="preserve">保持通信畅通</w:t>
      </w:r>
      <w:r>
        <w:rPr>
          <w:rFonts w:hint="eastAsia" w:ascii="仿宋" w:hAnsi="仿宋" w:eastAsia="仿宋"/>
          <w:color w:val="000000" w:themeColor="text1"/>
          <w:sz w:val="28"/>
          <w:szCs w:val="28"/>
          <w:highlight w:val="none"/>
          <w14:textFill>
            <w14:solidFill>
              <w14:schemeClr w14:val="tx1"/>
            </w14:solidFill>
          </w14:textFill>
        </w:rPr>
        <w:t xml:space="preserve">，及时登录苏采云系统查阅</w:t>
      </w:r>
      <w:r>
        <w:rPr>
          <w:rFonts w:ascii="仿宋" w:hAnsi="仿宋" w:eastAsia="仿宋"/>
          <w:color w:val="000000" w:themeColor="text1"/>
          <w:sz w:val="28"/>
          <w:szCs w:val="28"/>
          <w:highlight w:val="none"/>
          <w14:textFill>
            <w14:solidFill>
              <w14:schemeClr w14:val="tx1"/>
            </w14:solidFill>
          </w14:textFill>
        </w:rPr>
        <w:t xml:space="preserve">、答复相关</w:t>
      </w:r>
      <w:r>
        <w:rPr>
          <w:rFonts w:hint="eastAsia" w:ascii="仿宋" w:hAnsi="仿宋" w:eastAsia="仿宋"/>
          <w:color w:val="000000" w:themeColor="text1"/>
          <w:sz w:val="28"/>
          <w:szCs w:val="28"/>
          <w:highlight w:val="none"/>
          <w14:textFill>
            <w14:solidFill>
              <w14:schemeClr w14:val="tx1"/>
            </w14:solidFill>
          </w14:textFill>
        </w:rPr>
        <w:t xml:space="preserve">信息</w:t>
      </w:r>
      <w:r>
        <w:rPr>
          <w:rFonts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并安排专人与南通市教育技术中心及评标委员会联系。</w:t>
      </w:r>
      <w:bookmarkEnd w:id="153"/>
      <w:r>
        <w:rPr>
          <w:highlight w:val="none"/>
        </w:rPr>
      </w:r>
      <w:bookmarkEnd w:id="154"/>
      <w:r>
        <w:rPr>
          <w:highlight w:val="none"/>
        </w:rPr>
      </w:r>
      <w:bookmarkEnd w:id="155"/>
      <w:r>
        <w:rPr>
          <w:highlight w:val="none"/>
        </w:rPr>
      </w:r>
      <w:r>
        <w:rPr>
          <w:highlight w:val="none"/>
        </w:rPr>
      </w:r>
    </w:p>
    <w:p>
      <w:pPr>
        <w:ind w:firstLine="42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r>
      <w:r>
        <w:rPr>
          <w:highlight w:val="none"/>
        </w:rPr>
      </w:r>
    </w:p>
    <w:p>
      <w:pPr>
        <w:pStyle w:val="1317"/>
        <w:numPr>
          <w:ilvl w:val="0"/>
          <w:numId w:val="5"/>
        </w:numPr>
        <w:keepLines w:val="0"/>
        <w:keepNext w:val="0"/>
        <w:pageBreakBefore w:val="0"/>
        <w:spacing w:line="560" w:lineRule="exact"/>
        <w:widowControl w:val="off"/>
        <w:rPr>
          <w:rFonts w:hint="eastAsia" w:ascii="仿宋" w:hAnsi="仿宋" w:eastAsia="仿宋" w:cs="Times New Roman"/>
          <w:b/>
          <w:bCs/>
          <w:color w:val="000000" w:themeColor="text1"/>
          <w:sz w:val="28"/>
          <w:szCs w:val="28"/>
          <w:highlight w:val="none"/>
          <w14:textFill>
            <w14:solidFill>
              <w14:schemeClr w14:val="tx1"/>
            </w14:solidFill>
          </w14:textFill>
        </w:rPr>
      </w:pPr>
      <w:r>
        <w:rPr>
          <w:highlight w:val="none"/>
        </w:rPr>
      </w:r>
      <w:bookmarkStart w:id="156" w:name="_Toc20823307"/>
      <w:r>
        <w:rPr>
          <w:highlight w:val="none"/>
        </w:rPr>
      </w:r>
      <w:bookmarkStart w:id="157" w:name="_Toc513029235"/>
      <w:r>
        <w:rPr>
          <w:highlight w:val="none"/>
        </w:rPr>
      </w:r>
      <w:bookmarkStart w:id="158" w:name="_Toc16938551"/>
      <w:r>
        <w:rPr>
          <w:rFonts w:hint="eastAsia" w:ascii="仿宋" w:hAnsi="仿宋" w:eastAsia="仿宋" w:cs="Times New Roman"/>
          <w:b/>
          <w:bCs/>
          <w:color w:val="000000" w:themeColor="text1"/>
          <w:sz w:val="28"/>
          <w:szCs w:val="28"/>
          <w:highlight w:val="none"/>
          <w:lang w:val="en-US" w:eastAsia="zh-CN" w:bidi="ar-SA"/>
          <w14:textFill>
            <w14:solidFill>
              <w14:schemeClr w14:val="tx1"/>
            </w14:solidFill>
          </w14:textFill>
        </w:rPr>
        <w:t xml:space="preserve">异常低价审查</w:t>
      </w:r>
      <w:r>
        <w:rPr>
          <w:highlight w:val="none"/>
        </w:rPr>
      </w:r>
    </w:p>
    <w:p>
      <w:pPr>
        <w:pStyle w:val="1317"/>
        <w:numPr>
          <w:ilvl w:val="0"/>
          <w:numId w:val="0"/>
        </w:numPr>
        <w:ind w:firstLine="562"/>
        <w:keepLines w:val="0"/>
        <w:keepNext w:val="0"/>
        <w:pageBreakBefore w:val="0"/>
        <w:spacing w:line="560" w:lineRule="exact"/>
        <w:widowControl w:val="off"/>
        <w:rPr>
          <w:rFonts w:hint="eastAsia" w:ascii="仿宋" w:hAnsi="仿宋" w:eastAsia="仿宋" w:cs="Times New Roman"/>
          <w:b/>
          <w:bCs/>
          <w:color w:val="000000" w:themeColor="text1"/>
          <w:sz w:val="28"/>
          <w:szCs w:val="28"/>
          <w:highlight w:val="none"/>
          <w14:textFill>
            <w14:solidFill>
              <w14:schemeClr w14:val="tx1"/>
            </w14:solidFill>
          </w14:textFill>
        </w:rPr>
      </w:pPr>
      <w:r>
        <w:rPr>
          <w:rFonts w:hint="eastAsia" w:ascii="仿宋" w:hAnsi="仿宋" w:eastAsia="仿宋" w:cs="Times New Roman"/>
          <w:b/>
          <w:bCs/>
          <w:color w:val="000000" w:themeColor="text1"/>
          <w:sz w:val="28"/>
          <w:szCs w:val="28"/>
          <w:highlight w:val="none"/>
          <w:lang w:val="en-US" w:eastAsia="zh-CN" w:bidi="ar-SA"/>
          <w14:textFill>
            <w14:solidFill>
              <w14:schemeClr w14:val="tx1"/>
            </w14:solidFill>
          </w14:textFill>
        </w:rPr>
        <w:t xml:space="preserve">27.1根据财政部《关于推动解决政府采购异常低价问题的通知》（ 财库〔2026〕2号）、省财政厅《关于推动解决政府采购异常低价问题相关工作的通知》（苏财购〔2026〕62号）要求，评审过程中出现下列情形之一的，评审委员会应当启动异常低价投标（响应）审查程序：</w:t>
      </w:r>
      <w:r>
        <w:rPr>
          <w:highlight w:val="none"/>
        </w:rPr>
      </w:r>
    </w:p>
    <w:p>
      <w:pPr>
        <w:ind w:firstLine="480"/>
        <w:keepLines w:val="0"/>
        <w:keepNext w:val="0"/>
        <w:pageBreakBefore w:val="0"/>
        <w:spacing w:line="560" w:lineRule="exact"/>
        <w:widowControl w:val="off"/>
        <w:rPr>
          <w:rFonts w:hint="eastAsia" w:ascii="仿宋" w:hAnsi="仿宋" w:eastAsia="仿宋" w:cs="Times New Roman"/>
          <w:b w:val="0"/>
          <w:bCs w:val="0"/>
          <w:color w:val="000000" w:themeColor="text1"/>
          <w:sz w:val="28"/>
          <w:szCs w:val="28"/>
          <w:highlight w:val="none"/>
          <w14:textFill>
            <w14:solidFill>
              <w14:schemeClr w14:val="tx1"/>
            </w14:solidFill>
          </w14:textFill>
        </w:rPr>
      </w:pP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（1）投标（响应）报价低于全部通过符合性审查供应商投标（响应）报价平均值50%的，即投标（响应）报价</w:t>
      </w:r>
      <w:r>
        <w:rPr>
          <w:rFonts w:hint="eastAsia" w:ascii="微软雅黑" w:hAnsi="微软雅黑" w:eastAsia="微软雅黑" w:cs="微软雅黑"/>
          <w:b w:val="0"/>
          <w:bCs w:val="0"/>
          <w:color w:val="000000" w:themeColor="text1"/>
          <w:sz w:val="28"/>
          <w:szCs w:val="28"/>
          <w:highlight w:val="none"/>
          <w:lang w:val="en-US" w:eastAsia="zh-CN" w:bidi="ar-SA"/>
          <w14:textFill>
            <w14:solidFill>
              <w14:schemeClr w14:val="tx1"/>
            </w14:solidFill>
          </w14:textFill>
        </w:rPr>
        <w:t xml:space="preserve">＜</w:t>
      </w: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全部通过符合性审查供应商投标（响应）报价平均值×50%； </w:t>
      </w:r>
      <w:r>
        <w:rPr>
          <w:highlight w:val="none"/>
        </w:rPr>
      </w:r>
    </w:p>
    <w:p>
      <w:pPr>
        <w:ind w:firstLine="480"/>
        <w:keepLines w:val="0"/>
        <w:keepNext w:val="0"/>
        <w:pageBreakBefore w:val="0"/>
        <w:spacing w:line="560" w:lineRule="exact"/>
        <w:widowControl w:val="off"/>
        <w:rPr>
          <w:rFonts w:hint="eastAsia" w:ascii="仿宋" w:hAnsi="仿宋" w:eastAsia="仿宋" w:cs="Times New Roman"/>
          <w:b w:val="0"/>
          <w:bCs w:val="0"/>
          <w:color w:val="000000" w:themeColor="text1"/>
          <w:sz w:val="28"/>
          <w:szCs w:val="28"/>
          <w:highlight w:val="none"/>
          <w14:textFill>
            <w14:solidFill>
              <w14:schemeClr w14:val="tx1"/>
            </w14:solidFill>
          </w14:textFill>
        </w:rPr>
      </w:pP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（2）投标（响应）报价低于通过符合性审查的次低报价供应商投标（响应）报价50%的，即投标（响应）报价</w:t>
      </w:r>
      <w:r>
        <w:rPr>
          <w:rFonts w:hint="eastAsia" w:ascii="微软雅黑" w:hAnsi="微软雅黑" w:eastAsia="微软雅黑" w:cs="微软雅黑"/>
          <w:b w:val="0"/>
          <w:bCs w:val="0"/>
          <w:color w:val="000000" w:themeColor="text1"/>
          <w:sz w:val="28"/>
          <w:szCs w:val="28"/>
          <w:highlight w:val="none"/>
          <w:lang w:val="en-US" w:eastAsia="zh-CN" w:bidi="ar-SA"/>
          <w14:textFill>
            <w14:solidFill>
              <w14:schemeClr w14:val="tx1"/>
            </w14:solidFill>
          </w14:textFill>
        </w:rPr>
        <w:t xml:space="preserve">&lt;</w:t>
      </w: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通过符合性审查的次低报价供应商投标（响应）报价×50%； </w:t>
      </w:r>
      <w:r>
        <w:rPr>
          <w:highlight w:val="none"/>
        </w:rPr>
      </w:r>
    </w:p>
    <w:p>
      <w:pPr>
        <w:ind w:firstLine="480"/>
        <w:keepLines w:val="0"/>
        <w:keepNext w:val="0"/>
        <w:pageBreakBefore w:val="0"/>
        <w:spacing w:line="560" w:lineRule="exact"/>
        <w:widowControl w:val="off"/>
        <w:rPr>
          <w:rFonts w:hint="eastAsia" w:ascii="仿宋" w:hAnsi="仿宋" w:eastAsia="仿宋" w:cs="Times New Roman"/>
          <w:b w:val="0"/>
          <w:bCs w:val="0"/>
          <w:color w:val="000000" w:themeColor="text1"/>
          <w:sz w:val="28"/>
          <w:szCs w:val="28"/>
          <w:highlight w:val="none"/>
          <w14:textFill>
            <w14:solidFill>
              <w14:schemeClr w14:val="tx1"/>
            </w14:solidFill>
          </w14:textFill>
        </w:rPr>
      </w:pP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（3）投标（响应）报价低于采购项目最高限价45%的，即投标（响应）报价</w:t>
      </w:r>
      <w:r>
        <w:rPr>
          <w:rFonts w:hint="eastAsia" w:ascii="微软雅黑" w:hAnsi="微软雅黑" w:eastAsia="微软雅黑" w:cs="微软雅黑"/>
          <w:b w:val="0"/>
          <w:bCs w:val="0"/>
          <w:color w:val="000000" w:themeColor="text1"/>
          <w:sz w:val="28"/>
          <w:szCs w:val="28"/>
          <w:highlight w:val="none"/>
          <w:lang w:val="en-US" w:eastAsia="zh-CN" w:bidi="ar-SA"/>
          <w14:textFill>
            <w14:solidFill>
              <w14:schemeClr w14:val="tx1"/>
            </w14:solidFill>
          </w14:textFill>
        </w:rPr>
        <w:t xml:space="preserve">&lt;</w:t>
      </w: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采购项目最高限价×45%； </w:t>
      </w:r>
      <w:r>
        <w:rPr>
          <w:highlight w:val="none"/>
        </w:rPr>
      </w:r>
    </w:p>
    <w:p>
      <w:pPr>
        <w:ind w:firstLine="480"/>
        <w:keepLines w:val="0"/>
        <w:keepNext w:val="0"/>
        <w:pageBreakBefore w:val="0"/>
        <w:spacing w:line="560" w:lineRule="exact"/>
        <w:widowControl w:val="off"/>
        <w:rPr>
          <w:rFonts w:hint="eastAsia" w:ascii="仿宋" w:hAnsi="仿宋" w:eastAsia="仿宋" w:cs="Times New Roman"/>
          <w:b w:val="0"/>
          <w:bCs w:val="0"/>
          <w:color w:val="000000" w:themeColor="text1"/>
          <w:sz w:val="28"/>
          <w:szCs w:val="28"/>
          <w:highlight w:val="none"/>
          <w14:textFill>
            <w14:solidFill>
              <w14:schemeClr w14:val="tx1"/>
            </w14:solidFill>
          </w14:textFill>
        </w:rPr>
      </w:pP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（4）评审委员会基于专业判断，认为供应商报价过低，有可能影响产品质量或者不能诚信履约的其他情形。</w:t>
      </w:r>
      <w:r>
        <w:rPr>
          <w:highlight w:val="none"/>
        </w:rPr>
      </w:r>
    </w:p>
    <w:p>
      <w:pPr>
        <w:ind w:firstLine="480"/>
        <w:keepLines w:val="0"/>
        <w:keepNext w:val="0"/>
        <w:pageBreakBefore w:val="0"/>
        <w:spacing w:line="560" w:lineRule="exact"/>
        <w:widowControl w:val="off"/>
        <w:rPr>
          <w:rFonts w:hint="eastAsia" w:ascii="仿宋" w:hAnsi="仿宋" w:eastAsia="仿宋" w:cs="Times New Roman"/>
          <w:b w:val="0"/>
          <w:bCs w:val="0"/>
          <w:color w:val="000000" w:themeColor="text1"/>
          <w:sz w:val="28"/>
          <w:szCs w:val="28"/>
          <w:highlight w:val="none"/>
          <w14:textFill>
            <w14:solidFill>
              <w14:schemeClr w14:val="tx1"/>
            </w14:solidFill>
          </w14:textFill>
        </w:rPr>
      </w:pP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27.2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none"/>
        </w:rPr>
      </w:r>
    </w:p>
    <w:p>
      <w:pPr>
        <w:ind w:firstLine="480"/>
        <w:keepLines w:val="0"/>
        <w:keepNext w:val="0"/>
        <w:pageBreakBefore w:val="0"/>
        <w:spacing w:line="560" w:lineRule="exact"/>
        <w:widowControl w:val="off"/>
        <w:rPr>
          <w:rFonts w:hint="eastAsia" w:ascii="仿宋" w:hAnsi="仿宋" w:eastAsia="仿宋" w:cs="Times New Roman"/>
          <w:b/>
          <w:bCs/>
          <w:color w:val="000000" w:themeColor="text1"/>
          <w:sz w:val="28"/>
          <w:szCs w:val="28"/>
          <w:highlight w:val="none"/>
          <w14:textFill>
            <w14:solidFill>
              <w14:schemeClr w14:val="tx1"/>
            </w14:solidFill>
          </w14:textFill>
        </w:rPr>
      </w:pPr>
      <w:r>
        <w:rPr>
          <w:rFonts w:hint="eastAsia" w:ascii="仿宋" w:hAnsi="仿宋" w:eastAsia="仿宋" w:cs="Times New Roman"/>
          <w:b w:val="0"/>
          <w:bCs w:val="0"/>
          <w:color w:val="000000" w:themeColor="text1"/>
          <w:sz w:val="28"/>
          <w:szCs w:val="28"/>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Times New Roman"/>
          <w:b/>
          <w:bCs/>
          <w:color w:val="000000" w:themeColor="text1"/>
          <w:sz w:val="28"/>
          <w:szCs w:val="28"/>
          <w:highlight w:val="none"/>
          <w:lang w:val="en-US" w:eastAsia="zh-CN" w:bidi="ar-SA"/>
          <w14:textFill>
            <w14:solidFill>
              <w14:schemeClr w14:val="tx1"/>
            </w14:solidFill>
          </w14:textFill>
        </w:rPr>
        <w:t xml:space="preserve"> </w:t>
      </w:r>
      <w:r>
        <w:rPr>
          <w:highlight w:val="none"/>
        </w:rPr>
      </w:r>
    </w:p>
    <w:p>
      <w:pPr>
        <w:keepLines/>
        <w:keepNext/>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outlineLvl w:val="3"/>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r>
      <w:r>
        <w:rPr>
          <w:highlight w:val="none"/>
        </w:rPr>
      </w:r>
    </w:p>
    <w:p>
      <w:pPr>
        <w:keepLines/>
        <w:keepNext/>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outlineLvl w:val="3"/>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28.无效投标条款和废标条款</w:t>
      </w:r>
      <w:r>
        <w:rPr>
          <w:highlight w:val="none"/>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28.1无效投标条款</w:t>
      </w:r>
      <w:r>
        <w:rPr>
          <w:highlight w:val="none"/>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 投标人在苏采云系统规定的时间内未成功解密电子投标文件的。</w:t>
      </w:r>
      <w:r>
        <w:rPr>
          <w:highlight w:val="none"/>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28.1.2 投标人未按照招标文件要求上传电子投标文件的。</w:t>
      </w:r>
      <w:r>
        <w:rPr>
          <w:highlight w:val="none"/>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28.1.3投标人同一分包提交两个（含两个）以上不同的投标报价的。</w:t>
      </w:r>
      <w:r>
        <w:rPr>
          <w:highlight w:val="none"/>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28.1.4投标人不具备招标文件中规定资格要求的。</w:t>
      </w:r>
      <w:r>
        <w:rPr>
          <w:highlight w:val="none"/>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28.1.5投标人的报价超过了采购预算或最高限价的。</w:t>
      </w:r>
      <w:r>
        <w:rPr>
          <w:highlight w:val="none"/>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28.1.6未通过符合性审查的。</w:t>
      </w:r>
      <w:r>
        <w:rPr>
          <w:highlight w:val="none"/>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28.1.7不符合招标文件中规定的实质性要求的（详见本招标文件第四章采购需求中斜体且有下划线部分）。</w:t>
      </w:r>
      <w:r>
        <w:rPr>
          <w:highlight w:val="none"/>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none"/>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28.1.9  投标文件含有采购人不能接受的附加条件的。</w:t>
      </w:r>
      <w:r>
        <w:rPr>
          <w:highlight w:val="none"/>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highlight w:val="none"/>
        </w:rPr>
      </w:r>
    </w:p>
    <w:p>
      <w:pPr>
        <w:ind w:firstLine="560"/>
        <w:pageBreakBefore w:val="0"/>
        <w:spacing w:line="560" w:lineRule="exact"/>
        <w:widowControl w:val="off"/>
        <w:rPr>
          <w:rFonts w:hint="eastAsia" w:ascii="仿宋" w:hAnsi="仿宋" w:eastAsia="仿宋" w:cs="Times New Roman"/>
          <w:b/>
          <w:bCs/>
          <w:color w:val="000000" w:themeColor="text1"/>
          <w:sz w:val="28"/>
          <w:szCs w:val="28"/>
          <w:highlight w:val="none"/>
          <w14:textFill>
            <w14:solidFill>
              <w14:schemeClr w14:val="tx1"/>
            </w14:solidFill>
          </w14:textFill>
        </w:rPr>
      </w:pPr>
      <w:r>
        <w:rPr>
          <w:rFonts w:hint="eastAsia" w:ascii="仿宋" w:hAnsi="仿宋" w:eastAsia="仿宋" w:cs="Times New Roman"/>
          <w:b/>
          <w:bCs/>
          <w:color w:val="000000" w:themeColor="text1"/>
          <w:sz w:val="28"/>
          <w:szCs w:val="28"/>
          <w:highlight w:val="none"/>
          <w:lang w:val="en-US" w:eastAsia="zh-CN" w:bidi="ar-SA"/>
          <w14:textFill>
            <w14:solidFill>
              <w14:schemeClr w14:val="tx1"/>
            </w14:solidFill>
          </w14:textFill>
        </w:rPr>
        <w:t xml:space="preserve">28.1.11 本项目采购产品被财政部、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highlight w:val="none"/>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28.1.12 投标文件未按照招标文件要求加盖CA电子公章的。</w:t>
      </w:r>
      <w:r>
        <w:rPr>
          <w:highlight w:val="none"/>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28.1.13投标人的商务技术部分得分相差异常悬殊，评标委员会一致认为得分畸低者有可能影响产品质量或者不能诚信履约的。</w:t>
      </w:r>
      <w:r>
        <w:rPr>
          <w:highlight w:val="none"/>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28.1.14启动异常低价投标审查后，投标人不提供书面说明、证明材料，或者提供的书面说明、证明材料不能证明其报价合理性的。</w:t>
      </w:r>
      <w:r>
        <w:rPr>
          <w:highlight w:val="none"/>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28.1.15其他法律法规及本招标文件规定的属于无效投标的情形。</w:t>
      </w:r>
      <w:r>
        <w:rPr>
          <w:highlight w:val="none"/>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28.2废标条款</w:t>
      </w:r>
      <w:r>
        <w:rPr>
          <w:highlight w:val="none"/>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28.2.1符合专业条件的供应商或者对招标文件作实质响应的供应商不足三家的。</w:t>
      </w:r>
      <w:r>
        <w:rPr>
          <w:highlight w:val="none"/>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28.2.2出现影响采购公正的违法、违规行为的。</w:t>
      </w:r>
      <w:r>
        <w:rPr>
          <w:highlight w:val="none"/>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28.2.3因重大变故，采购任务取消的。</w:t>
      </w:r>
      <w:r>
        <w:rPr>
          <w:highlight w:val="none"/>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28.2.4评标委员会认定招标文件存在歧义、重大缺陷导致评审工作无法进行。</w:t>
      </w:r>
      <w:r>
        <w:rPr>
          <w:highlight w:val="none"/>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28.2.5 因苏采云系统故障原因造成开标不成功的。</w:t>
      </w:r>
      <w:r>
        <w:rPr>
          <w:highlight w:val="none"/>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28.3 投标截止时间结束后参加投标的供应商不足三家的处理：</w:t>
      </w:r>
      <w:r>
        <w:rPr>
          <w:highlight w:val="none"/>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28.3.1如出现投标截止时间结束后参加投标的供应商或者在评标期间对招标文件做出实质响应的供应商不足三家情况，按政府采购相关规定执行。</w:t>
      </w:r>
      <w:r>
        <w:rPr>
          <w:highlight w:val="none"/>
        </w:rPr>
      </w:r>
    </w:p>
    <w:p>
      <w:pPr>
        <w:keepLines/>
        <w:keepNext/>
        <w:pageBreakBefore w:val="0"/>
        <w:spacing w:before="120" w:after="120"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outlineLvl w:val="2"/>
      </w:pPr>
      <w:r>
        <w:rPr>
          <w:highlight w:val="none"/>
        </w:rPr>
      </w:r>
      <w:bookmarkStart w:id="159" w:name="_Toc120614219"/>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六、</w:t>
      </w:r>
      <w:bookmarkEnd w:id="156"/>
      <w:r>
        <w:rPr>
          <w:highlight w:val="none"/>
        </w:rPr>
      </w:r>
      <w:bookmarkEnd w:id="157"/>
      <w:r>
        <w:rPr>
          <w:highlight w:val="none"/>
        </w:rPr>
      </w:r>
      <w:bookmarkEnd w:id="158"/>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定标</w:t>
      </w:r>
      <w:bookmarkEnd w:id="159"/>
      <w:r>
        <w:rPr>
          <w:highlight w:val="none"/>
        </w:rPr>
      </w:r>
      <w:r>
        <w:rPr>
          <w:highlight w:val="none"/>
        </w:rPr>
      </w:r>
    </w:p>
    <w:p>
      <w:pPr>
        <w:keepLines/>
        <w:keepNext/>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outlineLvl w:val="3"/>
      </w:pPr>
      <w:r>
        <w:rPr>
          <w:highlight w:val="none"/>
        </w:rPr>
      </w:r>
      <w:bookmarkStart w:id="160" w:name="_Toc513029238"/>
      <w:r>
        <w:rPr>
          <w:highlight w:val="none"/>
        </w:rPr>
      </w:r>
      <w:bookmarkStart w:id="161" w:name="_Toc16938554"/>
      <w:r>
        <w:rPr>
          <w:highlight w:val="none"/>
        </w:rPr>
      </w:r>
      <w:bookmarkStart w:id="162" w:name="_Toc20823310"/>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w:t>
      </w:r>
      <w:bookmarkEnd w:id="160"/>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确定</w:t>
      </w:r>
      <w:bookmarkEnd w:id="161"/>
      <w:r>
        <w:rPr>
          <w:highlight w:val="none"/>
        </w:rPr>
      </w:r>
      <w:bookmarkEnd w:id="162"/>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中标单位</w:t>
      </w:r>
      <w:r>
        <w:rPr>
          <w:highlight w:val="none"/>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29.1中标候选人的选取原则和数量见招标文件第五章规定。 </w:t>
      </w:r>
      <w:r>
        <w:rPr>
          <w:highlight w:val="none"/>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29.2 采购人应根据评委会推荐的中标候选人确定中标人。</w:t>
      </w:r>
      <w:r>
        <w:rPr>
          <w:highlight w:val="none"/>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29.3 南通市教育技术中心将在“江苏政府采购网”发布中标公告，公告期限为1个工作日。</w:t>
      </w:r>
      <w:r>
        <w:rPr>
          <w:highlight w:val="none"/>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 若有充分证据证明，中标人出现下列情况之一的，一经查实，将被取消中标资格：</w:t>
      </w:r>
      <w:r>
        <w:rPr>
          <w:highlight w:val="none"/>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29.4.1提供虚假材料谋取中标的。</w:t>
      </w:r>
      <w:r>
        <w:rPr>
          <w:highlight w:val="none"/>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29.4.2向采购人、南通市教育技术中心行贿或者提供其他不正当利益的。</w:t>
      </w:r>
      <w:r>
        <w:rPr>
          <w:highlight w:val="none"/>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29.4.3属于本文件规定的无效条件，但在评标过程中又未被评委会发现的。</w:t>
      </w:r>
      <w:r>
        <w:rPr>
          <w:highlight w:val="none"/>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29.4.4与采购人或者其他供应商恶意串通的。</w:t>
      </w:r>
      <w:r>
        <w:rPr>
          <w:highlight w:val="none"/>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29.4.5采取不正当手段诋毁、排挤其他供应商的。</w:t>
      </w:r>
      <w:r>
        <w:rPr>
          <w:highlight w:val="none"/>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highlight w:val="none"/>
        </w:rPr>
      </w:r>
      <w:bookmarkStart w:id="163" w:name="_Toc200451960"/>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29.5.有下列情形之一的，视为投标人串通投标，投标无效：</w:t>
      </w:r>
      <w:r>
        <w:rPr>
          <w:highlight w:val="none"/>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29.5.1不同投标人的投标文件由同一单位或者个人编制；</w:t>
      </w:r>
      <w:r>
        <w:rPr>
          <w:highlight w:val="none"/>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29.5.2不同投标人委托同一单位或者个人办理投标事宜；</w:t>
      </w:r>
      <w:r>
        <w:rPr>
          <w:highlight w:val="none"/>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29.5.3 不同投标人的投标文件载明的项目管理成员或者联系人员为同一人；</w:t>
      </w:r>
      <w:r>
        <w:rPr>
          <w:highlight w:val="none"/>
        </w:rPr>
      </w:r>
    </w:p>
    <w:p>
      <w:pPr>
        <w:ind w:firstLine="560"/>
        <w:pageBreakBefore w:val="0"/>
        <w:spacing w:line="56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29.5.4不同投标人的投标文件异常一致或者投标报价呈规律性差异；</w:t>
      </w:r>
      <w:r>
        <w:rPr>
          <w:highlight w:val="none"/>
        </w:rPr>
      </w:r>
    </w:p>
    <w:p>
      <w:pPr>
        <w:keepLines/>
        <w:keepNext/>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outlineLvl w:val="3"/>
      </w:pPr>
      <w:r>
        <w:rPr>
          <w:rFonts w:hint="eastAsia" w:ascii="仿宋" w:hAnsi="仿宋" w:eastAsia="仿宋"/>
          <w:bCs/>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bCs/>
          <w:color w:val="000000" w:themeColor="text1"/>
          <w:sz w:val="28"/>
          <w:szCs w:val="28"/>
          <w:highlight w:val="none"/>
          <w14:textFill>
            <w14:solidFill>
              <w14:schemeClr w14:val="tx1"/>
            </w14:solidFill>
          </w14:textFill>
        </w:rPr>
        <w:t xml:space="preserve">质疑处理</w:t>
      </w:r>
      <w:bookmarkEnd w:id="163"/>
      <w:r>
        <w:rPr>
          <w:highlight w:val="none"/>
        </w:rPr>
      </w:r>
      <w:r>
        <w:rPr>
          <w:highlight w:val="none"/>
        </w:rP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.1 提出质疑的供应商应当是参与所质疑项目采购活动的供应商。潜在供应商依法获取其可质疑的采购文件的，可以对采购文件提出质疑。</w:t>
      </w:r>
      <w:r>
        <w:rPr>
          <w:highlight w:val="none"/>
        </w:rP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29.4条款的规定向南通市教育技术中心或采购人提出质疑。上述应知其权益受到损害之日，是指：</w:t>
      </w:r>
      <w:r>
        <w:rPr>
          <w:highlight w:val="none"/>
        </w:rPr>
      </w:r>
    </w:p>
    <w:p>
      <w:pPr>
        <w:ind w:firstLine="560"/>
        <w:pageBreakBefore w:val="0"/>
        <w:spacing w:line="560" w:lineRule="exact"/>
        <w:widowControl w:val="off"/>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.2.1</w:t>
      </w:r>
      <w:r>
        <w:rPr>
          <w:rFonts w:ascii="仿宋" w:hAnsi="仿宋" w:eastAsia="仿宋" w:cs="宋体"/>
          <w:color w:val="000000" w:themeColor="text1"/>
          <w:sz w:val="28"/>
          <w:szCs w:val="28"/>
          <w:highlight w:val="none"/>
          <w14:textFill>
            <w14:solidFill>
              <w14:schemeClr w14:val="tx1"/>
            </w14:solidFill>
          </w14:textFill>
        </w:rPr>
        <w:t xml:space="preserve">对可以质疑的采购文件提出质疑的，为收到采购文件之日或者采购文件公告期限届满之日；</w:t>
      </w:r>
      <w:r>
        <w:rPr>
          <w:rFonts w:ascii="仿宋" w:hAnsi="仿宋" w:eastAsia="仿宋" w:cs="宋体"/>
          <w:color w:val="000000" w:themeColor="text1"/>
          <w:sz w:val="28"/>
          <w:szCs w:val="28"/>
          <w:highlight w:val="none"/>
          <w14:textFill>
            <w14:solidFill>
              <w14:schemeClr w14:val="tx1"/>
            </w14:solidFill>
          </w14:textFill>
        </w:rPr>
        <w:br w:type="textWrapping" w:clear="all"/>
      </w:r>
      <w:r>
        <w:rPr>
          <w:rFonts w:ascii="仿宋" w:hAnsi="仿宋" w:eastAsia="仿宋" w:cs="宋体"/>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.2.2</w:t>
      </w:r>
      <w:r>
        <w:rPr>
          <w:rFonts w:ascii="仿宋" w:hAnsi="仿宋" w:eastAsia="仿宋" w:cs="宋体"/>
          <w:color w:val="000000" w:themeColor="text1"/>
          <w:sz w:val="28"/>
          <w:szCs w:val="28"/>
          <w:highlight w:val="none"/>
          <w14:textFill>
            <w14:solidFill>
              <w14:schemeClr w14:val="tx1"/>
            </w14:solidFill>
          </w14:textFill>
        </w:rPr>
        <w:t xml:space="preserve">对采购过程提出质疑的，为各采购程序环节结束之日；</w:t>
      </w:r>
      <w:r>
        <w:rPr>
          <w:rFonts w:ascii="仿宋" w:hAnsi="仿宋" w:eastAsia="仿宋" w:cs="宋体"/>
          <w:color w:val="000000" w:themeColor="text1"/>
          <w:sz w:val="28"/>
          <w:szCs w:val="28"/>
          <w:highlight w:val="none"/>
          <w14:textFill>
            <w14:solidFill>
              <w14:schemeClr w14:val="tx1"/>
            </w14:solidFill>
          </w14:textFill>
        </w:rPr>
        <w:br w:type="textWrapping" w:clear="all"/>
      </w:r>
      <w:r>
        <w:rPr>
          <w:rFonts w:ascii="仿宋" w:hAnsi="仿宋" w:eastAsia="仿宋" w:cs="宋体"/>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.2.3</w:t>
      </w:r>
      <w:r>
        <w:rPr>
          <w:rFonts w:ascii="仿宋" w:hAnsi="仿宋" w:eastAsia="仿宋" w:cs="宋体"/>
          <w:color w:val="000000" w:themeColor="text1"/>
          <w:sz w:val="28"/>
          <w:szCs w:val="28"/>
          <w:highlight w:val="none"/>
          <w14:textFill>
            <w14:solidFill>
              <w14:schemeClr w14:val="tx1"/>
            </w14:solidFill>
          </w14:textFill>
        </w:rPr>
        <w:t xml:space="preserve">对中标或者成交结果提出质疑的，为中标或者成交结果公告期限届满之日。</w:t>
      </w:r>
      <w:r>
        <w:rPr>
          <w:highlight w:val="none"/>
        </w:rPr>
      </w:r>
    </w:p>
    <w:p>
      <w:pPr>
        <w:ind w:firstLine="560"/>
        <w:pageBreakBefore w:val="0"/>
        <w:spacing w:line="560" w:lineRule="exact"/>
        <w:widowControl w:val="off"/>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供应商应当在法定质疑期内一次性提出针对同一采购程序环节的质疑。供应商如在法定期限内对同一采购程序环节提出多次质疑的，南通市教育技术中心、</w:t>
      </w:r>
      <w:r>
        <w:rPr>
          <w:rFonts w:ascii="仿宋" w:hAnsi="仿宋" w:eastAsia="仿宋" w:cs="宋体"/>
          <w:color w:val="000000" w:themeColor="text1"/>
          <w:sz w:val="28"/>
          <w:szCs w:val="28"/>
          <w:highlight w:val="none"/>
          <w14:textFill>
            <w14:solidFill>
              <w14:schemeClr w14:val="tx1"/>
            </w14:solidFill>
          </w14:textFill>
        </w:rPr>
        <w:t xml:space="preserve">采购人</w:t>
      </w:r>
      <w:r>
        <w:rPr>
          <w:rFonts w:hint="eastAsia" w:ascii="仿宋" w:hAnsi="仿宋" w:eastAsia="仿宋" w:cs="宋体"/>
          <w:color w:val="000000" w:themeColor="text1"/>
          <w:sz w:val="28"/>
          <w:szCs w:val="28"/>
          <w:highlight w:val="none"/>
          <w14:textFill>
            <w14:solidFill>
              <w14:schemeClr w14:val="tx1"/>
            </w14:solidFill>
          </w14:textFill>
        </w:rPr>
        <w:t xml:space="preserve">将只对供应商第一次质疑作出答复。</w:t>
      </w:r>
      <w:r>
        <w:rPr>
          <w:highlight w:val="none"/>
        </w:rP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highlight w:val="none"/>
        </w:rPr>
      </w:r>
    </w:p>
    <w:p>
      <w:pPr>
        <w:ind w:right="119" w:firstLine="560"/>
        <w:pageBreakBefore w:val="0"/>
        <w:spacing w:line="560" w:lineRule="exact"/>
        <w:widowControl w:val="off"/>
        <w:rPr>
          <w:rFonts w:hint="eastAsia"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.4 </w:t>
      </w:r>
      <w:r>
        <w:rPr>
          <w:rFonts w:hint="eastAsia" w:ascii="仿宋" w:hAnsi="仿宋" w:eastAsia="仿宋" w:cs="宋体"/>
          <w:color w:val="000000" w:themeColor="text1"/>
          <w:sz w:val="28"/>
          <w:szCs w:val="28"/>
          <w:highlight w:val="none"/>
          <w14:textFill>
            <w14:solidFill>
              <w14:schemeClr w14:val="tx1"/>
            </w14:solidFill>
          </w14:textFill>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南通市教育技术中心提出，由南通市教育技术中心负责答复。</w:t>
      </w:r>
      <w:r>
        <w:rPr>
          <w:highlight w:val="none"/>
        </w:rP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采购人及南通市教育技术中心只接收以纸质原件形式送达的质疑</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建议供应商尽量通过邮寄方式提交质疑（采购人和南通市教育技术中心不接受无快递运</w:t>
      </w:r>
      <w:r>
        <w:rPr>
          <w:rFonts w:ascii="仿宋" w:hAnsi="仿宋" w:eastAsia="仿宋"/>
          <w:color w:val="000000" w:themeColor="text1"/>
          <w:sz w:val="28"/>
          <w:szCs w:val="28"/>
          <w:highlight w:val="none"/>
          <w14:textFill>
            <w14:solidFill>
              <w14:schemeClr w14:val="tx1"/>
            </w14:solidFill>
          </w14:textFill>
        </w:rPr>
        <w:t xml:space="preserve">单号</w:t>
      </w:r>
      <w:r>
        <w:rPr>
          <w:rFonts w:hint="eastAsia" w:ascii="仿宋" w:hAnsi="仿宋" w:eastAsia="仿宋"/>
          <w:color w:val="000000" w:themeColor="text1"/>
          <w:sz w:val="28"/>
          <w:szCs w:val="28"/>
          <w:highlight w:val="none"/>
          <w14:textFill>
            <w14:solidFill>
              <w14:schemeClr w14:val="tx1"/>
            </w14:solidFill>
          </w14:textFill>
        </w:rPr>
        <w:t xml:space="preserve">的快递）。</w:t>
      </w:r>
      <w:r>
        <w:rPr>
          <w:highlight w:val="none"/>
        </w:rP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南通市教育技术中心质疑接收部门为采购科（快递运单上的收件人填写“采购科”即可），联系地址：南通市崇川区板桥路45号南通市教育技术中心采购科，联系电话：0513-85010355。</w:t>
      </w:r>
      <w:r>
        <w:rPr>
          <w:highlight w:val="none"/>
        </w:rP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采购人质疑接收人及联系方式见招标文件第一章。</w:t>
      </w:r>
      <w:r>
        <w:rPr>
          <w:highlight w:val="none"/>
        </w:rP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 以下情形的质疑不予受理</w:t>
      </w:r>
      <w:r>
        <w:rPr>
          <w:highlight w:val="none"/>
        </w:rP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.5.1 内容不符合《政府采购质疑和投诉办法》第十二条规定的质疑。</w:t>
      </w:r>
      <w:r>
        <w:rPr>
          <w:highlight w:val="none"/>
        </w:rP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.5.2 超出政府采购法定期限的质疑。</w:t>
      </w:r>
      <w:r>
        <w:rPr>
          <w:highlight w:val="none"/>
        </w:rP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.5.3 以传真、电子邮件等方式递交的非原件形式的质疑。</w:t>
      </w:r>
      <w:r>
        <w:rPr>
          <w:highlight w:val="none"/>
        </w:rP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.5.4 未参加投标活动的供应商或在投标活动中自身权益未受到损害的供应商所提出的质疑。</w:t>
      </w:r>
      <w:r>
        <w:rPr>
          <w:highlight w:val="none"/>
        </w:rP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.5.5供应商组成联合体参加投标，联合体中任何一方或多方未按要求签字、盖章、加盖公章的质疑。</w:t>
      </w:r>
      <w:r>
        <w:rPr>
          <w:highlight w:val="none"/>
        </w:rPr>
      </w:r>
    </w:p>
    <w:p>
      <w:pPr>
        <w:ind w:firstLine="546"/>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30</w:t>
      </w:r>
      <w:r>
        <w:rPr>
          <w:rFonts w:hint="eastAsia" w:ascii="仿宋" w:hAnsi="仿宋" w:eastAsia="仿宋"/>
          <w:color w:val="000000" w:themeColor="text1"/>
          <w:sz w:val="28"/>
          <w:szCs w:val="28"/>
          <w:highlight w:val="none"/>
          <w14:textFill>
            <w14:solidFill>
              <w14:schemeClr w14:val="tx1"/>
            </w14:solidFill>
          </w14:textFill>
        </w:rPr>
        <w:t xml:space="preserve">.6  供应商提出书面质疑必须有理、有据，不得捏造事实、提供虚假材料进行恶意质疑。否则，一经查实，南通市教育技术中心有权依据政府采购的有关规定，报请政府采购监管部门对该供应商进行相应的行政处罚和记录该供应商的失信信息。</w:t>
      </w:r>
      <w:r>
        <w:rPr>
          <w:highlight w:val="none"/>
        </w:rPr>
      </w:r>
    </w:p>
    <w:p>
      <w:pPr>
        <w:keepLines/>
        <w:keepNext/>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outlineLvl w:val="3"/>
      </w:pPr>
      <w:r>
        <w:rPr>
          <w:rFonts w:hint="eastAsia" w:ascii="仿宋" w:hAnsi="仿宋" w:eastAsia="仿宋"/>
          <w:bCs/>
          <w:color w:val="000000" w:themeColor="text1"/>
          <w:sz w:val="28"/>
          <w:szCs w:val="28"/>
          <w:highlight w:val="none"/>
          <w:lang w:eastAsia="zh-CN"/>
          <w14:textFill>
            <w14:solidFill>
              <w14:schemeClr w14:val="tx1"/>
            </w14:solidFill>
          </w14:textFill>
        </w:rPr>
        <w:t xml:space="preserve">31.</w:t>
      </w:r>
      <w:r>
        <w:rPr>
          <w:rFonts w:hint="eastAsia" w:ascii="仿宋" w:hAnsi="仿宋" w:eastAsia="仿宋"/>
          <w:bCs/>
          <w:color w:val="000000" w:themeColor="text1"/>
          <w:sz w:val="28"/>
          <w:szCs w:val="28"/>
          <w:highlight w:val="none"/>
          <w14:textFill>
            <w14:solidFill>
              <w14:schemeClr w14:val="tx1"/>
            </w14:solidFill>
          </w14:textFill>
        </w:rPr>
        <w:t xml:space="preserve">中标通知书</w:t>
      </w:r>
      <w:r>
        <w:rPr>
          <w:highlight w:val="none"/>
        </w:rP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.l</w:t>
      </w: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中标结果确定后，南通市教育技术中心将向中标人发出中标通知书。请中标人在中标结果公告届满之日起30日内</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使用CA数字证书登录苏采云系统及时下载中标通知书。因系统存储空间有限，自中标结果公告届满之日起30日后，苏采云系统不再保证提供下载中标通知书服务</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因未及时下载而造成的不利后果由中标人自行承担。</w:t>
      </w:r>
      <w:r>
        <w:rPr>
          <w:highlight w:val="none"/>
        </w:rP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.2中标通知书将是合同的一个组成部分。对采购人和中标供应商均具有法律效力。中标通知书发出后，采购人改变中标结果的，或者中标供应商放弃中标项目的，应当依法承担法律责任。</w:t>
      </w:r>
      <w:r>
        <w:rPr>
          <w:highlight w:val="none"/>
        </w:rPr>
      </w:r>
    </w:p>
    <w:p>
      <w:pPr>
        <w:keepLines/>
        <w:keepNext/>
        <w:pageBreakBefore w:val="0"/>
        <w:spacing w:before="120" w:after="120"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outlineLvl w:val="2"/>
      </w:pPr>
      <w:r>
        <w:rPr>
          <w:highlight w:val="none"/>
        </w:rPr>
      </w:r>
      <w:bookmarkStart w:id="164" w:name="_Toc20823308"/>
      <w:r>
        <w:rPr>
          <w:highlight w:val="none"/>
        </w:rPr>
      </w:r>
      <w:bookmarkStart w:id="165" w:name="_Toc513029236"/>
      <w:r>
        <w:rPr>
          <w:highlight w:val="none"/>
        </w:rPr>
      </w:r>
      <w:bookmarkStart w:id="166" w:name="_Toc120614220"/>
      <w:r>
        <w:rPr>
          <w:highlight w:val="none"/>
        </w:rPr>
      </w:r>
      <w:bookmarkStart w:id="167" w:name="_Toc16938552"/>
      <w:r>
        <w:rPr>
          <w:rFonts w:hint="eastAsia" w:ascii="仿宋" w:hAnsi="仿宋" w:eastAsia="仿宋"/>
          <w:b/>
          <w:bCs/>
          <w:color w:val="000000" w:themeColor="text1"/>
          <w:sz w:val="28"/>
          <w:szCs w:val="28"/>
          <w:highlight w:val="none"/>
          <w14:textFill>
            <w14:solidFill>
              <w14:schemeClr w14:val="tx1"/>
            </w14:solidFill>
          </w14:textFill>
        </w:rPr>
        <w:t xml:space="preserve">七、授予合同</w:t>
      </w:r>
      <w:bookmarkEnd w:id="164"/>
      <w:r>
        <w:rPr>
          <w:highlight w:val="none"/>
        </w:rPr>
      </w:r>
      <w:bookmarkEnd w:id="165"/>
      <w:r>
        <w:rPr>
          <w:highlight w:val="none"/>
        </w:rPr>
      </w:r>
      <w:bookmarkEnd w:id="166"/>
      <w:r>
        <w:rPr>
          <w:highlight w:val="none"/>
        </w:rPr>
      </w:r>
      <w:bookmarkEnd w:id="167"/>
      <w:r>
        <w:rPr>
          <w:highlight w:val="none"/>
        </w:rPr>
      </w:r>
      <w:r>
        <w:rPr>
          <w:highlight w:val="none"/>
        </w:rPr>
      </w:r>
    </w:p>
    <w:p>
      <w:pPr>
        <w:keepLines/>
        <w:keepNext/>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outlineLvl w:val="3"/>
      </w:pPr>
      <w:r>
        <w:rPr>
          <w:highlight w:val="none"/>
        </w:rPr>
      </w:r>
      <w:bookmarkStart w:id="168" w:name="_Toc20823309"/>
      <w:r>
        <w:rPr>
          <w:highlight w:val="none"/>
        </w:rPr>
      </w:r>
      <w:bookmarkStart w:id="169" w:name="_Toc16938553"/>
      <w:r>
        <w:rPr>
          <w:highlight w:val="none"/>
        </w:rPr>
      </w:r>
      <w:bookmarkStart w:id="170" w:name="_Toc513029237"/>
      <w:r>
        <w:rPr>
          <w:rFonts w:hint="eastAsia" w:ascii="仿宋" w:hAnsi="仿宋" w:eastAsia="仿宋"/>
          <w:bCs/>
          <w:color w:val="000000" w:themeColor="text1"/>
          <w:sz w:val="28"/>
          <w:szCs w:val="28"/>
          <w:highlight w:val="none"/>
          <w:lang w:eastAsia="zh-CN"/>
          <w14:textFill>
            <w14:solidFill>
              <w14:schemeClr w14:val="tx1"/>
            </w14:solidFill>
          </w14:textFill>
        </w:rPr>
        <w:t xml:space="preserve">32.</w:t>
      </w:r>
      <w:r>
        <w:rPr>
          <w:rFonts w:hint="eastAsia" w:ascii="仿宋" w:hAnsi="仿宋" w:eastAsia="仿宋"/>
          <w:bCs/>
          <w:color w:val="000000" w:themeColor="text1"/>
          <w:sz w:val="28"/>
          <w:szCs w:val="28"/>
          <w:highlight w:val="none"/>
          <w14:textFill>
            <w14:solidFill>
              <w14:schemeClr w14:val="tx1"/>
            </w14:solidFill>
          </w14:textFill>
        </w:rPr>
        <w:t xml:space="preserve"> 签订合同</w:t>
      </w:r>
      <w:r>
        <w:rPr>
          <w:highlight w:val="none"/>
        </w:rPr>
      </w:r>
    </w:p>
    <w:p>
      <w:pPr>
        <w:ind w:firstLine="70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3</w:t>
      </w:r>
      <w:r>
        <w:rPr>
          <w:rFonts w:hint="eastAsia" w:ascii="仿宋" w:hAnsi="仿宋" w:eastAsia="仿宋"/>
          <w:bCs/>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.l中标人应当在中标通知书发出之日起三十日内，按照招标文件确定的事项与采购人签订政府采购合同。</w:t>
      </w:r>
      <w:r>
        <w:rPr>
          <w:highlight w:val="none"/>
        </w:rPr>
      </w:r>
    </w:p>
    <w:p>
      <w:pPr>
        <w:ind w:firstLine="70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color w:val="000000" w:themeColor="text1"/>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招标文件、中标人的投标文件及招标过程中有关澄清、承诺文件均应作为合同附件。</w:t>
      </w:r>
      <w:r>
        <w:rPr>
          <w:highlight w:val="none"/>
        </w:rPr>
      </w:r>
    </w:p>
    <w:p>
      <w:pPr>
        <w:ind w:firstLine="70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.3 签订合同后，中标人不得将合同标的进行转包。未经采购人同意，中标人也不得采用分包的形式履行合同，否则采购人有权终止合同。转包或分包造成采购人损失的，中标人应承担相应赔偿责任。</w:t>
      </w:r>
      <w:r>
        <w:rPr>
          <w:highlight w:val="none"/>
        </w:rPr>
      </w:r>
    </w:p>
    <w:p>
      <w:pPr>
        <w:keepLines/>
        <w:keepNext/>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outlineLvl w:val="3"/>
      </w:pPr>
      <w:r>
        <w:rPr>
          <w:rFonts w:hint="eastAsia" w:ascii="仿宋" w:hAnsi="仿宋" w:eastAsia="仿宋"/>
          <w:bCs/>
          <w:color w:val="000000" w:themeColor="text1"/>
          <w:sz w:val="28"/>
          <w:szCs w:val="28"/>
          <w:highlight w:val="none"/>
          <w:lang w:eastAsia="zh-CN"/>
          <w14:textFill>
            <w14:solidFill>
              <w14:schemeClr w14:val="tx1"/>
            </w14:solidFill>
          </w14:textFill>
        </w:rPr>
        <w:t xml:space="preserve">33.</w:t>
      </w:r>
      <w:r>
        <w:rPr>
          <w:rFonts w:hint="eastAsia" w:ascii="仿宋" w:hAnsi="仿宋" w:eastAsia="仿宋"/>
          <w:bCs/>
          <w:color w:val="000000" w:themeColor="text1"/>
          <w:sz w:val="28"/>
          <w:szCs w:val="28"/>
          <w:highlight w:val="none"/>
          <w14:textFill>
            <w14:solidFill>
              <w14:schemeClr w14:val="tx1"/>
            </w14:solidFill>
          </w14:textFill>
        </w:rPr>
        <w:t xml:space="preserve">货物（包含与货物相关的服务）的追加</w:t>
      </w:r>
      <w:r>
        <w:rPr>
          <w:highlight w:val="none"/>
        </w:rPr>
      </w:r>
    </w:p>
    <w:p>
      <w:pPr>
        <w:ind w:firstLine="56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bookmarkEnd w:id="168"/>
      <w:r>
        <w:rPr>
          <w:highlight w:val="none"/>
        </w:rPr>
      </w:r>
      <w:bookmarkEnd w:id="169"/>
      <w:r>
        <w:rPr>
          <w:highlight w:val="none"/>
        </w:rPr>
      </w:r>
      <w:bookmarkEnd w:id="170"/>
      <w:r>
        <w:rPr>
          <w:highlight w:val="none"/>
        </w:rPr>
      </w:r>
      <w:r>
        <w:rPr>
          <w:highlight w:val="none"/>
        </w:rPr>
      </w:r>
    </w:p>
    <w:p>
      <w:pPr>
        <w:keepLines/>
        <w:keepNext/>
        <w:pageBreakBefore w:val="0"/>
        <w:spacing w:line="560" w:lineRule="exact"/>
        <w:widowControl w:val="off"/>
        <w:rPr>
          <w:rFonts w:ascii="仿宋" w:hAnsi="仿宋" w:eastAsia="仿宋"/>
          <w:bCs/>
          <w:color w:val="000000" w:themeColor="text1"/>
          <w:sz w:val="28"/>
          <w:szCs w:val="28"/>
          <w:highlight w:val="none"/>
          <w14:textFill>
            <w14:solidFill>
              <w14:schemeClr w14:val="tx1"/>
            </w14:solidFill>
          </w14:textFill>
        </w:rPr>
        <w:outlineLvl w:val="3"/>
      </w:pPr>
      <w:r>
        <w:rPr>
          <w:highlight w:val="none"/>
        </w:rPr>
      </w:r>
      <w:bookmarkStart w:id="171" w:name="_Toc16938558"/>
      <w:r>
        <w:rPr>
          <w:highlight w:val="none"/>
        </w:rPr>
      </w:r>
      <w:bookmarkStart w:id="172" w:name="_Toc120614221"/>
      <w:r>
        <w:rPr>
          <w:highlight w:val="none"/>
        </w:rPr>
      </w:r>
      <w:bookmarkStart w:id="173" w:name="_Toc479757207"/>
      <w:r>
        <w:rPr>
          <w:highlight w:val="none"/>
        </w:rPr>
      </w:r>
      <w:bookmarkStart w:id="174" w:name="_Toc513029242"/>
      <w:r>
        <w:rPr>
          <w:highlight w:val="none"/>
        </w:rPr>
      </w:r>
      <w:bookmarkStart w:id="175" w:name="_Toc20823314"/>
      <w:r>
        <w:rPr>
          <w:rFonts w:hint="eastAsia" w:ascii="仿宋" w:hAnsi="仿宋" w:eastAsia="仿宋"/>
          <w:bCs/>
          <w:color w:val="000000" w:themeColor="text1"/>
          <w:sz w:val="28"/>
          <w:szCs w:val="28"/>
          <w:highlight w:val="none"/>
          <w:lang w:eastAsia="zh-CN"/>
          <w14:textFill>
            <w14:solidFill>
              <w14:schemeClr w14:val="tx1"/>
            </w14:solidFill>
          </w14:textFill>
        </w:rPr>
        <w:t xml:space="preserve">34.</w:t>
      </w:r>
      <w:r>
        <w:rPr>
          <w:rFonts w:hint="eastAsia" w:ascii="仿宋" w:hAnsi="仿宋" w:eastAsia="仿宋"/>
          <w:bCs/>
          <w:color w:val="000000" w:themeColor="text1"/>
          <w:sz w:val="28"/>
          <w:szCs w:val="28"/>
          <w:highlight w:val="none"/>
          <w14:textFill>
            <w14:solidFill>
              <w14:schemeClr w14:val="tx1"/>
            </w14:solidFill>
          </w14:textFill>
        </w:rPr>
        <w:t xml:space="preserve">政府采购履约资金扶持政策</w:t>
      </w:r>
      <w:r>
        <w:rPr>
          <w:highlight w:val="none"/>
        </w:rPr>
      </w:r>
    </w:p>
    <w:p>
      <w:pPr>
        <w:ind w:firstLine="555"/>
        <w:pageBreakBefore w:val="0"/>
        <w:spacing w:line="560" w:lineRule="exact"/>
        <w:widowControl w:val="off"/>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highlight w:val="none"/>
        </w:rPr>
      </w:r>
    </w:p>
    <w:p>
      <w:pPr>
        <w:pageBreakBefore w:val="0"/>
        <w:spacing w:line="560" w:lineRule="exact"/>
        <w:widowControl w:val="off"/>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rPr>
          <w:highlight w:val="none"/>
        </w:rPr>
      </w:r>
    </w:p>
    <w:p>
      <w:pPr>
        <w:pageBreakBefore w:val="0"/>
        <w:spacing w:line="560" w:lineRule="exact"/>
        <w:widowControl w:val="off"/>
        <w:rPr>
          <w:rFonts w:hint="eastAsia" w:ascii="黑体" w:eastAsia="黑体"/>
          <w:bCs/>
          <w:color w:val="000000" w:themeColor="text1"/>
          <w:sz w:val="44"/>
          <w:szCs w:val="28"/>
          <w:highlight w:val="none"/>
          <w14:textFill>
            <w14:solidFill>
              <w14:schemeClr w14:val="tx1"/>
            </w14:solidFill>
          </w14:textFill>
        </w:rPr>
      </w:pPr>
      <w:r>
        <w:rPr>
          <w:rFonts w:hint="eastAsia" w:ascii="黑体" w:eastAsia="黑体"/>
          <w:bCs/>
          <w:color w:val="000000" w:themeColor="text1"/>
          <w:sz w:val="44"/>
          <w:szCs w:val="28"/>
          <w:highlight w:val="none"/>
          <w14:textFill>
            <w14:solidFill>
              <w14:schemeClr w14:val="tx1"/>
            </w14:solidFill>
          </w14:textFill>
        </w:rPr>
        <w:br w:type="page" w:clear="all"/>
      </w:r>
      <w:r>
        <w:rPr>
          <w:highlight w:val="none"/>
        </w:rPr>
      </w:r>
    </w:p>
    <w:p>
      <w:pPr>
        <w:jc w:val="center"/>
        <w:keepNext/>
        <w:rPr>
          <w:rFonts w:hint="eastAsia" w:ascii="黑体" w:eastAsia="黑体"/>
          <w:bCs/>
          <w:color w:val="000000" w:themeColor="text1"/>
          <w:sz w:val="44"/>
          <w:szCs w:val="28"/>
          <w:highlight w:val="none"/>
          <w14:textFill>
            <w14:solidFill>
              <w14:schemeClr w14:val="tx1"/>
            </w14:solidFill>
          </w14:textFill>
        </w:rPr>
        <w:outlineLvl w:val="0"/>
      </w:pPr>
      <w:r>
        <w:rPr>
          <w:highlight w:val="none"/>
        </w:rPr>
      </w:r>
      <w:bookmarkStart w:id="176" w:name="_Toc27420"/>
      <w:r>
        <w:rPr>
          <w:rFonts w:hint="eastAsia" w:ascii="黑体" w:eastAsia="黑体"/>
          <w:bCs/>
          <w:color w:val="000000" w:themeColor="text1"/>
          <w:sz w:val="44"/>
          <w:szCs w:val="28"/>
          <w:highlight w:val="none"/>
          <w14:textFill>
            <w14:solidFill>
              <w14:schemeClr w14:val="tx1"/>
            </w14:solidFill>
          </w14:textFill>
        </w:rPr>
        <w:t xml:space="preserve">第三章  合同</w:t>
      </w:r>
      <w:bookmarkEnd w:id="171"/>
      <w:r>
        <w:rPr>
          <w:highlight w:val="none"/>
        </w:rPr>
      </w:r>
      <w:bookmarkEnd w:id="172"/>
      <w:r>
        <w:rPr>
          <w:highlight w:val="none"/>
        </w:rPr>
      </w:r>
      <w:bookmarkEnd w:id="173"/>
      <w:r>
        <w:rPr>
          <w:highlight w:val="none"/>
        </w:rPr>
      </w:r>
      <w:bookmarkEnd w:id="174"/>
      <w:r>
        <w:rPr>
          <w:highlight w:val="none"/>
        </w:rPr>
      </w:r>
      <w:bookmarkEnd w:id="175"/>
      <w:r>
        <w:rPr>
          <w:rFonts w:hint="eastAsia" w:ascii="黑体" w:eastAsia="黑体"/>
          <w:bCs/>
          <w:color w:val="000000" w:themeColor="text1"/>
          <w:sz w:val="44"/>
          <w:szCs w:val="28"/>
          <w:highlight w:val="none"/>
          <w14:textFill>
            <w14:solidFill>
              <w14:schemeClr w14:val="tx1"/>
            </w14:solidFill>
          </w14:textFill>
        </w:rPr>
        <w:t xml:space="preserve">文本</w:t>
      </w:r>
      <w:bookmarkEnd w:id="176"/>
      <w:r>
        <w:rPr>
          <w:highlight w:val="none"/>
        </w:rPr>
      </w:r>
      <w:bookmarkStart w:id="177" w:name="_Hlt16619369"/>
      <w:r>
        <w:rPr>
          <w:highlight w:val="none"/>
        </w:rPr>
      </w:r>
      <w:bookmarkEnd w:id="177"/>
      <w:r>
        <w:rPr>
          <w:highlight w:val="none"/>
        </w:rPr>
      </w:r>
      <w:bookmarkStart w:id="178" w:name="_Hlt16619350"/>
      <w:r>
        <w:rPr>
          <w:highlight w:val="none"/>
        </w:rPr>
      </w:r>
      <w:bookmarkStart w:id="179" w:name="_Toc20823346"/>
      <w:r>
        <w:rPr>
          <w:highlight w:val="none"/>
        </w:rPr>
      </w:r>
      <w:bookmarkStart w:id="180" w:name="_Toc16938590"/>
      <w:r>
        <w:rPr>
          <w:highlight w:val="none"/>
        </w:rPr>
      </w:r>
      <w:bookmarkStart w:id="181" w:name="_Toc120614244"/>
      <w:r>
        <w:rPr>
          <w:highlight w:val="none"/>
        </w:rPr>
      </w:r>
      <w:bookmarkStart w:id="182" w:name="_Toc462564139"/>
      <w:r>
        <w:rPr>
          <w:highlight w:val="none"/>
        </w:rPr>
      </w:r>
      <w:bookmarkStart w:id="183" w:name="_Toc479757211"/>
      <w:r>
        <w:rPr>
          <w:highlight w:val="none"/>
        </w:rPr>
      </w:r>
      <w:r>
        <w:rPr>
          <w:highlight w:val="none"/>
        </w:rPr>
      </w:r>
    </w:p>
    <w:p>
      <w:pPr>
        <w:jc w:val="center"/>
        <w:rPr>
          <w:rFonts w:ascii="宋体" w:hAnsi="宋体" w:cs="宋体"/>
          <w:b/>
          <w:bCs/>
          <w:color w:val="000000" w:themeColor="text1"/>
          <w:spacing w:val="-20"/>
          <w:sz w:val="48"/>
          <w:szCs w:val="48"/>
          <w:highlight w:val="none"/>
          <w14:textFill>
            <w14:solidFill>
              <w14:schemeClr w14:val="tx1"/>
            </w14:solidFill>
          </w14:textFill>
        </w:rPr>
      </w:pPr>
      <w:r>
        <w:rPr>
          <w:highlight w:val="none"/>
        </w:rPr>
      </w:r>
      <w:bookmarkStart w:id="184" w:name="_Toc3995"/>
      <w:r>
        <w:rPr>
          <w:highlight w:val="none"/>
        </w:rPr>
      </w:r>
      <w:r>
        <w:rPr>
          <w:highlight w:val="none"/>
        </w:rPr>
      </w:r>
    </w:p>
    <w:p>
      <w:pPr>
        <w:jc w:val="center"/>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14:textFill>
            <w14:solidFill>
              <w14:schemeClr w14:val="tx1"/>
            </w14:solidFill>
          </w14:textFill>
        </w:rPr>
      </w:r>
      <w:r>
        <w:rPr>
          <w:highlight w:val="none"/>
        </w:rPr>
      </w:r>
    </w:p>
    <w:p>
      <w:pPr>
        <w:jc w:val="center"/>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14:textFill>
            <w14:solidFill>
              <w14:schemeClr w14:val="tx1"/>
            </w14:solidFill>
          </w14:textFill>
        </w:rPr>
      </w:r>
      <w:r>
        <w:rPr>
          <w:highlight w:val="none"/>
        </w:rPr>
      </w:r>
    </w:p>
    <w:p>
      <w:pPr>
        <w:jc w:val="center"/>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14:textFill>
            <w14:solidFill>
              <w14:schemeClr w14:val="tx1"/>
            </w14:solidFill>
          </w14:textFill>
        </w:rPr>
      </w:r>
      <w:r>
        <w:rPr>
          <w:highlight w:val="none"/>
        </w:rPr>
      </w:r>
    </w:p>
    <w:p>
      <w:pPr>
        <w:jc w:val="center"/>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14:textFill>
            <w14:solidFill>
              <w14:schemeClr w14:val="tx1"/>
            </w14:solidFill>
          </w14:textFill>
        </w:rPr>
      </w:r>
      <w:r>
        <w:rPr>
          <w:highlight w:val="none"/>
        </w:rPr>
      </w:r>
    </w:p>
    <w:p>
      <w:pPr>
        <w:jc w:val="center"/>
        <w:rPr>
          <w:rFonts w:hint="eastAsia" w:ascii="宋体" w:hAnsi="宋体" w:cs="宋体"/>
          <w:b/>
          <w:bCs/>
          <w:color w:val="000000" w:themeColor="text1"/>
          <w:spacing w:val="-20"/>
          <w:sz w:val="48"/>
          <w:szCs w:val="48"/>
          <w:highlight w:val="none"/>
          <w14:textFill>
            <w14:solidFill>
              <w14:schemeClr w14:val="tx1"/>
            </w14:solidFill>
          </w14:textFill>
        </w:rPr>
      </w:pPr>
      <w:r>
        <w:rPr>
          <w:rFonts w:hint="eastAsia" w:ascii="宋体" w:hAnsi="宋体" w:cs="宋体"/>
          <w:b/>
          <w:bCs/>
          <w:color w:val="000000" w:themeColor="text1"/>
          <w:spacing w:val="-20"/>
          <w:sz w:val="48"/>
          <w:szCs w:val="48"/>
          <w:highlight w:val="none"/>
          <w14:textFill>
            <w14:solidFill>
              <w14:schemeClr w14:val="tx1"/>
            </w14:solidFill>
          </w14:textFill>
        </w:rPr>
        <w:t xml:space="preserve">政府采购货物买卖合同</w:t>
      </w:r>
      <w:r>
        <w:rPr>
          <w:highlight w:val="none"/>
        </w:rPr>
      </w:r>
    </w:p>
    <w:p>
      <w:pPr>
        <w:jc w:val="center"/>
        <w:rPr>
          <w:rFonts w:hint="eastAsia" w:ascii="宋体" w:hAnsi="宋体" w:cs="宋体"/>
          <w:b/>
          <w:bCs/>
          <w:color w:val="000000" w:themeColor="text1"/>
          <w:spacing w:val="-20"/>
          <w:sz w:val="48"/>
          <w:szCs w:val="48"/>
          <w:highlight w:val="none"/>
          <w14:textFill>
            <w14:solidFill>
              <w14:schemeClr w14:val="tx1"/>
            </w14:solidFill>
          </w14:textFill>
        </w:rPr>
      </w:pPr>
      <w:r>
        <w:rPr>
          <w:rFonts w:hint="eastAsia" w:ascii="宋体" w:hAnsi="宋体" w:cs="宋体"/>
          <w:b/>
          <w:bCs/>
          <w:color w:val="000000" w:themeColor="text1"/>
          <w:spacing w:val="-20"/>
          <w:sz w:val="48"/>
          <w:szCs w:val="48"/>
          <w:highlight w:val="none"/>
          <w14:textFill>
            <w14:solidFill>
              <w14:schemeClr w14:val="tx1"/>
            </w14:solidFill>
          </w14:textFill>
        </w:rPr>
        <w:t xml:space="preserve">（试行）</w:t>
      </w:r>
      <w:r>
        <w:rPr>
          <w:highlight w:val="none"/>
        </w:rP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rPr>
          <w:highlight w:val="none"/>
        </w:rP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rPr>
          <w:highlight w:val="none"/>
        </w:rP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rPr>
          <w:highlight w:val="none"/>
        </w:rPr>
      </w:r>
    </w:p>
    <w:p>
      <w:pPr>
        <w:ind w:firstLine="480"/>
        <w:spacing w:line="360" w:lineRule="auto"/>
        <w:rPr>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项目名称：</w:t>
      </w:r>
      <w:r>
        <w:rPr>
          <w:rFonts w:hint="eastAsia"/>
          <w:color w:val="000000" w:themeColor="text1"/>
          <w:sz w:val="32"/>
          <w:szCs w:val="32"/>
          <w:highlight w:val="none"/>
          <w:u w:val="single"/>
          <w14:textFill>
            <w14:solidFill>
              <w14:schemeClr w14:val="tx1"/>
            </w14:solidFill>
          </w14:textFill>
        </w:rPr>
        <w:t xml:space="preserve">                             </w:t>
      </w:r>
      <w:r>
        <w:rPr>
          <w:highlight w:val="none"/>
        </w:rPr>
      </w:r>
    </w:p>
    <w:p>
      <w:pPr>
        <w:ind w:firstLine="480"/>
        <w:spacing w:line="360" w:lineRule="auto"/>
        <w:rPr>
          <w:color w:val="000000" w:themeColor="text1"/>
          <w:sz w:val="32"/>
          <w:szCs w:val="32"/>
          <w:highlight w:val="none"/>
          <w:u w:val="singl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合同编号：</w:t>
      </w:r>
      <w:r>
        <w:rPr>
          <w:rFonts w:hint="eastAsia"/>
          <w:color w:val="000000" w:themeColor="text1"/>
          <w:sz w:val="32"/>
          <w:szCs w:val="32"/>
          <w:highlight w:val="none"/>
          <w:u w:val="single"/>
          <w14:textFill>
            <w14:solidFill>
              <w14:schemeClr w14:val="tx1"/>
            </w14:solidFill>
          </w14:textFill>
        </w:rPr>
        <w:t xml:space="preserve">                             </w:t>
      </w:r>
      <w:r>
        <w:rPr>
          <w:highlight w:val="none"/>
        </w:rPr>
      </w:r>
    </w:p>
    <w:p>
      <w:pPr>
        <w:ind w:firstLine="480"/>
        <w:spacing w:line="360" w:lineRule="auto"/>
        <w:rPr>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甲    方：</w:t>
      </w:r>
      <w:r>
        <w:rPr>
          <w:rFonts w:hint="eastAsia"/>
          <w:color w:val="000000" w:themeColor="text1"/>
          <w:sz w:val="32"/>
          <w:szCs w:val="32"/>
          <w:highlight w:val="none"/>
          <w:u w:val="single"/>
          <w14:textFill>
            <w14:solidFill>
              <w14:schemeClr w14:val="tx1"/>
            </w14:solidFill>
          </w14:textFill>
        </w:rPr>
        <w:t xml:space="preserve">                             </w:t>
      </w:r>
      <w:r>
        <w:rPr>
          <w:highlight w:val="none"/>
        </w:rPr>
      </w:r>
    </w:p>
    <w:p>
      <w:pPr>
        <w:ind w:firstLine="480"/>
        <w:spacing w:line="360" w:lineRule="auto"/>
        <w:rPr>
          <w:color w:val="000000" w:themeColor="text1"/>
          <w:sz w:val="32"/>
          <w:szCs w:val="32"/>
          <w:highlight w:val="none"/>
          <w:u w:val="singl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乙    方：</w:t>
      </w:r>
      <w:r>
        <w:rPr>
          <w:rFonts w:hint="eastAsia"/>
          <w:color w:val="000000" w:themeColor="text1"/>
          <w:sz w:val="32"/>
          <w:szCs w:val="32"/>
          <w:highlight w:val="none"/>
          <w:u w:val="single"/>
          <w14:textFill>
            <w14:solidFill>
              <w14:schemeClr w14:val="tx1"/>
            </w14:solidFill>
          </w14:textFill>
        </w:rPr>
        <w:t xml:space="preserve">                             </w:t>
      </w:r>
      <w:r>
        <w:rPr>
          <w:highlight w:val="none"/>
        </w:rPr>
      </w:r>
    </w:p>
    <w:p>
      <w:pPr>
        <w:ind w:firstLine="480"/>
        <w:spacing w:line="360" w:lineRule="auto"/>
        <w:rPr>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签订时间：</w:t>
      </w:r>
      <w:r>
        <w:rPr>
          <w:rFonts w:hint="eastAsia"/>
          <w:color w:val="000000" w:themeColor="text1"/>
          <w:sz w:val="32"/>
          <w:szCs w:val="32"/>
          <w:highlight w:val="none"/>
          <w:u w:val="single"/>
          <w14:textFill>
            <w14:solidFill>
              <w14:schemeClr w14:val="tx1"/>
            </w14:solidFill>
          </w14:textFill>
        </w:rPr>
        <w:t xml:space="preserve">      </w:t>
      </w:r>
      <w:r>
        <w:rPr>
          <w:color w:val="000000" w:themeColor="text1"/>
          <w:sz w:val="32"/>
          <w:szCs w:val="32"/>
          <w:highlight w:val="none"/>
          <w:u w:val="single"/>
          <w14:textFill>
            <w14:solidFill>
              <w14:schemeClr w14:val="tx1"/>
            </w14:solidFill>
          </w14:textFill>
        </w:rPr>
        <w:t xml:space="preserve">           </w:t>
      </w:r>
      <w:r>
        <w:rPr>
          <w:rFonts w:hint="eastAsia"/>
          <w:color w:val="000000" w:themeColor="text1"/>
          <w:sz w:val="32"/>
          <w:szCs w:val="32"/>
          <w:highlight w:val="none"/>
          <w:u w:val="single"/>
          <w14:textFill>
            <w14:solidFill>
              <w14:schemeClr w14:val="tx1"/>
            </w14:solidFill>
          </w14:textFill>
        </w:rPr>
        <w:t xml:space="preserve">            </w:t>
      </w:r>
      <w:r>
        <w:rPr>
          <w:highlight w:val="none"/>
        </w:rPr>
      </w:r>
    </w:p>
    <w:p>
      <w:pPr>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r>
      <w:r>
        <w:rPr>
          <w:highlight w:val="none"/>
        </w:rPr>
      </w:r>
    </w:p>
    <w:p>
      <w:pPr>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r>
      <w:r>
        <w:rPr>
          <w:highlight w:val="none"/>
        </w:rPr>
      </w:r>
    </w:p>
    <w:p>
      <w:pPr>
        <w:pStyle w:val="997"/>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p>
      <w:pPr>
        <w:pStyle w:val="997"/>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p>
      <w:pPr>
        <w:pStyle w:val="997"/>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p>
      <w:pPr>
        <w:pStyle w:val="997"/>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p>
    <w:p>
      <w:pPr>
        <w:pStyle w:val="997"/>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p>
      <w:pPr>
        <w:pStyle w:val="997"/>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p>
    <w:p>
      <w:pPr>
        <w:jc w:val="center"/>
        <w:rPr>
          <w:rFonts w:hint="eastAsia" w:eastAsia="黑体"/>
          <w:color w:val="000000" w:themeColor="text1"/>
          <w:sz w:val="44"/>
          <w:szCs w:val="44"/>
          <w:highlight w:val="none"/>
          <w14:textFill>
            <w14:solidFill>
              <w14:schemeClr w14:val="tx1"/>
            </w14:solidFill>
          </w14:textFill>
        </w:rPr>
      </w:pPr>
      <w:r>
        <w:rPr>
          <w:rFonts w:hint="eastAsia" w:eastAsia="黑体"/>
          <w:color w:val="000000" w:themeColor="text1"/>
          <w:sz w:val="44"/>
          <w:szCs w:val="44"/>
          <w:highlight w:val="none"/>
          <w14:textFill>
            <w14:solidFill>
              <w14:schemeClr w14:val="tx1"/>
            </w14:solidFill>
          </w14:textFill>
        </w:rPr>
        <w:t xml:space="preserve">使 用 说 明</w:t>
      </w:r>
      <w:r>
        <w:rPr>
          <w:highlight w:val="none"/>
        </w:rPr>
      </w:r>
    </w:p>
    <w:p>
      <w:pPr>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r>
      <w:r>
        <w:rPr>
          <w:highlight w:val="none"/>
        </w:rPr>
      </w:r>
    </w:p>
    <w:p>
      <w:pPr>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 xml:space="preserve">1.本合同标准文本适用于购买现成货物的采购项目，不包括需要供应商定制开发、创新研发的货物采购项目。</w:t>
      </w:r>
      <w:r>
        <w:rPr>
          <w:highlight w:val="none"/>
        </w:rPr>
      </w:r>
    </w:p>
    <w:p>
      <w:pPr>
        <w:rPr>
          <w:rFonts w:eastAsia="黑体"/>
          <w:color w:val="000000" w:themeColor="text1"/>
          <w:sz w:val="44"/>
          <w:szCs w:val="44"/>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 xml:space="preserve">2.本合同标准文本为政府采购货物买卖合同编制提供参考，可以结合采购项目具体情况，对文本作必要的调整修订后使用。</w:t>
      </w:r>
      <w:r>
        <w:rPr>
          <w:highlight w:val="none"/>
        </w:rPr>
      </w:r>
    </w:p>
    <w:p>
      <w:pPr>
        <w:rPr>
          <w:rFonts w:hint="eastAsia" w:ascii="仿宋_GB2312" w:hAnsi="仿宋_GB2312" w:eastAsia="仿宋_GB2312" w:cs="仿宋_GB2312"/>
          <w:color w:val="000000" w:themeColor="text1"/>
          <w:sz w:val="32"/>
          <w:szCs w:val="32"/>
          <w:highlight w:val="none"/>
          <w14:textFill>
            <w14:solidFill>
              <w14:schemeClr w14:val="tx1"/>
            </w14:solidFill>
          </w14:textFill>
        </w:rPr>
      </w:pPr>
      <w:r>
        <w:rPr>
          <w:rFonts w:hint="eastAsia" w:ascii="仿宋_GB2312" w:hAnsi="仿宋_GB2312" w:eastAsia="仿宋_GB2312" w:cs="仿宋_GB2312"/>
          <w:color w:val="000000" w:themeColor="text1"/>
          <w:sz w:val="32"/>
          <w:szCs w:val="32"/>
          <w:highlight w:val="none"/>
          <w14:textFill>
            <w14:solidFill>
              <w14:schemeClr w14:val="tx1"/>
            </w14:solidFill>
          </w14:textFill>
        </w:rPr>
        <w:t xml:space="preserve">3.本合同标准文本各条款中，如涉及填写多家供应商、制造商，多种采购标的、分包主要内容等信息的，可根据采购项目具体情况添加信息项。</w:t>
      </w:r>
      <w:bookmarkEnd w:id="184"/>
      <w:r>
        <w:rPr>
          <w:highlight w:val="none"/>
        </w:rPr>
      </w:r>
      <w:r>
        <w:rPr>
          <w:highlight w:val="none"/>
        </w:rPr>
      </w:r>
    </w:p>
    <w:p>
      <w:pPr>
        <w:rPr>
          <w:rFonts w:eastAsia="黑体"/>
          <w:color w:val="000000" w:themeColor="text1"/>
          <w:sz w:val="44"/>
          <w:szCs w:val="44"/>
          <w:highlight w:val="none"/>
          <w14:textFill>
            <w14:solidFill>
              <w14:schemeClr w14:val="tx1"/>
            </w14:solidFill>
          </w14:textFill>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eastAsia="黑体"/>
          <w:color w:val="000000" w:themeColor="text1"/>
          <w:sz w:val="44"/>
          <w:szCs w:val="44"/>
          <w:highlight w:val="none"/>
          <w14:textFill>
            <w14:solidFill>
              <w14:schemeClr w14:val="tx1"/>
            </w14:solidFill>
          </w14:textFill>
        </w:rPr>
      </w:r>
      <w:r>
        <w:rPr>
          <w:highlight w:val="none"/>
        </w:rPr>
      </w:r>
    </w:p>
    <w:p>
      <w:pPr>
        <w:jc w:val="center"/>
        <w:keepLines/>
        <w:keepNext/>
        <w:spacing w:before="260" w:after="260" w:line="400" w:lineRule="exact"/>
        <w:rPr>
          <w:rFonts w:hint="eastAsia" w:ascii="黑体" w:hAnsi="华文中宋" w:eastAsia="黑体"/>
          <w:color w:val="000000" w:themeColor="text1"/>
          <w:sz w:val="28"/>
          <w:szCs w:val="28"/>
          <w:highlight w:val="none"/>
          <w14:textFill>
            <w14:solidFill>
              <w14:schemeClr w14:val="tx1"/>
            </w14:solidFill>
          </w14:textFill>
        </w:rPr>
        <w:outlineLvl w:val="1"/>
      </w:pPr>
      <w:r>
        <w:rPr>
          <w:highlight w:val="none"/>
        </w:rPr>
      </w:r>
      <w:bookmarkStart w:id="185" w:name="_Toc22209"/>
      <w:r>
        <w:rPr>
          <w:rFonts w:hint="eastAsia" w:ascii="黑体" w:hAnsi="黑体" w:eastAsia="黑体"/>
          <w:color w:val="000000" w:themeColor="text1"/>
          <w:sz w:val="28"/>
          <w:szCs w:val="28"/>
          <w:highlight w:val="none"/>
          <w14:textFill>
            <w14:solidFill>
              <w14:schemeClr w14:val="tx1"/>
            </w14:solidFill>
          </w14:textFill>
        </w:rPr>
        <w:t xml:space="preserve">第一节 </w:t>
      </w:r>
      <w:r>
        <w:rPr>
          <w:rFonts w:hint="eastAsia" w:ascii="黑体" w:hAnsi="华文中宋" w:eastAsia="黑体"/>
          <w:color w:val="000000" w:themeColor="text1"/>
          <w:sz w:val="28"/>
          <w:szCs w:val="28"/>
          <w:highlight w:val="none"/>
          <w14:textFill>
            <w14:solidFill>
              <w14:schemeClr w14:val="tx1"/>
            </w14:solidFill>
          </w14:textFill>
        </w:rPr>
        <w:t xml:space="preserve">政府采购合同协议书</w:t>
      </w:r>
      <w:bookmarkEnd w:id="185"/>
      <w:r>
        <w:rPr>
          <w:highlight w:val="none"/>
        </w:rPr>
      </w:r>
      <w:r>
        <w:rPr>
          <w:highlight w:val="none"/>
        </w:rPr>
      </w:r>
    </w:p>
    <w:p>
      <w:pPr>
        <w:jc w:val="center"/>
        <w:keepLines/>
        <w:keepNext/>
        <w:spacing w:before="260" w:after="260" w:line="400" w:lineRule="exact"/>
        <w:rPr>
          <w:rFonts w:hint="eastAsia" w:ascii="黑体" w:hAnsi="华文中宋" w:eastAsia="黑体"/>
          <w:color w:val="000000" w:themeColor="text1"/>
          <w:sz w:val="28"/>
          <w:szCs w:val="28"/>
          <w:highlight w:val="none"/>
          <w14:textFill>
            <w14:solidFill>
              <w14:schemeClr w14:val="tx1"/>
            </w14:solidFill>
          </w14:textFill>
        </w:rPr>
        <w:outlineLvl w:val="1"/>
      </w:pPr>
      <w:r>
        <w:rPr>
          <w:rFonts w:hint="eastAsia" w:ascii="黑体" w:hAnsi="华文中宋" w:eastAsia="黑体"/>
          <w:color w:val="000000" w:themeColor="text1"/>
          <w:sz w:val="28"/>
          <w:szCs w:val="28"/>
          <w:highlight w:val="none"/>
          <w14:textFill>
            <w14:solidFill>
              <w14:schemeClr w14:val="tx1"/>
            </w14:solidFill>
          </w14:textFill>
        </w:rPr>
      </w:r>
      <w:r>
        <w:rPr>
          <w:highlight w:val="none"/>
        </w:rP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甲方（全称）：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（采购人）</w:t>
      </w:r>
      <w:r>
        <w:rPr>
          <w:highlight w:val="none"/>
        </w:rP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乙方（全称）：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（供应商）</w:t>
      </w:r>
      <w:r>
        <w:rPr>
          <w:highlight w:val="none"/>
        </w:rPr>
      </w:r>
    </w:p>
    <w:p>
      <w:pPr>
        <w:spacing w:line="400" w:lineRule="exact"/>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r>
      <w:r>
        <w:rPr>
          <w:highlight w:val="none"/>
        </w:rP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依据《中华人民共和国民法典</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中华人民共和国政府采购法》等有关的法律法规，以及本采购项目的招标/谈判文件等采购文件、乙方的《投标（响应）文件》及《中标（成交）通知书》，甲乙双方同意签订本合同。具体情况及要求如下：</w:t>
      </w:r>
      <w:r>
        <w:rPr>
          <w:highlight w:val="none"/>
        </w:rPr>
      </w:r>
    </w:p>
    <w:p>
      <w:pPr>
        <w:numPr>
          <w:ilvl w:val="0"/>
          <w:numId w:val="6"/>
        </w:numPr>
        <w:ind w:firstLine="421"/>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项目信息</w:t>
      </w:r>
      <w:r>
        <w:rPr>
          <w:highlight w:val="none"/>
        </w:rPr>
      </w:r>
    </w:p>
    <w:p>
      <w:pPr>
        <w:numPr>
          <w:ilvl w:val="0"/>
          <w:numId w:val="7"/>
        </w:numPr>
        <w:ind w:firstLine="420"/>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采购项目名称：</w:t>
      </w:r>
      <w:r>
        <w:rPr>
          <w:rFonts w:ascii="宋体" w:hAnsi="宋体"/>
          <w:color w:val="000000" w:themeColor="text1"/>
          <w:szCs w:val="21"/>
          <w:highlight w:val="none"/>
          <w:u w:val="single"/>
          <w14:textFill>
            <w14:solidFill>
              <w14:schemeClr w14:val="tx1"/>
            </w14:solidFill>
          </w14:textFill>
        </w:rPr>
        <w:t xml:space="preserve">                                          </w:t>
      </w:r>
      <w:r>
        <w:rPr>
          <w:highlight w:val="none"/>
        </w:rPr>
      </w:r>
    </w:p>
    <w:p>
      <w:pPr>
        <w:spacing w:line="400" w:lineRule="exact"/>
        <w:tabs>
          <w:tab w:val="left" w:pos="999"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采购项目编号：</w:t>
      </w:r>
      <w:r>
        <w:rPr>
          <w:rFonts w:ascii="宋体" w:hAnsi="宋体"/>
          <w:color w:val="000000" w:themeColor="text1"/>
          <w:szCs w:val="21"/>
          <w:highlight w:val="none"/>
          <w:u w:val="single"/>
          <w14:textFill>
            <w14:solidFill>
              <w14:schemeClr w14:val="tx1"/>
            </w14:solidFill>
          </w14:textFill>
        </w:rPr>
        <w:t xml:space="preserve">                                          </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（2）采购计划编号：</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color w:val="000000" w:themeColor="text1"/>
          <w:szCs w:val="21"/>
          <w:highlight w:val="none"/>
          <w:u w:val="single"/>
          <w14:textFill>
            <w14:solidFill>
              <w14:schemeClr w14:val="tx1"/>
            </w14:solidFill>
          </w14:textFill>
        </w:rPr>
        <w:t xml:space="preserve">     </w:t>
      </w:r>
      <w:r>
        <w:rPr>
          <w:highlight w:val="none"/>
        </w:rP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（3）项目内容：</w:t>
      </w:r>
      <w:r>
        <w:rPr>
          <w:highlight w:val="none"/>
        </w:rP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采购标的及数量（台/套</w:t>
      </w:r>
      <w:r>
        <w:rPr>
          <w:rFonts w:ascii="宋体" w:hAnsi="宋体"/>
          <w:color w:val="000000" w:themeColor="text1"/>
          <w:szCs w:val="21"/>
          <w:highlight w:val="none"/>
          <w:lang w:val="en"/>
          <w14:textFill>
            <w14:solidFill>
              <w14:schemeClr w14:val="tx1"/>
            </w14:solidFill>
          </w14:textFill>
        </w:rPr>
        <w:t xml:space="preserve">/</w:t>
      </w:r>
      <w:r>
        <w:rPr>
          <w:rFonts w:hint="eastAsia" w:ascii="宋体" w:hAnsi="宋体"/>
          <w:color w:val="000000" w:themeColor="text1"/>
          <w:szCs w:val="21"/>
          <w:highlight w:val="none"/>
          <w:lang w:val="en"/>
          <w14:textFill>
            <w14:solidFill>
              <w14:schemeClr w14:val="tx1"/>
            </w14:solidFill>
          </w14:textFill>
        </w:rPr>
        <w:t xml:space="preserve">个</w:t>
      </w:r>
      <w:r>
        <w:rPr>
          <w:rFonts w:ascii="宋体" w:hAnsi="宋体"/>
          <w:color w:val="000000" w:themeColor="text1"/>
          <w:szCs w:val="21"/>
          <w:highlight w:val="none"/>
          <w:lang w:val="en"/>
          <w14:textFill>
            <w14:solidFill>
              <w14:schemeClr w14:val="tx1"/>
            </w14:solidFill>
          </w14:textFill>
        </w:rPr>
        <w:t xml:space="preserve">/</w:t>
      </w:r>
      <w:r>
        <w:rPr>
          <w:rFonts w:hint="eastAsia" w:ascii="宋体" w:hAnsi="宋体"/>
          <w:color w:val="000000" w:themeColor="text1"/>
          <w:szCs w:val="21"/>
          <w:highlight w:val="none"/>
          <w:lang w:val="en"/>
          <w14:textFill>
            <w14:solidFill>
              <w14:schemeClr w14:val="tx1"/>
            </w14:solidFill>
          </w14:textFill>
        </w:rPr>
        <w:t xml:space="preserve">架</w:t>
      </w:r>
      <w:r>
        <w:rPr>
          <w:rFonts w:ascii="宋体" w:hAnsi="宋体"/>
          <w:color w:val="000000" w:themeColor="text1"/>
          <w:szCs w:val="21"/>
          <w:highlight w:val="none"/>
          <w:lang w:val="en"/>
          <w14:textFill>
            <w14:solidFill>
              <w14:schemeClr w14:val="tx1"/>
            </w14:solidFill>
          </w14:textFill>
        </w:rPr>
        <w:t xml:space="preserve">/</w:t>
      </w:r>
      <w:r>
        <w:rPr>
          <w:rFonts w:hint="eastAsia" w:ascii="宋体" w:hAnsi="宋体"/>
          <w:color w:val="000000" w:themeColor="text1"/>
          <w:szCs w:val="21"/>
          <w:highlight w:val="none"/>
          <w:lang w:val="en"/>
          <w14:textFill>
            <w14:solidFill>
              <w14:schemeClr w14:val="tx1"/>
            </w14:solidFill>
          </w14:textFill>
        </w:rPr>
        <w:t xml:space="preserve">组等</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highlight w:val="none"/>
        </w:rP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lang w:val="e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规格型号：</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highlight w:val="none"/>
        </w:rPr>
      </w:r>
    </w:p>
    <w:p>
      <w:pPr>
        <w:ind w:firstLine="525"/>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采购标的的技术要求、商务要求具体见附件。</w:t>
      </w:r>
      <w:r>
        <w:rPr>
          <w:highlight w:val="none"/>
        </w:rPr>
      </w:r>
    </w:p>
    <w:p>
      <w:pPr>
        <w:ind w:firstLine="525"/>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汉仪书宋二S" w:hAnsi="汉仪书宋二S" w:eastAsia="汉仪书宋二S" w:cs="汉仪书宋二S"/>
          <w:color w:val="000000" w:themeColor="text1"/>
          <w:szCs w:val="21"/>
          <w:highlight w:val="none"/>
          <w14:textFill>
            <w14:solidFill>
              <w14:schemeClr w14:val="tx1"/>
            </w14:solidFill>
          </w14:textFill>
        </w:rPr>
        <w:t xml:space="preserve">①</w:t>
      </w:r>
      <w:r>
        <w:rPr>
          <w:rFonts w:hint="eastAsia" w:ascii="宋体" w:hAnsi="宋体" w:cs="宋体"/>
          <w:color w:val="000000" w:themeColor="text1"/>
          <w:szCs w:val="21"/>
          <w:highlight w:val="none"/>
          <w14:textFill>
            <w14:solidFill>
              <w14:schemeClr w14:val="tx1"/>
            </w14:solidFill>
          </w14:textFill>
        </w:rPr>
        <w:t xml:space="preserve">涉及信息类产品，请填写该产品关键部件的品牌、型号：</w:t>
      </w:r>
      <w:r>
        <w:rPr>
          <w:highlight w:val="none"/>
        </w:rPr>
      </w:r>
    </w:p>
    <w:p>
      <w:pPr>
        <w:spacing w:line="4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标的名称：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ascii="宋体" w:hAnsi="宋体" w:cs="宋体"/>
          <w:color w:val="000000" w:themeColor="text1"/>
          <w:szCs w:val="21"/>
          <w:highlight w:val="none"/>
          <w:u w:val="single"/>
          <w:lang w:val="e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highlight w:val="none"/>
        </w:rP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关键部件：</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型号：</w:t>
      </w:r>
      <w:r>
        <w:rPr>
          <w:rFonts w:hint="eastAsia" w:ascii="宋体" w:hAnsi="宋体" w:cs="宋体"/>
          <w:color w:val="000000" w:themeColor="text1"/>
          <w:szCs w:val="21"/>
          <w:highlight w:val="none"/>
          <w:u w:val="single"/>
          <w14:textFill>
            <w14:solidFill>
              <w14:schemeClr w14:val="tx1"/>
            </w14:solidFill>
          </w14:textFill>
        </w:rPr>
        <w:t xml:space="preserve">       </w:t>
      </w:r>
      <w:r>
        <w:rPr>
          <w:highlight w:val="none"/>
        </w:rP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关键部件：</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型号：</w:t>
      </w:r>
      <w:r>
        <w:rPr>
          <w:rFonts w:hint="eastAsia" w:ascii="宋体" w:hAnsi="宋体" w:cs="宋体"/>
          <w:color w:val="000000" w:themeColor="text1"/>
          <w:szCs w:val="21"/>
          <w:highlight w:val="none"/>
          <w:u w:val="single"/>
          <w14:textFill>
            <w14:solidFill>
              <w14:schemeClr w14:val="tx1"/>
            </w14:solidFill>
          </w14:textFill>
        </w:rPr>
        <w:t xml:space="preserve">       </w:t>
      </w:r>
      <w:r>
        <w:rPr>
          <w:highlight w:val="none"/>
        </w:rP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关键部件：</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型号：</w:t>
      </w:r>
      <w:r>
        <w:rPr>
          <w:rFonts w:hint="eastAsia" w:ascii="宋体" w:hAnsi="宋体" w:cs="宋体"/>
          <w:color w:val="000000" w:themeColor="text1"/>
          <w:szCs w:val="21"/>
          <w:highlight w:val="none"/>
          <w:u w:val="single"/>
          <w14:textFill>
            <w14:solidFill>
              <w14:schemeClr w14:val="tx1"/>
            </w14:solidFill>
          </w14:textFill>
        </w:rPr>
        <w:t xml:space="preserve">       </w:t>
      </w:r>
      <w:r>
        <w:rPr>
          <w:highlight w:val="none"/>
        </w:rP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r>
        <w:rPr>
          <w:highlight w:val="none"/>
        </w:rP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hint="eastAsia" w:ascii="汉仪书宋二S" w:hAnsi="汉仪书宋二S" w:eastAsia="汉仪书宋二S" w:cs="汉仪书宋二S"/>
          <w:color w:val="000000" w:themeColor="text1"/>
          <w:szCs w:val="21"/>
          <w:highlight w:val="none"/>
          <w14:textFill>
            <w14:solidFill>
              <w14:schemeClr w14:val="tx1"/>
            </w14:solidFill>
          </w14:textFill>
        </w:rPr>
        <w:t xml:space="preserve">②</w:t>
      </w:r>
      <w:r>
        <w:rPr>
          <w:rFonts w:hint="eastAsia" w:ascii="宋体" w:hAnsi="宋体" w:cs="宋体"/>
          <w:color w:val="000000" w:themeColor="text1"/>
          <w:szCs w:val="21"/>
          <w:highlight w:val="none"/>
          <w14:textFill>
            <w14:solidFill>
              <w14:schemeClr w14:val="tx1"/>
            </w14:solidFill>
          </w14:textFill>
        </w:rPr>
        <w:t xml:space="preserve">涉及车辆采购，请填写是否属于新能源汽车：</w:t>
      </w:r>
      <w:r>
        <w:rPr>
          <w:highlight w:val="none"/>
        </w:rP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是，《政府采购品目分类目录》底级品目名称：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数量：</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金额：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rPr>
          <w:highlight w:val="none"/>
        </w:rP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否</w:t>
      </w:r>
      <w:r>
        <w:rPr>
          <w:highlight w:val="none"/>
        </w:rP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ascii="宋体" w:hAnsi="宋体" w:cs="宋体"/>
          <w:color w:val="000000" w:themeColor="text1"/>
          <w:szCs w:val="21"/>
          <w:highlight w:val="none"/>
          <w:lang w:val="e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）政府采购组织形式：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政府集中采购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部门集中采购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分散采购</w:t>
      </w:r>
      <w:r>
        <w:rPr>
          <w:highlight w:val="none"/>
        </w:rPr>
      </w:r>
    </w:p>
    <w:p>
      <w:pPr>
        <w:ind w:firstLine="420"/>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lang w:val="e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）政府采购方式：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公开招标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邀请招标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竞争性谈判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竞争性磋商</w:t>
      </w:r>
      <w:r>
        <w:rPr>
          <w:highlight w:val="none"/>
        </w:rPr>
      </w:r>
    </w:p>
    <w:p>
      <w:pPr>
        <w:jc w:val="left"/>
        <w:spacing w:line="400" w:lineRule="exact"/>
        <w:widowControl/>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eastAsia="华文楷体" w:cs="宋体"/>
          <w:color w:val="000000" w:themeColor="text1"/>
          <w:sz w:val="22"/>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询价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单一来源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框架协议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其他：</w:t>
      </w:r>
      <w:r>
        <w:rPr>
          <w:rFonts w:hint="eastAsia" w:ascii="宋体" w:hAnsi="宋体" w:cs="宋体"/>
          <w:color w:val="000000" w:themeColor="text1"/>
          <w:szCs w:val="21"/>
          <w:highlight w:val="none"/>
          <w:u w:val="single"/>
          <w14:textFill>
            <w14:solidFill>
              <w14:schemeClr w14:val="tx1"/>
            </w14:solidFill>
          </w14:textFill>
        </w:rPr>
        <w:t xml:space="preserve">          </w:t>
      </w:r>
      <w:r>
        <w:rPr>
          <w:highlight w:val="none"/>
        </w:rPr>
      </w:r>
    </w:p>
    <w:p>
      <w:pPr>
        <w:ind w:firstLine="840"/>
        <w:jc w:val="left"/>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（注：在框架协议采购的第二阶段，可选择使用该合同文本）</w:t>
      </w:r>
      <w:r>
        <w:rPr>
          <w:highlight w:val="none"/>
        </w:rPr>
      </w:r>
    </w:p>
    <w:p>
      <w:pPr>
        <w:jc w:val="left"/>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eastAsia="华文楷体" w:cs="华文楷体"/>
          <w:color w:val="000000" w:themeColor="text1"/>
          <w:sz w:val="22"/>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中标（成交）采购标的制造商是否为中小企业：</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rPr>
          <w:highlight w:val="none"/>
        </w:rPr>
      </w:r>
    </w:p>
    <w:p>
      <w:pPr>
        <w:spacing w:line="400" w:lineRule="exact"/>
        <w:rPr>
          <w:rFonts w:hint="eastAsia" w:ascii="宋体" w:hAnsi="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本合同是否为专门面向中小企业的采购合同（中小企业预留合同）：</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rPr>
          <w:highlight w:val="none"/>
        </w:rPr>
      </w:r>
    </w:p>
    <w:p>
      <w:pPr>
        <w:spacing w:line="400" w:lineRule="exact"/>
        <w:rPr>
          <w:rFonts w:hint="eastAsia" w:ascii="宋体" w:hAnsi="宋体"/>
          <w:iCs/>
          <w:color w:val="000000" w:themeColor="text1"/>
          <w:szCs w:val="21"/>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         若本项目不专门面向中小企业采购，是否给予小微企业评审优惠：</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rPr>
          <w:highlight w:val="none"/>
        </w:rPr>
      </w:r>
    </w:p>
    <w:p>
      <w:pPr>
        <w:spacing w:line="400" w:lineRule="exact"/>
        <w:rPr>
          <w:rFonts w:hint="eastAsia"/>
          <w:color w:val="000000" w:themeColor="text1"/>
          <w:szCs w:val="24"/>
          <w:highlight w:val="none"/>
          <w14:textFill>
            <w14:solidFill>
              <w14:schemeClr w14:val="tx1"/>
            </w14:solidFill>
          </w14:textFill>
        </w:rPr>
        <w:sectPr>
          <w:headerReference w:type="default" r:id="rId9"/>
          <w:footerReference w:type="default" r:id="rId14"/>
          <w:footerReference w:type="even" r:id="rId15"/>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000000" w:themeColor="text1"/>
          <w:szCs w:val="24"/>
          <w:highlight w:val="none"/>
          <w14:textFill>
            <w14:solidFill>
              <w14:schemeClr w14:val="tx1"/>
            </w14:solidFill>
          </w14:textFill>
        </w:rPr>
      </w:r>
      <w:r>
        <w:rPr>
          <w:highlight w:val="none"/>
        </w:rPr>
      </w:r>
    </w:p>
    <w:p>
      <w:pPr>
        <w:spacing w:line="400" w:lineRule="exact"/>
        <w:rPr>
          <w:rFonts w:hint="eastAsia" w:ascii="宋体" w:hAnsi="宋体"/>
          <w:iCs/>
          <w:color w:val="000000" w:themeColor="text1"/>
          <w:szCs w:val="21"/>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         中标（成交）采购标的制造商是否为残疾人福利性单位：</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rPr>
          <w:highlight w:val="none"/>
        </w:rPr>
      </w:r>
    </w:p>
    <w:p>
      <w:pPr>
        <w:spacing w:line="400" w:lineRule="exact"/>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         中标（成交）采购标的制造商是否为监狱企业：</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lang w:val="e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）合同是否分包：</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否</w:t>
      </w:r>
      <w:r>
        <w:rPr>
          <w:highlight w:val="none"/>
        </w:rPr>
      </w:r>
    </w:p>
    <w:p>
      <w:pPr>
        <w:ind w:firstLine="840"/>
        <w:spacing w:line="4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分包主要内容：</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分包供应商/制造商名称（如供应商和制造商不同，请分别填写）：</w:t>
      </w:r>
      <w:r>
        <w:rPr>
          <w:highlight w:val="none"/>
        </w:rPr>
      </w:r>
    </w:p>
    <w:p>
      <w:pPr>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分包供应商/制造商类型（如果供应商和制造商不同，只填写制造商类型）：</w:t>
      </w:r>
      <w:r>
        <w:rPr>
          <w:highlight w:val="none"/>
        </w:rPr>
      </w:r>
    </w:p>
    <w:p>
      <w:pPr>
        <w:ind w:firstLine="840"/>
        <w:spacing w:line="400" w:lineRule="exact"/>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大型企业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中型企业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小微型企业  </w:t>
      </w:r>
      <w:r>
        <w:rPr>
          <w:highlight w:val="none"/>
        </w:rPr>
      </w:r>
    </w:p>
    <w:p>
      <w:pPr>
        <w:spacing w:line="400" w:lineRule="exact"/>
        <w:rPr>
          <w:rFonts w:eastAsia="华文楷体"/>
          <w:color w:val="000000" w:themeColor="text1"/>
          <w:szCs w:val="24"/>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残疾人福利性单位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监狱企业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其他</w:t>
      </w:r>
      <w:r>
        <w:rPr>
          <w:highlight w:val="none"/>
        </w:rPr>
      </w:r>
    </w:p>
    <w:p>
      <w:pPr>
        <w:spacing w:line="400" w:lineRule="exact"/>
        <w:rPr>
          <w:rFonts w:hint="eastAsia" w:ascii="宋体" w:hAnsi="宋体" w:cs="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lang w:val="en"/>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）中标（成交）供应商是否为外商投资企业：</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否</w:t>
      </w:r>
      <w:r>
        <w:rPr>
          <w:highlight w:val="none"/>
        </w:rPr>
      </w:r>
    </w:p>
    <w:p>
      <w:pPr>
        <w:jc w:val="left"/>
        <w:spacing w:line="400" w:lineRule="exact"/>
        <w:widowControl/>
        <w:tabs>
          <w:tab w:val="left" w:pos="1340" w:leader="none"/>
        </w:tabs>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外商投资企业类型：</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全部由外国投资者投资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部分由外国投资者投资</w:t>
      </w:r>
      <w:r>
        <w:rPr>
          <w:highlight w:val="none"/>
        </w:rPr>
      </w:r>
    </w:p>
    <w:p>
      <w:pPr>
        <w:ind w:firstLine="420"/>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lang w:val="en"/>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）是否涉及进口产品：</w:t>
      </w:r>
      <w:r>
        <w:rPr>
          <w:highlight w:val="none"/>
        </w:rPr>
      </w:r>
    </w:p>
    <w:p>
      <w:pPr>
        <w:ind w:firstLine="630"/>
        <w:spacing w:line="4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是，《政府采购品目分类目录》底级品目名称：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金额：</w:t>
      </w:r>
      <w:r>
        <w:rPr>
          <w:rFonts w:hint="eastAsia" w:ascii="宋体" w:hAnsi="宋体" w:cs="宋体"/>
          <w:color w:val="000000" w:themeColor="text1"/>
          <w:szCs w:val="21"/>
          <w:highlight w:val="none"/>
          <w:u w:val="single"/>
          <w14:textFill>
            <w14:solidFill>
              <w14:schemeClr w14:val="tx1"/>
            </w14:solidFill>
          </w14:textFill>
        </w:rPr>
        <w:t xml:space="preserve">        </w:t>
      </w:r>
      <w:r>
        <w:rPr>
          <w:highlight w:val="none"/>
        </w:rP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国别：</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品牌：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规格型号：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highlight w:val="none"/>
        </w:rP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rPr>
          <w:highlight w:val="none"/>
        </w:rPr>
      </w:r>
    </w:p>
    <w:p>
      <w:pPr>
        <w:spacing w:line="400" w:lineRule="exact"/>
        <w:tabs>
          <w:tab w:val="left" w:pos="7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w:t>
      </w:r>
      <w:r>
        <w:rPr>
          <w:rFonts w:ascii="宋体" w:hAnsi="宋体"/>
          <w:color w:val="000000" w:themeColor="text1"/>
          <w:szCs w:val="21"/>
          <w:highlight w:val="none"/>
          <w:lang w:val="en"/>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）是否涉及节能产品：</w:t>
      </w:r>
      <w:r>
        <w:rPr>
          <w:highlight w:val="none"/>
        </w:rPr>
      </w:r>
    </w:p>
    <w:p>
      <w:pPr>
        <w:spacing w:line="400" w:lineRule="exact"/>
        <w:tabs>
          <w:tab w:val="left" w:pos="740" w:leader="none"/>
        </w:tabs>
        <w:rPr>
          <w:rFonts w:hint="eastAsia" w:ascii="宋体" w:hAnsi="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是，《节能产品政府采购品目清单》的底级品目名称：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iCs/>
          <w:color w:val="000000" w:themeColor="text1"/>
          <w:szCs w:val="21"/>
          <w:highlight w:val="none"/>
          <w14:textFill>
            <w14:solidFill>
              <w14:schemeClr w14:val="tx1"/>
            </w14:solidFill>
          </w14:textFill>
        </w:rPr>
        <w:t xml:space="preserve"> </w:t>
      </w:r>
      <w:r>
        <w:rPr>
          <w:highlight w:val="none"/>
        </w:rPr>
      </w:r>
    </w:p>
    <w:p>
      <w:pPr>
        <w:spacing w:line="400" w:lineRule="exact"/>
        <w:tabs>
          <w:tab w:val="left" w:pos="740" w:leader="none"/>
        </w:tabs>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强制采购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优先采购    </w:t>
      </w:r>
      <w:r>
        <w:rPr>
          <w:highlight w:val="none"/>
        </w:rPr>
      </w:r>
    </w:p>
    <w:p>
      <w:pPr>
        <w:spacing w:line="400" w:lineRule="exact"/>
        <w:tabs>
          <w:tab w:val="left" w:pos="7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rPr>
          <w:highlight w:val="none"/>
        </w:rPr>
      </w:r>
    </w:p>
    <w:p>
      <w:pPr>
        <w:spacing w:line="400" w:lineRule="exact"/>
        <w:tabs>
          <w:tab w:val="left" w:pos="7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是否涉及环境标志产品：</w:t>
      </w:r>
      <w:r>
        <w:rPr>
          <w:highlight w:val="none"/>
        </w:rPr>
      </w:r>
    </w:p>
    <w:p>
      <w:pPr>
        <w:spacing w:line="400" w:lineRule="exact"/>
        <w:tabs>
          <w:tab w:val="left" w:pos="7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是，《环境标志产品政府采购品目清单》的底级品目名称：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iCs/>
          <w:color w:val="000000" w:themeColor="text1"/>
          <w:szCs w:val="21"/>
          <w:highlight w:val="none"/>
          <w14:textFill>
            <w14:solidFill>
              <w14:schemeClr w14:val="tx1"/>
            </w14:solidFill>
          </w14:textFill>
        </w:rPr>
        <w:t xml:space="preserve"> </w:t>
      </w:r>
      <w:r>
        <w:rPr>
          <w:highlight w:val="none"/>
        </w:rPr>
      </w:r>
    </w:p>
    <w:p>
      <w:pPr>
        <w:spacing w:line="400" w:lineRule="exact"/>
        <w:tabs>
          <w:tab w:val="left" w:pos="740" w:leader="none"/>
        </w:tabs>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强制采购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优先采购    </w:t>
      </w:r>
      <w:r>
        <w:rPr>
          <w:highlight w:val="none"/>
        </w:rPr>
      </w:r>
    </w:p>
    <w:p>
      <w:pPr>
        <w:spacing w:line="400" w:lineRule="exact"/>
        <w:tabs>
          <w:tab w:val="left" w:pos="74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rPr>
          <w:highlight w:val="none"/>
        </w:rPr>
      </w:r>
    </w:p>
    <w:p>
      <w:pPr>
        <w:jc w:val="left"/>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eastAsia="华文楷体" w:cs="华文楷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是否涉及绿色产品： </w:t>
      </w:r>
      <w:r>
        <w:rPr>
          <w:highlight w:val="none"/>
        </w:rPr>
      </w:r>
    </w:p>
    <w:p>
      <w:pPr>
        <w:jc w:val="left"/>
        <w:spacing w:line="400" w:lineRule="exact"/>
        <w:widowControl/>
        <w:rPr>
          <w:rFonts w:hint="eastAsia" w:ascii="宋体" w:hAnsi="宋体" w:cs="华文楷体"/>
          <w:color w:val="000000" w:themeColor="text1"/>
          <w:sz w:val="22"/>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是，绿色产品政府采购相关政策确定的底级品目名称：</w:t>
      </w:r>
      <w:r>
        <w:rPr>
          <w:rFonts w:hint="eastAsia" w:ascii="宋体" w:hAnsi="宋体" w:cs="华文楷体"/>
          <w:color w:val="000000" w:themeColor="text1"/>
          <w:sz w:val="22"/>
          <w:szCs w:val="21"/>
          <w:highlight w:val="none"/>
          <w:u w:val="single"/>
          <w14:textFill>
            <w14:solidFill>
              <w14:schemeClr w14:val="tx1"/>
            </w14:solidFill>
          </w14:textFill>
        </w:rPr>
        <w:t xml:space="preserve">         </w:t>
      </w:r>
      <w:r>
        <w:rPr>
          <w:highlight w:val="none"/>
        </w:rPr>
      </w:r>
    </w:p>
    <w:p>
      <w:pPr>
        <w:spacing w:line="400" w:lineRule="exact"/>
        <w:tabs>
          <w:tab w:val="left" w:pos="740" w:leader="none"/>
        </w:tabs>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强制采购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优先采购    </w:t>
      </w:r>
      <w:r>
        <w:rPr>
          <w:highlight w:val="none"/>
        </w:rPr>
      </w:r>
    </w:p>
    <w:p>
      <w:pPr>
        <w:jc w:val="left"/>
        <w:spacing w:line="400" w:lineRule="exact"/>
        <w:widowControl/>
        <w:rPr>
          <w:rFonts w:hint="eastAsia" w:ascii="宋体" w:hAnsi="宋体" w:eastAsia="华文楷体" w:cs="华文楷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w:t>
      </w:r>
      <w:r>
        <w:rPr>
          <w:highlight w:val="none"/>
        </w:rP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（1</w:t>
      </w:r>
      <w:r>
        <w:rPr>
          <w:rFonts w:ascii="宋体" w:hAnsi="宋体"/>
          <w:color w:val="000000" w:themeColor="text1"/>
          <w:szCs w:val="21"/>
          <w:highlight w:val="none"/>
          <w:lang w:val="en"/>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）涉及商品包装和快递包装的，是否参考《商品包装政府采购需求标准（试行）</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快递包装政府采购需求标准（试行）》明确产品及相关快递服务的具体包装要求：</w:t>
      </w:r>
      <w:r>
        <w:rPr>
          <w:highlight w:val="none"/>
        </w:rPr>
      </w:r>
    </w:p>
    <w:p>
      <w:pPr>
        <w:ind w:firstLine="945"/>
        <w:spacing w:line="400" w:lineRule="exact"/>
        <w:rPr>
          <w:rFonts w:hint="eastAsia" w:ascii="宋体" w:hAnsi="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否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不涉及</w:t>
      </w:r>
      <w:r>
        <w:rPr>
          <w:highlight w:val="none"/>
        </w:rPr>
      </w:r>
    </w:p>
    <w:p>
      <w:pPr>
        <w:numPr>
          <w:ilvl w:val="0"/>
          <w:numId w:val="6"/>
        </w:numPr>
        <w:ind w:firstLine="421"/>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合同金额</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（1）合同金额小写：</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p>
    <w:p>
      <w:pPr>
        <w:spacing w:line="400" w:lineRule="exact"/>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大写：</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p>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分包金额（如有）小写：</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p>
    <w:p>
      <w:pPr>
        <w:spacing w:line="40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大写：</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（注：固定单价合同应填写单价和最高限价）</w:t>
      </w:r>
      <w:r>
        <w:rPr>
          <w:highlight w:val="none"/>
        </w:rP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（2）合同定价方式（采用组合定价方式的，可以勾选多项）：</w:t>
      </w:r>
      <w:r>
        <w:rPr>
          <w:highlight w:val="none"/>
        </w:rPr>
      </w:r>
    </w:p>
    <w:p>
      <w:pPr>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固定总价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固定单价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固定费率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成本补偿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绩效激励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iCs/>
          <w:color w:val="000000" w:themeColor="text1"/>
          <w:szCs w:val="21"/>
          <w:highlight w:val="none"/>
          <w14:textFill>
            <w14:solidFill>
              <w14:schemeClr w14:val="tx1"/>
            </w14:solidFill>
          </w14:textFill>
        </w:rPr>
        <w:t xml:space="preserve">其他</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p>
    <w:p>
      <w:pPr>
        <w:ind w:firstLine="420"/>
        <w:spacing w:line="400" w:lineRule="exact"/>
        <w:rPr>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（3）付款方式（按项目实际勾选填写）：</w:t>
      </w:r>
      <w:r>
        <w:rPr>
          <w:highlight w:val="none"/>
        </w:rPr>
      </w:r>
    </w:p>
    <w:p>
      <w:pPr>
        <w:ind w:firstLine="525"/>
        <w:spacing w:line="400" w:lineRule="exact"/>
        <w:rPr>
          <w:rFonts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全额付款：</w:t>
      </w:r>
      <w:r>
        <w:rPr>
          <w:rFonts w:hint="eastAsia" w:ascii="宋体" w:hAnsi="宋体"/>
          <w:color w:val="000000" w:themeColor="text1"/>
          <w:szCs w:val="21"/>
          <w:highlight w:val="none"/>
          <w:u w:val="single"/>
          <w14:textFill>
            <w14:solidFill>
              <w14:schemeClr w14:val="tx1"/>
            </w14:solidFill>
          </w14:textFill>
        </w:rPr>
        <w:t xml:space="preserve">     （应明确一次性支付合同款项的条件）                    </w:t>
      </w:r>
      <w:r>
        <w:rPr>
          <w:highlight w:val="none"/>
        </w:rPr>
      </w:r>
    </w:p>
    <w:p>
      <w:pPr>
        <w:ind w:firstLine="525"/>
        <w:spacing w:line="400" w:lineRule="exact"/>
        <w:rPr>
          <w:color w:val="000000" w:themeColor="text1"/>
          <w:szCs w:val="24"/>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分期付款：</w:t>
      </w:r>
      <w:r>
        <w:rPr>
          <w:rFonts w:hint="eastAsia" w:ascii="宋体" w:hAnsi="宋体"/>
          <w:color w:val="000000" w:themeColor="text1"/>
          <w:szCs w:val="21"/>
          <w:highlight w:val="none"/>
          <w:u w:val="single"/>
          <w14:textFill>
            <w14:solidFill>
              <w14:schemeClr w14:val="tx1"/>
            </w14:solidFill>
          </w14:textFill>
        </w:rPr>
        <w:t xml:space="preserve">  （应明确分期支付合同款项的各期比例和支付条件，各期支付条件应与分期履约验收情况挂钩） </w:t>
      </w:r>
      <w:r>
        <w:rPr>
          <w:rFonts w:hint="eastAsia" w:ascii="宋体" w:hAnsi="宋体"/>
          <w:color w:val="000000" w:themeColor="text1"/>
          <w:szCs w:val="21"/>
          <w:highlight w:val="none"/>
          <w14:textFill>
            <w14:solidFill>
              <w14:schemeClr w14:val="tx1"/>
            </w14:solidFill>
          </w14:textFill>
        </w:rPr>
        <w:t xml:space="preserve">，其中涉及预付款的：</w:t>
      </w:r>
      <w:r>
        <w:rPr>
          <w:rFonts w:hint="eastAsia" w:ascii="宋体" w:hAnsi="宋体"/>
          <w:color w:val="000000" w:themeColor="text1"/>
          <w:szCs w:val="21"/>
          <w:highlight w:val="none"/>
          <w:u w:val="single"/>
          <w14:textFill>
            <w14:solidFill>
              <w14:schemeClr w14:val="tx1"/>
            </w14:solidFill>
          </w14:textFill>
        </w:rPr>
        <w:t xml:space="preserve"> （应明确预付款的支付比例和支付条件） </w:t>
      </w:r>
      <w:r>
        <w:rPr>
          <w:highlight w:val="none"/>
        </w:rPr>
      </w:r>
    </w:p>
    <w:p>
      <w:pPr>
        <w:ind w:firstLine="525"/>
        <w:spacing w:line="400" w:lineRule="exact"/>
        <w:rPr>
          <w:rFonts w:ascii="宋体" w:hAnsi="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成本补偿：</w:t>
      </w:r>
      <w:r>
        <w:rPr>
          <w:rFonts w:hint="eastAsia" w:ascii="宋体" w:hAnsi="宋体"/>
          <w:color w:val="000000" w:themeColor="text1"/>
          <w:szCs w:val="21"/>
          <w:highlight w:val="none"/>
          <w:u w:val="single"/>
          <w14:textFill>
            <w14:solidFill>
              <w14:schemeClr w14:val="tx1"/>
            </w14:solidFill>
          </w14:textFill>
        </w:rPr>
        <w:t xml:space="preserve">      （应明确按照成本补偿方式的支付方式和支付条件）   </w:t>
      </w:r>
      <w:r>
        <w:rPr>
          <w:highlight w:val="none"/>
        </w:rPr>
      </w:r>
    </w:p>
    <w:p>
      <w:pPr>
        <w:ind w:firstLine="525"/>
        <w:spacing w:line="400" w:lineRule="exact"/>
        <w:rPr>
          <w:rFonts w:ascii="宋体" w:hAnsi="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绩效激励：</w:t>
      </w:r>
      <w:r>
        <w:rPr>
          <w:rFonts w:hint="eastAsia" w:ascii="宋体" w:hAnsi="宋体"/>
          <w:color w:val="000000" w:themeColor="text1"/>
          <w:szCs w:val="21"/>
          <w:highlight w:val="none"/>
          <w:u w:val="single"/>
          <w14:textFill>
            <w14:solidFill>
              <w14:schemeClr w14:val="tx1"/>
            </w14:solidFill>
          </w14:textFill>
        </w:rPr>
        <w:t xml:space="preserve">      （应明确按照绩效激励方式的支付方式和支付条件）   </w:t>
      </w:r>
      <w:r>
        <w:rPr>
          <w:highlight w:val="none"/>
        </w:rPr>
      </w:r>
    </w:p>
    <w:p>
      <w:pPr>
        <w:numPr>
          <w:ilvl w:val="0"/>
          <w:numId w:val="6"/>
        </w:numPr>
        <w:ind w:firstLine="421"/>
        <w:spacing w:line="400" w:lineRule="exact"/>
        <w:rPr>
          <w:rFonts w:ascii="宋体" w:hAnsi="宋体"/>
          <w:b/>
          <w:color w:val="000000" w:themeColor="text1"/>
          <w:szCs w:val="21"/>
          <w:highlight w:val="none"/>
          <w:u w:val="singl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合同履行</w:t>
      </w:r>
      <w:r>
        <w:rPr>
          <w:highlight w:val="none"/>
        </w:rPr>
      </w:r>
    </w:p>
    <w:p>
      <w:pPr>
        <w:ind w:firstLine="315"/>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（1）起始日期：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日，完成日期：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w:t>
      </w:r>
      <w:r>
        <w:rPr>
          <w:highlight w:val="none"/>
        </w:rPr>
      </w:r>
    </w:p>
    <w:p>
      <w:pPr>
        <w:ind w:firstLine="315"/>
        <w:spacing w:line="4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（2）履约地点</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rPr>
          <w:highlight w:val="none"/>
        </w:rPr>
      </w:r>
    </w:p>
    <w:p>
      <w:pPr>
        <w:ind w:firstLine="315"/>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（3）履约担保：</w:t>
      </w:r>
      <w:r>
        <w:rPr>
          <w:rFonts w:hint="eastAsia" w:ascii="宋体" w:hAnsi="宋体" w:cs="宋体"/>
          <w:color w:val="000000" w:themeColor="text1"/>
          <w:szCs w:val="24"/>
          <w:highlight w:val="none"/>
          <w14:textFill>
            <w14:solidFill>
              <w14:schemeClr w14:val="tx1"/>
            </w14:solidFill>
          </w14:textFill>
        </w:rPr>
        <w:t xml:space="preserve">是否收取履约保证金：</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否</w:t>
      </w:r>
      <w:r>
        <w:rPr>
          <w:highlight w:val="none"/>
        </w:rP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华文楷体" w:cs="宋体"/>
          <w:bCs/>
          <w:color w:val="000000" w:themeColor="text1"/>
          <w:sz w:val="22"/>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收取履约保证金形式：</w:t>
      </w:r>
      <w:r>
        <w:rPr>
          <w:rFonts w:hint="eastAsia" w:ascii="宋体" w:hAnsi="宋体" w:cs="宋体"/>
          <w:bCs/>
          <w:color w:val="000000" w:themeColor="text1"/>
          <w:szCs w:val="21"/>
          <w:highlight w:val="none"/>
          <w:u w:val="single"/>
          <w14:textFill>
            <w14:solidFill>
              <w14:schemeClr w14:val="tx1"/>
            </w14:solidFill>
          </w14:textFill>
        </w:rPr>
        <w:t xml:space="preserve">                            </w:t>
      </w:r>
      <w:r>
        <w:rPr>
          <w:highlight w:val="none"/>
        </w:rP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收取履约保证金金额：</w:t>
      </w:r>
      <w:r>
        <w:rPr>
          <w:rFonts w:hint="eastAsia" w:ascii="宋体" w:hAnsi="宋体" w:cs="宋体"/>
          <w:bCs/>
          <w:color w:val="000000" w:themeColor="text1"/>
          <w:szCs w:val="21"/>
          <w:highlight w:val="none"/>
          <w:u w:val="single"/>
          <w14:textFill>
            <w14:solidFill>
              <w14:schemeClr w14:val="tx1"/>
            </w14:solidFill>
          </w14:textFill>
        </w:rPr>
        <w:t xml:space="preserve">                            </w:t>
      </w:r>
      <w:r>
        <w:rPr>
          <w:highlight w:val="none"/>
        </w:rPr>
      </w:r>
    </w:p>
    <w:p>
      <w:pPr>
        <w:spacing w:line="400" w:lineRule="exact"/>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    履约担保期限：</w:t>
      </w:r>
      <w:r>
        <w:rPr>
          <w:rFonts w:hint="eastAsia" w:ascii="宋体" w:hAnsi="宋体" w:cs="宋体"/>
          <w:bCs/>
          <w:color w:val="000000" w:themeColor="text1"/>
          <w:szCs w:val="21"/>
          <w:highlight w:val="none"/>
          <w:u w:val="single"/>
          <w14:textFill>
            <w14:solidFill>
              <w14:schemeClr w14:val="tx1"/>
            </w14:solidFill>
          </w14:textFill>
        </w:rPr>
        <w:t xml:space="preserve">                                  </w:t>
      </w:r>
      <w:r>
        <w:rPr>
          <w:highlight w:val="none"/>
        </w:rPr>
      </w:r>
    </w:p>
    <w:p>
      <w:pPr>
        <w:ind w:firstLine="315"/>
        <w:spacing w:line="4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（4）分期履行要求：</w:t>
      </w:r>
      <w:r>
        <w:rPr>
          <w:rFonts w:hint="eastAsia" w:ascii="宋体" w:hAnsi="宋体" w:cs="宋体"/>
          <w:bCs/>
          <w:color w:val="000000" w:themeColor="text1"/>
          <w:szCs w:val="21"/>
          <w:highlight w:val="none"/>
          <w:u w:val="single"/>
          <w14:textFill>
            <w14:solidFill>
              <w14:schemeClr w14:val="tx1"/>
            </w14:solidFill>
          </w14:textFill>
        </w:rPr>
        <w:t xml:space="preserve">                              </w:t>
      </w:r>
      <w:r>
        <w:rPr>
          <w:highlight w:val="none"/>
        </w:rPr>
      </w:r>
    </w:p>
    <w:p>
      <w:pPr>
        <w:ind w:firstLine="315"/>
        <w:spacing w:line="4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（5）风险处置措施和替代方案：</w:t>
      </w:r>
      <w:r>
        <w:rPr>
          <w:rFonts w:hint="eastAsia" w:ascii="宋体" w:hAnsi="宋体" w:cs="宋体"/>
          <w:color w:val="000000" w:themeColor="text1"/>
          <w:szCs w:val="21"/>
          <w:highlight w:val="none"/>
          <w:u w:val="single"/>
          <w14:textFill>
            <w14:solidFill>
              <w14:schemeClr w14:val="tx1"/>
            </w14:solidFill>
          </w14:textFill>
        </w:rPr>
        <w:t xml:space="preserve">                    </w:t>
      </w:r>
      <w:r>
        <w:rPr>
          <w:highlight w:val="none"/>
        </w:rPr>
      </w:r>
    </w:p>
    <w:p>
      <w:pPr>
        <w:numPr>
          <w:ilvl w:val="0"/>
          <w:numId w:val="6"/>
        </w:numPr>
        <w:ind w:firstLine="421"/>
        <w:spacing w:line="400" w:lineRule="exact"/>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合同验收</w:t>
      </w:r>
      <w:r>
        <w:rPr>
          <w:highlight w:val="none"/>
        </w:rPr>
      </w:r>
    </w:p>
    <w:p>
      <w:pPr>
        <w:numPr>
          <w:ilvl w:val="0"/>
          <w:numId w:val="8"/>
        </w:num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验收组织方式：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自行组织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委托第三方组织</w:t>
      </w:r>
      <w:r>
        <w:rPr>
          <w:highlight w:val="none"/>
        </w:rPr>
      </w:r>
    </w:p>
    <w:p>
      <w:pPr>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验收主体：</w:t>
      </w:r>
      <w:r>
        <w:rPr>
          <w:rFonts w:hint="eastAsia" w:ascii="宋体" w:hAnsi="宋体"/>
          <w:bCs/>
          <w:color w:val="000000" w:themeColor="text1"/>
          <w:szCs w:val="21"/>
          <w:highlight w:val="none"/>
          <w:u w:val="single"/>
          <w14:textFill>
            <w14:solidFill>
              <w14:schemeClr w14:val="tx1"/>
            </w14:solidFill>
          </w14:textFill>
        </w:rPr>
        <w:t xml:space="preserve">                  </w:t>
      </w:r>
      <w:r>
        <w:rPr>
          <w:highlight w:val="none"/>
        </w:rPr>
      </w:r>
    </w:p>
    <w:p>
      <w:pPr>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是否邀请本项目的其他供应商参加验收：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rPr>
          <w:highlight w:val="none"/>
        </w:rPr>
      </w:r>
    </w:p>
    <w:p>
      <w:pPr>
        <w:ind w:firstLine="84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是否邀请专家参加验收：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rPr>
          <w:highlight w:val="none"/>
        </w:rPr>
      </w:r>
    </w:p>
    <w:p>
      <w:pPr>
        <w:ind w:firstLine="84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是否邀请服务对象参加验收：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rPr>
          <w:highlight w:val="none"/>
        </w:rPr>
      </w:r>
    </w:p>
    <w:p>
      <w:pPr>
        <w:ind w:firstLine="84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是否邀请第三方检测机构参加验收：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rPr>
          <w:highlight w:val="none"/>
        </w:rPr>
      </w:r>
    </w:p>
    <w:p>
      <w:pPr>
        <w:ind w:firstLine="84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是否进行抽查检测：</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是，抽查比例：</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rPr>
          <w:highlight w:val="none"/>
        </w:rPr>
      </w:r>
    </w:p>
    <w:p>
      <w:pPr>
        <w:ind w:firstLine="840"/>
        <w:spacing w:line="400" w:lineRule="exact"/>
        <w:rPr>
          <w:rFonts w:hint="eastAsia"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是否存在破坏性检测：</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是，</w:t>
      </w:r>
      <w:r>
        <w:rPr>
          <w:rFonts w:hint="eastAsia" w:ascii="宋体" w:hAnsi="宋体"/>
          <w:bCs/>
          <w:color w:val="000000" w:themeColor="text1"/>
          <w:szCs w:val="21"/>
          <w:highlight w:val="none"/>
          <w:u w:val="single"/>
          <w14:textFill>
            <w14:solidFill>
              <w14:schemeClr w14:val="tx1"/>
            </w14:solidFill>
          </w14:textFill>
        </w:rPr>
        <w:t xml:space="preserve">（应明确对被破坏的检测产品的处理方式）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否</w:t>
      </w:r>
      <w:r>
        <w:rPr>
          <w:highlight w:val="none"/>
        </w:rPr>
      </w:r>
    </w:p>
    <w:p>
      <w:pPr>
        <w:ind w:firstLine="840"/>
        <w:spacing w:line="400" w:lineRule="exact"/>
        <w:rPr>
          <w:rFonts w:hint="eastAsia"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验收组织的其他事项：</w:t>
      </w:r>
      <w:r>
        <w:rPr>
          <w:rFonts w:hint="eastAsia" w:ascii="宋体" w:hAnsi="宋体"/>
          <w:bCs/>
          <w:color w:val="000000" w:themeColor="text1"/>
          <w:szCs w:val="21"/>
          <w:highlight w:val="none"/>
          <w:u w:val="single"/>
          <w14:textFill>
            <w14:solidFill>
              <w14:schemeClr w14:val="tx1"/>
            </w14:solidFill>
          </w14:textFill>
        </w:rPr>
        <w:t xml:space="preserve">                </w:t>
      </w:r>
      <w:r>
        <w:rPr>
          <w:highlight w:val="none"/>
        </w:rPr>
      </w:r>
    </w:p>
    <w:p>
      <w:pPr>
        <w:ind w:firstLine="420"/>
        <w:spacing w:line="400" w:lineRule="exact"/>
        <w:rPr>
          <w:rFonts w:hint="eastAsia"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（2）履约验收时间：</w:t>
      </w:r>
      <w:r>
        <w:rPr>
          <w:rFonts w:hint="eastAsia" w:ascii="宋体" w:hAnsi="宋体"/>
          <w:bCs/>
          <w:color w:val="000000" w:themeColor="text1"/>
          <w:szCs w:val="21"/>
          <w:highlight w:val="none"/>
          <w:u w:val="single"/>
          <w14:textFill>
            <w14:solidFill>
              <w14:schemeClr w14:val="tx1"/>
            </w14:solidFill>
          </w14:textFill>
        </w:rPr>
        <w:t xml:space="preserve">（计划于何时验收/供应商提出验收申请之日起   日内组织验收） </w:t>
      </w:r>
      <w:r>
        <w:rPr>
          <w:highlight w:val="none"/>
        </w:rPr>
      </w:r>
    </w:p>
    <w:p>
      <w:pPr>
        <w:ind w:firstLine="420"/>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（3）履约验收方式：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一次性验收         </w:t>
      </w:r>
      <w:r>
        <w:rPr>
          <w:highlight w:val="none"/>
        </w:rPr>
      </w:r>
    </w:p>
    <w:p>
      <w:pPr>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分期/分项验收：</w:t>
      </w:r>
      <w:r>
        <w:rPr>
          <w:rFonts w:hint="eastAsia" w:ascii="宋体" w:hAnsi="宋体"/>
          <w:bCs/>
          <w:color w:val="000000" w:themeColor="text1"/>
          <w:szCs w:val="21"/>
          <w:highlight w:val="none"/>
          <w:u w:val="single"/>
          <w14:textFill>
            <w14:solidFill>
              <w14:schemeClr w14:val="tx1"/>
            </w14:solidFill>
          </w14:textFill>
        </w:rPr>
        <w:t xml:space="preserve"> （应明确分期</w:t>
      </w:r>
      <w:r>
        <w:rPr>
          <w:rFonts w:ascii="宋体" w:hAnsi="宋体"/>
          <w:bCs/>
          <w:color w:val="000000" w:themeColor="text1"/>
          <w:szCs w:val="21"/>
          <w:highlight w:val="none"/>
          <w:u w:val="single"/>
          <w:lang w:val="en"/>
          <w14:textFill>
            <w14:solidFill>
              <w14:schemeClr w14:val="tx1"/>
            </w14:solidFill>
          </w14:textFill>
        </w:rPr>
        <w:t xml:space="preserve">/</w:t>
      </w:r>
      <w:r>
        <w:rPr>
          <w:rFonts w:hint="eastAsia" w:ascii="宋体" w:hAnsi="宋体"/>
          <w:bCs/>
          <w:color w:val="000000" w:themeColor="text1"/>
          <w:szCs w:val="21"/>
          <w:highlight w:val="none"/>
          <w:u w:val="single"/>
          <w:lang w:val="en"/>
          <w14:textFill>
            <w14:solidFill>
              <w14:schemeClr w14:val="tx1"/>
            </w14:solidFill>
          </w14:textFill>
        </w:rPr>
        <w:t xml:space="preserve">分项验收的工作安排</w:t>
      </w:r>
      <w:r>
        <w:rPr>
          <w:rFonts w:hint="eastAsia" w:ascii="宋体" w:hAnsi="宋体"/>
          <w:bCs/>
          <w:color w:val="000000" w:themeColor="text1"/>
          <w:szCs w:val="21"/>
          <w:highlight w:val="none"/>
          <w:u w:val="single"/>
          <w14:textFill>
            <w14:solidFill>
              <w14:schemeClr w14:val="tx1"/>
            </w14:solidFill>
          </w14:textFill>
        </w:rPr>
        <w:t xml:space="preserve">）  </w:t>
      </w:r>
      <w:r>
        <w:rPr>
          <w:highlight w:val="none"/>
        </w:rPr>
      </w:r>
    </w:p>
    <w:p>
      <w:pPr>
        <w:ind w:firstLine="420"/>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（4）履约验收程序：</w:t>
      </w:r>
      <w:r>
        <w:rPr>
          <w:rFonts w:hint="eastAsia" w:ascii="宋体" w:hAnsi="宋体"/>
          <w:bCs/>
          <w:color w:val="000000" w:themeColor="text1"/>
          <w:szCs w:val="21"/>
          <w:highlight w:val="none"/>
          <w:u w:val="single"/>
          <w14:textFill>
            <w14:solidFill>
              <w14:schemeClr w14:val="tx1"/>
            </w14:solidFill>
          </w14:textFill>
        </w:rPr>
        <w:t xml:space="preserve">                                         </w:t>
      </w:r>
      <w:r>
        <w:rPr>
          <w:highlight w:val="none"/>
        </w:rPr>
      </w:r>
    </w:p>
    <w:p>
      <w:pPr>
        <w:ind w:firstLine="420"/>
        <w:spacing w:line="400" w:lineRule="exact"/>
        <w:rPr>
          <w:rFonts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（5）履约验收的内容：</w:t>
      </w:r>
      <w:r>
        <w:rPr>
          <w:rFonts w:hint="eastAsia" w:ascii="宋体" w:hAnsi="宋体"/>
          <w:bCs/>
          <w:color w:val="000000" w:themeColor="text1"/>
          <w:szCs w:val="21"/>
          <w:highlight w:val="none"/>
          <w:u w:val="single"/>
          <w14:textFill>
            <w14:solidFill>
              <w14:schemeClr w14:val="tx1"/>
            </w14:solidFill>
          </w14:textFill>
        </w:rPr>
        <w:t xml:space="preserve"> （应当包括每一项技术和商务要求的履约情况，特别是落实政府采购扶持中小企业，支持绿色发展和乡村振兴等政策情况）                                      </w:t>
      </w:r>
      <w:r>
        <w:rPr>
          <w:highlight w:val="none"/>
        </w:rPr>
      </w:r>
    </w:p>
    <w:p>
      <w:pPr>
        <w:ind w:firstLine="420"/>
        <w:spacing w:line="400" w:lineRule="exact"/>
        <w:rPr>
          <w:rFonts w:hint="eastAsia" w:ascii="宋体" w:hAnsi="宋体"/>
          <w:bCs/>
          <w:color w:val="000000" w:themeColor="text1"/>
          <w:szCs w:val="21"/>
          <w:highlight w:val="none"/>
          <w:u w:val="singl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（6）履约验收标准：</w:t>
      </w:r>
      <w:r>
        <w:rPr>
          <w:rFonts w:hint="eastAsia" w:ascii="宋体" w:hAnsi="宋体"/>
          <w:bCs/>
          <w:color w:val="000000" w:themeColor="text1"/>
          <w:szCs w:val="21"/>
          <w:highlight w:val="none"/>
          <w:u w:val="single"/>
          <w14:textFill>
            <w14:solidFill>
              <w14:schemeClr w14:val="tx1"/>
            </w14:solidFill>
          </w14:textFill>
        </w:rPr>
        <w:t xml:space="preserve">                                         </w:t>
      </w:r>
      <w:r>
        <w:rPr>
          <w:highlight w:val="none"/>
        </w:rPr>
      </w:r>
    </w:p>
    <w:p>
      <w:pPr>
        <w:ind w:firstLine="420"/>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（7）是否以采购活动中供应商提供的样品作为参考：</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否</w:t>
      </w:r>
      <w:r>
        <w:rPr>
          <w:highlight w:val="none"/>
        </w:rPr>
      </w:r>
    </w:p>
    <w:p>
      <w:pPr>
        <w:ind w:firstLine="420"/>
        <w:spacing w:line="400" w:lineRule="exact"/>
        <w:rPr>
          <w:rFonts w:hint="eastAsia"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（8）履约验收其他事项：</w:t>
      </w:r>
      <w:r>
        <w:rPr>
          <w:rFonts w:hint="eastAsia" w:ascii="宋体" w:hAnsi="宋体" w:cs="宋体"/>
          <w:bCs/>
          <w:color w:val="000000" w:themeColor="text1"/>
          <w:szCs w:val="21"/>
          <w:highlight w:val="none"/>
          <w:u w:val="single"/>
          <w14:textFill>
            <w14:solidFill>
              <w14:schemeClr w14:val="tx1"/>
            </w14:solidFill>
          </w14:textFill>
        </w:rPr>
        <w:t xml:space="preserve">      （产权过户登记等）           </w:t>
      </w:r>
      <w:r>
        <w:rPr>
          <w:highlight w:val="none"/>
        </w:rPr>
      </w:r>
    </w:p>
    <w:p>
      <w:pPr>
        <w:numPr>
          <w:ilvl w:val="0"/>
          <w:numId w:val="6"/>
        </w:numPr>
        <w:ind w:firstLine="421"/>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组成合同的文件</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本协议书与下列文件一起构成合同文件，如下述文件之间有任何抵触、矛盾或歧义，应按以下顺序解释：</w:t>
      </w:r>
      <w:r>
        <w:rPr>
          <w:highlight w:val="none"/>
        </w:rPr>
      </w:r>
    </w:p>
    <w:p>
      <w:pPr>
        <w:ind w:firstLine="420"/>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（1）政府采购合同协议书及其变更、补充协议</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（2）政府采购合同专用条款</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（3）政府采购合同通用条款</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（4）中标（成交）通知书</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（5）投标（响应）文件</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（6）采购文件</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（7）有关技术文件，图纸</w:t>
      </w:r>
      <w:r>
        <w:rPr>
          <w:highlight w:val="none"/>
        </w:rPr>
      </w:r>
    </w:p>
    <w:p>
      <w:pPr>
        <w:ind w:firstLine="420"/>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（8）国家法律、行政法规和规章制度规定或合同约定的作为合同组成部分的其他文件</w:t>
      </w:r>
      <w:r>
        <w:rPr>
          <w:highlight w:val="none"/>
        </w:rPr>
      </w:r>
    </w:p>
    <w:p>
      <w:pPr>
        <w:numPr>
          <w:ilvl w:val="0"/>
          <w:numId w:val="6"/>
        </w:numPr>
        <w:ind w:firstLine="421"/>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合同生效</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本合同自</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生效。</w:t>
      </w:r>
      <w:r>
        <w:rPr>
          <w:highlight w:val="none"/>
        </w:rPr>
      </w:r>
    </w:p>
    <w:p>
      <w:pPr>
        <w:numPr>
          <w:ilvl w:val="0"/>
          <w:numId w:val="6"/>
        </w:numPr>
        <w:ind w:firstLine="421"/>
        <w:spacing w:line="400" w:lineRule="exact"/>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合同份数</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本合同一式</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份，甲方执</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份，乙方执</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份，均具有同等法律效力。</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合同订立时间：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rPr>
          <w:highlight w:val="none"/>
        </w:rPr>
      </w:r>
    </w:p>
    <w:p>
      <w:pPr>
        <w:ind w:firstLine="420"/>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合同订立地点：</w:t>
      </w:r>
      <w:r>
        <w:rPr>
          <w:rFonts w:hint="eastAsia" w:ascii="宋体" w:hAnsi="宋体"/>
          <w:color w:val="000000" w:themeColor="text1"/>
          <w:szCs w:val="21"/>
          <w:highlight w:val="none"/>
          <w:u w:val="single"/>
          <w14:textFill>
            <w14:solidFill>
              <w14:schemeClr w14:val="tx1"/>
            </w14:solidFill>
          </w14:textFill>
        </w:rPr>
        <w:t xml:space="preserve">                           </w:t>
      </w:r>
      <w:r>
        <w:rPr>
          <w:highlight w:val="none"/>
        </w:rPr>
      </w:r>
    </w:p>
    <w:p>
      <w:pPr>
        <w:ind w:firstLine="420"/>
        <w:spacing w:line="400" w:lineRule="exact"/>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附件：具体标的及其技术要求和商务要求、联合协议、分包意向协议等。</w:t>
      </w:r>
      <w:r>
        <w:rPr>
          <w:highlight w:val="none"/>
        </w:rPr>
      </w:r>
    </w:p>
    <w:p>
      <w:pPr>
        <w:spacing w:line="4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rPr>
          <w:highlight w:val="none"/>
        </w:rPr>
      </w:r>
    </w:p>
    <w:p>
      <w:pPr>
        <w:keepLines/>
        <w:keepNext/>
        <w:spacing w:before="260" w:after="260" w:line="400" w:lineRule="exact"/>
        <w:rPr>
          <w:rFonts w:hint="eastAsia" w:ascii="Calibri Light" w:hAnsi="Calibri Light"/>
          <w:b/>
          <w:bCs/>
          <w:color w:val="000000" w:themeColor="text1"/>
          <w:sz w:val="32"/>
          <w:szCs w:val="32"/>
          <w:highlight w:val="none"/>
          <w14:textFill>
            <w14:solidFill>
              <w14:schemeClr w14:val="tx1"/>
            </w14:solidFill>
          </w14:textFill>
        </w:rPr>
        <w:outlineLvl w:val="1"/>
      </w:pPr>
      <w:r>
        <w:rPr>
          <w:rFonts w:hint="eastAsia" w:ascii="Calibri Light" w:hAnsi="Calibri Light"/>
          <w:b/>
          <w:bCs/>
          <w:color w:val="000000" w:themeColor="text1"/>
          <w:sz w:val="32"/>
          <w:szCs w:val="32"/>
          <w:highlight w:val="none"/>
          <w14:textFill>
            <w14:solidFill>
              <w14:schemeClr w14:val="tx1"/>
            </w14:solidFill>
          </w14:textFill>
        </w:rPr>
        <w:br w:type="page" w:clear="all"/>
      </w:r>
      <w:r>
        <w:rPr>
          <w:highlight w:val="none"/>
        </w:rPr>
      </w:r>
    </w:p>
    <w:tbl>
      <w:tblPr>
        <w:tblStyle w:val="996"/>
        <w:tblW w:w="5000"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3468"/>
        <w:gridCol w:w="1152"/>
        <w:gridCol w:w="3341"/>
      </w:tblGrid>
      <w:tr>
        <w:trPr>
          <w:trHeight w:val="490"/>
        </w:trPr>
        <w:tc>
          <w:tcPr>
            <w:gridSpan w:val="2"/>
            <w:tcW w:w="462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甲方</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（采购人</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、受采购人委托签订合同的单位或</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采购文件约定的合同甲方）</w:t>
            </w:r>
            <w:r>
              <w:rPr>
                <w:highlight w:val="none"/>
              </w:rPr>
            </w:r>
          </w:p>
        </w:tc>
        <w:tc>
          <w:tcPr>
            <w:gridSpan w:val="2"/>
            <w:tcW w:w="4546"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乙方</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（供应商）</w:t>
            </w:r>
            <w:r>
              <w:rPr>
                <w:highlight w:val="none"/>
              </w:rPr>
            </w:r>
          </w:p>
        </w:tc>
      </w:tr>
      <w:tr>
        <w:trPr>
          <w:trHeight w:val="917"/>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单位名称</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（公章或合同章）</w:t>
            </w:r>
            <w:r>
              <w:rPr>
                <w:highlight w:val="none"/>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单位名称</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（公章或合同章）</w:t>
            </w:r>
            <w:r>
              <w:rPr>
                <w:highlight w:val="none"/>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p>
        </w:tc>
      </w:tr>
      <w:tr>
        <w:trPr>
          <w:cantSplit/>
          <w:trHeight w:val="1171"/>
        </w:trPr>
        <w:tc>
          <w:tcPr>
            <w:tcW w:w="1108" w:type="dxa"/>
            <w:vAlign w:val="center"/>
            <w:vMerge w:val="restart"/>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法定代表人</w:t>
            </w:r>
            <w:r>
              <w:rPr>
                <w:highlight w:val="none"/>
              </w:rPr>
            </w:r>
          </w:p>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或其</w:t>
            </w: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委托代理人</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（签章）</w:t>
            </w:r>
            <w:r>
              <w:rPr>
                <w:highlight w:val="none"/>
              </w:rPr>
            </w:r>
          </w:p>
        </w:tc>
        <w:tc>
          <w:tcPr>
            <w:tcW w:w="1413" w:type="dxa"/>
            <w:vAlign w:val="center"/>
            <w:vMerge w:val="restart"/>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法定代表人</w:t>
            </w:r>
            <w:r>
              <w:rPr>
                <w:highlight w:val="none"/>
              </w:rPr>
            </w:r>
          </w:p>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或其</w:t>
            </w: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委托代理人</w:t>
            </w: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（签章）</w:t>
            </w:r>
            <w:r>
              <w:rPr>
                <w:highlight w:val="none"/>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p>
        </w:tc>
      </w:tr>
      <w:tr>
        <w:trPr>
          <w:cantSplit/>
          <w:trHeight w:val="483"/>
        </w:trPr>
        <w:tc>
          <w:tcPr>
            <w:tcW w:w="1108" w:type="dxa"/>
            <w:vAlign w:val="center"/>
            <w:vMerge w:val="continue"/>
            <w:textDirection w:val="lrTb"/>
            <w:noWrap w:val="false"/>
          </w:tcPr>
          <w:p>
            <w:pPr>
              <w:jc w:val="center"/>
              <w:spacing w:line="300" w:lineRule="exact"/>
              <w:widowControl w:val="off"/>
              <w:rPr>
                <w:rFonts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lang w:val="en-US" w:eastAsia="zh-CN" w:bidi="ar-SA"/>
              </w:rPr>
            </w:r>
            <w:r/>
          </w:p>
        </w:tc>
        <w:tc>
          <w:tcPr>
            <w:tcW w:w="1413" w:type="dxa"/>
            <w:vAlign w:val="center"/>
            <w:vMerge w:val="continue"/>
            <w:textDirection w:val="lrTb"/>
            <w:noWrap w:val="false"/>
          </w:tcPr>
          <w:p>
            <w:pPr>
              <w:jc w:val="center"/>
              <w:spacing w:line="300" w:lineRule="exact"/>
              <w:widowControl w:val="off"/>
              <w:rPr>
                <w:rFonts w:ascii="Times New Roman" w:hAnsi="Times New Roman" w:eastAsia="宋体" w:cs="Times New Roman"/>
                <w:sz w:val="21"/>
                <w:szCs w:val="21"/>
                <w:highlight w:val="none"/>
                <w:lang w:val="en-US" w:eastAsia="zh-CN" w:bidi="ar-SA"/>
              </w:rPr>
            </w:pPr>
            <w:r>
              <w:rPr>
                <w:rFonts w:ascii="Times New Roman" w:hAnsi="Times New Roman" w:eastAsia="宋体" w:cs="Times New Roman"/>
                <w:sz w:val="21"/>
                <w:szCs w:val="21"/>
                <w:highlight w:val="none"/>
                <w:lang w:val="en-US" w:eastAsia="zh-CN" w:bidi="ar-SA"/>
              </w:rPr>
            </w:r>
            <w:r/>
          </w:p>
        </w:tc>
        <w:tc>
          <w:tcPr>
            <w:tcW w:w="1160" w:type="dxa"/>
            <w:vAlign w:val="center"/>
            <w:textDirection w:val="lrTb"/>
            <w:noWrap w:val="false"/>
          </w:tcPr>
          <w:p>
            <w:pPr>
              <w:jc w:val="center"/>
              <w:spacing w:line="300" w:lineRule="exact"/>
              <w:widowControl w:val="off"/>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拥有者性别</w:t>
            </w:r>
            <w:r>
              <w:rPr>
                <w:highlight w:val="none"/>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p>
        </w:tc>
      </w:tr>
      <w:tr>
        <w:trPr>
          <w:trHeight w:val="483"/>
        </w:trPr>
        <w:tc>
          <w:tcPr>
            <w:tcW w:w="1108" w:type="dxa"/>
            <w:vAlign w:val="center"/>
            <w:textDirection w:val="lrTb"/>
            <w:noWrap w:val="false"/>
          </w:tcPr>
          <w:p>
            <w:pPr>
              <w:jc w:val="center"/>
              <w:spacing w:line="300" w:lineRule="exact"/>
              <w:widowControl w:val="off"/>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住  所</w:t>
            </w:r>
            <w:r>
              <w:rPr>
                <w:highlight w:val="none"/>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p>
        </w:tc>
        <w:tc>
          <w:tcPr>
            <w:tcW w:w="1160" w:type="dxa"/>
            <w:vAlign w:val="center"/>
            <w:textDirection w:val="lrTb"/>
            <w:noWrap w:val="false"/>
          </w:tcPr>
          <w:p>
            <w:pPr>
              <w:jc w:val="center"/>
              <w:spacing w:line="300" w:lineRule="exact"/>
              <w:widowControl w:val="off"/>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住  所</w:t>
            </w:r>
            <w:r>
              <w:rPr>
                <w:highlight w:val="none"/>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联 系 人</w:t>
            </w:r>
            <w:r>
              <w:rPr>
                <w:highlight w:val="none"/>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联 系 人</w:t>
            </w:r>
            <w:r>
              <w:rPr>
                <w:highlight w:val="none"/>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联系电话</w:t>
            </w:r>
            <w:r>
              <w:rPr>
                <w:highlight w:val="none"/>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联系电话</w:t>
            </w:r>
            <w:r>
              <w:rPr>
                <w:highlight w:val="none"/>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p>
        </w:tc>
      </w:tr>
      <w:tr>
        <w:trPr>
          <w:trHeight w:val="483"/>
        </w:trPr>
        <w:tc>
          <w:tcPr>
            <w:tcW w:w="1108" w:type="dxa"/>
            <w:vAlign w:val="center"/>
            <w:textDirection w:val="lrTb"/>
            <w:noWrap w:val="false"/>
          </w:tcPr>
          <w:p>
            <w:pPr>
              <w:jc w:val="center"/>
              <w:spacing w:line="300" w:lineRule="exact"/>
              <w:widowControl w:val="off"/>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通信地址</w:t>
            </w:r>
            <w:r>
              <w:rPr>
                <w:highlight w:val="none"/>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通信地址</w:t>
            </w:r>
            <w:r>
              <w:rPr>
                <w:highlight w:val="none"/>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邮政编码</w:t>
            </w:r>
            <w:r>
              <w:rPr>
                <w:highlight w:val="none"/>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邮政编码</w:t>
            </w:r>
            <w:r>
              <w:rPr>
                <w:highlight w:val="none"/>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电子邮箱</w:t>
            </w:r>
            <w:r>
              <w:rPr>
                <w:highlight w:val="none"/>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电子邮箱</w:t>
            </w:r>
            <w:r>
              <w:rPr>
                <w:highlight w:val="none"/>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统一社会信用代码</w:t>
            </w:r>
            <w:r>
              <w:rPr>
                <w:highlight w:val="none"/>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统一社会信用代码</w:t>
            </w:r>
            <w:r>
              <w:rPr>
                <w:highlight w:val="none"/>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开户名称</w:t>
            </w:r>
            <w:r>
              <w:rPr>
                <w:highlight w:val="none"/>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开户银行</w:t>
            </w:r>
            <w:r>
              <w:rPr>
                <w:highlight w:val="none"/>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p>
        </w:tc>
      </w:tr>
      <w:tr>
        <w:trPr>
          <w:trHeight w:val="483"/>
        </w:trPr>
        <w:tc>
          <w:tcPr>
            <w:tcW w:w="1108"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p>
        </w:tc>
        <w:tc>
          <w:tcPr>
            <w:tcW w:w="1413"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rPr>
                <w:highlight w:val="none"/>
              </w:rPr>
            </w:r>
          </w:p>
        </w:tc>
        <w:tc>
          <w:tcPr>
            <w:tcW w:w="1160"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lang w:val="en-US" w:eastAsia="zh-CN" w:bidi="ar-SA"/>
                <w14:textFill>
                  <w14:solidFill>
                    <w14:schemeClr w14:val="tx1"/>
                  </w14:solidFill>
                </w14:textFill>
              </w:rPr>
              <w:t xml:space="preserve">银行账号</w:t>
            </w:r>
            <w:r>
              <w:rPr>
                <w:highlight w:val="none"/>
              </w:rPr>
            </w:r>
          </w:p>
        </w:tc>
        <w:tc>
          <w:tcPr>
            <w:tcW w:w="1319" w:type="dxa"/>
            <w:vAlign w:val="center"/>
            <w:textDirection w:val="lrTb"/>
            <w:noWrap w:val="false"/>
          </w:tcPr>
          <w:p>
            <w:pPr>
              <w:jc w:val="center"/>
              <w:spacing w:line="300" w:lineRule="exact"/>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ascii="Times New Roman" w:hAnsi="Times New Roman" w:eastAsia="宋体" w:cs="Times New Roman"/>
                <w:color w:val="000000" w:themeColor="text1"/>
                <w:spacing w:val="20"/>
                <w:sz w:val="21"/>
                <w:szCs w:val="21"/>
                <w:highlight w:val="none"/>
                <w14:textFill>
                  <w14:solidFill>
                    <w14:schemeClr w14:val="tx1"/>
                  </w14:solidFill>
                </w14:textFill>
              </w:rPr>
            </w:r>
            <w:r>
              <w:rPr>
                <w:highlight w:val="none"/>
              </w:rPr>
            </w:r>
          </w:p>
        </w:tc>
      </w:tr>
      <w:tr>
        <w:trPr>
          <w:trHeight w:val="586"/>
        </w:trPr>
        <w:tc>
          <w:tcPr>
            <w:gridSpan w:val="4"/>
            <w:tcW w:w="9169" w:type="dxa"/>
            <w:vAlign w:val="center"/>
            <w:textDirection w:val="lrTb"/>
            <w:noWrap w:val="false"/>
          </w:tcPr>
          <w:p>
            <w:pPr>
              <w:jc w:val="left"/>
              <w:spacing w:before="156" w:line="360" w:lineRule="auto"/>
              <w:widowControl w:val="off"/>
              <w:rPr>
                <w:rFonts w:ascii="Times New Roman" w:hAnsi="Times New Roman" w:eastAsia="宋体" w:cs="Times New Roman"/>
                <w:color w:val="000000" w:themeColor="text1"/>
                <w:spacing w:val="20"/>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注：涉及联合体或其他合同主体的信息应按上表格式加列。</w:t>
            </w:r>
            <w:r>
              <w:rPr>
                <w:highlight w:val="none"/>
              </w:rPr>
            </w:r>
          </w:p>
        </w:tc>
      </w:tr>
    </w:tbl>
    <w:p>
      <w:pPr>
        <w:jc w:val="center"/>
        <w:keepLines/>
        <w:keepNext/>
        <w:spacing w:before="156" w:after="260" w:line="416" w:lineRule="auto"/>
        <w:rPr>
          <w:rFonts w:ascii="黑体" w:hAnsi="黑体" w:eastAsia="黑体"/>
          <w:b/>
          <w:bCs/>
          <w:color w:val="000000" w:themeColor="text1"/>
          <w:sz w:val="28"/>
          <w:szCs w:val="28"/>
          <w:highlight w:val="none"/>
          <w14:textFill>
            <w14:solidFill>
              <w14:schemeClr w14:val="tx1"/>
            </w14:solidFill>
          </w14:textFill>
        </w:rPr>
        <w:outlineLvl w:val="1"/>
      </w:pPr>
      <w:r>
        <w:rPr>
          <w:rFonts w:ascii="宋体" w:hAnsi="宋体"/>
          <w:b/>
          <w:bCs/>
          <w:color w:val="000000" w:themeColor="text1"/>
          <w:szCs w:val="21"/>
          <w:highlight w:val="none"/>
          <w:u w:val="single"/>
          <w14:textFill>
            <w14:solidFill>
              <w14:schemeClr w14:val="tx1"/>
            </w14:solidFill>
          </w14:textFill>
        </w:rPr>
        <w:br w:type="page" w:clear="all"/>
      </w:r>
      <w:bookmarkStart w:id="186" w:name="_Toc27624"/>
      <w:r>
        <w:rPr>
          <w:rFonts w:hint="eastAsia" w:ascii="黑体" w:hAnsi="黑体" w:eastAsia="黑体"/>
          <w:color w:val="000000" w:themeColor="text1"/>
          <w:sz w:val="28"/>
          <w:szCs w:val="28"/>
          <w:highlight w:val="none"/>
          <w14:textFill>
            <w14:solidFill>
              <w14:schemeClr w14:val="tx1"/>
            </w14:solidFill>
          </w14:textFill>
        </w:rPr>
        <w:t xml:space="preserve">第二节 政府采购合同通用条款</w:t>
      </w:r>
      <w:bookmarkEnd w:id="186"/>
      <w:r>
        <w:rPr>
          <w:highlight w:val="none"/>
        </w:rPr>
      </w:r>
      <w:r>
        <w:rPr>
          <w:highlight w:val="none"/>
        </w:rPr>
      </w:r>
    </w:p>
    <w:p>
      <w:pPr>
        <w:jc w:val="left"/>
        <w:spacing w:line="400" w:lineRule="exact"/>
        <w:tabs>
          <w:tab w:val="left" w:pos="8820" w:leader="none"/>
          <w:tab w:val="left" w:pos="9345" w:leader="none"/>
          <w:tab w:val="left" w:pos="9765" w:leader="none"/>
        </w:tabs>
        <w:rPr>
          <w:rFonts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1. </w:t>
      </w:r>
      <w:r>
        <w:rPr>
          <w:rFonts w:hint="eastAsia" w:ascii="宋体" w:hAnsi="宋体"/>
          <w:b/>
          <w:bCs/>
          <w:color w:val="000000" w:themeColor="text1"/>
          <w:sz w:val="24"/>
          <w:szCs w:val="24"/>
          <w:highlight w:val="none"/>
          <w14:textFill>
            <w14:solidFill>
              <w14:schemeClr w14:val="tx1"/>
            </w14:solidFill>
          </w14:textFill>
        </w:rPr>
        <w:t xml:space="preserve">定义</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（1）采购人（以下称甲方）是指使用财政性资金，通过政府采购方式向供应商购买货物及其相关服务的国家机关、事业单位、团体组织。</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（2）供应商（以下称乙方）是指参加政府采购活动并且中标（成交），向采购人提供合同约定的货物及其相关服务的法人、非法人组织或者自然人。</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 xml:space="preserve">依法参与合同缔结或履行，享有权利、承担义务的合同当事人</w:t>
      </w:r>
      <w:r>
        <w:rPr>
          <w:rFonts w:hint="eastAsia" w:ascii="宋体" w:hAnsi="宋体"/>
          <w:color w:val="000000" w:themeColor="text1"/>
          <w:szCs w:val="21"/>
          <w:highlight w:val="none"/>
          <w14:textFill>
            <w14:solidFill>
              <w14:schemeClr w14:val="tx1"/>
            </w14:solidFill>
          </w14:textFill>
        </w:rPr>
        <w:t xml:space="preserve">。</w:t>
      </w:r>
      <w:r>
        <w:rPr>
          <w:highlight w:val="none"/>
        </w:rPr>
      </w:r>
    </w:p>
    <w:p>
      <w:pPr>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1.2本合同下列术语应解释为：</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（1）“合同”系指</w:t>
      </w:r>
      <w:r>
        <w:rPr>
          <w:rFonts w:hint="eastAsia" w:ascii="宋体" w:hAnsi="宋体" w:cs="宋体"/>
          <w:bCs/>
          <w:color w:val="000000" w:themeColor="text1"/>
          <w:szCs w:val="21"/>
          <w:highlight w:val="none"/>
          <w14:textFill>
            <w14:solidFill>
              <w14:schemeClr w14:val="tx1"/>
            </w14:solidFill>
          </w14:textFill>
        </w:rPr>
        <w:t xml:space="preserve">合同当事人意思表示达成一致的任何协议，包括签署的</w:t>
      </w:r>
      <w:r>
        <w:rPr>
          <w:rFonts w:hint="eastAsia" w:ascii="宋体" w:hAnsi="宋体"/>
          <w:color w:val="000000" w:themeColor="text1"/>
          <w:szCs w:val="21"/>
          <w:highlight w:val="none"/>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 xml:space="preserve">国家法律、行政法规和规章制度规定或合同约定的作为合同组成部分的其他文件</w:t>
      </w:r>
      <w:r>
        <w:rPr>
          <w:rFonts w:hint="eastAsia" w:ascii="宋体" w:hAnsi="宋体"/>
          <w:color w:val="000000" w:themeColor="text1"/>
          <w:szCs w:val="21"/>
          <w:highlight w:val="none"/>
          <w14:textFill>
            <w14:solidFill>
              <w14:schemeClr w14:val="tx1"/>
            </w14:solidFill>
          </w14:textFill>
        </w:rPr>
        <w:t xml:space="preserve">。</w:t>
      </w:r>
      <w:r>
        <w:rPr>
          <w:highlight w:val="none"/>
        </w:rPr>
      </w:r>
    </w:p>
    <w:p>
      <w:pPr>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（2）“合同价款”系指根据本合同规定乙方在全面履行合同义务后甲方应支付给乙方的价款。</w:t>
      </w:r>
      <w:r>
        <w:rPr>
          <w:highlight w:val="none"/>
        </w:rPr>
      </w:r>
    </w:p>
    <w:p>
      <w:pPr>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（3）“货物”系指乙方根据本合同规定须向甲方提供的各种形态和种类的物品，包括原材料、设备、产品（包括软件）及相关的其备品备件、工具、手册及</w:t>
      </w:r>
      <w:r>
        <w:rPr>
          <w:rFonts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技术资料和材料等。</w:t>
      </w:r>
      <w:r>
        <w:rPr>
          <w:highlight w:val="none"/>
        </w:rP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（4）“相关服务”系指根据合同规定，乙方应提供的与货物有关的技术、管理和</w:t>
      </w:r>
      <w:r>
        <w:rPr>
          <w:rFonts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rPr>
          <w:highlight w:val="none"/>
        </w:rP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rPr>
          <w:highlight w:val="none"/>
        </w:rPr>
      </w:r>
    </w:p>
    <w:p>
      <w:pPr>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rPr>
          <w:highlight w:val="none"/>
        </w:rPr>
      </w:r>
    </w:p>
    <w:p>
      <w:pPr>
        <w:jc w:val="left"/>
        <w:spacing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rPr>
          <w:highlight w:val="none"/>
        </w:rPr>
      </w:r>
    </w:p>
    <w:p>
      <w:pPr>
        <w:numPr>
          <w:ilvl w:val="0"/>
          <w:numId w:val="9"/>
        </w:num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合同标的及金额</w:t>
      </w:r>
      <w:r>
        <w:rPr>
          <w:highlight w:val="none"/>
        </w:rPr>
      </w:r>
    </w:p>
    <w:p>
      <w:pPr>
        <w:jc w:val="left"/>
        <w:spacing w:line="400" w:lineRule="exac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rPr>
          <w:highlight w:val="none"/>
        </w:rPr>
      </w:r>
    </w:p>
    <w:p>
      <w:pPr>
        <w:jc w:val="left"/>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3. 履行合同的时间、地点和方式</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w:t>
      </w:r>
      <w:r>
        <w:rPr>
          <w:rFonts w:hint="eastAsia" w:ascii="宋体" w:hAnsi="宋体" w:cs="宋体"/>
          <w:color w:val="000000" w:themeColor="text1"/>
          <w:szCs w:val="21"/>
          <w:highlight w:val="none"/>
          <w14:textFill>
            <w14:solidFill>
              <w14:schemeClr w14:val="tx1"/>
            </w14:solidFill>
          </w14:textFill>
        </w:rPr>
        <w:t xml:space="preserve">乙方应当在约定的时间、地点，按照约定方式履行合同。</w:t>
      </w:r>
      <w:r>
        <w:rPr>
          <w:highlight w:val="none"/>
        </w:rP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4. 甲方的权利和义务</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rPr>
          <w:rFonts w:hint="eastAsia" w:ascii="宋体" w:hAnsi="宋体"/>
          <w:color w:val="000000" w:themeColor="text1"/>
          <w:szCs w:val="21"/>
          <w:highlight w:val="none"/>
          <w14:textFill>
            <w14:solidFill>
              <w14:schemeClr w14:val="tx1"/>
            </w14:solidFill>
          </w14:textFill>
        </w:rPr>
        <w:t xml:space="preserve">甲方有权对乙方的履约行为进行检查，并</w:t>
      </w:r>
      <w:r>
        <w:rPr>
          <w:rFonts w:ascii="宋体" w:hAnsi="宋体"/>
          <w:color w:val="000000" w:themeColor="text1"/>
          <w:szCs w:val="21"/>
          <w:highlight w:val="none"/>
          <w14:textFill>
            <w14:solidFill>
              <w14:schemeClr w14:val="tx1"/>
            </w14:solidFill>
          </w14:textFill>
        </w:rPr>
        <w:t xml:space="preserve">及时确认乙方提交的事项</w:t>
      </w:r>
      <w:r>
        <w:rPr>
          <w:rFonts w:hint="eastAsia" w:ascii="宋体" w:hAnsi="宋体"/>
          <w:color w:val="000000" w:themeColor="text1"/>
          <w:szCs w:val="21"/>
          <w:highlight w:val="none"/>
          <w14:textFill>
            <w14:solidFill>
              <w14:schemeClr w14:val="tx1"/>
            </w14:solidFill>
          </w14:textFill>
        </w:rPr>
        <w:t xml:space="preserve">。甲方应当</w:t>
      </w:r>
      <w:r>
        <w:rPr>
          <w:rFonts w:ascii="宋体" w:hAnsi="宋体"/>
          <w:color w:val="000000" w:themeColor="text1"/>
          <w:szCs w:val="21"/>
          <w:highlight w:val="none"/>
          <w14:textFill>
            <w14:solidFill>
              <w14:schemeClr w14:val="tx1"/>
            </w14:solidFill>
          </w14:textFill>
        </w:rPr>
        <w:t xml:space="preserve">配合乙方完成</w:t>
      </w:r>
      <w:r>
        <w:rPr>
          <w:rFonts w:hint="eastAsia" w:ascii="宋体" w:hAnsi="宋体"/>
          <w:color w:val="000000" w:themeColor="text1"/>
          <w:szCs w:val="21"/>
          <w:highlight w:val="none"/>
          <w14:textFill>
            <w14:solidFill>
              <w14:schemeClr w14:val="tx1"/>
            </w14:solidFill>
          </w14:textFill>
        </w:rPr>
        <w:t xml:space="preserve">相关项目</w:t>
      </w:r>
      <w:r>
        <w:rPr>
          <w:rFonts w:ascii="宋体" w:hAnsi="宋体"/>
          <w:color w:val="000000" w:themeColor="text1"/>
          <w:szCs w:val="21"/>
          <w:highlight w:val="none"/>
          <w14:textFill>
            <w14:solidFill>
              <w14:schemeClr w14:val="tx1"/>
            </w14:solidFill>
          </w14:textFill>
        </w:rPr>
        <w:t xml:space="preserve">实施工作。</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 </w:t>
      </w:r>
      <w:r>
        <w:rPr>
          <w:rFonts w:ascii="宋体" w:hAnsi="宋体"/>
          <w:color w:val="000000" w:themeColor="text1"/>
          <w:szCs w:val="21"/>
          <w:highlight w:val="none"/>
          <w14:textFill>
            <w14:solidFill>
              <w14:schemeClr w14:val="tx1"/>
            </w14:solidFill>
          </w14:textFill>
        </w:rPr>
        <w:t xml:space="preserve">甲方有权要求乙方按时提交各阶段有关</w:t>
      </w:r>
      <w:r>
        <w:rPr>
          <w:rFonts w:hint="eastAsia" w:ascii="宋体" w:hAnsi="宋体"/>
          <w:color w:val="000000" w:themeColor="text1"/>
          <w:szCs w:val="21"/>
          <w:highlight w:val="none"/>
          <w14:textFill>
            <w14:solidFill>
              <w14:schemeClr w14:val="tx1"/>
            </w14:solidFill>
          </w14:textFill>
        </w:rPr>
        <w:t xml:space="preserve">安排计划</w:t>
      </w:r>
      <w:r>
        <w:rPr>
          <w:rFonts w:ascii="宋体" w:hAnsi="宋体"/>
          <w:color w:val="000000" w:themeColor="text1"/>
          <w:szCs w:val="21"/>
          <w:highlight w:val="none"/>
          <w14:textFill>
            <w14:solidFill>
              <w14:schemeClr w14:val="tx1"/>
            </w14:solidFill>
          </w14:textFill>
        </w:rPr>
        <w:t xml:space="preserve">，并有权</w:t>
      </w:r>
      <w:r>
        <w:rPr>
          <w:rFonts w:hint="eastAsia" w:ascii="宋体" w:hAnsi="宋体"/>
          <w:color w:val="000000" w:themeColor="text1"/>
          <w:szCs w:val="21"/>
          <w:highlight w:val="none"/>
          <w14:textFill>
            <w14:solidFill>
              <w14:schemeClr w14:val="tx1"/>
            </w14:solidFill>
          </w14:textFill>
        </w:rPr>
        <w:t xml:space="preserve">定期核对乙方提供货物数量、规格、质量等内容。甲方</w:t>
      </w:r>
      <w:r>
        <w:rPr>
          <w:rFonts w:ascii="宋体" w:hAnsi="宋体"/>
          <w:color w:val="000000" w:themeColor="text1"/>
          <w:szCs w:val="21"/>
          <w:highlight w:val="none"/>
          <w14:textFill>
            <w14:solidFill>
              <w14:schemeClr w14:val="tx1"/>
            </w14:solidFill>
          </w14:textFill>
        </w:rPr>
        <w:t xml:space="preserve">有权督促乙方工作并要求乙方</w:t>
      </w:r>
      <w:r>
        <w:rPr>
          <w:rFonts w:hint="eastAsia" w:ascii="宋体" w:hAnsi="宋体"/>
          <w:color w:val="000000" w:themeColor="text1"/>
          <w:szCs w:val="21"/>
          <w:highlight w:val="none"/>
          <w14:textFill>
            <w14:solidFill>
              <w14:schemeClr w14:val="tx1"/>
            </w14:solidFill>
          </w14:textFill>
        </w:rPr>
        <w:t xml:space="preserve">更</w:t>
      </w:r>
      <w:r>
        <w:rPr>
          <w:rFonts w:ascii="宋体" w:hAnsi="宋体"/>
          <w:color w:val="000000" w:themeColor="text1"/>
          <w:szCs w:val="21"/>
          <w:highlight w:val="none"/>
          <w14:textFill>
            <w14:solidFill>
              <w14:schemeClr w14:val="tx1"/>
            </w14:solidFill>
          </w14:textFill>
        </w:rPr>
        <w:t xml:space="preserve">换不符合要求的</w:t>
      </w:r>
      <w:r>
        <w:rPr>
          <w:rFonts w:hint="eastAsia" w:ascii="宋体" w:hAnsi="宋体"/>
          <w:color w:val="000000" w:themeColor="text1"/>
          <w:szCs w:val="21"/>
          <w:highlight w:val="none"/>
          <w14:textFill>
            <w14:solidFill>
              <w14:schemeClr w14:val="tx1"/>
            </w14:solidFill>
          </w14:textFill>
        </w:rPr>
        <w:t xml:space="preserve">货物</w:t>
      </w:r>
      <w:r>
        <w:rPr>
          <w:rFonts w:ascii="宋体" w:hAnsi="宋体"/>
          <w:color w:val="000000" w:themeColor="text1"/>
          <w:szCs w:val="21"/>
          <w:highlight w:val="none"/>
          <w14:textFill>
            <w14:solidFill>
              <w14:schemeClr w14:val="tx1"/>
            </w14:solidFill>
          </w14:textFill>
        </w:rPr>
        <w:t xml:space="preserve">。</w:t>
      </w:r>
      <w:r>
        <w:rPr>
          <w:highlight w:val="none"/>
        </w:rP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有权要求乙方对缺陷部分予以修复，并按合同约定享有货物保修及其他合同约定的权利。</w:t>
      </w:r>
      <w:r>
        <w:rPr>
          <w:highlight w:val="none"/>
        </w:rPr>
      </w:r>
    </w:p>
    <w:p>
      <w:pPr>
        <w:spacing w:line="400" w:lineRule="exact"/>
        <w:rPr>
          <w:rFonts w:hint="eastAsia" w:eastAsia="华文楷体"/>
          <w:color w:val="000000" w:themeColor="text1"/>
          <w:szCs w:val="24"/>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4.4 甲方应当按照合同约定及时对交付的货物进行验收</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未</w:t>
      </w:r>
      <w:r>
        <w:rPr>
          <w:rFonts w:hint="eastAsia" w:ascii="宋体" w:hAnsi="宋体"/>
          <w:color w:val="000000" w:themeColor="text1"/>
          <w:szCs w:val="21"/>
          <w:highlight w:val="none"/>
          <w14:textFill>
            <w14:solidFill>
              <w14:schemeClr w14:val="tx1"/>
            </w14:solidFill>
          </w14:textFill>
        </w:rPr>
        <w:t xml:space="preserve">在</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约定的期限内对乙方履约提出任何异议或者向乙方作出任何说明的，</w:t>
      </w:r>
      <w:r>
        <w:rPr>
          <w:rFonts w:hint="eastAsia" w:ascii="宋体" w:hAnsi="宋体"/>
          <w:color w:val="000000" w:themeColor="text1"/>
          <w:szCs w:val="21"/>
          <w:highlight w:val="none"/>
          <w14:textFill>
            <w14:solidFill>
              <w14:schemeClr w14:val="tx1"/>
            </w14:solidFill>
          </w14:textFill>
        </w:rPr>
        <w:t xml:space="preserve">视为验收通过。</w:t>
      </w:r>
      <w:r>
        <w:rPr>
          <w:highlight w:val="none"/>
        </w:rP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5 </w:t>
      </w:r>
      <w:r>
        <w:rPr>
          <w:rFonts w:hint="eastAsia" w:ascii="宋体" w:hAnsi="宋体"/>
          <w:color w:val="000000" w:themeColor="text1"/>
          <w:szCs w:val="21"/>
          <w:highlight w:val="none"/>
          <w14:textFill>
            <w14:solidFill>
              <w14:schemeClr w14:val="tx1"/>
            </w14:solidFill>
          </w14:textFill>
        </w:rPr>
        <w:t xml:space="preserve">甲方应当根据合同约定及时向乙方支付合同价款</w:t>
      </w:r>
      <w:r>
        <w:rPr>
          <w:rFonts w:ascii="宋体" w:hAnsi="宋体"/>
          <w:color w:val="000000" w:themeColor="text1"/>
          <w:szCs w:val="21"/>
          <w:highlight w:val="none"/>
          <w14:textFill>
            <w14:solidFill>
              <w14:schemeClr w14:val="tx1"/>
            </w14:solidFill>
          </w14:textFill>
        </w:rPr>
        <w:t xml:space="preserve">，不得以内部人员变更、履行内部付款流程等为由，拒绝或迟延支付。</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4.6</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国家法律法规规定及</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约定应由甲方承担的其他义务和责任。</w:t>
      </w:r>
      <w:r>
        <w:rPr>
          <w:highlight w:val="none"/>
        </w:rP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5. 乙方的权利和义务</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 </w:t>
      </w:r>
      <w:r>
        <w:rPr>
          <w:rFonts w:ascii="宋体" w:hAnsi="宋体"/>
          <w:color w:val="000000" w:themeColor="text1"/>
          <w:szCs w:val="21"/>
          <w:highlight w:val="none"/>
          <w14:textFill>
            <w14:solidFill>
              <w14:schemeClr w14:val="tx1"/>
            </w14:solidFill>
          </w14:textFill>
        </w:rPr>
        <w:t xml:space="preserve">签署合同后，乙方</w:t>
      </w:r>
      <w:r>
        <w:rPr>
          <w:rFonts w:hint="eastAsia" w:ascii="宋体" w:hAnsi="宋体"/>
          <w:color w:val="000000" w:themeColor="text1"/>
          <w:szCs w:val="21"/>
          <w:highlight w:val="none"/>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2 乙方应按照合同要求</w:t>
      </w:r>
      <w:r>
        <w:rPr>
          <w:rFonts w:hint="eastAsia" w:ascii="宋体" w:hAnsi="宋体"/>
          <w:color w:val="000000" w:themeColor="text1"/>
          <w:szCs w:val="21"/>
          <w:highlight w:val="none"/>
          <w14:textFill>
            <w14:solidFill>
              <w14:schemeClr w14:val="tx1"/>
            </w14:solidFill>
          </w14:textFill>
        </w:rPr>
        <w:t xml:space="preserve">履约</w:t>
      </w:r>
      <w:r>
        <w:rPr>
          <w:rFonts w:ascii="宋体" w:hAnsi="宋体"/>
          <w:color w:val="000000" w:themeColor="text1"/>
          <w:szCs w:val="21"/>
          <w:highlight w:val="none"/>
          <w14:textFill>
            <w14:solidFill>
              <w14:schemeClr w14:val="tx1"/>
            </w14:solidFill>
          </w14:textFill>
        </w:rPr>
        <w:t xml:space="preserve">，充分合理安排，确保</w:t>
      </w:r>
      <w:r>
        <w:rPr>
          <w:rFonts w:hint="eastAsia" w:ascii="宋体" w:hAnsi="宋体"/>
          <w:color w:val="000000" w:themeColor="text1"/>
          <w:szCs w:val="21"/>
          <w:highlight w:val="none"/>
          <w14:textFill>
            <w14:solidFill>
              <w14:schemeClr w14:val="tx1"/>
            </w14:solidFill>
          </w14:textFill>
        </w:rPr>
        <w:t xml:space="preserve">提供的货物及相关服务符合合同有关</w:t>
      </w:r>
      <w:r>
        <w:rPr>
          <w:rFonts w:ascii="宋体" w:hAnsi="宋体"/>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Cs w:val="21"/>
          <w:highlight w:val="none"/>
          <w14:textFill>
            <w14:solidFill>
              <w14:schemeClr w14:val="tx1"/>
            </w14:solidFill>
          </w14:textFill>
        </w:rPr>
        <w:t xml:space="preserve">负责项目实施过程中的所有协调工作。</w:t>
      </w:r>
      <w:r>
        <w:rPr>
          <w:highlight w:val="none"/>
        </w:rP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乙方有权</w:t>
      </w:r>
      <w:r>
        <w:rPr>
          <w:rFonts w:hint="eastAsia" w:ascii="宋体" w:hAnsi="宋体" w:cs="宋体"/>
          <w:color w:val="000000" w:themeColor="text1"/>
          <w:szCs w:val="21"/>
          <w:highlight w:val="none"/>
          <w14:textFill>
            <w14:solidFill>
              <w14:schemeClr w14:val="tx1"/>
            </w14:solidFill>
          </w14:textFill>
        </w:rPr>
        <w:t xml:space="preserve">根据合同约定向甲方收取合同价款。</w:t>
      </w:r>
      <w:r>
        <w:rPr>
          <w:highlight w:val="none"/>
        </w:rPr>
      </w:r>
    </w:p>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14:textFill>
            <w14:solidFill>
              <w14:schemeClr w14:val="tx1"/>
            </w14:solidFill>
          </w14:textFill>
        </w:rPr>
        <w:t xml:space="preserve">及</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约定应由乙方承担的其他义务和责任。</w:t>
      </w:r>
      <w:r>
        <w:rPr>
          <w:highlight w:val="none"/>
        </w:rPr>
      </w:r>
    </w:p>
    <w:p>
      <w:pPr>
        <w:numPr>
          <w:ilvl w:val="0"/>
          <w:numId w:val="10"/>
        </w:numPr>
        <w:jc w:val="left"/>
        <w:spacing w:line="4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合同履行</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 甲乙双方应当按照</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rPr>
          <w:highlight w:val="none"/>
        </w:rPr>
      </w:r>
    </w:p>
    <w:p>
      <w:pPr>
        <w:jc w:val="left"/>
        <w:spacing w:line="400" w:lineRule="exact"/>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rPr>
          <w:highlight w:val="none"/>
        </w:rP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7. 货物包装、运输、保险和交付要求</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7.1 本合同</w:t>
      </w:r>
      <w:r>
        <w:rPr>
          <w:rFonts w:hint="eastAsia" w:ascii="宋体" w:hAnsi="宋体"/>
          <w:bCs/>
          <w:color w:val="000000" w:themeColor="text1"/>
          <w:szCs w:val="21"/>
          <w:highlight w:val="none"/>
          <w14:textFill>
            <w14:solidFill>
              <w14:schemeClr w14:val="tx1"/>
            </w14:solidFill>
          </w14:textFill>
        </w:rPr>
        <w:t xml:space="preserve">涉及商品包装、快递包装的，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乙方负责办理将货物运抵本合同规定的交货地点，并装卸、交付至甲方的一切运输事项，相关费用应包含在合同价款中。</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rPr>
          <w:highlight w:val="none"/>
        </w:rP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highlight w:val="none"/>
        </w:rP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7.5 </w:t>
      </w:r>
      <w:r>
        <w:rPr>
          <w:rFonts w:hint="eastAsia" w:ascii="宋体" w:hAnsi="宋体" w:cs="宋体"/>
          <w:color w:val="000000" w:themeColor="text1"/>
          <w:szCs w:val="21"/>
          <w:highlight w:val="none"/>
          <w14:textFill>
            <w14:solidFill>
              <w14:schemeClr w14:val="tx1"/>
            </w14:solidFill>
          </w14:textFill>
        </w:rPr>
        <w:t xml:space="preserve">乙方在运输到达之前应提前通知甲方，并提示货物运输装卸的注意事项，甲方配合乙方做好货物的接收工作。</w:t>
      </w:r>
      <w:r>
        <w:rPr>
          <w:highlight w:val="none"/>
        </w:rPr>
      </w:r>
    </w:p>
    <w:p>
      <w:pPr>
        <w:jc w:val="left"/>
        <w:spacing w:line="400" w:lineRule="exact"/>
        <w:widowControl/>
        <w:rPr>
          <w:rFonts w:ascii="华文楷体" w:hAnsi="华文楷体" w:eastAsia="华文楷体" w:cs="华文楷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rPr>
          <w:highlight w:val="none"/>
        </w:rPr>
      </w:r>
    </w:p>
    <w:p>
      <w:pPr>
        <w:jc w:val="left"/>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8. 质量标准和保证</w:t>
      </w:r>
      <w:r>
        <w:rPr>
          <w:highlight w:val="none"/>
        </w:rPr>
      </w:r>
    </w:p>
    <w:p>
      <w:pPr>
        <w:jc w:val="left"/>
        <w:spacing w:line="400" w:lineRule="exact"/>
        <w:rPr>
          <w:rFonts w:ascii="宋体" w:hAnsi="宋体" w:cs="Courier New"/>
          <w:b/>
          <w:color w:val="000000" w:themeColor="text1"/>
          <w:szCs w:val="21"/>
          <w:highlight w:val="none"/>
          <w14:textFill>
            <w14:solidFill>
              <w14:schemeClr w14:val="tx1"/>
            </w14:solidFill>
          </w14:textFill>
        </w:rPr>
      </w:pPr>
      <w:r>
        <w:rPr>
          <w:rFonts w:hint="eastAsia" w:ascii="宋体" w:hAnsi="宋体" w:cs="Courier New"/>
          <w:color w:val="000000" w:themeColor="text1"/>
          <w:szCs w:val="21"/>
          <w:highlight w:val="none"/>
          <w14:textFill>
            <w14:solidFill>
              <w14:schemeClr w14:val="tx1"/>
            </w14:solidFill>
          </w14:textFill>
        </w:rPr>
        <w:t xml:space="preserve">8.1 质量标准</w:t>
      </w:r>
      <w:r>
        <w:rPr>
          <w:highlight w:val="none"/>
        </w:rP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（1）本合同下提供的货物应符合合同</w:t>
      </w:r>
      <w:r>
        <w:rPr>
          <w:rFonts w:hint="eastAsia" w:ascii="宋体" w:hAnsi="宋体" w:cs="宋体"/>
          <w:color w:val="000000" w:themeColor="text1"/>
          <w:szCs w:val="21"/>
          <w:highlight w:val="none"/>
          <w14:textFill>
            <w14:solidFill>
              <w14:schemeClr w14:val="tx1"/>
            </w14:solidFill>
          </w14:textFill>
        </w:rPr>
        <w:t xml:space="preserve">约定的品牌、规格型号、技术性能、配置、质量、数量等要求。</w:t>
      </w:r>
      <w:r>
        <w:rPr>
          <w:rFonts w:hint="eastAsia" w:ascii="宋体" w:hAnsi="宋体"/>
          <w:color w:val="000000" w:themeColor="text1"/>
          <w:szCs w:val="21"/>
          <w:highlight w:val="none"/>
          <w14:textFill>
            <w14:solidFill>
              <w14:schemeClr w14:val="tx1"/>
            </w14:solidFill>
          </w14:textFill>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highlight w:val="none"/>
        </w:rPr>
      </w:r>
    </w:p>
    <w:p>
      <w:pPr>
        <w:jc w:val="left"/>
        <w:spacing w:line="400" w:lineRule="exact"/>
        <w:rPr>
          <w:rFonts w:ascii="宋体" w:hAnsi="宋体" w:cs="Courier New"/>
          <w:color w:val="000000" w:themeColor="text1"/>
          <w:szCs w:val="21"/>
          <w:highlight w:val="none"/>
          <w14:textFill>
            <w14:solidFill>
              <w14:schemeClr w14:val="tx1"/>
            </w14:solidFill>
          </w14:textFill>
        </w:rPr>
      </w:pPr>
      <w:r>
        <w:rPr>
          <w:rFonts w:hint="eastAsia" w:ascii="宋体" w:hAnsi="宋体" w:cs="Courier New"/>
          <w:color w:val="000000" w:themeColor="text1"/>
          <w:szCs w:val="21"/>
          <w:highlight w:val="none"/>
          <w14:textFill>
            <w14:solidFill>
              <w14:schemeClr w14:val="tx1"/>
            </w14:solidFill>
          </w14:textFill>
        </w:rPr>
        <w:t xml:space="preserve">（2）采用中华人民共和国法定计量单位。</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（3）乙方所提供的货物应符合国家有关安全、环保、卫生的规定。</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8.2 保证</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（1）乙方应保证提供的货物完全符合合同规定的质量、规格和性能要求。乙方应保证货物在正确安装、正常使用和保养条件下，</w:t>
      </w:r>
      <w:r>
        <w:rPr>
          <w:rFonts w:hint="eastAsia" w:ascii="宋体" w:hAnsi="宋体" w:cs="宋体"/>
          <w:color w:val="000000" w:themeColor="text1"/>
          <w:szCs w:val="21"/>
          <w:highlight w:val="none"/>
          <w14:textFill>
            <w14:solidFill>
              <w14:schemeClr w14:val="tx1"/>
            </w14:solidFill>
          </w14:textFill>
        </w:rPr>
        <w:t xml:space="preserve">在其使用寿命期内具备合同约定的性能</w:t>
      </w:r>
      <w:r>
        <w:rPr>
          <w:rFonts w:hint="eastAsia" w:ascii="宋体" w:hAnsi="宋体"/>
          <w:color w:val="000000" w:themeColor="text1"/>
          <w:szCs w:val="21"/>
          <w:highlight w:val="none"/>
          <w14:textFill>
            <w14:solidFill>
              <w14:schemeClr w14:val="tx1"/>
            </w14:solidFill>
          </w14:textFill>
        </w:rPr>
        <w:t xml:space="preserve">。存在质量保证期的，货物最终交付验收合格后在</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规定或乙方书面承诺（两者以较长的为准）的质量保证期内，本保证保持有效。</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（2）在质量保证期内所发现的缺陷，甲方应尽快以书面形式通知乙方。</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（3）乙方收到通知后，应在</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规定的响应时间内以合理的速度免费维修或更换有缺陷的货物或部件。</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rPr>
          <w:highlight w:val="none"/>
        </w:rPr>
      </w:r>
    </w:p>
    <w:p>
      <w:pPr>
        <w:jc w:val="left"/>
        <w:spacing w:line="400" w:lineRule="exact"/>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rPr>
          <w:highlight w:val="none"/>
        </w:rP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9. 权利瑕疵担保</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 乙方保证对其出售的货物享有合法的权利。</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 </w:t>
      </w:r>
      <w:r>
        <w:rPr>
          <w:rFonts w:hint="eastAsia" w:ascii="宋体" w:hAnsi="宋体" w:cs="宋体"/>
          <w:color w:val="000000" w:themeColor="text1"/>
          <w:szCs w:val="15"/>
          <w:highlight w:val="none"/>
          <w14:textFill>
            <w14:solidFill>
              <w14:schemeClr w14:val="tx1"/>
            </w14:solidFill>
          </w14:textFill>
        </w:rPr>
        <w:t xml:space="preserve">乙方保证在交付的货物上不存在抵押权等担保物权。</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9.3 如甲方使用上述货物构成对第三人侵权的，则由乙方承担全部责任。</w:t>
      </w:r>
      <w:r>
        <w:rPr>
          <w:highlight w:val="none"/>
        </w:rP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10. 知识产权保护</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10.1 乙方对其所销售的货物应当享有知识产权或经权利人合法授权，保证没有侵犯任何第三人的知识产权等权利。</w:t>
      </w:r>
      <w:bookmarkStart w:id="187" w:name="_Hlk163047038"/>
      <w:r>
        <w:rPr>
          <w:rFonts w:hint="eastAsia" w:ascii="宋体" w:hAnsi="宋体" w:cs="宋体"/>
          <w:color w:val="000000" w:themeColor="text1"/>
          <w:szCs w:val="15"/>
          <w:highlight w:val="none"/>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187"/>
      <w:r>
        <w:rPr>
          <w:rFonts w:hint="eastAsia" w:ascii="宋体" w:hAnsi="宋体"/>
          <w:color w:val="000000" w:themeColor="text1"/>
          <w:szCs w:val="21"/>
          <w:highlight w:val="none"/>
          <w14:textFill>
            <w14:solidFill>
              <w14:schemeClr w14:val="tx1"/>
            </w14:solidFill>
          </w14:textFill>
        </w:rPr>
        <w:t xml:space="preserve">。</w:t>
      </w:r>
      <w:r>
        <w:rPr>
          <w:highlight w:val="none"/>
        </w:rP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11. 保密义务</w:t>
      </w:r>
      <w:r>
        <w:rPr>
          <w:highlight w:val="none"/>
        </w:rPr>
      </w:r>
    </w:p>
    <w:p>
      <w:pPr>
        <w:jc w:val="left"/>
        <w:spacing w:line="400" w:lineRule="exact"/>
        <w:rPr>
          <w:rFonts w:hint="eastAsia" w:ascii="宋体" w:hAnsi="宋体" w:cs="宋体"/>
          <w:color w:val="000000" w:themeColor="text1"/>
          <w:szCs w:val="15"/>
          <w:highlight w:val="none"/>
          <w14:textFill>
            <w14:solidFill>
              <w14:schemeClr w14:val="tx1"/>
            </w14:solidFill>
          </w14:textFill>
        </w:rPr>
      </w:pPr>
      <w:r>
        <w:rPr>
          <w:rFonts w:hint="eastAsia" w:ascii="宋体" w:hAnsi="宋体" w:cs="宋体"/>
          <w:color w:val="000000" w:themeColor="text1"/>
          <w:szCs w:val="15"/>
          <w:highlight w:val="none"/>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szCs w:val="15"/>
          <w:highlight w:val="none"/>
          <w14:textFill>
            <w14:solidFill>
              <w14:schemeClr w14:val="tx1"/>
            </w14:solidFill>
          </w14:textFill>
        </w:rPr>
        <w:t xml:space="preserve">中约定。</w:t>
      </w:r>
      <w:r>
        <w:rPr>
          <w:highlight w:val="none"/>
        </w:rP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12. 合同价款支付</w:t>
      </w:r>
      <w:r>
        <w:rPr>
          <w:highlight w:val="none"/>
        </w:rPr>
      </w:r>
    </w:p>
    <w:p>
      <w:pPr>
        <w:jc w:val="left"/>
        <w:spacing w:line="400" w:lineRule="exact"/>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12.1 合同价款支付按照国库集中支付制度及财政管理相关规定执行。</w:t>
      </w:r>
      <w:r>
        <w:rPr>
          <w:highlight w:val="none"/>
        </w:rPr>
      </w:r>
    </w:p>
    <w:p>
      <w:pPr>
        <w:keepLines/>
        <w:keepNext/>
        <w:spacing w:before="260" w:after="260" w:line="400" w:lineRule="exact"/>
        <w:rPr>
          <w:rFonts w:hint="eastAsia" w:ascii="Calibri Light" w:hAnsi="Calibri Light"/>
          <w:b/>
          <w:bCs/>
          <w:color w:val="000000" w:themeColor="text1"/>
          <w:sz w:val="32"/>
          <w:szCs w:val="32"/>
          <w:highlight w:val="none"/>
          <w14:textFill>
            <w14:solidFill>
              <w14:schemeClr w14:val="tx1"/>
            </w14:solidFill>
          </w14:textFill>
        </w:rPr>
        <w:outlineLvl w:val="1"/>
      </w:pPr>
      <w:r>
        <w:rPr>
          <w:rFonts w:hint="eastAsia" w:ascii="宋体" w:hAnsi="宋体"/>
          <w:color w:val="000000" w:themeColor="text1"/>
          <w:szCs w:val="21"/>
          <w:highlight w:val="none"/>
          <w14:textFill>
            <w14:solidFill>
              <w14:schemeClr w14:val="tx1"/>
            </w14:solidFill>
          </w14:textFill>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】中约定。</w:t>
      </w:r>
      <w:r>
        <w:rPr>
          <w:highlight w:val="none"/>
        </w:rPr>
      </w:r>
    </w:p>
    <w:p>
      <w:pPr>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13. 履约保证金</w:t>
      </w:r>
      <w:r>
        <w:rPr>
          <w:highlight w:val="none"/>
        </w:rP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13.1 </w:t>
      </w:r>
      <w:r>
        <w:rPr>
          <w:rFonts w:hint="eastAsia" w:ascii="宋体" w:hAnsi="宋体" w:cs="宋体"/>
          <w:color w:val="000000" w:themeColor="text1"/>
          <w:szCs w:val="15"/>
          <w:highlight w:val="none"/>
          <w14:textFill>
            <w14:solidFill>
              <w14:schemeClr w14:val="tx1"/>
            </w14:solidFill>
          </w14:textFill>
        </w:rPr>
        <w:t xml:space="preserve">乙方应当以支票、汇票、本票或者金融机构、担保机构出具的保函等非现金形式提交。</w:t>
      </w:r>
      <w:r>
        <w:rPr>
          <w:highlight w:val="none"/>
        </w:rP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13.2 如果乙方出现</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szCs w:val="15"/>
          <w:highlight w:val="none"/>
          <w14:textFill>
            <w14:solidFill>
              <w14:schemeClr w14:val="tx1"/>
            </w14:solidFill>
          </w14:textFill>
        </w:rPr>
        <w:t xml:space="preserve">约定情形的</w:t>
      </w:r>
      <w:r>
        <w:rPr>
          <w:rFonts w:hint="eastAsia" w:ascii="宋体" w:hAnsi="宋体"/>
          <w:color w:val="000000" w:themeColor="text1"/>
          <w:szCs w:val="21"/>
          <w:highlight w:val="none"/>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rPr>
          <w:highlight w:val="none"/>
        </w:rPr>
      </w:r>
    </w:p>
    <w:p>
      <w:pPr>
        <w:spacing w:line="400" w:lineRule="exact"/>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13.3 甲方在项目通过验收后按照</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规定的时间内将履约保证金退还乙方；逾期退还的，乙方可要求甲方支付违约金，违约金按照</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规定支付。</w:t>
      </w:r>
      <w:r>
        <w:rPr>
          <w:highlight w:val="none"/>
        </w:rPr>
      </w:r>
    </w:p>
    <w:p>
      <w:pPr>
        <w:jc w:val="left"/>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14. </w:t>
      </w:r>
      <w:r>
        <w:rPr>
          <w:rFonts w:hint="eastAsia"/>
          <w:b/>
          <w:color w:val="000000" w:themeColor="text1"/>
          <w:sz w:val="24"/>
          <w:szCs w:val="24"/>
          <w:highlight w:val="none"/>
          <w14:textFill>
            <w14:solidFill>
              <w14:schemeClr w14:val="tx1"/>
            </w14:solidFill>
          </w14:textFill>
        </w:rPr>
        <w:t xml:space="preserve">售后</w:t>
      </w:r>
      <w:r>
        <w:rPr>
          <w:rFonts w:hint="eastAsia" w:ascii="宋体" w:hAnsi="宋体"/>
          <w:b/>
          <w:color w:val="000000" w:themeColor="text1"/>
          <w:sz w:val="24"/>
          <w:szCs w:val="24"/>
          <w:highlight w:val="none"/>
          <w14:textFill>
            <w14:solidFill>
              <w14:schemeClr w14:val="tx1"/>
            </w14:solidFill>
          </w14:textFill>
        </w:rPr>
        <w:t xml:space="preserve">服务</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14.1 除项目不涉及或采购活动中明确约定无须承担外，乙方还应提供下列服务：</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（1）货物的现场移动、安装、调试、启动监督及技术支持；</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（2）提供货物组装和维修所需的专用工具和辅助材料；</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（3）在</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约定的期限内对所有的货物实施运行监督、维修，但前提条件是该服务并不能免除乙方在质量保证期内所承担的义务；</w:t>
      </w:r>
      <w:r>
        <w:rPr>
          <w:highlight w:val="none"/>
        </w:rP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（4）在制造商所在地或指定现场就货物的安装、启动、运营、维护、废弃处置等对甲方操作人员进行培训</w:t>
      </w:r>
      <w:r>
        <w:rPr>
          <w:rFonts w:hint="eastAsia" w:ascii="宋体" w:hAnsi="宋体" w:cs="宋体"/>
          <w:color w:val="000000" w:themeColor="text1"/>
          <w:szCs w:val="15"/>
          <w:highlight w:val="none"/>
          <w14:textFill>
            <w14:solidFill>
              <w14:schemeClr w14:val="tx1"/>
            </w14:solidFill>
          </w14:textFill>
        </w:rPr>
        <w:t xml:space="preserve">；</w:t>
      </w:r>
      <w:r>
        <w:rPr>
          <w:highlight w:val="none"/>
        </w:rPr>
      </w:r>
    </w:p>
    <w:p>
      <w:pPr>
        <w:jc w:val="left"/>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（5）依照法律、行政法规的规定或者按照</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约定，货物在有效使用年限届满后应予回收的，乙方负有自行或者委托第三人对货物予以回收的义务；</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规定由乙方提供的其他服务。</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14.2 乙方提供的售后服务的费用已包含在合同价款中，甲方不再另行支付。</w:t>
      </w:r>
      <w:r>
        <w:rPr>
          <w:highlight w:val="none"/>
        </w:rP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15. 违约责任</w:t>
      </w:r>
      <w:r>
        <w:rPr>
          <w:highlight w:val="none"/>
        </w:rPr>
      </w:r>
    </w:p>
    <w:p>
      <w:pPr>
        <w:jc w:val="left"/>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15.1质量瑕疵的违约责任</w:t>
      </w:r>
      <w:r>
        <w:rPr>
          <w:highlight w:val="none"/>
        </w:rP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乙方提供的产品不符合合同约定的质量标准或存在产品质量缺陷，甲方有权要求乙方根据</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及时修理、重作、更换，并承担由此给甲方造成的损失。</w:t>
      </w:r>
      <w:r>
        <w:rPr>
          <w:highlight w:val="none"/>
        </w:rPr>
      </w:r>
    </w:p>
    <w:p>
      <w:pPr>
        <w:jc w:val="left"/>
        <w:spacing w:line="40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15.2 迟延交货的违约责任</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highlight w:val="none"/>
        </w:rP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规定执行。如果涉及公共利益，且赔偿金额无法弥补公共利益损失，甲方可要求继续履行或者采取其他补救措施。</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15.3 迟延支付的违约责任</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甲方存在迟延支付乙方合同款项的，应当承担</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规定的逾期付款利息。</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15.4其他违约责任根据项目实际需要按</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规定执行。</w:t>
      </w:r>
      <w:r>
        <w:rPr>
          <w:highlight w:val="none"/>
        </w:rPr>
      </w:r>
    </w:p>
    <w:p>
      <w:pPr>
        <w:numPr>
          <w:ilvl w:val="0"/>
          <w:numId w:val="11"/>
        </w:numPr>
        <w:jc w:val="left"/>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合同变更、中止与终止</w:t>
      </w:r>
      <w:r>
        <w:rPr>
          <w:highlight w:val="none"/>
        </w:rP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16.1合同的变更</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16.2合同的中止</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（1）合同履行过程中因供应商就采购文件、采购过程或结果提起投诉的，甲方认为有必要的，可以中止合同的履行。</w:t>
      </w:r>
      <w:r>
        <w:rPr>
          <w:highlight w:val="none"/>
        </w:rPr>
      </w:r>
    </w:p>
    <w:p>
      <w:pPr>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highlight w:val="none"/>
        </w:rPr>
      </w:r>
    </w:p>
    <w:p>
      <w:pPr>
        <w:spacing w:line="400" w:lineRule="exact"/>
        <w:widowControl/>
        <w:rPr>
          <w:rFonts w:ascii="华文楷体" w:hAnsi="华文楷体" w:eastAsia="华文楷体" w:cs="华文楷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rPr>
          <w:highlight w:val="none"/>
        </w:rPr>
      </w:r>
    </w:p>
    <w:p>
      <w:pPr>
        <w:jc w:val="left"/>
        <w:spacing w:line="400" w:lineRule="exact"/>
        <w:rPr>
          <w:color w:val="000000" w:themeColor="text1"/>
          <w:szCs w:val="24"/>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（4）甲方不得以行政区划调整、政府换届、机构或者职能调整以及相关责任人更替为由中止合同。</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16.3合同的终止</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（1）合同因有效期限届满而终止；</w:t>
      </w:r>
      <w:r>
        <w:rPr>
          <w:highlight w:val="none"/>
        </w:rPr>
      </w:r>
    </w:p>
    <w:p>
      <w:pP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（2）乙方未按合同约定履行，构成根本性违约的，甲方有权终止合同，</w:t>
      </w:r>
      <w:r>
        <w:rPr>
          <w:rFonts w:hint="eastAsia" w:ascii="宋体" w:hAnsi="宋体" w:cs="宋体"/>
          <w:color w:val="000000" w:themeColor="text1"/>
          <w:szCs w:val="21"/>
          <w:highlight w:val="none"/>
          <w14:textFill>
            <w14:solidFill>
              <w14:schemeClr w14:val="tx1"/>
            </w14:solidFill>
          </w14:textFill>
        </w:rPr>
        <w:t xml:space="preserve">并追究乙方的违约责任</w:t>
      </w:r>
      <w:r>
        <w:rPr>
          <w:rFonts w:hint="eastAsia" w:ascii="宋体" w:hAnsi="宋体"/>
          <w:color w:val="000000" w:themeColor="text1"/>
          <w:szCs w:val="21"/>
          <w:highlight w:val="none"/>
          <w14:textFill>
            <w14:solidFill>
              <w14:schemeClr w14:val="tx1"/>
            </w14:solidFill>
          </w14:textFill>
        </w:rPr>
        <w:t xml:space="preserve">。</w:t>
      </w:r>
      <w:r>
        <w:rPr>
          <w:highlight w:val="none"/>
        </w:rPr>
      </w:r>
    </w:p>
    <w:p>
      <w:pPr>
        <w:jc w:val="left"/>
        <w:spacing w:line="400" w:lineRule="exact"/>
        <w:widowControl/>
        <w:rPr>
          <w:rFonts w:hint="eastAsia" w:ascii="宋体" w:hAnsi="宋体" w:eastAsia="华文楷体" w:cs="华文楷体"/>
          <w:color w:val="000000" w:themeColor="text1"/>
          <w:sz w:val="22"/>
          <w:szCs w:val="21"/>
          <w:highlight w:val="none"/>
          <w14:textFill>
            <w14:solidFill>
              <w14:schemeClr w14:val="tx1"/>
            </w14:solidFill>
          </w14:textFill>
        </w:rPr>
      </w:pPr>
      <w:r>
        <w:rPr>
          <w:rFonts w:hint="eastAsia" w:ascii="宋体" w:hAnsi="宋体" w:eastAsia="华文楷体" w:cs="华文楷体"/>
          <w:color w:val="000000" w:themeColor="text1"/>
          <w:sz w:val="22"/>
          <w:szCs w:val="21"/>
          <w:highlight w:val="none"/>
          <w14:textFill>
            <w14:solidFill>
              <w14:schemeClr w14:val="tx1"/>
            </w14:solidFill>
          </w14:textFill>
        </w:rPr>
        <w:t xml:space="preserve">16.4 </w:t>
      </w:r>
      <w:r>
        <w:rPr>
          <w:rFonts w:hint="eastAsia" w:ascii="宋体" w:hAnsi="宋体"/>
          <w:color w:val="000000" w:themeColor="text1"/>
          <w:szCs w:val="21"/>
          <w:highlight w:val="none"/>
          <w14:textFill>
            <w14:solidFill>
              <w14:schemeClr w14:val="tx1"/>
            </w14:solidFill>
          </w14:textFill>
        </w:rPr>
        <w:t xml:space="preserve">涉及国家利益、社会公共利益的情形</w:t>
      </w:r>
      <w:r>
        <w:rPr>
          <w:highlight w:val="none"/>
        </w:rPr>
      </w:r>
    </w:p>
    <w:p>
      <w:pPr>
        <w:spacing w:line="400" w:lineRule="exact"/>
        <w:widowControl/>
        <w:rPr>
          <w:rFonts w:ascii="华文楷体" w:hAnsi="华文楷体" w:eastAsia="华文楷体" w:cs="华文楷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rPr>
          <w:highlight w:val="none"/>
        </w:rP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17. 合同分包</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17.1 乙方不得将合同转包给其他供应商。涉及合同分包的，乙方应根据采购文件和投标（响应）文件规定进行合同分包。</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rPr>
          <w:highlight w:val="none"/>
        </w:rP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18. 不可抗力</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18.1 不可抗力是指合同双方不能预见、不能避免且不能克服的客观情况。</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18.2 任何一方对由于不可抗力造成的部分或全部不能履行合同不承担违约责任。但迟延履行后发生不可抗力的，不能免除责任。</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highlight w:val="none"/>
        </w:rPr>
      </w:r>
    </w:p>
    <w:p>
      <w:pPr>
        <w:jc w:val="left"/>
        <w:spacing w:line="4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19. 解决争议的方法</w:t>
      </w:r>
      <w:r>
        <w:rPr>
          <w:highlight w:val="none"/>
        </w:rP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rPr>
          <w:highlight w:val="none"/>
        </w:rP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19.2 选择仲裁的，应在</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中明确仲裁机构及仲裁地；通过诉讼方式解决的，可以在</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中进一步约定选择与争议有实际联系的地点的人民法院管辖，但管辖法院的约定不得违反级别管辖和专属管辖的规定。</w:t>
      </w:r>
      <w:r>
        <w:rPr>
          <w:highlight w:val="none"/>
        </w:rP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19.3 如甲乙双方有争议的事项不影响合同其他部分的履行，在争议解决期间，合同其他部分应当继续履行。</w:t>
      </w:r>
      <w:r>
        <w:rPr>
          <w:highlight w:val="none"/>
        </w:rPr>
      </w:r>
    </w:p>
    <w:p>
      <w:pPr>
        <w:jc w:val="left"/>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20. 政府采购政策</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20.1 </w:t>
      </w:r>
      <w:r>
        <w:rPr>
          <w:rFonts w:hint="eastAsia" w:ascii="宋体" w:hAnsi="宋体" w:cs="宋体"/>
          <w:color w:val="000000" w:themeColor="text1"/>
          <w:szCs w:val="24"/>
          <w:highlight w:val="none"/>
          <w:lang w:val="en-GB"/>
          <w14:textFill>
            <w14:solidFill>
              <w14:schemeClr w14:val="tx1"/>
            </w14:solidFill>
          </w14:textFill>
        </w:rPr>
        <w:t xml:space="preserve">本合同应当按照规定执行政府采购政策。</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0.2 本合同依法执行政府采购政策的方式和内容，属于合同履约验收的范围。</w:t>
      </w:r>
      <w:r>
        <w:rPr>
          <w:rFonts w:hint="eastAsia" w:ascii="宋体" w:hAnsi="宋体" w:cs="宋体"/>
          <w:color w:val="000000" w:themeColor="text1"/>
          <w:szCs w:val="24"/>
          <w:highlight w:val="none"/>
          <w14:textFill>
            <w14:solidFill>
              <w14:schemeClr w14:val="tx1"/>
            </w14:solidFill>
          </w14:textFill>
        </w:rPr>
        <w:t xml:space="preserve">甲乙双方</w:t>
      </w:r>
      <w:r>
        <w:rPr>
          <w:rFonts w:hint="eastAsia" w:ascii="宋体" w:hAnsi="宋体" w:cs="宋体"/>
          <w:color w:val="000000" w:themeColor="text1"/>
          <w:szCs w:val="24"/>
          <w:highlight w:val="none"/>
          <w:lang w:val="en-GB"/>
          <w14:textFill>
            <w14:solidFill>
              <w14:schemeClr w14:val="tx1"/>
            </w14:solidFill>
          </w14:textFill>
        </w:rPr>
        <w:t xml:space="preserve">未按规定要求执行政府采购政策造成损失的</w:t>
      </w:r>
      <w:r>
        <w:rPr>
          <w:rFonts w:hint="eastAsia" w:ascii="宋体" w:hAnsi="宋体"/>
          <w:color w:val="000000" w:themeColor="text1"/>
          <w:szCs w:val="21"/>
          <w:highlight w:val="none"/>
          <w14:textFill>
            <w14:solidFill>
              <w14:schemeClr w14:val="tx1"/>
            </w14:solidFill>
          </w14:textFill>
        </w:rPr>
        <w:t xml:space="preserve">，有过错的一方应当承担赔偿责任，双方都有过错的，各自承担相应的责任。</w:t>
      </w:r>
      <w:r>
        <w:rPr>
          <w:highlight w:val="none"/>
        </w:rPr>
      </w:r>
    </w:p>
    <w:p>
      <w:pPr>
        <w:spacing w:line="400" w:lineRule="exact"/>
        <w:rPr>
          <w:rFonts w:ascii="Calibri" w:hAnsi="Calibri"/>
          <w:color w:val="000000" w:themeColor="text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highlight w:val="none"/>
        </w:rPr>
      </w:r>
    </w:p>
    <w:p>
      <w:pPr>
        <w:jc w:val="left"/>
        <w:spacing w:line="40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21. 法律适用</w:t>
      </w:r>
      <w:r>
        <w:rPr>
          <w:highlight w:val="none"/>
        </w:rP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21.1 本合同的订立、生效、解释、履行及与本合同有关的争议解决，均适用法律、行政法规。</w:t>
      </w:r>
      <w:r>
        <w:rPr>
          <w:highlight w:val="none"/>
        </w:rP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21.2 本合同条款与法律、行政法规的强制性规定不一致的，双方当事人应按照法律、行政法规的强制性规定修改本合同的相关条款。</w:t>
      </w:r>
      <w:r>
        <w:rPr>
          <w:highlight w:val="none"/>
        </w:rPr>
      </w:r>
    </w:p>
    <w:p>
      <w:pPr>
        <w:jc w:val="left"/>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22. 通知</w:t>
      </w:r>
      <w:r>
        <w:rPr>
          <w:highlight w:val="none"/>
        </w:rPr>
      </w:r>
    </w:p>
    <w:p>
      <w:pP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rPr>
          <w:highlight w:val="none"/>
        </w:rPr>
      </w:r>
    </w:p>
    <w:p>
      <w:pPr>
        <w:spacing w:line="400" w:lineRule="exact"/>
        <w:widowControl/>
        <w:rPr>
          <w:rFonts w:ascii="华文楷体" w:hAnsi="华文楷体" w:eastAsia="华文楷体" w:cs="华文楷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22.2 一方当事人变更名称、住所、联系人、联系电话或电子邮箱等信息的，应当在变更后3日内及时书面通知对方，对方实际收到变更通知前的送达仍为有效送达。</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22.3本合同一方给另一方的通知均应采用书面形式，传真或快递送到本合同中规定的对方的地址和办理签收手续。</w:t>
      </w:r>
      <w:r>
        <w:rPr>
          <w:highlight w:val="none"/>
        </w:rPr>
      </w:r>
    </w:p>
    <w:p>
      <w:pPr>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22.4通知以送达之日或通知书中规定的生效之日起生效，两者中以较迟之日为准。</w:t>
      </w:r>
      <w:r>
        <w:rPr>
          <w:highlight w:val="none"/>
        </w:rPr>
      </w:r>
    </w:p>
    <w:p>
      <w:pPr>
        <w:numPr>
          <w:ilvl w:val="0"/>
          <w:numId w:val="12"/>
        </w:num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合同未尽事项</w:t>
      </w:r>
      <w:r>
        <w:rPr>
          <w:highlight w:val="none"/>
        </w:rPr>
      </w:r>
    </w:p>
    <w:p>
      <w:pPr>
        <w:jc w:val="left"/>
        <w:spacing w:line="400" w:lineRule="exact"/>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23.1合同未尽事项见</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w:t>
      </w:r>
      <w:r>
        <w:rPr>
          <w:highlight w:val="none"/>
        </w:rPr>
      </w:r>
    </w:p>
    <w:p>
      <w:pPr>
        <w:jc w:val="left"/>
        <w:spacing w:line="400" w:lineRule="exact"/>
        <w:rPr>
          <w:rFonts w:ascii="黑体" w:hAnsi="华文中宋" w:eastAsia="黑体"/>
          <w:color w:val="000000" w:themeColor="text1"/>
          <w:sz w:val="28"/>
          <w:szCs w:val="28"/>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23.2 合同附件与合同正文具有同等的法律效力。</w:t>
      </w:r>
      <w:bookmarkStart w:id="188" w:name="_Toc20313"/>
      <w:r>
        <w:rPr>
          <w:highlight w:val="none"/>
        </w:rPr>
      </w:r>
      <w:r>
        <w:rPr>
          <w:highlight w:val="none"/>
        </w:rPr>
      </w:r>
    </w:p>
    <w:p>
      <w:pPr>
        <w:jc w:val="center"/>
        <w:rPr>
          <w:rFonts w:ascii="黑体" w:hAnsi="华文中宋" w:eastAsia="黑体"/>
          <w:color w:val="000000" w:themeColor="text1"/>
          <w:sz w:val="28"/>
          <w:szCs w:val="28"/>
          <w:highlight w:val="none"/>
          <w14:textFill>
            <w14:solidFill>
              <w14:schemeClr w14:val="tx1"/>
            </w14:solidFill>
          </w14:textFill>
        </w:rPr>
      </w:pPr>
      <w:r>
        <w:rPr>
          <w:rFonts w:hint="eastAsia" w:ascii="黑体" w:hAnsi="华文中宋" w:eastAsia="黑体"/>
          <w:color w:val="000000" w:themeColor="text1"/>
          <w:sz w:val="28"/>
          <w:szCs w:val="28"/>
          <w:highlight w:val="none"/>
          <w14:textFill>
            <w14:solidFill>
              <w14:schemeClr w14:val="tx1"/>
            </w14:solidFill>
          </w14:textFill>
        </w:rPr>
        <w:br w:type="page" w:clear="all"/>
      </w:r>
      <w:r>
        <w:rPr>
          <w:rFonts w:hint="eastAsia" w:ascii="黑体" w:hAnsi="华文中宋" w:eastAsia="黑体"/>
          <w:color w:val="000000" w:themeColor="text1"/>
          <w:sz w:val="28"/>
          <w:szCs w:val="28"/>
          <w:highlight w:val="none"/>
          <w14:textFill>
            <w14:solidFill>
              <w14:schemeClr w14:val="tx1"/>
            </w14:solidFill>
          </w14:textFill>
        </w:rPr>
        <w:t xml:space="preserve">第三节 政府采购合同专用条款</w:t>
      </w:r>
      <w:bookmarkEnd w:id="188"/>
      <w:r>
        <w:rPr>
          <w:highlight w:val="none"/>
        </w:rPr>
      </w:r>
      <w:r>
        <w:rPr>
          <w:highlight w:val="none"/>
        </w:rPr>
      </w:r>
    </w:p>
    <w:tbl>
      <w:tblPr>
        <w:tblStyle w:val="996"/>
        <w:tblW w:w="8931"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300"/>
        <w:gridCol w:w="5024"/>
      </w:tblGrid>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第1.2（6）项</w:t>
            </w:r>
            <w:r>
              <w:rPr>
                <w:highlight w:val="none"/>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联合体具体要求</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p>
        </w:tc>
      </w:tr>
      <w:tr>
        <w:trPr>
          <w:trHeight w:val="604"/>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第1.2（7）项</w:t>
            </w:r>
            <w:r>
              <w:rPr>
                <w:highlight w:val="none"/>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其他术语解释</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第4.4款</w:t>
            </w:r>
            <w:r>
              <w:rPr>
                <w:highlight w:val="none"/>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履约验收中甲方提出异议或作出说明的期限</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第4.6款</w:t>
            </w:r>
            <w:r>
              <w:rPr>
                <w:highlight w:val="none"/>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约定甲方承担的其他义务和责任</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第5.4款</w:t>
            </w:r>
            <w:r>
              <w:rPr>
                <w:highlight w:val="none"/>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约定乙方承担的其他义务和责任</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第6.1款</w:t>
            </w:r>
            <w:r>
              <w:rPr>
                <w:highlight w:val="none"/>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履行合同义务的顺序</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p>
        </w:tc>
      </w:tr>
      <w:tr>
        <w:trPr>
          <w:cantSplit/>
          <w:trHeight w:val="667"/>
        </w:trPr>
        <w:tc>
          <w:tcPr>
            <w:tcW w:w="1607" w:type="dxa"/>
            <w:vAlign w:val="center"/>
            <w:vMerge w:val="restart"/>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第7.1款</w:t>
            </w:r>
            <w:r>
              <w:rPr>
                <w:highlight w:val="none"/>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包装特殊要求</w:t>
            </w:r>
            <w:r>
              <w:rPr>
                <w:highlight w:val="none"/>
              </w:rPr>
            </w:r>
          </w:p>
        </w:tc>
        <w:tc>
          <w:tcPr>
            <w:tcW w:w="5024" w:type="dxa"/>
            <w:vAlign w:val="center"/>
            <w:textDirection w:val="lrTb"/>
            <w:noWrap w:val="false"/>
          </w:tcPr>
          <w:p>
            <w:pPr>
              <w:jc w:val="both"/>
              <w:widowControl w:val="off"/>
              <w:rPr>
                <w:rFonts w:ascii="Times New Roman" w:hAnsi="Times New Roman" w:eastAsia="宋体" w:cs="Times New Roman"/>
                <w:color w:val="000000" w:themeColor="text1"/>
                <w:sz w:val="21"/>
                <w:szCs w:val="24"/>
                <w:highlight w:val="none"/>
                <w14:textFill>
                  <w14:solidFill>
                    <w14:schemeClr w14:val="tx1"/>
                  </w14:solidFill>
                </w14:textFill>
              </w:rPr>
            </w:pPr>
            <w:r>
              <w:rPr>
                <w:rFonts w:ascii="Times New Roman" w:hAnsi="Times New Roman" w:eastAsia="宋体" w:cs="Times New Roman"/>
                <w:color w:val="000000" w:themeColor="text1"/>
                <w:sz w:val="21"/>
                <w:szCs w:val="24"/>
                <w:highlight w:val="none"/>
                <w14:textFill>
                  <w14:solidFill>
                    <w14:schemeClr w14:val="tx1"/>
                  </w14:solidFill>
                </w14:textFill>
              </w:rPr>
            </w:r>
            <w:r>
              <w:rPr>
                <w:highlight w:val="none"/>
              </w:rPr>
            </w:r>
          </w:p>
        </w:tc>
      </w:tr>
      <w:tr>
        <w:trPr>
          <w:cantSplit/>
          <w:trHeight w:val="667"/>
        </w:trPr>
        <w:tc>
          <w:tcPr>
            <w:tcW w:w="1607" w:type="dxa"/>
            <w:vAlign w:val="center"/>
            <w:vMerge w:val="continue"/>
            <w:textDirection w:val="lrTb"/>
            <w:noWrap w:val="false"/>
          </w:tcPr>
          <w:p>
            <w:pPr>
              <w:jc w:val="center"/>
              <w:widowControl w:val="off"/>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指定现场</w:t>
            </w:r>
            <w:r>
              <w:rPr>
                <w:highlight w:val="none"/>
              </w:rPr>
            </w:r>
          </w:p>
        </w:tc>
        <w:tc>
          <w:tcPr>
            <w:tcW w:w="5024" w:type="dxa"/>
            <w:vAlign w:val="center"/>
            <w:textDirection w:val="lrTb"/>
            <w:noWrap w:val="false"/>
          </w:tcPr>
          <w:p>
            <w:pPr>
              <w:jc w:val="both"/>
              <w:widowControl w:val="off"/>
              <w:rPr>
                <w:rFonts w:hint="eastAsia" w:ascii="Times New Roman" w:hAnsi="Times New Roman" w:eastAsia="宋体" w:cs="Times New Roman"/>
                <w:color w:val="000000" w:themeColor="text1"/>
                <w:sz w:val="21"/>
                <w:szCs w:val="24"/>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14:textFill>
                  <w14:solidFill>
                    <w14:schemeClr w14:val="tx1"/>
                  </w14:solidFill>
                </w14:textFill>
              </w:rPr>
            </w:r>
            <w:r>
              <w:rPr>
                <w:highlight w:val="none"/>
              </w:rPr>
            </w:r>
          </w:p>
        </w:tc>
      </w:tr>
      <w:tr>
        <w:trPr>
          <w:trHeight w:val="772"/>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第7.2款</w:t>
            </w:r>
            <w:r>
              <w:rPr>
                <w:highlight w:val="none"/>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运输特殊要求</w:t>
            </w:r>
            <w:r>
              <w:rPr>
                <w:highlight w:val="none"/>
              </w:rPr>
            </w:r>
          </w:p>
        </w:tc>
        <w:tc>
          <w:tcPr>
            <w:tcW w:w="5024" w:type="dxa"/>
            <w:vAlign w:val="center"/>
            <w:textDirection w:val="lrTb"/>
            <w:noWrap w:val="false"/>
          </w:tcPr>
          <w:p>
            <w:pPr>
              <w:jc w:val="both"/>
              <w:widowControl w:val="off"/>
              <w:rPr>
                <w:rFonts w:hint="eastAsia" w:ascii="Times New Roman" w:hAnsi="Times New Roman" w:eastAsia="宋体" w:cs="Times New Roman"/>
                <w:color w:val="000000" w:themeColor="text1"/>
                <w:sz w:val="21"/>
                <w:szCs w:val="24"/>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14:textFill>
                  <w14:solidFill>
                    <w14:schemeClr w14:val="tx1"/>
                  </w14:solidFill>
                </w14:textFill>
              </w:rPr>
            </w:r>
            <w:r>
              <w:rPr>
                <w:highlight w:val="none"/>
              </w:rPr>
            </w:r>
          </w:p>
        </w:tc>
      </w:tr>
      <w:tr>
        <w:trPr>
          <w:trHeight w:val="667"/>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第7.3款</w:t>
            </w:r>
            <w:r>
              <w:rPr>
                <w:highlight w:val="none"/>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保险要求</w:t>
            </w:r>
            <w:r>
              <w:rPr>
                <w:highlight w:val="none"/>
              </w:rPr>
            </w:r>
          </w:p>
        </w:tc>
        <w:tc>
          <w:tcPr>
            <w:tcW w:w="5024" w:type="dxa"/>
            <w:vAlign w:val="center"/>
            <w:textDirection w:val="lrTb"/>
            <w:noWrap w:val="false"/>
          </w:tcPr>
          <w:p>
            <w:pPr>
              <w:jc w:val="both"/>
              <w:widowControl w:val="off"/>
              <w:rPr>
                <w:rFonts w:hint="eastAsia" w:ascii="Times New Roman" w:hAnsi="Times New Roman" w:eastAsia="宋体" w:cs="Times New Roman"/>
                <w:color w:val="000000" w:themeColor="text1"/>
                <w:sz w:val="21"/>
                <w:szCs w:val="24"/>
                <w:highlight w:val="none"/>
                <w14:textFill>
                  <w14:solidFill>
                    <w14:schemeClr w14:val="tx1"/>
                  </w14:solidFill>
                </w14:textFill>
              </w:rPr>
            </w:pPr>
            <w:r>
              <w:rPr>
                <w:rFonts w:hint="eastAsia" w:ascii="Times New Roman" w:hAnsi="Times New Roman" w:eastAsia="宋体" w:cs="Times New Roman"/>
                <w:color w:val="000000" w:themeColor="text1"/>
                <w:sz w:val="21"/>
                <w:szCs w:val="24"/>
                <w:highlight w:val="none"/>
                <w14:textFill>
                  <w14:solidFill>
                    <w14:schemeClr w14:val="tx1"/>
                  </w14:solidFill>
                </w14:textFill>
              </w:rPr>
            </w:r>
            <w:r>
              <w:rPr>
                <w:highlight w:val="none"/>
              </w:rP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第8.2（1）项</w:t>
            </w:r>
            <w:r>
              <w:rPr>
                <w:highlight w:val="none"/>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质量保证期</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第8.2（3）项</w:t>
            </w:r>
            <w:r>
              <w:rPr>
                <w:highlight w:val="none"/>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货物质量缺陷</w:t>
            </w:r>
            <w:r>
              <w:rPr>
                <w:highlight w:val="none"/>
              </w:rPr>
            </w:r>
          </w:p>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响应时间</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p>
        </w:tc>
      </w:tr>
      <w:tr>
        <w:trPr>
          <w:trHeight w:val="736"/>
        </w:trPr>
        <w:tc>
          <w:tcPr>
            <w:tcW w:w="1607" w:type="dxa"/>
            <w:vAlign w:val="center"/>
            <w:textDirection w:val="lrTb"/>
            <w:noWrap w:val="false"/>
          </w:tcPr>
          <w:p>
            <w:pPr>
              <w:jc w:val="center"/>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spacing w:line="400" w:lineRule="exact"/>
              <w:widowControl/>
              <w:rPr>
                <w:rFonts w:ascii="华文楷体" w:hAnsi="华文楷体" w:eastAsia="华文楷体" w:cs="华文楷体"/>
                <w:color w:val="000000" w:themeColor="text1"/>
                <w:sz w:val="22"/>
                <w:szCs w:val="21"/>
                <w:highlight w:val="none"/>
                <w14:textFill>
                  <w14:solidFill>
                    <w14:schemeClr w14:val="tx1"/>
                  </w14:solidFill>
                </w14:textFill>
              </w:rPr>
            </w:pPr>
            <w:r>
              <w:rPr>
                <w:rFonts w:hint="eastAsia" w:ascii="宋体" w:hAnsi="宋体" w:eastAsia="宋体" w:cs="宋体"/>
                <w:color w:val="000000" w:themeColor="text1"/>
                <w:sz w:val="22"/>
                <w:szCs w:val="21"/>
                <w:highlight w:val="none"/>
                <w:lang w:val="en-US" w:eastAsia="zh-CN" w:bidi="ar-SA"/>
                <w14:textFill>
                  <w14:solidFill>
                    <w14:schemeClr w14:val="tx1"/>
                  </w14:solidFill>
                </w14:textFill>
              </w:rPr>
              <w:t xml:space="preserve">第11.1款</w:t>
            </w:r>
            <w:r>
              <w:rPr>
                <w:highlight w:val="none"/>
              </w:rPr>
            </w:r>
          </w:p>
        </w:tc>
        <w:tc>
          <w:tcPr>
            <w:tcW w:w="2300" w:type="dxa"/>
            <w:vAlign w:val="center"/>
            <w:textDirection w:val="lrTb"/>
            <w:noWrap w:val="false"/>
          </w:tcPr>
          <w:p>
            <w:pPr>
              <w:jc w:val="both"/>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其他应当保密的信息</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p>
        </w:tc>
      </w:tr>
      <w:tr>
        <w:trPr>
          <w:trHeight w:val="697"/>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第12.2款</w:t>
            </w:r>
            <w:r>
              <w:rPr>
                <w:highlight w:val="none"/>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合同价款支付时间</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p>
        </w:tc>
      </w:tr>
      <w:tr>
        <w:trPr>
          <w:trHeight w:val="697"/>
        </w:trPr>
        <w:tc>
          <w:tcPr>
            <w:tcW w:w="1607"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第13.2款</w:t>
            </w:r>
            <w:r>
              <w:rPr>
                <w:highlight w:val="none"/>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履约保证金不予退还的情形</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p>
        </w:tc>
      </w:tr>
      <w:tr>
        <w:trPr>
          <w:trHeight w:val="736"/>
        </w:trPr>
        <w:tc>
          <w:tcPr>
            <w:tcW w:w="1607" w:type="dxa"/>
            <w:vAlign w:val="center"/>
            <w:textDirection w:val="lrTb"/>
            <w:noWrap w:val="false"/>
          </w:tcPr>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第13.3款</w:t>
            </w:r>
            <w:r>
              <w:rPr>
                <w:highlight w:val="none"/>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履约保证金退还时间及逾期退还的违约金</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p>
        </w:tc>
      </w:tr>
      <w:tr>
        <w:trPr>
          <w:trHeight w:val="784"/>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第14.1（3）项</w:t>
            </w:r>
            <w:r>
              <w:rPr>
                <w:highlight w:val="none"/>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运行监督、维修期限</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p>
        </w:tc>
      </w:tr>
      <w:tr>
        <w:trPr>
          <w:trHeight w:val="784"/>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第14.1（5）项</w:t>
            </w:r>
            <w:r>
              <w:rPr>
                <w:highlight w:val="none"/>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货物回收的约定</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第14.1（6）项</w:t>
            </w:r>
            <w:r>
              <w:rPr>
                <w:highlight w:val="none"/>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乙方提供的其他服务</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第15.1款</w:t>
            </w:r>
            <w:r>
              <w:rPr>
                <w:highlight w:val="none"/>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修理、重作、更换相关具体规定</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第15.2（2）项</w:t>
            </w:r>
            <w:r>
              <w:rPr>
                <w:highlight w:val="none"/>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迟延交货赔偿费</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u w:val="single"/>
                <w14:textFill>
                  <w14:solidFill>
                    <w14:schemeClr w14:val="tx1"/>
                  </w14:solidFill>
                </w14:textFill>
              </w:rPr>
            </w:pPr>
            <w:r>
              <w:rPr>
                <w:rFonts w:ascii="宋体" w:hAnsi="宋体" w:eastAsia="宋体" w:cs="Times New Roman"/>
                <w:color w:val="000000" w:themeColor="text1"/>
                <w:sz w:val="21"/>
                <w:szCs w:val="21"/>
                <w:highlight w:val="none"/>
                <w:u w:val="single"/>
                <w14:textFill>
                  <w14:solidFill>
                    <w14:schemeClr w14:val="tx1"/>
                  </w14:solidFill>
                </w14:textFill>
              </w:rPr>
            </w:r>
            <w:r>
              <w:rPr>
                <w:highlight w:val="none"/>
              </w:rPr>
            </w:r>
          </w:p>
        </w:tc>
      </w:tr>
      <w:tr>
        <w:trPr>
          <w:trHeight w:val="73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第15.3款</w:t>
            </w:r>
            <w:r>
              <w:rPr>
                <w:highlight w:val="none"/>
              </w:rPr>
            </w:r>
          </w:p>
        </w:tc>
        <w:tc>
          <w:tcPr>
            <w:tcW w:w="2300" w:type="dxa"/>
            <w:vAlign w:val="center"/>
            <w:textDirection w:val="lrTb"/>
            <w:noWrap w:val="false"/>
          </w:tcPr>
          <w:p>
            <w:pPr>
              <w:jc w:val="lef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逾期付款利息</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u w:val="single"/>
                <w14:textFill>
                  <w14:solidFill>
                    <w14:schemeClr w14:val="tx1"/>
                  </w14:solidFill>
                </w14:textFill>
              </w:rPr>
            </w:pPr>
            <w:r>
              <w:rPr>
                <w:rFonts w:ascii="宋体" w:hAnsi="宋体" w:eastAsia="宋体" w:cs="Times New Roman"/>
                <w:color w:val="000000" w:themeColor="text1"/>
                <w:sz w:val="21"/>
                <w:szCs w:val="21"/>
                <w:highlight w:val="none"/>
                <w:u w:val="single"/>
                <w14:textFill>
                  <w14:solidFill>
                    <w14:schemeClr w14:val="tx1"/>
                  </w14:solidFill>
                </w14:textFill>
              </w:rPr>
            </w:r>
            <w:r>
              <w:rPr>
                <w:highlight w:val="none"/>
              </w:rPr>
            </w:r>
          </w:p>
        </w:tc>
      </w:tr>
      <w:tr>
        <w:trPr>
          <w:trHeight w:val="876"/>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第15.4款</w:t>
            </w:r>
            <w:r>
              <w:rPr>
                <w:highlight w:val="none"/>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其他违约责任</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u w:val="single"/>
                <w14:textFill>
                  <w14:solidFill>
                    <w14:schemeClr w14:val="tx1"/>
                  </w14:solidFill>
                </w14:textFill>
              </w:rPr>
            </w:pPr>
            <w:r>
              <w:rPr>
                <w:rFonts w:ascii="宋体" w:hAnsi="宋体" w:eastAsia="宋体" w:cs="Times New Roman"/>
                <w:color w:val="000000" w:themeColor="text1"/>
                <w:sz w:val="21"/>
                <w:szCs w:val="21"/>
                <w:highlight w:val="none"/>
                <w:u w:val="single"/>
                <w14:textFill>
                  <w14:solidFill>
                    <w14:schemeClr w14:val="tx1"/>
                  </w14:solidFill>
                </w14:textFill>
              </w:rPr>
            </w:r>
            <w:r>
              <w:rPr>
                <w:highlight w:val="none"/>
              </w:rPr>
            </w:r>
          </w:p>
        </w:tc>
      </w:tr>
      <w:tr>
        <w:trPr>
          <w:trHeight w:val="90"/>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第19.2款</w:t>
            </w:r>
            <w:r>
              <w:rPr>
                <w:highlight w:val="none"/>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解决争议的方法</w:t>
            </w:r>
            <w:r>
              <w:rPr>
                <w:highlight w:val="none"/>
              </w:rPr>
            </w:r>
          </w:p>
        </w:tc>
        <w:tc>
          <w:tcPr>
            <w:tcW w:w="5024"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rPr>
                <w:highlight w:val="none"/>
              </w:rPr>
            </w:r>
          </w:p>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rPr>
                <w:highlight w:val="none"/>
              </w:rPr>
            </w:r>
          </w:p>
          <w:p>
            <w:pPr>
              <w:jc w:val="left"/>
              <w:widowControl w:val="off"/>
              <w:rPr>
                <w:rFonts w:ascii="宋体" w:hAnsi="宋体" w:eastAsia="宋体" w:cs="Times New Roman"/>
                <w:color w:val="000000" w:themeColor="text1"/>
                <w:sz w:val="21"/>
                <w:szCs w:val="21"/>
                <w:highlight w:val="none"/>
                <w:u w:val="singl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rPr>
                <w:highlight w:val="none"/>
              </w:rPr>
            </w:r>
          </w:p>
        </w:tc>
      </w:tr>
      <w:tr>
        <w:trPr>
          <w:trHeight w:val="770"/>
        </w:trPr>
        <w:tc>
          <w:tcPr>
            <w:tcW w:w="1607" w:type="dxa"/>
            <w:vAlign w:val="center"/>
            <w:textDirection w:val="lrTb"/>
            <w:noWrap w:val="false"/>
          </w:tcPr>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第二节</w:t>
            </w:r>
            <w:r>
              <w:rPr>
                <w:highlight w:val="none"/>
              </w:rPr>
            </w:r>
          </w:p>
          <w:p>
            <w:pPr>
              <w:jc w:val="center"/>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第23.1款</w:t>
            </w:r>
            <w:r>
              <w:rPr>
                <w:highlight w:val="none"/>
              </w:rPr>
            </w:r>
          </w:p>
        </w:tc>
        <w:tc>
          <w:tcPr>
            <w:tcW w:w="2300"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bCs/>
                <w:color w:val="000000" w:themeColor="text1"/>
                <w:sz w:val="21"/>
                <w:szCs w:val="21"/>
                <w:highlight w:val="none"/>
                <w:lang w:val="en-US" w:eastAsia="zh-CN" w:bidi="ar-SA"/>
                <w14:textFill>
                  <w14:solidFill>
                    <w14:schemeClr w14:val="tx1"/>
                  </w14:solidFill>
                </w14:textFill>
              </w:rPr>
              <w:t xml:space="preserve">其他专用条款</w:t>
            </w:r>
            <w:r>
              <w:rPr>
                <w:highlight w:val="none"/>
              </w:rPr>
            </w:r>
          </w:p>
        </w:tc>
        <w:tc>
          <w:tcPr>
            <w:tcW w:w="5024" w:type="dxa"/>
            <w:vAlign w:val="center"/>
            <w:textDirection w:val="lrTb"/>
            <w:noWrap w:val="false"/>
          </w:tcPr>
          <w:p>
            <w:pPr>
              <w:jc w:val="left"/>
              <w:widowControl w:val="off"/>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r>
            <w:r>
              <w:rPr>
                <w:highlight w:val="none"/>
              </w:rPr>
            </w:r>
          </w:p>
        </w:tc>
      </w:tr>
    </w:tbl>
    <w:p>
      <w:pPr>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r>
      <w:r>
        <w:rPr>
          <w:highlight w:val="none"/>
        </w:rPr>
      </w:r>
    </w:p>
    <w:p>
      <w:pPr>
        <w:spacing w:line="360" w:lineRule="auto"/>
        <w:rPr>
          <w:rFonts w:ascii="等线" w:hAnsi="等线" w:eastAsia="等线" w:cs="仿宋"/>
          <w:color w:val="000000" w:themeColor="text1"/>
          <w:szCs w:val="21"/>
          <w:highlight w:val="none"/>
          <w14:textFill>
            <w14:solidFill>
              <w14:schemeClr w14:val="tx1"/>
            </w14:solidFill>
          </w14:textFill>
        </w:rPr>
      </w:pPr>
      <w:r>
        <w:rPr>
          <w:rFonts w:ascii="等线" w:hAnsi="等线" w:eastAsia="等线" w:cs="仿宋"/>
          <w:color w:val="000000" w:themeColor="text1"/>
          <w:szCs w:val="21"/>
          <w:highlight w:val="none"/>
          <w14:textFill>
            <w14:solidFill>
              <w14:schemeClr w14:val="tx1"/>
            </w14:solidFill>
          </w14:textFill>
        </w:rPr>
      </w:r>
      <w:r>
        <w:rPr>
          <w:highlight w:val="none"/>
        </w:rPr>
      </w:r>
    </w:p>
    <w:p>
      <w:pPr>
        <w:jc w:val="center"/>
        <w:spacing w:before="120" w:after="120" w:line="480" w:lineRule="exact"/>
        <w:rPr>
          <w:rFonts w:hint="eastAsia" w:ascii="宋体" w:hAnsi="宋体" w:cs="Courier New"/>
          <w:color w:val="000000" w:themeColor="text1"/>
          <w:sz w:val="24"/>
          <w:szCs w:val="24"/>
          <w:highlight w:val="none"/>
          <w14:textFill>
            <w14:solidFill>
              <w14:schemeClr w14:val="tx1"/>
            </w14:solidFill>
          </w14:textFill>
        </w:rPr>
        <w:outlineLvl w:val="0"/>
      </w:pPr>
      <w:r>
        <w:rPr>
          <w:rFonts w:ascii="黑体" w:hAnsi="Courier New" w:eastAsia="黑体" w:cs="Courier New"/>
          <w:bCs/>
          <w:color w:val="000000" w:themeColor="text1"/>
          <w:sz w:val="44"/>
          <w:szCs w:val="21"/>
          <w:highlight w:val="none"/>
          <w14:textFill>
            <w14:solidFill>
              <w14:schemeClr w14:val="tx1"/>
            </w14:solidFill>
          </w14:textFill>
        </w:rPr>
        <w:br w:type="page" w:clear="all"/>
      </w:r>
      <w:bookmarkStart w:id="189" w:name="_Toc21863"/>
      <w:r>
        <w:rPr>
          <w:rFonts w:hint="eastAsia" w:ascii="黑体" w:hAnsi="Courier New" w:eastAsia="黑体" w:cs="Courier New"/>
          <w:bCs/>
          <w:color w:val="000000" w:themeColor="text1"/>
          <w:sz w:val="44"/>
          <w:szCs w:val="21"/>
          <w:highlight w:val="none"/>
          <w14:textFill>
            <w14:solidFill>
              <w14:schemeClr w14:val="tx1"/>
            </w14:solidFill>
          </w14:textFill>
        </w:rPr>
        <w:t xml:space="preserve">第</w:t>
      </w:r>
      <w:bookmarkEnd w:id="178"/>
      <w:r>
        <w:rPr>
          <w:rFonts w:hint="eastAsia" w:ascii="黑体" w:hAnsi="Courier New" w:eastAsia="黑体" w:cs="Courier New"/>
          <w:bCs/>
          <w:color w:val="000000" w:themeColor="text1"/>
          <w:sz w:val="44"/>
          <w:szCs w:val="21"/>
          <w:highlight w:val="none"/>
          <w14:textFill>
            <w14:solidFill>
              <w14:schemeClr w14:val="tx1"/>
            </w14:solidFill>
          </w14:textFill>
        </w:rPr>
        <w:t xml:space="preserve">四章 </w:t>
      </w:r>
      <w:r>
        <w:rPr>
          <w:rFonts w:ascii="黑体" w:hAnsi="Courier New" w:eastAsia="黑体" w:cs="Courier New"/>
          <w:bCs/>
          <w:color w:val="000000" w:themeColor="text1"/>
          <w:sz w:val="44"/>
          <w:szCs w:val="21"/>
          <w:highlight w:val="none"/>
          <w14:textFill>
            <w14:solidFill>
              <w14:schemeClr w14:val="tx1"/>
            </w14:solidFill>
          </w14:textFill>
        </w:rPr>
        <w:t xml:space="preserve"> </w:t>
      </w:r>
      <w:r>
        <w:rPr>
          <w:rFonts w:hint="eastAsia" w:ascii="黑体" w:hAnsi="Courier New" w:eastAsia="黑体" w:cs="Courier New"/>
          <w:bCs/>
          <w:color w:val="000000" w:themeColor="text1"/>
          <w:sz w:val="44"/>
          <w:szCs w:val="21"/>
          <w:highlight w:val="none"/>
          <w14:textFill>
            <w14:solidFill>
              <w14:schemeClr w14:val="tx1"/>
            </w14:solidFill>
          </w14:textFill>
        </w:rPr>
        <w:t xml:space="preserve">采购需求</w:t>
      </w:r>
      <w:bookmarkEnd w:id="179"/>
      <w:r>
        <w:rPr>
          <w:highlight w:val="none"/>
        </w:rPr>
      </w:r>
      <w:bookmarkEnd w:id="180"/>
      <w:r>
        <w:rPr>
          <w:highlight w:val="none"/>
        </w:rPr>
      </w:r>
      <w:bookmarkEnd w:id="181"/>
      <w:r>
        <w:rPr>
          <w:highlight w:val="none"/>
        </w:rPr>
      </w:r>
      <w:bookmarkEnd w:id="189"/>
      <w:r>
        <w:rPr>
          <w:highlight w:val="none"/>
        </w:rPr>
      </w:r>
      <w:r>
        <w:rPr>
          <w:highlight w:val="none"/>
        </w:rPr>
      </w:r>
    </w:p>
    <w:p>
      <w:pPr>
        <w:spacing w:after="62" w:line="540" w:lineRule="exact"/>
        <w:rPr>
          <w:rFonts w:ascii="Times New Roman" w:hAnsi="Times New Roman" w:eastAsia="仿宋" w:cs="Times New Roman"/>
          <w:color w:val="000000"/>
          <w:sz w:val="28"/>
          <w:szCs w:val="28"/>
          <w:highlight w:val="none"/>
        </w:rPr>
      </w:pPr>
      <w:r>
        <w:rPr>
          <w:highlight w:val="none"/>
        </w:rPr>
      </w:r>
      <w:bookmarkStart w:id="190" w:name="_Toc49090575"/>
      <w:r>
        <w:rPr>
          <w:highlight w:val="none"/>
        </w:rPr>
      </w:r>
      <w:bookmarkStart w:id="191" w:name="_Toc120614281"/>
      <w:r>
        <w:rPr>
          <w:highlight w:val="none"/>
        </w:rPr>
      </w:r>
      <w:bookmarkStart w:id="192" w:name="_Toc26554093"/>
      <w:r>
        <w:rPr>
          <w:rFonts w:ascii="Times New Roman" w:hAnsi="Times New Roman" w:eastAsia="仿宋" w:cs="Times New Roman"/>
          <w:color w:val="000000"/>
          <w:sz w:val="28"/>
          <w:szCs w:val="28"/>
          <w:highlight w:val="none"/>
        </w:rPr>
        <w:t xml:space="preserve">项目属性</w:t>
      </w:r>
      <w:r>
        <w:rPr>
          <w:rFonts w:hint="eastAsia" w:ascii="Times New Roman" w:hAnsi="Times New Roman" w:eastAsia="仿宋" w:cs="Times New Roman"/>
          <w:color w:val="000000"/>
          <w:sz w:val="28"/>
          <w:szCs w:val="28"/>
          <w:highlight w:val="none"/>
          <w:lang w:eastAsia="zh-CN"/>
        </w:rPr>
        <w:t xml:space="preserve">：</w:t>
      </w:r>
      <w:r>
        <w:rPr>
          <w:rFonts w:ascii="Times New Roman" w:hAnsi="Times New Roman" w:eastAsia="仿宋" w:cs="Times New Roman"/>
          <w:color w:val="000000"/>
          <w:sz w:val="28"/>
          <w:szCs w:val="28"/>
          <w:highlight w:val="none"/>
        </w:rPr>
        <w:t xml:space="preserve">货物类项目。</w:t>
      </w:r>
      <w:r>
        <w:rPr>
          <w:highlight w:val="none"/>
        </w:rPr>
      </w:r>
    </w:p>
    <w:p>
      <w:pPr>
        <w:spacing w:after="62" w:line="540" w:lineRule="exact"/>
        <w:rPr>
          <w:rFonts w:ascii="Times New Roman" w:hAnsi="Times New Roman" w:eastAsia="仿宋" w:cs="Times New Roman"/>
          <w:color w:val="ff0000"/>
          <w:sz w:val="28"/>
          <w:szCs w:val="28"/>
          <w:highlight w:val="none"/>
        </w:rPr>
      </w:pPr>
      <w:r>
        <w:rPr>
          <w:rFonts w:ascii="Times New Roman" w:hAnsi="Times New Roman" w:eastAsia="仿宋" w:cs="Times New Roman"/>
          <w:b/>
          <w:sz w:val="28"/>
          <w:szCs w:val="28"/>
          <w:highlight w:val="none"/>
        </w:rPr>
        <w:t xml:space="preserve">一、采购标的清单：</w:t>
      </w:r>
      <w:r>
        <w:rPr>
          <w:highlight w:val="none"/>
        </w:rPr>
      </w:r>
    </w:p>
    <w:tbl>
      <w:tblPr>
        <w:tblStyle w:val="9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104"/>
        <w:gridCol w:w="3990"/>
        <w:gridCol w:w="2419"/>
      </w:tblGrid>
      <w:tr>
        <w:trPr>
          <w:cantSplit/>
          <w:jc w:val="center"/>
        </w:trPr>
        <w:tc>
          <w:tcPr>
            <w:tcW w:w="846" w:type="dxa"/>
            <w:vAlign w:val="center"/>
            <w:textDirection w:val="lrTb"/>
            <w:noWrap w:val="false"/>
          </w:tcPr>
          <w:p>
            <w:pPr>
              <w:jc w:val="center"/>
              <w:spacing w:after="62" w:line="540" w:lineRule="exact"/>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分包</w:t>
            </w:r>
            <w:r>
              <w:rPr>
                <w:highlight w:val="none"/>
              </w:rPr>
            </w:r>
          </w:p>
        </w:tc>
        <w:tc>
          <w:tcPr>
            <w:tcW w:w="1104" w:type="dxa"/>
            <w:vAlign w:val="center"/>
            <w:textDirection w:val="lrTb"/>
            <w:noWrap w:val="false"/>
          </w:tcPr>
          <w:p>
            <w:pPr>
              <w:jc w:val="center"/>
              <w:spacing w:after="62" w:line="540" w:lineRule="exact"/>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序号</w:t>
            </w:r>
            <w:r>
              <w:rPr>
                <w:highlight w:val="none"/>
              </w:rPr>
            </w:r>
          </w:p>
        </w:tc>
        <w:tc>
          <w:tcPr>
            <w:tcW w:w="3990" w:type="dxa"/>
            <w:vAlign w:val="center"/>
            <w:textDirection w:val="lrTb"/>
            <w:noWrap w:val="false"/>
          </w:tcPr>
          <w:p>
            <w:pPr>
              <w:jc w:val="center"/>
              <w:spacing w:after="62" w:line="540" w:lineRule="exact"/>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采购标的</w:t>
            </w:r>
            <w:r>
              <w:rPr>
                <w:highlight w:val="none"/>
              </w:rPr>
            </w:r>
          </w:p>
        </w:tc>
        <w:tc>
          <w:tcPr>
            <w:tcW w:w="2419" w:type="dxa"/>
            <w:vAlign w:val="center"/>
            <w:textDirection w:val="lrTb"/>
            <w:noWrap w:val="false"/>
          </w:tcPr>
          <w:p>
            <w:pPr>
              <w:jc w:val="center"/>
              <w:spacing w:after="62" w:line="540" w:lineRule="exact"/>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对应中小企业划分标准所属行业</w:t>
            </w:r>
            <w:r>
              <w:rPr>
                <w:highlight w:val="none"/>
              </w:rPr>
            </w:r>
          </w:p>
        </w:tc>
      </w:tr>
      <w:tr>
        <w:trPr>
          <w:cantSplit/>
          <w:jc w:val="center"/>
        </w:trPr>
        <w:tc>
          <w:tcPr>
            <w:tcW w:w="846" w:type="dxa"/>
            <w:vAlign w:val="center"/>
            <w:textDirection w:val="lrTb"/>
            <w:noWrap w:val="false"/>
          </w:tcPr>
          <w:p>
            <w:pPr>
              <w:jc w:val="center"/>
              <w:spacing w:after="62" w:line="540" w:lineRule="exact"/>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包1</w:t>
            </w:r>
            <w:r>
              <w:rPr>
                <w:highlight w:val="none"/>
              </w:rPr>
            </w:r>
          </w:p>
        </w:tc>
        <w:tc>
          <w:tcPr>
            <w:tcW w:w="1104" w:type="dxa"/>
            <w:vAlign w:val="center"/>
            <w:textDirection w:val="lrTb"/>
            <w:noWrap w:val="false"/>
          </w:tcPr>
          <w:p>
            <w:pPr>
              <w:jc w:val="center"/>
              <w:spacing w:after="62" w:line="540" w:lineRule="exact"/>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1</w:t>
            </w:r>
            <w:r>
              <w:rPr>
                <w:highlight w:val="none"/>
              </w:rPr>
            </w:r>
          </w:p>
        </w:tc>
        <w:tc>
          <w:tcPr>
            <w:tcW w:w="3990" w:type="dxa"/>
            <w:vAlign w:val="center"/>
            <w:textDirection w:val="lrTb"/>
            <w:noWrap w:val="false"/>
          </w:tcPr>
          <w:p>
            <w:pPr>
              <w:jc w:val="center"/>
              <w:spacing w:after="62" w:line="540" w:lineRule="exact"/>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食堂厨具（含桌凳）设备</w:t>
            </w:r>
            <w:r>
              <w:rPr>
                <w:rFonts w:hint="eastAsia" w:ascii="Times New Roman" w:hAnsi="Times New Roman" w:eastAsia="仿宋" w:cs="Times New Roman"/>
                <w:sz w:val="28"/>
                <w:szCs w:val="28"/>
                <w:highlight w:val="none"/>
                <w:lang w:eastAsia="zh-CN"/>
              </w:rPr>
              <w:t xml:space="preserve">采购和安装</w:t>
            </w:r>
            <w:r>
              <w:rPr>
                <w:rFonts w:ascii="Times New Roman" w:hAnsi="Times New Roman" w:eastAsia="仿宋" w:cs="Times New Roman"/>
                <w:sz w:val="28"/>
                <w:szCs w:val="28"/>
                <w:highlight w:val="none"/>
              </w:rPr>
              <w:t xml:space="preserve">项目采购</w:t>
            </w:r>
            <w:r>
              <w:rPr>
                <w:highlight w:val="none"/>
              </w:rPr>
            </w:r>
          </w:p>
        </w:tc>
        <w:tc>
          <w:tcPr>
            <w:tcW w:w="2419" w:type="dxa"/>
            <w:vAlign w:val="center"/>
            <w:textDirection w:val="lrTb"/>
            <w:noWrap w:val="false"/>
          </w:tcPr>
          <w:p>
            <w:pPr>
              <w:jc w:val="center"/>
              <w:spacing w:after="62" w:line="540" w:lineRule="exact"/>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 xml:space="preserve">工业</w:t>
            </w:r>
            <w:r>
              <w:rPr>
                <w:highlight w:val="none"/>
              </w:rPr>
            </w:r>
          </w:p>
        </w:tc>
      </w:tr>
    </w:tbl>
    <w:p>
      <w:pPr>
        <w:ind w:firstLine="562"/>
        <w:spacing w:after="62" w:line="54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具体采购清单及技术要求详见附件。</w:t>
      </w:r>
      <w:r>
        <w:rPr>
          <w:highlight w:val="none"/>
        </w:rPr>
      </w:r>
    </w:p>
    <w:p>
      <w:pPr>
        <w:spacing w:after="62" w:line="540" w:lineRule="exact"/>
        <w:rPr>
          <w:rFonts w:ascii="Times New Roman" w:hAnsi="Times New Roman" w:eastAsia="仿宋" w:cs="Times New Roman"/>
          <w:b/>
          <w:sz w:val="28"/>
          <w:szCs w:val="28"/>
          <w:highlight w:val="none"/>
        </w:rPr>
      </w:pPr>
      <w:r>
        <w:rPr>
          <w:rFonts w:ascii="Times New Roman" w:hAnsi="Times New Roman" w:eastAsia="仿宋" w:cs="Times New Roman"/>
          <w:b/>
          <w:sz w:val="28"/>
          <w:szCs w:val="28"/>
          <w:highlight w:val="none"/>
        </w:rPr>
        <w:t xml:space="preserve">二、技术要求</w:t>
      </w:r>
      <w:r>
        <w:rPr>
          <w:highlight w:val="none"/>
        </w:rPr>
      </w:r>
    </w:p>
    <w:p>
      <w:pPr>
        <w:ind w:firstLine="560"/>
        <w:spacing w:after="62" w:line="54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包括性能、材料、结构、外观、安全，或者服务内容和标准等；餐桌、保温柜等：</w:t>
      </w:r>
      <w:r>
        <w:rPr>
          <w:highlight w:val="none"/>
        </w:rPr>
      </w:r>
    </w:p>
    <w:p>
      <w:pPr>
        <w:ind w:firstLine="562"/>
        <w:spacing w:after="62" w:line="54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（一）采购标的需实现的功能或者目标</w:t>
      </w:r>
      <w:r>
        <w:rPr>
          <w:rFonts w:hint="eastAsia" w:ascii="Times New Roman" w:hAnsi="Times New Roman" w:eastAsia="仿宋" w:cs="Times New Roman"/>
          <w:b/>
          <w:bCs/>
          <w:sz w:val="28"/>
          <w:szCs w:val="28"/>
          <w:highlight w:val="none"/>
          <w:lang w:eastAsia="zh-CN"/>
        </w:rPr>
        <w:t xml:space="preserve">，</w:t>
      </w:r>
      <w:r>
        <w:rPr>
          <w:rFonts w:ascii="Times New Roman" w:hAnsi="Times New Roman" w:eastAsia="仿宋" w:cs="Times New Roman"/>
          <w:b/>
          <w:bCs/>
          <w:sz w:val="28"/>
          <w:szCs w:val="28"/>
          <w:highlight w:val="none"/>
        </w:rPr>
        <w:t xml:space="preserve"> 以及为落实政府采购政策需满足的要求</w:t>
      </w:r>
      <w:r>
        <w:rPr>
          <w:highlight w:val="none"/>
        </w:rPr>
      </w:r>
    </w:p>
    <w:p>
      <w:pPr>
        <w:ind w:firstLine="560"/>
        <w:spacing w:after="62" w:line="54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学校食堂设备采购项目，满足学校师生员工就餐需求。采购范围包括学校厨房设备的制作、运输、安装、摆放就位、检测、售后服务等，性能、材料、结构、外观、安全等技术参数详见清单。本项目为“交钥匙工程”，项目所需厨具的制造、包装、运输（运到采购人指定地点），厨具设备安装过程中可能涉及原有进排水系统、供电、供气线路调整，以及厨具安装调试、试运行、验收、提供备品备件、技术培训、成品保护、售后服务、质保、维护保养等，直至最后交付使用的完整性项目。以上所涉及并产生的费用均包含在响应总价中，成交人不得再要求追加任何费用。</w:t>
      </w:r>
      <w:r>
        <w:rPr>
          <w:highlight w:val="none"/>
        </w:rPr>
      </w:r>
    </w:p>
    <w:p>
      <w:pPr>
        <w:ind w:firstLine="562"/>
        <w:spacing w:after="62" w:line="54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（二）采购标的需执行的国家相关标准、行业标准、地方标准或者其他标准、规范</w:t>
      </w:r>
      <w:r>
        <w:rPr>
          <w:highlight w:val="none"/>
        </w:rPr>
      </w:r>
    </w:p>
    <w:p>
      <w:pPr>
        <w:ind w:firstLine="560"/>
        <w:spacing w:after="62" w:line="54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1.</w:t>
      </w:r>
      <w:r>
        <w:rPr>
          <w:rFonts w:ascii="Times New Roman" w:hAnsi="Times New Roman" w:eastAsia="仿宋" w:cs="Times New Roman"/>
          <w:sz w:val="28"/>
          <w:szCs w:val="28"/>
          <w:highlight w:val="none"/>
        </w:rPr>
        <w:t xml:space="preserve">投标产品的技术标准按国家标准执行，无国家标准的，按行业标准执行；无国家和行业标准的，按企业标准执行；但在招标文件中有特别要求的，按招标文件中规定的要求执行，并且符合相关</w:t>
      </w:r>
      <w:r>
        <w:rPr>
          <w:rFonts w:hint="eastAsia" w:ascii="Times New Roman" w:hAnsi="Times New Roman" w:eastAsia="仿宋" w:cs="Times New Roman"/>
          <w:sz w:val="28"/>
          <w:szCs w:val="28"/>
          <w:highlight w:val="none"/>
          <w:lang w:eastAsia="zh-CN"/>
        </w:rPr>
        <w:t xml:space="preserve">法律法规</w:t>
      </w:r>
      <w:r>
        <w:rPr>
          <w:rFonts w:ascii="Times New Roman" w:hAnsi="Times New Roman" w:eastAsia="仿宋" w:cs="Times New Roman"/>
          <w:sz w:val="28"/>
          <w:szCs w:val="28"/>
          <w:highlight w:val="none"/>
        </w:rPr>
        <w:t xml:space="preserve">规定的要求。</w:t>
      </w:r>
      <w:r>
        <w:rPr>
          <w:highlight w:val="none"/>
        </w:rPr>
      </w:r>
    </w:p>
    <w:p>
      <w:pPr>
        <w:ind w:firstLine="560"/>
        <w:spacing w:after="62" w:line="54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2.</w:t>
      </w:r>
      <w:r>
        <w:rPr>
          <w:rFonts w:ascii="Times New Roman" w:hAnsi="Times New Roman" w:eastAsia="仿宋" w:cs="Times New Roman"/>
          <w:sz w:val="28"/>
          <w:szCs w:val="28"/>
          <w:highlight w:val="none"/>
        </w:rPr>
        <w:t xml:space="preserve">项目提供的技术要求</w:t>
      </w:r>
      <w:r>
        <w:rPr>
          <w:rFonts w:hint="eastAsia" w:ascii="Times New Roman" w:hAnsi="Times New Roman" w:eastAsia="仿宋" w:cs="Times New Roman"/>
          <w:sz w:val="28"/>
          <w:szCs w:val="28"/>
          <w:highlight w:val="none"/>
          <w:lang w:eastAsia="zh-CN"/>
        </w:rPr>
        <w:t xml:space="preserve">（</w:t>
      </w:r>
      <w:r>
        <w:rPr>
          <w:rFonts w:ascii="Times New Roman" w:hAnsi="Times New Roman" w:eastAsia="仿宋" w:cs="Times New Roman"/>
          <w:sz w:val="28"/>
          <w:szCs w:val="28"/>
          <w:highlight w:val="none"/>
        </w:rPr>
        <w:t xml:space="preserve">规格</w:t>
      </w:r>
      <w:r>
        <w:rPr>
          <w:rFonts w:hint="eastAsia" w:ascii="Times New Roman" w:hAnsi="Times New Roman" w:eastAsia="仿宋" w:cs="Times New Roman"/>
          <w:sz w:val="28"/>
          <w:szCs w:val="28"/>
          <w:highlight w:val="none"/>
          <w:lang w:eastAsia="zh-CN"/>
        </w:rPr>
        <w:t xml:space="preserve">）</w:t>
      </w:r>
      <w:r>
        <w:rPr>
          <w:rFonts w:ascii="Times New Roman" w:hAnsi="Times New Roman" w:eastAsia="仿宋" w:cs="Times New Roman"/>
          <w:sz w:val="28"/>
          <w:szCs w:val="28"/>
          <w:highlight w:val="none"/>
        </w:rPr>
        <w:t xml:space="preserve">只是对产品的一些原则性要求，并不是最详尽的描述和要求，投标人有责任依据相关设计技术规范和有关行业国家标准执行。</w:t>
      </w:r>
      <w:r>
        <w:rPr>
          <w:highlight w:val="none"/>
        </w:rPr>
      </w:r>
    </w:p>
    <w:p>
      <w:pPr>
        <w:ind w:firstLine="560"/>
        <w:spacing w:after="62" w:line="54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3.</w:t>
      </w:r>
      <w:r>
        <w:rPr>
          <w:rFonts w:ascii="Times New Roman" w:hAnsi="Times New Roman" w:eastAsia="仿宋" w:cs="Times New Roman"/>
          <w:sz w:val="28"/>
          <w:szCs w:val="28"/>
          <w:highlight w:val="none"/>
        </w:rPr>
        <w:t xml:space="preserve">投标人应保证提供的产品不得侵犯第三方专利权、商标权和设计权、版权等。否则，投标人应负全部责任，并承担由此引起的一切后果。</w:t>
      </w:r>
      <w:r>
        <w:rPr>
          <w:highlight w:val="none"/>
        </w:rPr>
      </w:r>
    </w:p>
    <w:p>
      <w:pPr>
        <w:ind w:firstLine="560"/>
        <w:spacing w:after="62" w:line="54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4.</w:t>
      </w:r>
      <w:r>
        <w:rPr>
          <w:rFonts w:ascii="Times New Roman" w:hAnsi="Times New Roman" w:eastAsia="仿宋" w:cs="Times New Roman"/>
          <w:sz w:val="28"/>
          <w:szCs w:val="28"/>
          <w:highlight w:val="none"/>
        </w:rPr>
        <w:t xml:space="preserve">原材料抽检要求：在采购产品生产过程中，采购人必要时可以进行驻厂监督。中标人交货后，安装前，由中标人委托具有相应资质的第三方检测单位（须经采购人同意）对采购产品（主要是不锈钢制品）进行检测或抽检，费用含在报价中，结算时不</w:t>
      </w:r>
      <w:r>
        <w:rPr>
          <w:rFonts w:hint="eastAsia" w:ascii="Times New Roman" w:hAnsi="Times New Roman" w:eastAsia="仿宋" w:cs="Times New Roman"/>
          <w:sz w:val="28"/>
          <w:szCs w:val="28"/>
          <w:highlight w:val="none"/>
          <w:lang w:eastAsia="zh-CN"/>
        </w:rPr>
        <w:t xml:space="preserve">做</w:t>
      </w:r>
      <w:r>
        <w:rPr>
          <w:rFonts w:ascii="Times New Roman" w:hAnsi="Times New Roman" w:eastAsia="仿宋" w:cs="Times New Roman"/>
          <w:sz w:val="28"/>
          <w:szCs w:val="28"/>
          <w:highlight w:val="none"/>
        </w:rPr>
        <w:t xml:space="preserve">调整。如不符合采购需求中技术参数要求的，采购人有权终止合同，扣除全部履约保证金，给采购人造成的损失由中标人承担。</w:t>
      </w:r>
      <w:r>
        <w:rPr>
          <w:highlight w:val="none"/>
        </w:rPr>
      </w:r>
    </w:p>
    <w:p>
      <w:pPr>
        <w:ind w:firstLine="562"/>
        <w:jc w:val="left"/>
        <w:spacing w:after="62" w:line="54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（三）采购标的需满足的质量、安全、技术规格、物理特性等要求设备技术参数要求</w:t>
      </w:r>
      <w:r>
        <w:rPr>
          <w:highlight w:val="none"/>
        </w:rPr>
      </w:r>
    </w:p>
    <w:p>
      <w:pPr>
        <w:ind w:firstLine="562"/>
        <w:jc w:val="left"/>
        <w:spacing w:after="62" w:line="54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1、食堂功能区域清单</w:t>
      </w:r>
      <w:r>
        <w:rPr>
          <w:highlight w:val="none"/>
        </w:rPr>
      </w:r>
    </w:p>
    <w:tbl>
      <w:tblPr>
        <w:tblStyle w:val="996"/>
        <w:tblW w:w="8466" w:type="dxa"/>
        <w:jc w:val="center"/>
        <w:tblLayout w:type="fixed"/>
        <w:tblCellMar>
          <w:left w:w="108" w:type="dxa"/>
          <w:top w:w="0" w:type="dxa"/>
          <w:right w:w="108" w:type="dxa"/>
          <w:bottom w:w="0" w:type="dxa"/>
        </w:tblCellMar>
        <w:tblLook w:val="04A0" w:firstRow="1" w:lastRow="0" w:firstColumn="1" w:lastColumn="0" w:noHBand="0" w:noVBand="1"/>
      </w:tblPr>
      <w:tblGrid>
        <w:gridCol w:w="897"/>
        <w:gridCol w:w="5004"/>
        <w:gridCol w:w="795"/>
        <w:gridCol w:w="825"/>
        <w:gridCol w:w="945"/>
      </w:tblGrid>
      <w:tr>
        <w:trPr>
          <w:jc w:val="center"/>
          <w:trHeight w:val="435"/>
        </w:trPr>
        <w:tc>
          <w:tcPr>
            <w:gridSpan w:val="5"/>
            <w:shd w:val="clear" w:color="auto" w:fill="auto"/>
            <w:tcBorders>
              <w:top w:val="single" w:color="000000" w:sz="4" w:space="0"/>
              <w:left w:val="single" w:color="000000" w:sz="4" w:space="0"/>
              <w:bottom w:val="none" w:color="000000" w:sz="4" w:space="0"/>
              <w:right w:val="single" w:color="000000" w:sz="4" w:space="0"/>
            </w:tcBorders>
            <w:tcW w:w="8466" w:type="dxa"/>
            <w:vAlign w:val="center"/>
            <w:textDirection w:val="lrTb"/>
            <w:noWrap w:val="false"/>
          </w:tcPr>
          <w:p>
            <w:pPr>
              <w:jc w:val="center"/>
              <w:spacing w:after="62"/>
              <w:widowControl/>
              <w:rPr>
                <w:rFonts w:ascii="Times New Roman" w:hAnsi="Times New Roman" w:cs="Times New Roman"/>
                <w:b/>
                <w:bCs/>
                <w:color w:val="000000"/>
                <w:sz w:val="28"/>
                <w:szCs w:val="28"/>
                <w:highlight w:val="none"/>
              </w:rPr>
            </w:pPr>
            <w:r>
              <w:rPr>
                <w:rFonts w:ascii="Times New Roman" w:hAnsi="Times New Roman" w:cs="Times New Roman"/>
                <w:b/>
                <w:bCs/>
                <w:color w:val="000000"/>
                <w:sz w:val="28"/>
                <w:szCs w:val="28"/>
                <w:highlight w:val="none"/>
                <w:lang w:bidi="ar"/>
              </w:rPr>
              <w:t xml:space="preserve">①</w:t>
            </w:r>
            <w:r>
              <w:rPr>
                <w:rStyle w:val="1323"/>
                <w:rFonts w:ascii="Times New Roman" w:hAnsi="Times New Roman" w:cs="Times New Roman"/>
                <w:highlight w:val="none"/>
                <w:lang w:bidi="ar"/>
              </w:rPr>
              <w:t xml:space="preserve">食堂功能区域设备清单</w:t>
            </w:r>
            <w:r>
              <w:rPr>
                <w:highlight w:val="none"/>
              </w:rPr>
            </w:r>
          </w:p>
        </w:tc>
      </w:tr>
      <w:tr>
        <w:trPr>
          <w:jc w:val="center"/>
          <w:trHeight w:val="285"/>
        </w:trPr>
        <w:tc>
          <w:tcPr>
            <w:shd w:val="clear" w:color="auto" w:fill="auto"/>
            <w:tcBorders>
              <w:top w:val="single" w:color="000000" w:sz="8"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 xml:space="preserve">编号</w:t>
            </w:r>
            <w:r>
              <w:rPr>
                <w:highlight w:val="none"/>
              </w:rPr>
            </w:r>
          </w:p>
        </w:tc>
        <w:tc>
          <w:tcPr>
            <w:shd w:val="clear" w:color="auto" w:fill="auto"/>
            <w:tcBorders>
              <w:top w:val="single" w:color="000000" w:sz="8" w:space="0"/>
              <w:left w:val="single" w:color="000000" w:sz="4" w:space="0"/>
              <w:bottom w:val="single" w:color="000000" w:sz="4" w:space="0"/>
              <w:right w:val="single" w:color="000000" w:sz="4" w:space="0"/>
            </w:tcBorders>
            <w:tcW w:w="5004" w:type="dxa"/>
            <w:vAlign w:val="center"/>
            <w:textDirection w:val="lrTb"/>
            <w:noWrap/>
          </w:tcPr>
          <w:p>
            <w:pPr>
              <w:jc w:val="center"/>
              <w:spacing w:after="62"/>
              <w:widowControl/>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 xml:space="preserve">产品名称</w:t>
            </w:r>
            <w:r>
              <w:rPr>
                <w:highlight w:val="none"/>
              </w:rPr>
            </w:r>
          </w:p>
        </w:tc>
        <w:tc>
          <w:tcPr>
            <w:shd w:val="clear" w:color="auto" w:fill="auto"/>
            <w:tcBorders>
              <w:top w:val="single" w:color="000000" w:sz="8" w:space="0"/>
              <w:left w:val="single" w:color="000000" w:sz="4" w:space="0"/>
              <w:bottom w:val="single" w:color="000000" w:sz="4" w:space="0"/>
              <w:right w:val="single" w:color="000000" w:sz="4" w:space="0"/>
            </w:tcBorders>
            <w:tcW w:w="795" w:type="dxa"/>
            <w:vAlign w:val="center"/>
            <w:textDirection w:val="lrTb"/>
            <w:noWrap/>
          </w:tcPr>
          <w:p>
            <w:pPr>
              <w:jc w:val="center"/>
              <w:spacing w:after="62"/>
              <w:widowControl/>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 xml:space="preserve">数量</w:t>
            </w:r>
            <w:r>
              <w:rPr>
                <w:highlight w:val="none"/>
              </w:rPr>
            </w:r>
          </w:p>
        </w:tc>
        <w:tc>
          <w:tcPr>
            <w:shd w:val="clear" w:color="auto" w:fill="auto"/>
            <w:tcBorders>
              <w:top w:val="single" w:color="000000" w:sz="8" w:space="0"/>
              <w:left w:val="single" w:color="000000" w:sz="4" w:space="0"/>
              <w:bottom w:val="single" w:color="000000" w:sz="4" w:space="0"/>
              <w:right w:val="single" w:color="000000" w:sz="4" w:space="0"/>
            </w:tcBorders>
            <w:tcW w:w="825" w:type="dxa"/>
            <w:vAlign w:val="center"/>
            <w:textDirection w:val="lrTb"/>
            <w:noWrap/>
          </w:tcPr>
          <w:p>
            <w:pPr>
              <w:jc w:val="center"/>
              <w:spacing w:after="62"/>
              <w:widowControl/>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 xml:space="preserve">单位</w:t>
            </w:r>
            <w:r>
              <w:rPr>
                <w:highlight w:val="none"/>
              </w:rPr>
            </w:r>
          </w:p>
        </w:tc>
        <w:tc>
          <w:tcPr>
            <w:shd w:val="clear" w:color="auto" w:fill="auto"/>
            <w:tcBorders>
              <w:top w:val="single" w:color="000000" w:sz="8" w:space="0"/>
              <w:left w:val="single" w:color="000000" w:sz="4" w:space="0"/>
              <w:bottom w:val="single" w:color="000000" w:sz="4" w:space="0"/>
              <w:right w:val="single" w:color="000000" w:sz="8" w:space="0"/>
            </w:tcBorders>
            <w:tcW w:w="945" w:type="dxa"/>
            <w:vAlign w:val="center"/>
            <w:textDirection w:val="lrTb"/>
            <w:noWrap/>
          </w:tcPr>
          <w:p>
            <w:pPr>
              <w:jc w:val="center"/>
              <w:spacing w:after="62"/>
              <w:widowControl/>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 xml:space="preserve">备注</w:t>
            </w:r>
            <w:r>
              <w:rPr>
                <w:highlight w:val="none"/>
              </w:rP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A收货区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A03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电子落地</w:t>
            </w:r>
            <w:r>
              <w:rPr>
                <w:rFonts w:hint="eastAsia" w:ascii="Times New Roman" w:hAnsi="Times New Roman" w:eastAsia="宋体" w:cs="Times New Roman"/>
                <w:color w:val="000000"/>
                <w:sz w:val="24"/>
                <w:highlight w:val="none"/>
                <w:lang w:eastAsia="zh-CN" w:bidi="ar"/>
              </w:rPr>
              <w:t xml:space="preserve">秤</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B更衣室</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B01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六门更衣柜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B02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单星盆水池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4"/>
                <w:rFonts w:hint="default" w:ascii="Times New Roman" w:hAnsi="Times New Roman" w:cs="Times New Roman"/>
                <w:highlight w:val="none"/>
                <w:lang w:bidi="ar"/>
              </w:rPr>
              <w:t xml:space="preserve">感应水龙头</w:t>
            </w:r>
            <w:r>
              <w:rPr>
                <w:rStyle w:val="1325"/>
                <w:rFonts w:hint="default" w:ascii="Times New Roman" w:hAnsi="Times New Roman" w:cs="Times New Roman"/>
                <w:highlight w:val="none"/>
                <w:lang w:bidi="ar"/>
              </w:rPr>
              <w:t xml:space="preserve">（政府采购强制认证产品）</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B03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Style w:val="1324"/>
                <w:rFonts w:hint="default" w:ascii="Times New Roman" w:hAnsi="Times New Roman" w:cs="Times New Roman"/>
                <w:highlight w:val="none"/>
              </w:rPr>
            </w:pPr>
            <w:r>
              <w:rPr>
                <w:rFonts w:hint="eastAsia" w:ascii="宋体" w:hAnsi="宋体" w:cs="宋体"/>
                <w:color w:val="000000"/>
                <w:sz w:val="22"/>
                <w:szCs w:val="22"/>
                <w:highlight w:val="none"/>
                <w:lang w:bidi="ar"/>
              </w:rPr>
              <w:t xml:space="preserve">15L小厨宝</w:t>
            </w:r>
            <w:r>
              <w:rPr>
                <w:rFonts w:hint="eastAsia" w:ascii="宋体" w:hAnsi="宋体" w:cs="宋体"/>
                <w:b/>
                <w:bCs/>
                <w:color w:val="000000"/>
                <w:sz w:val="22"/>
                <w:szCs w:val="22"/>
                <w:highlight w:val="none"/>
                <w:lang w:bidi="ar"/>
              </w:rPr>
              <w:t xml:space="preserve">（节能产品政府强制采购产品）</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B04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宋体" w:hAnsi="宋体" w:cs="宋体"/>
                <w:color w:val="000000"/>
                <w:sz w:val="22"/>
                <w:szCs w:val="22"/>
                <w:highlight w:val="none"/>
              </w:rPr>
            </w:pPr>
            <w:r>
              <w:rPr>
                <w:rFonts w:hint="eastAsia" w:ascii="宋体" w:hAnsi="宋体" w:eastAsia="宋体" w:cs="宋体"/>
                <w:color w:val="000000"/>
                <w:sz w:val="22"/>
                <w:szCs w:val="22"/>
                <w:highlight w:val="none"/>
                <w:lang w:bidi="ar"/>
              </w:rPr>
              <w:t xml:space="preserve">挂衣钩</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根</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C冷库</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C01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三层冲孔货架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D仓库</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570"/>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D02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塑料平板推车（</w:t>
            </w:r>
            <w:r>
              <w:rPr>
                <w:rStyle w:val="1324"/>
                <w:rFonts w:hint="default" w:ascii="Times New Roman" w:hAnsi="Times New Roman" w:cs="Times New Roman"/>
                <w:sz w:val="21"/>
                <w:szCs w:val="21"/>
                <w:highlight w:val="none"/>
                <w:lang w:bidi="ar"/>
              </w:rPr>
              <w:t xml:space="preserve">收货区5台，送班级用10台</w:t>
            </w:r>
            <w:r>
              <w:rPr>
                <w:rFonts w:ascii="Times New Roman" w:hAnsi="Times New Roman" w:eastAsia="宋体" w:cs="Times New Roman"/>
                <w:color w:val="000000"/>
                <w:sz w:val="24"/>
                <w:highlight w:val="none"/>
                <w:lang w:bidi="ar"/>
              </w:rPr>
              <w:t xml:space="preserve">）</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ffff00"/>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塑料平板推车</w:t>
            </w:r>
            <w:r>
              <w:rPr>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w:t>
            </w:r>
            <w:r>
              <w:rPr>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ffff00"/>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利旧</w:t>
            </w:r>
            <w:r>
              <w:rPr>
                <w:highlight w:val="none"/>
              </w:rP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E洗涤用品库</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E01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三层平板货架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F荤菜粗加工</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F01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三层平板货架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F02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洗地龙头</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 xml:space="preserve">F03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 xml:space="preserve">灭蝇灯</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F04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双层平板工作台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ffff00"/>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绞切三用机</w:t>
            </w:r>
            <w:r>
              <w:rPr>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ffff00"/>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利旧</w:t>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F07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星盆水池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4"/>
                <w:rFonts w:hint="default" w:ascii="Times New Roman" w:hAnsi="Times New Roman" w:cs="Times New Roman"/>
                <w:highlight w:val="none"/>
                <w:lang w:bidi="ar"/>
              </w:rPr>
              <w:t xml:space="preserve">水龙头</w:t>
            </w:r>
            <w:r>
              <w:rPr>
                <w:rStyle w:val="1325"/>
                <w:rFonts w:hint="default" w:ascii="Times New Roman" w:hAnsi="Times New Roman" w:cs="Times New Roman"/>
                <w:highlight w:val="none"/>
                <w:lang w:bidi="ar"/>
              </w:rPr>
              <w:t xml:space="preserve">（政府采购强制认证产品）</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F08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右单星杀鱼台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4"/>
                <w:rFonts w:hint="default" w:ascii="Times New Roman" w:hAnsi="Times New Roman" w:cs="Times New Roman"/>
                <w:highlight w:val="none"/>
                <w:lang w:bidi="ar"/>
              </w:rPr>
              <w:t xml:space="preserve">水龙头</w:t>
            </w:r>
            <w:r>
              <w:rPr>
                <w:rStyle w:val="1325"/>
                <w:rFonts w:hint="default" w:ascii="Times New Roman" w:hAnsi="Times New Roman" w:cs="Times New Roman"/>
                <w:highlight w:val="none"/>
                <w:lang w:bidi="ar"/>
              </w:rPr>
              <w:t xml:space="preserve">（政府采购强制认证产品）</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F09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双层平板工作台带靠背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ffff00"/>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F10</w:t>
            </w:r>
            <w:r>
              <w:rPr>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四门双温高身柜</w:t>
            </w:r>
            <w:r>
              <w:rPr>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ffff00"/>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利旧</w:t>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F11</w:t>
            </w:r>
            <w:r>
              <w:rPr>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刀具砧板消毒柜</w:t>
            </w:r>
            <w:r>
              <w:rPr>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ffff00"/>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利旧</w:t>
            </w:r>
            <w:r>
              <w:rPr>
                <w:highlight w:val="none"/>
              </w:rP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G素菜粗加工</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ffff00"/>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G01</w:t>
            </w:r>
            <w:r>
              <w:rPr>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多功能切菜机</w:t>
            </w:r>
            <w:r>
              <w:rPr>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ffff00"/>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利旧</w:t>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G02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土豆脱皮机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G03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洗地龙头</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G04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三层平板货架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G05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灭蝇灯</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G06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双层平板工作台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G07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刀具砧板消毒柜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G09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大单星盆水池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4"/>
                <w:rFonts w:hint="default" w:ascii="Times New Roman" w:hAnsi="Times New Roman" w:cs="Times New Roman"/>
                <w:highlight w:val="none"/>
                <w:lang w:bidi="ar"/>
              </w:rPr>
              <w:t xml:space="preserve">水龙头</w:t>
            </w:r>
            <w:r>
              <w:rPr>
                <w:rStyle w:val="1325"/>
                <w:rFonts w:hint="default" w:ascii="Times New Roman" w:hAnsi="Times New Roman" w:cs="Times New Roman"/>
                <w:highlight w:val="none"/>
                <w:lang w:bidi="ar"/>
              </w:rPr>
              <w:t xml:space="preserve">（政府采购强制认证产品）</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H主厨间</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H01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三层平板货架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H02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双层平板工作台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H03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单星盆水池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4"/>
                <w:rFonts w:hint="default" w:ascii="Times New Roman" w:hAnsi="Times New Roman" w:cs="Times New Roman"/>
                <w:highlight w:val="none"/>
                <w:lang w:bidi="ar"/>
              </w:rPr>
              <w:t xml:space="preserve">水龙头</w:t>
            </w:r>
            <w:r>
              <w:rPr>
                <w:rStyle w:val="1325"/>
                <w:rFonts w:hint="default" w:ascii="Times New Roman" w:hAnsi="Times New Roman" w:cs="Times New Roman"/>
                <w:highlight w:val="none"/>
                <w:lang w:bidi="ar"/>
              </w:rPr>
              <w:t xml:space="preserve">（政府采购强制认证产品）</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H04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双层平板工作台带靠背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H05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洗地龙头</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H06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燃气大锅灶（1000大锅）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H07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燃气炒灶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H08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燃气大锅灶（800大锅）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H09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单星盆水池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4"/>
                <w:rFonts w:hint="default" w:ascii="Times New Roman" w:hAnsi="Times New Roman" w:cs="Times New Roman"/>
                <w:highlight w:val="none"/>
                <w:lang w:bidi="ar"/>
              </w:rPr>
              <w:t xml:space="preserve">水龙头</w:t>
            </w:r>
            <w:r>
              <w:rPr>
                <w:rStyle w:val="1325"/>
                <w:rFonts w:hint="default" w:ascii="Times New Roman" w:hAnsi="Times New Roman" w:cs="Times New Roman"/>
                <w:highlight w:val="none"/>
                <w:lang w:bidi="ar"/>
              </w:rPr>
              <w:t xml:space="preserve">（政府采购强制认证产品）</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H10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厨房灭火系统</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H11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炉拼台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H12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灭蝇灯</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灶封板</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36.12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m²</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I蒸煮间</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ffff00"/>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I01</w:t>
            </w:r>
            <w:r>
              <w:rPr>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四层冲孔货架</w:t>
            </w:r>
            <w:r>
              <w:rPr>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ffff00"/>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利旧</w:t>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I02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单星盆水池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4"/>
                <w:rFonts w:hint="default" w:ascii="Times New Roman" w:hAnsi="Times New Roman" w:cs="Times New Roman"/>
                <w:highlight w:val="none"/>
                <w:lang w:bidi="ar"/>
              </w:rPr>
              <w:t xml:space="preserve">水龙头</w:t>
            </w:r>
            <w:r>
              <w:rPr>
                <w:rStyle w:val="1325"/>
                <w:rFonts w:hint="default" w:ascii="Times New Roman" w:hAnsi="Times New Roman" w:cs="Times New Roman"/>
                <w:highlight w:val="none"/>
                <w:lang w:bidi="ar"/>
              </w:rPr>
              <w:t xml:space="preserve">（政府采购强制认证产品）</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I03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双层平板工作台带靠背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I04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电磁摇摆汤炉</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I05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电蒸箱</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ffff00"/>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电蒸箱</w:t>
            </w:r>
            <w:r>
              <w:rPr>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rPr>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ffff00"/>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利旧</w:t>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I06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蒸饭盘</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72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I07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hint="eastAsia" w:ascii="宋体" w:hAnsi="宋体" w:eastAsia="宋体" w:cs="宋体"/>
                <w:color w:val="000000"/>
                <w:sz w:val="22"/>
                <w:szCs w:val="22"/>
                <w:highlight w:val="none"/>
                <w:lang w:bidi="ar"/>
              </w:rPr>
              <w:t xml:space="preserve">米面架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灶封板</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44.1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m²</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J留样间</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J03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智能留样柜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K存储间</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K01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双层平板工作台带靠背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K02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单星盆水池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4"/>
                <w:rFonts w:hint="default" w:ascii="Times New Roman" w:hAnsi="Times New Roman" w:cs="Times New Roman"/>
                <w:highlight w:val="none"/>
                <w:lang w:bidi="ar"/>
              </w:rPr>
              <w:t xml:space="preserve">水龙头</w:t>
            </w:r>
            <w:r>
              <w:rPr>
                <w:rStyle w:val="1325"/>
                <w:rFonts w:hint="default" w:ascii="Times New Roman" w:hAnsi="Times New Roman" w:cs="Times New Roman"/>
                <w:highlight w:val="none"/>
                <w:lang w:bidi="ar"/>
              </w:rPr>
              <w:t xml:space="preserve">（政府采购强制认证产品）</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K03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四门冷冻高身柜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K04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双层平板工作台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K05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四层平板货架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L洗碗间</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L01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洗地龙头</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L02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活动双层平板工作台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ffff00"/>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双层平板工作台</w:t>
            </w:r>
            <w:r>
              <w:rPr>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ffff00"/>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利旧</w:t>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L03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大单星盆水池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4"/>
                <w:rFonts w:hint="default" w:ascii="Times New Roman" w:hAnsi="Times New Roman" w:cs="Times New Roman"/>
                <w:highlight w:val="none"/>
                <w:lang w:bidi="ar"/>
              </w:rPr>
              <w:t xml:space="preserve">水龙头</w:t>
            </w:r>
            <w:r>
              <w:rPr>
                <w:rStyle w:val="1325"/>
                <w:rFonts w:hint="default" w:ascii="Times New Roman" w:hAnsi="Times New Roman" w:cs="Times New Roman"/>
                <w:highlight w:val="none"/>
                <w:lang w:bidi="ar"/>
              </w:rPr>
              <w:t xml:space="preserve">（政府采购强制认证产品）</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ffff00"/>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L04</w:t>
            </w:r>
            <w:r>
              <w:rPr>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全自动长龙式洗碗机</w:t>
            </w:r>
            <w:r>
              <w:rPr>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ffff00"/>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利旧</w:t>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L05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大单星盆水池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4"/>
                <w:rFonts w:hint="default" w:ascii="Times New Roman" w:hAnsi="Times New Roman" w:cs="Times New Roman"/>
                <w:highlight w:val="none"/>
                <w:lang w:bidi="ar"/>
              </w:rPr>
              <w:t xml:space="preserve">水龙头</w:t>
            </w:r>
            <w:r>
              <w:rPr>
                <w:rStyle w:val="1325"/>
                <w:rFonts w:hint="default" w:ascii="Times New Roman" w:hAnsi="Times New Roman" w:cs="Times New Roman"/>
                <w:highlight w:val="none"/>
                <w:lang w:bidi="ar"/>
              </w:rPr>
              <w:t xml:space="preserve">（政府采购强制认证产品）</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L06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双孔收餐柜车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M消毒间</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M01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定制高温智控热风循环消毒房</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18.3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left"/>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平方</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M02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收碗推车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辆</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N一楼备餐间</w:t>
            </w:r>
            <w:r>
              <w:rPr>
                <w:highlight w:val="none"/>
              </w:rPr>
            </w:r>
          </w:p>
        </w:tc>
        <w:tc>
          <w:tcPr>
            <w:shd w:val="clear" w:color="auto" w:fill="auto"/>
            <w:tcBorders>
              <w:top w:val="non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non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non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N02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四门保洁柜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N03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单星盆水池柜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4"/>
                <w:rFonts w:hint="default" w:ascii="Times New Roman" w:hAnsi="Times New Roman" w:cs="Times New Roman"/>
                <w:highlight w:val="none"/>
                <w:lang w:bidi="ar"/>
              </w:rPr>
              <w:t xml:space="preserve">水龙头</w:t>
            </w:r>
            <w:r>
              <w:rPr>
                <w:rStyle w:val="1325"/>
                <w:rFonts w:hint="default" w:ascii="Times New Roman" w:hAnsi="Times New Roman" w:cs="Times New Roman"/>
                <w:highlight w:val="none"/>
                <w:lang w:bidi="ar"/>
              </w:rPr>
              <w:t xml:space="preserve">（政府采购强制认证产品）</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N05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双层平板工作台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N06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五格保温售饭工作台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1/1份数盘带盖</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1/1份数盘不带盖</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N07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单星盆水池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4"/>
                <w:rFonts w:hint="default" w:ascii="Times New Roman" w:hAnsi="Times New Roman" w:cs="Times New Roman"/>
                <w:highlight w:val="none"/>
                <w:lang w:bidi="ar"/>
              </w:rPr>
              <w:t xml:space="preserve">水龙头</w:t>
            </w:r>
            <w:r>
              <w:rPr>
                <w:rStyle w:val="1325"/>
                <w:rFonts w:hint="default" w:ascii="Times New Roman" w:hAnsi="Times New Roman" w:cs="Times New Roman"/>
                <w:highlight w:val="none"/>
                <w:lang w:bidi="ar"/>
              </w:rPr>
              <w:t xml:space="preserve">（政府采购强制认证产品）</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N08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干手器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O二楼工具间</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O01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三层平板货架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O02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拖把池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P二楼洗消间</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P01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活动双层平板工作台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ffff00"/>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双层工作台</w:t>
            </w:r>
            <w:r>
              <w:rPr>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ffff00"/>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利旧</w:t>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P02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全自动长龙式洗碗机（含全自动分配器）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洗碗机机用液</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组</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P03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大单星盆水池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4"/>
                <w:rFonts w:hint="default" w:ascii="Times New Roman" w:hAnsi="Times New Roman" w:cs="Times New Roman"/>
                <w:highlight w:val="none"/>
                <w:lang w:bidi="ar"/>
              </w:rPr>
              <w:t xml:space="preserve">水龙头</w:t>
            </w:r>
            <w:r>
              <w:rPr>
                <w:rStyle w:val="1325"/>
                <w:rFonts w:hint="default" w:ascii="Times New Roman" w:hAnsi="Times New Roman" w:cs="Times New Roman"/>
                <w:highlight w:val="none"/>
                <w:lang w:bidi="ar"/>
              </w:rPr>
              <w:t xml:space="preserve">（政府采购强制认证产品）</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P04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大单星盆水池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4"/>
                <w:rFonts w:hint="default" w:ascii="Times New Roman" w:hAnsi="Times New Roman" w:cs="Times New Roman"/>
                <w:highlight w:val="none"/>
                <w:lang w:bidi="ar"/>
              </w:rPr>
              <w:t xml:space="preserve">水龙头</w:t>
            </w:r>
            <w:r>
              <w:rPr>
                <w:rStyle w:val="1325"/>
                <w:rFonts w:hint="default" w:ascii="Times New Roman" w:hAnsi="Times New Roman" w:cs="Times New Roman"/>
                <w:highlight w:val="none"/>
                <w:lang w:bidi="ar"/>
              </w:rPr>
              <w:t xml:space="preserve">（政府采购强制认证产品）</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P05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洗地龙头</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P06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双孔收餐柜车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 xml:space="preserve">P07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 xml:space="preserve">灭蝇灯</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P08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双门立式消毒柜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Q教师备餐间</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Q01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单通工作台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Q03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单星盆水池柜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4"/>
                <w:rFonts w:hint="default" w:ascii="Times New Roman" w:hAnsi="Times New Roman" w:cs="Times New Roman"/>
                <w:highlight w:val="none"/>
                <w:lang w:bidi="ar"/>
              </w:rPr>
              <w:t xml:space="preserve">水龙头</w:t>
            </w:r>
            <w:r>
              <w:rPr>
                <w:rStyle w:val="1325"/>
                <w:rFonts w:hint="default" w:ascii="Times New Roman" w:hAnsi="Times New Roman" w:cs="Times New Roman"/>
                <w:highlight w:val="none"/>
                <w:lang w:bidi="ar"/>
              </w:rPr>
              <w:t xml:space="preserve">（政府采购强制认证产品）</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Q04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六门双温冰箱</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Q05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智能留样柜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Q06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四门保洁柜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Q07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双头煮面炉</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Q08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数显温控J40系列包体长方形液压餐炉</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Q</w:t>
            </w:r>
            <w:r>
              <w:rPr>
                <w:rFonts w:hint="eastAsia" w:ascii="Times New Roman" w:hAnsi="Times New Roman" w:eastAsia="宋体" w:cs="Times New Roman"/>
                <w:color w:val="000000"/>
                <w:sz w:val="24"/>
                <w:highlight w:val="none"/>
                <w:lang w:bidi="ar"/>
              </w:rPr>
              <w:t xml:space="preserve">09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电饼铛</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Q</w:t>
            </w:r>
            <w:r>
              <w:rPr>
                <w:rFonts w:hint="eastAsia" w:ascii="Times New Roman" w:hAnsi="Times New Roman" w:eastAsia="宋体" w:cs="Times New Roman"/>
                <w:color w:val="000000"/>
                <w:sz w:val="24"/>
                <w:highlight w:val="none"/>
                <w:lang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暖汤煲</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Q1</w:t>
            </w:r>
            <w:r>
              <w:rPr>
                <w:rFonts w:hint="eastAsia"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勾柄厨具/汤勺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Q1</w:t>
            </w:r>
            <w:r>
              <w:rPr>
                <w:rFonts w:hint="eastAsia"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精抛食品夹单齿</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Q1</w:t>
            </w:r>
            <w:r>
              <w:rPr>
                <w:rFonts w:hint="eastAsia" w:ascii="Times New Roman" w:hAnsi="Times New Roman" w:eastAsia="宋体" w:cs="Times New Roman"/>
                <w:color w:val="000000"/>
                <w:sz w:val="24"/>
                <w:highlight w:val="none"/>
                <w:lang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餐夹搁盘</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Q1</w:t>
            </w:r>
            <w:r>
              <w:rPr>
                <w:rFonts w:hint="eastAsia" w:ascii="Times New Roman" w:hAnsi="Times New Roman" w:eastAsia="宋体" w:cs="Times New Roman"/>
                <w:color w:val="000000"/>
                <w:sz w:val="24"/>
                <w:highlight w:val="none"/>
                <w:lang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单星盆水池柜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4"/>
                <w:rFonts w:hint="default" w:ascii="Times New Roman" w:hAnsi="Times New Roman" w:cs="Times New Roman"/>
                <w:highlight w:val="none"/>
                <w:lang w:bidi="ar"/>
              </w:rPr>
              <w:t xml:space="preserve">水龙头</w:t>
            </w:r>
            <w:r>
              <w:rPr>
                <w:rStyle w:val="1325"/>
                <w:rFonts w:hint="default" w:ascii="Times New Roman" w:hAnsi="Times New Roman" w:cs="Times New Roman"/>
                <w:highlight w:val="none"/>
                <w:lang w:bidi="ar"/>
              </w:rPr>
              <w:t xml:space="preserve">（政府采购强制认证产品）</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R二楼学生备餐间</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 xml:space="preserve">R01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 xml:space="preserve">灭蝇灯</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161616"/>
                <w:sz w:val="24"/>
                <w:highlight w:val="none"/>
              </w:rPr>
            </w:pPr>
            <w:r>
              <w:rPr>
                <w:rFonts w:ascii="Times New Roman" w:hAnsi="Times New Roman" w:eastAsia="宋体" w:cs="Times New Roman"/>
                <w:color w:val="161616"/>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R03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单星盆水池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4"/>
                <w:rFonts w:hint="default" w:ascii="Times New Roman" w:hAnsi="Times New Roman" w:cs="Times New Roman"/>
                <w:highlight w:val="none"/>
                <w:lang w:bidi="ar"/>
              </w:rPr>
              <w:t xml:space="preserve">水龙头</w:t>
            </w:r>
            <w:r>
              <w:rPr>
                <w:rStyle w:val="1325"/>
                <w:rFonts w:hint="default" w:ascii="Times New Roman" w:hAnsi="Times New Roman" w:cs="Times New Roman"/>
                <w:highlight w:val="none"/>
                <w:lang w:bidi="ar"/>
              </w:rPr>
              <w:t xml:space="preserve">（政府采购强制认证产品）</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R04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干手器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R06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保温汤桶车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R08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单星盆水池柜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4"/>
                <w:rFonts w:hint="default" w:ascii="Times New Roman" w:hAnsi="Times New Roman" w:cs="Times New Roman"/>
                <w:highlight w:val="none"/>
                <w:lang w:bidi="ar"/>
              </w:rPr>
              <w:t xml:space="preserve">水龙头</w:t>
            </w:r>
            <w:r>
              <w:rPr>
                <w:rStyle w:val="1325"/>
                <w:rFonts w:hint="default" w:ascii="Times New Roman" w:hAnsi="Times New Roman" w:cs="Times New Roman"/>
                <w:highlight w:val="none"/>
                <w:lang w:bidi="ar"/>
              </w:rPr>
              <w:t xml:space="preserve">（政府采购强制认证产品）</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R09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四门保洁柜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R10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双门立式消毒柜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ffff00"/>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双门立式消毒柜</w:t>
            </w:r>
            <w:r>
              <w:rPr>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rPr>
                <w:highlight w:val="none"/>
              </w:rPr>
            </w:r>
          </w:p>
        </w:tc>
        <w:tc>
          <w:tcPr>
            <w:shd w:val="clear" w:color="auto" w:fill="ffff00"/>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ffff00"/>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利旧</w:t>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R11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双层平板工作台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R12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五格保温售饭工作台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R13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1/1份数盘带盖</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R14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1/1份数盘不带盖</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R15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双层推车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辆</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其他</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S01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拖把池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Style w:val="1324"/>
                <w:rFonts w:hint="default" w:ascii="Times New Roman" w:hAnsi="Times New Roman" w:cs="Times New Roman"/>
                <w:highlight w:val="none"/>
                <w:lang w:bidi="ar"/>
              </w:rPr>
              <w:t xml:space="preserve">水龙头</w:t>
            </w:r>
            <w:r>
              <w:rPr>
                <w:rStyle w:val="1325"/>
                <w:rFonts w:hint="default" w:ascii="Times New Roman" w:hAnsi="Times New Roman" w:cs="Times New Roman"/>
                <w:highlight w:val="none"/>
                <w:lang w:bidi="ar"/>
              </w:rPr>
              <w:t xml:space="preserve">（政府采购强制认证产品）</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S02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保温送餐车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S03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五格餐盘带盖</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2400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S04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双层不锈钢小碗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2400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S05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不锈钢小勺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2400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S07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不锈钢盆</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S08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双层保温桶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hint="default"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S09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送餐保温箱（含2个1/2盆）</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hint="default"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bidi="ar"/>
              </w:rPr>
              <w:t xml:space="preserve">105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bidi="ar"/>
              </w:rPr>
              <w:t xml:space="preserve">件</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平板塑料垫板</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gridSpan w:val="2"/>
            <w:shd w:val="clear" w:color="auto" w:fill="auto"/>
            <w:tcBorders>
              <w:top w:val="single" w:color="000000" w:sz="4" w:space="0"/>
              <w:left w:val="single" w:color="000000" w:sz="8" w:space="0"/>
              <w:bottom w:val="single" w:color="000000" w:sz="4" w:space="0"/>
              <w:right w:val="single" w:color="000000" w:sz="4" w:space="0"/>
            </w:tcBorders>
            <w:tcW w:w="5901" w:type="dxa"/>
            <w:vAlign w:val="center"/>
            <w:textDirection w:val="lrTb"/>
            <w:noWrap/>
          </w:tcPr>
          <w:p>
            <w:pPr>
              <w:jc w:val="left"/>
              <w:spacing w:after="62"/>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lang w:bidi="ar"/>
              </w:rPr>
              <w:t xml:space="preserve">排烟系统</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570"/>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（一楼主厨间）机械静电光解复合式集烟罩（油烟净化一体设备）</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25.8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平方</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一楼蒸煮间集气罩</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27.3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平方</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一楼洗碗机集气罩</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平方</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二楼洗碗机集气罩</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平方</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二楼早餐间集气罩</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平方</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5#轴流风机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低噪音厢式风机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低噪音厢式风机（新风风机）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低噪音厢式风机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低噪音厢式风机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新风管道</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150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平方</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排烟管道</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130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平方</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弯头</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辅材</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套</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百叶窗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风机启动箱</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17</w:t>
            </w:r>
            <w:r>
              <w:rPr>
                <w:highlight w:val="none"/>
              </w:rPr>
            </w:r>
          </w:p>
        </w:tc>
        <w:tc>
          <w:tcPr>
            <w:shd w:val="clear" w:color="auto" w:fill="auto"/>
            <w:tcBorders>
              <w:top w:val="single" w:color="000000" w:sz="4" w:space="0"/>
              <w:left w:val="single" w:color="000000" w:sz="4" w:space="0"/>
              <w:bottom w:val="non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风幕机</w:t>
            </w:r>
            <w:r>
              <w:rPr>
                <w:highlight w:val="none"/>
              </w:rPr>
            </w:r>
          </w:p>
        </w:tc>
        <w:tc>
          <w:tcPr>
            <w:shd w:val="clear" w:color="auto" w:fill="auto"/>
            <w:tcBorders>
              <w:top w:val="single" w:color="000000" w:sz="4" w:space="0"/>
              <w:left w:val="single" w:color="000000" w:sz="4" w:space="0"/>
              <w:bottom w:val="non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non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ff0000"/>
                <w:sz w:val="24"/>
                <w:highlight w:val="none"/>
              </w:rPr>
            </w:pPr>
            <w:r>
              <w:rPr>
                <w:rFonts w:ascii="Times New Roman" w:hAnsi="Times New Roman" w:eastAsia="宋体" w:cs="Times New Roman"/>
                <w:color w:val="ff0000"/>
                <w:sz w:val="24"/>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18</w:t>
            </w:r>
            <w:r>
              <w:rPr>
                <w:highlight w:val="none"/>
              </w:rPr>
            </w:r>
          </w:p>
        </w:tc>
        <w:tc>
          <w:tcPr>
            <w:shd w:val="clear" w:color="auto" w:fill="auto"/>
            <w:tcBorders>
              <w:top w:val="single" w:color="000000" w:sz="4" w:space="0"/>
              <w:left w:val="single" w:color="000000" w:sz="4" w:space="0"/>
              <w:bottom w:val="non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风幕机</w:t>
            </w:r>
            <w:r>
              <w:rPr>
                <w:highlight w:val="none"/>
              </w:rPr>
            </w:r>
          </w:p>
        </w:tc>
        <w:tc>
          <w:tcPr>
            <w:shd w:val="clear" w:color="auto" w:fill="auto"/>
            <w:tcBorders>
              <w:top w:val="single" w:color="000000" w:sz="4" w:space="0"/>
              <w:left w:val="single" w:color="000000" w:sz="4" w:space="0"/>
              <w:bottom w:val="non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none" w:color="000000" w:sz="4"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ff0000"/>
                <w:sz w:val="24"/>
                <w:highlight w:val="none"/>
              </w:rPr>
            </w:pPr>
            <w:r>
              <w:rPr>
                <w:rFonts w:ascii="Times New Roman" w:hAnsi="Times New Roman" w:eastAsia="宋体" w:cs="Times New Roman"/>
                <w:color w:val="ff0000"/>
                <w:sz w:val="24"/>
                <w:highlight w:val="none"/>
              </w:rPr>
            </w:r>
            <w:r>
              <w:rPr>
                <w:highlight w:val="none"/>
              </w:rPr>
            </w:r>
          </w:p>
        </w:tc>
      </w:tr>
      <w:tr>
        <w:trPr>
          <w:jc w:val="center"/>
          <w:trHeight w:val="300"/>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19</w:t>
            </w:r>
            <w:r>
              <w:rPr>
                <w:highlight w:val="none"/>
              </w:rPr>
            </w:r>
          </w:p>
        </w:tc>
        <w:tc>
          <w:tcPr>
            <w:shd w:val="clear" w:color="auto" w:fill="auto"/>
            <w:tcBorders>
              <w:top w:val="single" w:color="000000" w:sz="4" w:space="0"/>
              <w:left w:val="single" w:color="000000" w:sz="4" w:space="0"/>
              <w:bottom w:val="single" w:color="000000" w:sz="8"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风幕机</w:t>
            </w:r>
            <w:r>
              <w:rPr>
                <w:highlight w:val="none"/>
              </w:rPr>
            </w:r>
          </w:p>
        </w:tc>
        <w:tc>
          <w:tcPr>
            <w:shd w:val="clear" w:color="auto" w:fill="auto"/>
            <w:tcBorders>
              <w:top w:val="single" w:color="000000" w:sz="4" w:space="0"/>
              <w:left w:val="single" w:color="000000" w:sz="4" w:space="0"/>
              <w:bottom w:val="single" w:color="000000" w:sz="8"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8"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single" w:color="000000" w:sz="4" w:space="0"/>
              <w:left w:val="single" w:color="000000" w:sz="4" w:space="0"/>
              <w:bottom w:val="single" w:color="000000" w:sz="8" w:space="0"/>
              <w:right w:val="single" w:color="000000" w:sz="8" w:space="0"/>
            </w:tcBorders>
            <w:tcW w:w="945" w:type="dxa"/>
            <w:vAlign w:val="center"/>
            <w:textDirection w:val="lrTb"/>
            <w:noWrap w:val="false"/>
          </w:tcPr>
          <w:p>
            <w:pPr>
              <w:jc w:val="center"/>
              <w:spacing w:after="62"/>
              <w:rPr>
                <w:rFonts w:ascii="Times New Roman" w:hAnsi="Times New Roman" w:eastAsia="宋体" w:cs="Times New Roman"/>
                <w:color w:val="ff0000"/>
                <w:sz w:val="24"/>
                <w:highlight w:val="none"/>
              </w:rPr>
            </w:pPr>
            <w:r>
              <w:rPr>
                <w:rFonts w:ascii="Times New Roman" w:hAnsi="Times New Roman" w:eastAsia="宋体" w:cs="Times New Roman"/>
                <w:color w:val="ff0000"/>
                <w:sz w:val="24"/>
                <w:highlight w:val="none"/>
              </w:rPr>
            </w:r>
            <w:r>
              <w:rPr>
                <w:highlight w:val="none"/>
              </w:rPr>
            </w:r>
          </w:p>
        </w:tc>
      </w:tr>
      <w:tr>
        <w:trPr>
          <w:jc w:val="center"/>
          <w:trHeight w:val="510"/>
        </w:trPr>
        <w:tc>
          <w:tcPr>
            <w:gridSpan w:val="4"/>
            <w:shd w:val="clear" w:color="auto" w:fill="auto"/>
            <w:tcBorders>
              <w:top w:val="none" w:color="000000" w:sz="4" w:space="0"/>
              <w:left w:val="none" w:color="000000" w:sz="4" w:space="0"/>
              <w:bottom w:val="none" w:color="000000" w:sz="4" w:space="0"/>
              <w:right w:val="none" w:color="000000" w:sz="4" w:space="0"/>
            </w:tcBorders>
            <w:tcW w:w="7521" w:type="dxa"/>
            <w:vAlign w:val="center"/>
            <w:textDirection w:val="lrTb"/>
            <w:noWrap/>
          </w:tcPr>
          <w:p>
            <w:pPr>
              <w:jc w:val="center"/>
              <w:spacing w:after="62"/>
              <w:widowControl/>
              <w:rPr>
                <w:rFonts w:ascii="Times New Roman" w:hAnsi="Times New Roman" w:cs="Times New Roman"/>
                <w:b/>
                <w:bCs/>
                <w:color w:val="000000"/>
                <w:sz w:val="36"/>
                <w:szCs w:val="36"/>
                <w:highlight w:val="none"/>
              </w:rPr>
            </w:pPr>
            <w:r>
              <w:rPr>
                <w:rStyle w:val="1323"/>
                <w:rFonts w:ascii="Times New Roman" w:hAnsi="Times New Roman" w:cs="Times New Roman"/>
                <w:highlight w:val="none"/>
                <w:lang w:bidi="ar"/>
              </w:rPr>
              <w:t xml:space="preserve">②厨房工具采购清单</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285"/>
        </w:trPr>
        <w:tc>
          <w:tcPr>
            <w:shd w:val="clear" w:color="auto" w:fill="auto"/>
            <w:tcBorders>
              <w:top w:val="single" w:color="000000" w:sz="8"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 xml:space="preserve">序号</w:t>
            </w:r>
            <w:r>
              <w:rPr>
                <w:highlight w:val="none"/>
              </w:rPr>
            </w:r>
          </w:p>
        </w:tc>
        <w:tc>
          <w:tcPr>
            <w:shd w:val="clear" w:color="auto" w:fill="auto"/>
            <w:tcBorders>
              <w:top w:val="single" w:color="000000" w:sz="8" w:space="0"/>
              <w:left w:val="single" w:color="000000" w:sz="4" w:space="0"/>
              <w:bottom w:val="single" w:color="000000" w:sz="4" w:space="0"/>
              <w:right w:val="single" w:color="000000" w:sz="4" w:space="0"/>
            </w:tcBorders>
            <w:tcW w:w="5004" w:type="dxa"/>
            <w:vAlign w:val="center"/>
            <w:textDirection w:val="lrTb"/>
            <w:noWrap/>
          </w:tcPr>
          <w:p>
            <w:pPr>
              <w:jc w:val="center"/>
              <w:spacing w:after="62"/>
              <w:widowControl/>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 xml:space="preserve">名称</w:t>
            </w:r>
            <w:r>
              <w:rPr>
                <w:highlight w:val="none"/>
              </w:rPr>
            </w:r>
          </w:p>
        </w:tc>
        <w:tc>
          <w:tcPr>
            <w:shd w:val="clear" w:color="auto" w:fill="auto"/>
            <w:tcBorders>
              <w:top w:val="single" w:color="000000" w:sz="8" w:space="0"/>
              <w:left w:val="single" w:color="000000" w:sz="4" w:space="0"/>
              <w:bottom w:val="single" w:color="000000" w:sz="4" w:space="0"/>
              <w:right w:val="single" w:color="000000" w:sz="4" w:space="0"/>
            </w:tcBorders>
            <w:tcW w:w="795" w:type="dxa"/>
            <w:vAlign w:val="center"/>
            <w:textDirection w:val="lrTb"/>
            <w:noWrap/>
          </w:tcPr>
          <w:p>
            <w:pPr>
              <w:jc w:val="center"/>
              <w:spacing w:after="62"/>
              <w:widowControl/>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 xml:space="preserve">数量</w:t>
            </w:r>
            <w:r>
              <w:rPr>
                <w:highlight w:val="none"/>
              </w:rPr>
            </w:r>
          </w:p>
        </w:tc>
        <w:tc>
          <w:tcPr>
            <w:shd w:val="clear" w:color="auto" w:fill="auto"/>
            <w:tcBorders>
              <w:top w:val="single" w:color="000000" w:sz="8" w:space="0"/>
              <w:left w:val="single" w:color="000000" w:sz="4" w:space="0"/>
              <w:bottom w:val="single" w:color="000000" w:sz="4" w:space="0"/>
              <w:right w:val="single" w:color="000000" w:sz="8" w:space="0"/>
            </w:tcBorders>
            <w:tcW w:w="825" w:type="dxa"/>
            <w:vAlign w:val="center"/>
            <w:textDirection w:val="lrTb"/>
            <w:noWrap/>
          </w:tcPr>
          <w:p>
            <w:pPr>
              <w:jc w:val="center"/>
              <w:spacing w:after="62"/>
              <w:widowControl/>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 xml:space="preserve">单位</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密胺面碗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200</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28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不锈钢留样盒</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40</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切菜刀</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20</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斩骨刀</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削皮刀</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聚酯切菜板</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30</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聚酯切肉、砍骨板</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铲刀</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铲刀</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打菜勺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20</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打菜勺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打汤勺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不锈钢笊篱</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塑料菜筐</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40</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塑料垃圾桶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20</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厨余垃圾桶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30</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不锈钢脸盆</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不锈钢脸盆</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不锈钢脸盆</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刀叉框</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不锈钢方盘</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50</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只</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广式水勺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把</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长柄水勺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把</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炒勺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把</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漏勺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把</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宽边油隔</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饭勺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把</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洗米箩</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只</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荷花夹</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只</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铲刀头连木柄</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把</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刨刀</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把</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鱼鳞刨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只</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肉锤</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只</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水果刀</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只</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打蛋器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油石</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只</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耐高温手套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副</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拖把</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防水手套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防水围裙</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件</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地刷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把</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毛巾</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50</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块</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水鞋</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双</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马斗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30</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油缸</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20</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调料缸</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20</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小勺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20</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把</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密格平框</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49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杯框</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磨刀石</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不锈钢保温桶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不锈钢保温桶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个</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53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筷子消毒机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8" w:space="0"/>
            </w:tcBorders>
            <w:tcW w:w="825"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台</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jc w:val="cente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420"/>
        </w:trPr>
        <w:tc>
          <w:tcPr>
            <w:gridSpan w:val="4"/>
            <w:shd w:val="clear" w:color="auto" w:fill="auto"/>
            <w:tcBorders>
              <w:top w:val="none" w:color="000000" w:sz="4" w:space="0"/>
              <w:left w:val="none" w:color="000000" w:sz="4" w:space="0"/>
              <w:bottom w:val="none" w:color="000000" w:sz="4" w:space="0"/>
              <w:right w:val="none" w:color="000000" w:sz="4" w:space="0"/>
            </w:tcBorders>
            <w:tcW w:w="7521" w:type="dxa"/>
            <w:vAlign w:val="center"/>
            <w:textDirection w:val="lrTb"/>
            <w:noWrap/>
          </w:tcPr>
          <w:p>
            <w:pPr>
              <w:jc w:val="center"/>
              <w:spacing w:after="62"/>
              <w:widowControl/>
              <w:rPr>
                <w:rFonts w:ascii="Times New Roman" w:hAnsi="Times New Roman" w:cs="Times New Roman"/>
                <w:color w:val="000000"/>
                <w:sz w:val="28"/>
                <w:szCs w:val="28"/>
                <w:highlight w:val="none"/>
              </w:rPr>
            </w:pPr>
            <w:r>
              <w:rPr>
                <w:rStyle w:val="1323"/>
                <w:rFonts w:ascii="Times New Roman" w:hAnsi="Times New Roman" w:cs="Times New Roman"/>
                <w:highlight w:val="none"/>
                <w:lang w:bidi="ar"/>
              </w:rPr>
              <w:t xml:space="preserve">③食堂桌椅采购清单</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spacing w:after="62"/>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rPr>
                <w:highlight w:val="none"/>
              </w:rPr>
            </w:r>
          </w:p>
        </w:tc>
      </w:tr>
      <w:tr>
        <w:trPr>
          <w:jc w:val="center"/>
          <w:trHeight w:val="375"/>
        </w:trPr>
        <w:tc>
          <w:tcPr>
            <w:shd w:val="clear" w:color="auto" w:fill="auto"/>
            <w:tcBorders>
              <w:top w:val="single" w:color="000000" w:sz="8"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 xml:space="preserve">序号</w:t>
            </w:r>
            <w:r>
              <w:rPr>
                <w:highlight w:val="none"/>
              </w:rPr>
            </w:r>
          </w:p>
        </w:tc>
        <w:tc>
          <w:tcPr>
            <w:shd w:val="clear" w:color="auto" w:fill="auto"/>
            <w:tcBorders>
              <w:top w:val="single" w:color="000000" w:sz="8" w:space="0"/>
              <w:left w:val="single" w:color="000000" w:sz="4" w:space="0"/>
              <w:bottom w:val="single" w:color="000000" w:sz="4" w:space="0"/>
              <w:right w:val="single" w:color="000000" w:sz="4" w:space="0"/>
            </w:tcBorders>
            <w:tcW w:w="5004" w:type="dxa"/>
            <w:vAlign w:val="center"/>
            <w:textDirection w:val="lrTb"/>
            <w:noWrap/>
          </w:tcPr>
          <w:p>
            <w:pPr>
              <w:jc w:val="center"/>
              <w:spacing w:after="62"/>
              <w:widowControl/>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 xml:space="preserve">区域翻转式四人连座折叠座椅</w:t>
            </w:r>
            <w:r>
              <w:rPr>
                <w:highlight w:val="none"/>
              </w:rPr>
            </w:r>
          </w:p>
        </w:tc>
        <w:tc>
          <w:tcPr>
            <w:shd w:val="clear" w:color="auto" w:fill="auto"/>
            <w:tcBorders>
              <w:top w:val="single" w:color="000000" w:sz="8" w:space="0"/>
              <w:left w:val="single" w:color="000000" w:sz="4" w:space="0"/>
              <w:bottom w:val="single" w:color="000000" w:sz="4" w:space="0"/>
              <w:right w:val="single" w:color="000000" w:sz="4" w:space="0"/>
            </w:tcBorders>
            <w:tcW w:w="795" w:type="dxa"/>
            <w:vAlign w:val="center"/>
            <w:textDirection w:val="lrTb"/>
            <w:noWrap/>
          </w:tcPr>
          <w:p>
            <w:pPr>
              <w:jc w:val="center"/>
              <w:spacing w:after="62"/>
              <w:widowControl/>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 xml:space="preserve">数量</w:t>
            </w:r>
            <w:r>
              <w:rPr>
                <w:highlight w:val="none"/>
              </w:rPr>
            </w:r>
          </w:p>
        </w:tc>
        <w:tc>
          <w:tcPr>
            <w:shd w:val="clear" w:color="auto" w:fill="auto"/>
            <w:tcBorders>
              <w:top w:val="single" w:color="000000" w:sz="8" w:space="0"/>
              <w:left w:val="single" w:color="000000" w:sz="4" w:space="0"/>
              <w:bottom w:val="single" w:color="000000" w:sz="4" w:space="0"/>
              <w:right w:val="single" w:color="000000" w:sz="8" w:space="0"/>
            </w:tcBorders>
            <w:tcW w:w="825" w:type="dxa"/>
            <w:vAlign w:val="center"/>
            <w:textDirection w:val="lrTb"/>
            <w:noWrap/>
          </w:tcPr>
          <w:p>
            <w:pPr>
              <w:jc w:val="center"/>
              <w:spacing w:after="62"/>
              <w:widowControl/>
              <w:rPr>
                <w:rFonts w:ascii="Times New Roman" w:hAnsi="Times New Roman" w:eastAsia="黑体" w:cs="Times New Roman"/>
                <w:color w:val="000000"/>
                <w:sz w:val="24"/>
                <w:highlight w:val="none"/>
              </w:rPr>
            </w:pPr>
            <w:r>
              <w:rPr>
                <w:rFonts w:ascii="Times New Roman" w:hAnsi="Times New Roman" w:eastAsia="黑体" w:cs="Times New Roman"/>
                <w:color w:val="000000"/>
                <w:sz w:val="24"/>
                <w:highlight w:val="none"/>
                <w:lang w:bidi="ar"/>
              </w:rPr>
              <w:t xml:space="preserve">单位</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7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1楼学生餐厅翻转式四人连座折叠座椅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224</w:t>
            </w:r>
            <w:r>
              <w:rPr>
                <w:highlight w:val="none"/>
              </w:rPr>
            </w:r>
          </w:p>
        </w:tc>
        <w:tc>
          <w:tcPr>
            <w:shd w:val="clear" w:color="auto" w:fill="auto"/>
            <w:tcBorders>
              <w:top w:val="single" w:color="000000" w:sz="4" w:space="0"/>
              <w:left w:val="single" w:color="000000" w:sz="4" w:space="0"/>
              <w:bottom w:val="single" w:color="000000" w:sz="8" w:space="0"/>
              <w:right w:val="single" w:color="000000" w:sz="8" w:space="0"/>
            </w:tcBorders>
            <w:tcW w:w="825" w:type="dxa"/>
            <w:vAlign w:val="center"/>
            <w:vMerge w:val="restart"/>
            <w:textDirection w:val="lrTb"/>
            <w:noWrap/>
          </w:tcPr>
          <w:p>
            <w:pPr>
              <w:jc w:val="center"/>
              <w:spacing w:after="62"/>
              <w:widowControl/>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lang w:bidi="ar"/>
              </w:rPr>
              <w:t xml:space="preserve">张</w:t>
            </w:r>
            <w:r>
              <w:rPr>
                <w:highlight w:val="none"/>
              </w:rP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7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2楼学生餐厅翻转式四人连座折叠座椅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280</w:t>
            </w:r>
            <w:r>
              <w:rPr>
                <w:highlight w:val="none"/>
              </w:rPr>
            </w:r>
          </w:p>
        </w:tc>
        <w:tc>
          <w:tcPr>
            <w:shd w:val="clear" w:color="auto" w:fill="auto"/>
            <w:tcBorders>
              <w:top w:val="single" w:color="000000" w:sz="4" w:space="0"/>
              <w:left w:val="single" w:color="000000" w:sz="4" w:space="0"/>
              <w:bottom w:val="single" w:color="000000" w:sz="8" w:space="0"/>
              <w:right w:val="single" w:color="000000" w:sz="8" w:space="0"/>
            </w:tcBorders>
            <w:tcW w:w="825" w:type="dxa"/>
            <w:vAlign w:val="center"/>
            <w:vMerge w:val="continue"/>
            <w:textDirection w:val="lrTb"/>
            <w:noWrap/>
          </w:tcPr>
          <w:p>
            <w:pPr>
              <w:jc w:val="center"/>
              <w:spacing w:after="62"/>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75"/>
        </w:trPr>
        <w:tc>
          <w:tcPr>
            <w:shd w:val="clear" w:color="auto" w:fill="auto"/>
            <w:tcBorders>
              <w:top w:val="single" w:color="000000" w:sz="4" w:space="0"/>
              <w:left w:val="single" w:color="000000" w:sz="8" w:space="0"/>
              <w:bottom w:val="single" w:color="000000" w:sz="4" w:space="0"/>
              <w:right w:val="single" w:color="000000" w:sz="4" w:space="0"/>
            </w:tcBorders>
            <w:tcW w:w="897"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004"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2楼教工餐厅翻转式四人连座折叠座椅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120</w:t>
            </w:r>
            <w:r>
              <w:rPr>
                <w:highlight w:val="none"/>
              </w:rPr>
            </w:r>
          </w:p>
        </w:tc>
        <w:tc>
          <w:tcPr>
            <w:shd w:val="clear" w:color="auto" w:fill="auto"/>
            <w:tcBorders>
              <w:top w:val="single" w:color="000000" w:sz="4" w:space="0"/>
              <w:left w:val="single" w:color="000000" w:sz="4" w:space="0"/>
              <w:bottom w:val="single" w:color="000000" w:sz="8" w:space="0"/>
              <w:right w:val="single" w:color="000000" w:sz="8" w:space="0"/>
            </w:tcBorders>
            <w:tcW w:w="825" w:type="dxa"/>
            <w:vAlign w:val="center"/>
            <w:vMerge w:val="continue"/>
            <w:textDirection w:val="lrTb"/>
            <w:noWrap/>
          </w:tcPr>
          <w:p>
            <w:pPr>
              <w:jc w:val="center"/>
              <w:spacing w:after="62"/>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r>
        <w:trPr>
          <w:jc w:val="center"/>
          <w:trHeight w:val="319"/>
        </w:trPr>
        <w:tc>
          <w:tcPr>
            <w:gridSpan w:val="2"/>
            <w:shd w:val="clear" w:color="auto" w:fill="auto"/>
            <w:tcBorders>
              <w:top w:val="single" w:color="000000" w:sz="4" w:space="0"/>
              <w:left w:val="single" w:color="000000" w:sz="8" w:space="0"/>
              <w:bottom w:val="single" w:color="000000" w:sz="8" w:space="0"/>
              <w:right w:val="single" w:color="000000" w:sz="4" w:space="0"/>
            </w:tcBorders>
            <w:tcW w:w="5901" w:type="dxa"/>
            <w:vAlign w:val="center"/>
            <w:textDirection w:val="lrTb"/>
            <w:noWrap/>
          </w:tcPr>
          <w:p>
            <w:pPr>
              <w:spacing w:after="62"/>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4"/>
                <w:highlight w:val="none"/>
                <w:lang w:bidi="ar"/>
              </w:rPr>
              <w:t xml:space="preserve">合计</w:t>
            </w:r>
            <w:r>
              <w:rPr>
                <w:highlight w:val="none"/>
              </w:rPr>
            </w:r>
          </w:p>
        </w:tc>
        <w:tc>
          <w:tcPr>
            <w:shd w:val="clear" w:color="auto" w:fill="auto"/>
            <w:tcBorders>
              <w:top w:val="single" w:color="000000" w:sz="4" w:space="0"/>
              <w:left w:val="single" w:color="000000" w:sz="4" w:space="0"/>
              <w:bottom w:val="single" w:color="000000" w:sz="8" w:space="0"/>
              <w:right w:val="single" w:color="000000" w:sz="4" w:space="0"/>
            </w:tcBorders>
            <w:tcW w:w="795"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624</w:t>
            </w:r>
            <w:r>
              <w:rPr>
                <w:highlight w:val="none"/>
              </w:rPr>
            </w:r>
          </w:p>
        </w:tc>
        <w:tc>
          <w:tcPr>
            <w:shd w:val="clear" w:color="auto" w:fill="auto"/>
            <w:tcBorders>
              <w:top w:val="single" w:color="000000" w:sz="4" w:space="0"/>
              <w:left w:val="single" w:color="000000" w:sz="4" w:space="0"/>
              <w:bottom w:val="single" w:color="000000" w:sz="8" w:space="0"/>
              <w:right w:val="single" w:color="000000" w:sz="8" w:space="0"/>
            </w:tcBorders>
            <w:tcW w:w="825" w:type="dxa"/>
            <w:vAlign w:val="center"/>
            <w:vMerge w:val="continue"/>
            <w:textDirection w:val="lrTb"/>
            <w:noWrap/>
          </w:tcPr>
          <w:p>
            <w:pPr>
              <w:jc w:val="center"/>
              <w:spacing w:after="62"/>
              <w:rPr>
                <w:rFonts w:ascii="Times New Roman" w:hAnsi="Times New Roman" w:eastAsia="宋体" w:cs="Times New Roman"/>
                <w:color w:val="000000"/>
                <w:sz w:val="28"/>
                <w:szCs w:val="28"/>
              </w:rPr>
            </w:pPr>
            <w:r>
              <w:rPr>
                <w:rFonts w:ascii="Times New Roman" w:hAnsi="Times New Roman" w:eastAsia="宋体" w:cs="Times New Roman"/>
                <w:color w:val="000000"/>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945" w:type="dxa"/>
            <w:vAlign w:val="center"/>
            <w:textDirection w:val="lrTb"/>
            <w:noWrap/>
          </w:tcPr>
          <w:p>
            <w:pPr>
              <w:spacing w:after="62"/>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rPr>
            </w:r>
            <w:r>
              <w:rPr>
                <w:highlight w:val="none"/>
              </w:rPr>
            </w:r>
          </w:p>
        </w:tc>
      </w:tr>
    </w:tbl>
    <w:p>
      <w:pPr>
        <w:ind w:firstLine="562"/>
        <w:jc w:val="left"/>
        <w:spacing w:after="62" w:line="540" w:lineRule="exact"/>
        <w:rPr>
          <w:rFonts w:ascii="Times New Roman" w:hAnsi="Times New Roman" w:eastAsia="仿宋" w:cs="Times New Roman"/>
          <w:b/>
          <w:bCs/>
          <w:sz w:val="28"/>
          <w:szCs w:val="28"/>
          <w:highlight w:val="none"/>
        </w:rPr>
        <w:sectPr>
          <w:footerReference w:type="default" r:id="rId16"/>
          <w:footnotePr/>
          <w:endnotePr/>
          <w:type w:val="nextPage"/>
          <w:pgSz w:w="11906" w:h="16838" w:orient="portrait"/>
          <w:pgMar w:top="1417" w:right="1417" w:bottom="1417" w:left="1417" w:header="851" w:footer="992" w:gutter="0"/>
          <w:cols w:num="1" w:sep="0" w:space="425" w:equalWidth="1"/>
          <w:docGrid w:linePitch="360"/>
        </w:sectPr>
      </w:pPr>
      <w:r>
        <w:rPr>
          <w:rFonts w:ascii="Times New Roman" w:hAnsi="Times New Roman" w:eastAsia="仿宋" w:cs="Times New Roman"/>
          <w:b/>
          <w:bCs/>
          <w:sz w:val="28"/>
          <w:szCs w:val="28"/>
          <w:highlight w:val="none"/>
        </w:rPr>
      </w:r>
      <w:r>
        <w:rPr>
          <w:highlight w:val="none"/>
        </w:rPr>
      </w:r>
    </w:p>
    <w:p>
      <w:pPr>
        <w:ind w:firstLine="562"/>
        <w:jc w:val="left"/>
        <w:spacing w:after="62" w:line="540" w:lineRule="exact"/>
        <w:rPr>
          <w:rFonts w:ascii="Times New Roman" w:hAnsi="Times New Roman" w:eastAsia="仿宋" w:cs="Times New Roman"/>
          <w:b/>
          <w:bCs/>
          <w:sz w:val="28"/>
          <w:szCs w:val="28"/>
          <w:highlight w:val="none"/>
        </w:rPr>
      </w:pPr>
      <w:r>
        <w:rPr>
          <w:rFonts w:hint="eastAsia" w:ascii="Times New Roman" w:hAnsi="Times New Roman" w:eastAsia="仿宋" w:cs="Times New Roman"/>
          <w:b/>
          <w:bCs/>
          <w:sz w:val="28"/>
          <w:szCs w:val="28"/>
          <w:highlight w:val="none"/>
          <w:lang w:eastAsia="zh-CN"/>
        </w:rPr>
        <w:t xml:space="preserve">2.</w:t>
      </w:r>
      <w:r>
        <w:rPr>
          <w:rFonts w:ascii="Times New Roman" w:hAnsi="Times New Roman" w:eastAsia="仿宋" w:cs="Times New Roman"/>
          <w:b/>
          <w:bCs/>
          <w:sz w:val="28"/>
          <w:szCs w:val="28"/>
          <w:highlight w:val="none"/>
        </w:rPr>
        <w:t xml:space="preserve">具体采购清单及技术要求</w:t>
      </w:r>
      <w:r>
        <w:rPr>
          <w:highlight w:val="none"/>
        </w:rPr>
      </w:r>
    </w:p>
    <w:tbl>
      <w:tblPr>
        <w:tblStyle w:val="996"/>
        <w:tblpPr w:horzAnchor="page" w:tblpXSpec="center" w:vertAnchor="text" w:tblpY="587" w:leftFromText="180" w:topFromText="0" w:rightFromText="180" w:bottomFromText="0"/>
        <w:tblW w:w="14552" w:type="dxa"/>
        <w:jc w:val="center"/>
        <w:tblLayout w:type="autofit"/>
        <w:tblCellMar>
          <w:left w:w="108" w:type="dxa"/>
          <w:top w:w="0" w:type="dxa"/>
          <w:right w:w="108" w:type="dxa"/>
          <w:bottom w:w="0" w:type="dxa"/>
        </w:tblCellMar>
        <w:tblLook w:val="04A0" w:firstRow="1" w:lastRow="0" w:firstColumn="1" w:lastColumn="0" w:noHBand="0" w:noVBand="1"/>
      </w:tblPr>
      <w:tblGrid>
        <w:gridCol w:w="457"/>
        <w:gridCol w:w="1233"/>
        <w:gridCol w:w="1857"/>
        <w:gridCol w:w="9310"/>
        <w:gridCol w:w="870"/>
        <w:gridCol w:w="825"/>
      </w:tblGrid>
      <w:tr>
        <w:trPr>
          <w:jc w:val="center"/>
          <w:trHeight w:val="375"/>
        </w:trPr>
        <w:tc>
          <w:tcPr>
            <w:gridSpan w:val="6"/>
            <w:shd w:val="clear" w:color="auto" w:fill="auto"/>
            <w:tcBorders>
              <w:top w:val="none" w:color="000000" w:sz="4" w:space="0"/>
              <w:left w:val="none" w:color="000000" w:sz="4" w:space="0"/>
              <w:bottom w:val="none" w:color="000000" w:sz="4" w:space="0"/>
              <w:right w:val="none" w:color="000000" w:sz="4" w:space="0"/>
            </w:tcBorders>
            <w:tcW w:w="14552" w:type="dxa"/>
            <w:vAlign w:val="center"/>
            <w:textDirection w:val="lrTb"/>
            <w:noWrap/>
          </w:tcPr>
          <w:p>
            <w:pPr>
              <w:jc w:val="center"/>
              <w:spacing w:after="62"/>
              <w:widowControl/>
              <w:rPr>
                <w:rFonts w:ascii="Times New Roman" w:hAnsi="Times New Roman" w:eastAsia="宋体" w:cs="Times New Roman"/>
                <w:b/>
                <w:bCs/>
                <w:color w:val="auto"/>
                <w:sz w:val="28"/>
                <w:szCs w:val="28"/>
                <w:highlight w:val="none"/>
              </w:rPr>
            </w:pPr>
            <w:r>
              <w:rPr>
                <w:rFonts w:ascii="Times New Roman" w:hAnsi="Times New Roman" w:eastAsia="宋体" w:cs="Times New Roman"/>
                <w:b/>
                <w:bCs/>
                <w:color w:val="auto"/>
                <w:sz w:val="28"/>
                <w:szCs w:val="28"/>
                <w:highlight w:val="none"/>
                <w:lang w:bidi="ar"/>
              </w:rPr>
              <w:t xml:space="preserve">①食堂功能区域设备采购清单及技术参数</w:t>
            </w:r>
            <w:r>
              <w:rPr>
                <w:highlight w:val="none"/>
              </w:rP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jc w:val="center"/>
              <w:spacing w:after="62"/>
              <w:widowControl/>
              <w:rPr>
                <w:rFonts w:ascii="Times New Roman" w:hAnsi="Times New Roman" w:eastAsia="宋体" w:cs="Times New Roman"/>
                <w:b/>
                <w:bCs/>
                <w:color w:val="auto"/>
                <w:sz w:val="24"/>
                <w:highlight w:val="none"/>
              </w:rPr>
            </w:pPr>
            <w:r>
              <w:rPr>
                <w:rFonts w:ascii="Times New Roman" w:hAnsi="Times New Roman" w:eastAsia="宋体" w:cs="Times New Roman"/>
                <w:b/>
                <w:bCs/>
                <w:color w:val="auto"/>
                <w:sz w:val="24"/>
                <w:highlight w:val="none"/>
                <w:lang w:bidi="ar"/>
              </w:rPr>
              <w:t xml:space="preserve">序号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after="62"/>
              <w:widowControl/>
              <w:rPr>
                <w:rFonts w:ascii="Times New Roman" w:hAnsi="Times New Roman" w:eastAsia="宋体" w:cs="Times New Roman"/>
                <w:b/>
                <w:bCs/>
                <w:color w:val="auto"/>
                <w:sz w:val="24"/>
                <w:highlight w:val="none"/>
              </w:rPr>
            </w:pPr>
            <w:r>
              <w:rPr>
                <w:rFonts w:ascii="Times New Roman" w:hAnsi="Times New Roman" w:eastAsia="宋体" w:cs="Times New Roman"/>
                <w:b/>
                <w:bCs/>
                <w:color w:val="auto"/>
                <w:sz w:val="24"/>
                <w:highlight w:val="none"/>
                <w:lang w:bidi="ar"/>
              </w:rPr>
              <w:t xml:space="preserve">名称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tcPr>
          <w:p>
            <w:pPr>
              <w:jc w:val="center"/>
              <w:keepLines w:val="0"/>
              <w:keepNext w:val="0"/>
              <w:pageBreakBefore w:val="0"/>
              <w:spacing w:after="0" w:line="400" w:lineRule="exact"/>
              <w:widowControl/>
              <w:rPr>
                <w:rFonts w:hint="eastAsia" w:ascii="Times New Roman" w:hAnsi="Times New Roman" w:eastAsia="宋体" w:cs="Times New Roman"/>
                <w:b/>
                <w:bCs/>
                <w:color w:val="auto"/>
                <w:sz w:val="24"/>
                <w:highlight w:val="none"/>
              </w:rPr>
            </w:pPr>
            <w:r>
              <w:rPr>
                <w:rFonts w:ascii="Times New Roman" w:hAnsi="Times New Roman" w:eastAsia="宋体" w:cs="Times New Roman"/>
                <w:b/>
                <w:bCs/>
                <w:color w:val="auto"/>
                <w:sz w:val="24"/>
                <w:highlight w:val="none"/>
                <w:lang w:bidi="ar"/>
              </w:rPr>
              <w:t xml:space="preserve">规格尺寸</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tcPr>
          <w:p>
            <w:pPr>
              <w:jc w:val="center"/>
              <w:spacing w:after="62"/>
              <w:widowControl/>
              <w:rPr>
                <w:rFonts w:ascii="Times New Roman" w:hAnsi="Times New Roman" w:eastAsia="宋体" w:cs="Times New Roman"/>
                <w:b/>
                <w:bCs/>
                <w:color w:val="auto"/>
                <w:sz w:val="24"/>
                <w:highlight w:val="none"/>
              </w:rPr>
            </w:pPr>
            <w:r>
              <w:rPr>
                <w:rFonts w:ascii="Times New Roman" w:hAnsi="Times New Roman" w:eastAsia="宋体" w:cs="Times New Roman"/>
                <w:b/>
                <w:bCs/>
                <w:color w:val="auto"/>
                <w:sz w:val="24"/>
                <w:highlight w:val="none"/>
                <w:lang w:bidi="ar"/>
              </w:rPr>
              <w:t xml:space="preserve">技术参数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after="62"/>
              <w:widowControl/>
              <w:rPr>
                <w:rFonts w:ascii="Times New Roman" w:hAnsi="Times New Roman" w:eastAsia="宋体" w:cs="Times New Roman"/>
                <w:b/>
                <w:bCs/>
                <w:color w:val="auto"/>
                <w:sz w:val="24"/>
                <w:highlight w:val="none"/>
              </w:rPr>
            </w:pPr>
            <w:r>
              <w:rPr>
                <w:rFonts w:ascii="Times New Roman" w:hAnsi="Times New Roman" w:eastAsia="宋体" w:cs="Times New Roman"/>
                <w:b/>
                <w:bCs/>
                <w:color w:val="auto"/>
                <w:sz w:val="24"/>
                <w:highlight w:val="none"/>
                <w:lang w:bidi="ar"/>
              </w:rPr>
              <w:t xml:space="preserve">数量</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widowControl/>
              <w:rPr>
                <w:rFonts w:ascii="Times New Roman" w:hAnsi="Times New Roman" w:eastAsia="宋体" w:cs="Times New Roman"/>
                <w:b/>
                <w:bCs/>
                <w:color w:val="auto"/>
                <w:sz w:val="24"/>
                <w:highlight w:val="none"/>
              </w:rPr>
            </w:pPr>
            <w:r>
              <w:rPr>
                <w:rFonts w:ascii="Times New Roman" w:hAnsi="Times New Roman" w:eastAsia="宋体" w:cs="Times New Roman"/>
                <w:b/>
                <w:bCs/>
                <w:color w:val="auto"/>
                <w:sz w:val="24"/>
                <w:highlight w:val="none"/>
                <w:lang w:bidi="ar"/>
              </w:rPr>
              <w:t xml:space="preserve">单位</w:t>
            </w:r>
            <w:r>
              <w:rPr>
                <w:highlight w:val="none"/>
              </w:rP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六门更衣柜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900*400*1800</w:t>
            </w:r>
            <w:r>
              <w:rPr>
                <w:highlight w:val="none"/>
              </w:rPr>
            </w:r>
          </w:p>
          <w:p>
            <w:pPr>
              <w:jc w:val="center"/>
              <w:keepLines w:val="0"/>
              <w:keepNext w:val="0"/>
              <w:pageBreakBefore w:val="0"/>
              <w:spacing w:after="0" w:line="280" w:lineRule="exact"/>
              <w:widowControl/>
              <w:rPr>
                <w:color w:val="auto"/>
                <w:highlight w:val="none"/>
              </w:rPr>
            </w:pP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采用厚度0.6mm的优质</w:t>
            </w:r>
            <w:r>
              <w:rPr>
                <w:rFonts w:hint="eastAsia" w:ascii="Times New Roman" w:hAnsi="Times New Roman" w:eastAsia="宋体" w:cs="Times New Roman"/>
                <w:color w:val="auto"/>
                <w:sz w:val="22"/>
                <w:szCs w:val="22"/>
                <w:highlight w:val="none"/>
                <w:lang w:eastAsia="zh-CN" w:bidi="ar"/>
              </w:rPr>
              <w:t xml:space="preserve">冷轧</w:t>
            </w:r>
            <w:r>
              <w:rPr>
                <w:rFonts w:ascii="Times New Roman" w:hAnsi="Times New Roman" w:eastAsia="宋体" w:cs="Times New Roman"/>
                <w:color w:val="auto"/>
                <w:sz w:val="22"/>
                <w:szCs w:val="22"/>
                <w:highlight w:val="none"/>
                <w:lang w:bidi="ar"/>
              </w:rPr>
              <w:t xml:space="preserve">钢板经精裁、冲压、折弯、碰焊而成；</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表面经酸洗、磷化、除油除锈、高温静电</w:t>
            </w:r>
            <w:r>
              <w:rPr>
                <w:rFonts w:hint="eastAsia" w:ascii="Times New Roman" w:hAnsi="Times New Roman" w:eastAsia="宋体" w:cs="Times New Roman"/>
                <w:color w:val="auto"/>
                <w:sz w:val="22"/>
                <w:szCs w:val="22"/>
                <w:highlight w:val="none"/>
                <w:lang w:eastAsia="zh-CN" w:bidi="ar"/>
              </w:rPr>
              <w:t xml:space="preserve">粉末</w:t>
            </w:r>
            <w:r>
              <w:rPr>
                <w:rFonts w:ascii="Times New Roman" w:hAnsi="Times New Roman" w:eastAsia="宋体" w:cs="Times New Roman"/>
                <w:color w:val="auto"/>
                <w:sz w:val="22"/>
                <w:szCs w:val="22"/>
                <w:highlight w:val="none"/>
                <w:lang w:bidi="ar"/>
              </w:rPr>
              <w:t xml:space="preserve">喷塑。</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每个门均带独立锁、带挂衣杆。</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15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单星盆水池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600*500*800</w:t>
            </w:r>
            <w:r>
              <w:rPr>
                <w:highlight w:val="none"/>
              </w:rPr>
            </w:r>
          </w:p>
          <w:p>
            <w:pPr>
              <w:jc w:val="center"/>
              <w:keepLines w:val="0"/>
              <w:keepNext w:val="0"/>
              <w:pageBreakBefore w:val="0"/>
              <w:spacing w:after="0" w:line="280" w:lineRule="exact"/>
              <w:widowControl/>
              <w:rPr>
                <w:rFonts w:hint="eastAsia"/>
                <w:color w:val="auto"/>
                <w:highlight w:val="none"/>
              </w:rPr>
            </w:pP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带不锈钢落水口和不锈钢垃圾网。</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右单星杀鱼台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ind w:firstLine="360"/>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1500*800*800</w:t>
            </w:r>
            <w:r>
              <w:rPr>
                <w:highlight w:val="none"/>
              </w:rPr>
            </w:r>
          </w:p>
          <w:p>
            <w:pPr>
              <w:pStyle w:val="997"/>
              <w:jc w:val="center"/>
              <w:keepLines w:val="0"/>
              <w:keepNext w:val="0"/>
              <w:pageBreakBefore w:val="0"/>
              <w:spacing w:after="0" w:line="280" w:lineRule="exact"/>
              <w:rPr>
                <w:color w:val="auto"/>
                <w:highlight w:val="none"/>
              </w:rPr>
            </w:pPr>
            <w:r>
              <w:rPr>
                <w:rFonts w:hint="eastAsia" w:asci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eastAsia="宋体" w:cs="Times New Roman"/>
                <w:color w:val="auto"/>
                <w:sz w:val="18"/>
                <w:szCs w:val="18"/>
                <w:highlight w:val="none"/>
                <w:lang w:eastAsia="zh-CN" w:bidi="ar"/>
              </w:rPr>
              <w:t xml:space="preserve">)</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带不锈钢落水口和不锈钢垃圾网，带溢水口。</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大单星盆水池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1000*800*800</w:t>
            </w:r>
            <w:r>
              <w:rPr>
                <w:highlight w:val="none"/>
              </w:rPr>
            </w:r>
          </w:p>
          <w:p>
            <w:pPr>
              <w:pStyle w:val="997"/>
              <w:jc w:val="center"/>
              <w:keepLines w:val="0"/>
              <w:keepNext w:val="0"/>
              <w:pageBreakBefore w:val="0"/>
              <w:spacing w:after="0" w:line="280" w:lineRule="exact"/>
              <w:rPr>
                <w:color w:val="auto"/>
                <w:highlight w:val="none"/>
              </w:rPr>
            </w:pPr>
            <w:r>
              <w:rPr>
                <w:rFonts w:hint="eastAsia" w:asci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eastAsia="宋体" w:cs="Times New Roman"/>
                <w:color w:val="auto"/>
                <w:sz w:val="18"/>
                <w:szCs w:val="18"/>
                <w:highlight w:val="none"/>
                <w:lang w:eastAsia="zh-CN" w:bidi="ar"/>
              </w:rPr>
              <w:t xml:space="preserve">)</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带不锈钢落水口和不锈钢垃圾网，带溢水口。</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单星盆水池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800*800*800</w:t>
            </w:r>
            <w:r>
              <w:rPr>
                <w:highlight w:val="none"/>
              </w:rPr>
            </w:r>
          </w:p>
          <w:p>
            <w:pPr>
              <w:pStyle w:val="997"/>
              <w:jc w:val="center"/>
              <w:keepLines w:val="0"/>
              <w:keepNext w:val="0"/>
              <w:pageBreakBefore w:val="0"/>
              <w:spacing w:after="0" w:line="280" w:lineRule="exact"/>
              <w:rPr>
                <w:color w:val="auto"/>
                <w:highlight w:val="none"/>
              </w:rPr>
            </w:pPr>
            <w:r>
              <w:rPr>
                <w:rFonts w:hint="eastAsia" w:asci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eastAsia="宋体" w:cs="Times New Roman"/>
                <w:color w:val="auto"/>
                <w:sz w:val="18"/>
                <w:szCs w:val="18"/>
                <w:highlight w:val="none"/>
                <w:lang w:eastAsia="zh-CN" w:bidi="ar"/>
              </w:rPr>
              <w:t xml:space="preserve">)</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带不锈钢落水口和不锈钢垃圾网。</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单星盆水池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700*800*800</w:t>
            </w:r>
            <w:r>
              <w:rPr>
                <w:highlight w:val="none"/>
              </w:rPr>
            </w:r>
          </w:p>
          <w:p>
            <w:pPr>
              <w:pStyle w:val="997"/>
              <w:jc w:val="center"/>
              <w:keepLines w:val="0"/>
              <w:keepNext w:val="0"/>
              <w:pageBreakBefore w:val="0"/>
              <w:spacing w:after="0" w:line="280" w:lineRule="exact"/>
              <w:rPr>
                <w:color w:val="auto"/>
                <w:highlight w:val="none"/>
              </w:rPr>
            </w:pPr>
            <w:r>
              <w:rPr>
                <w:rFonts w:hint="eastAsia" w:asci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eastAsia="宋体" w:cs="Times New Roman"/>
                <w:color w:val="auto"/>
                <w:sz w:val="18"/>
                <w:szCs w:val="18"/>
                <w:highlight w:val="none"/>
                <w:lang w:eastAsia="zh-CN" w:bidi="ar"/>
              </w:rPr>
              <w:t xml:space="preserve">)</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带不锈钢落水口和不锈钢垃圾网。</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单星盆水池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800*700*800</w:t>
            </w:r>
            <w:r>
              <w:rPr>
                <w:highlight w:val="none"/>
              </w:rPr>
            </w:r>
          </w:p>
          <w:p>
            <w:pPr>
              <w:pStyle w:val="997"/>
              <w:jc w:val="center"/>
              <w:keepLines w:val="0"/>
              <w:keepNext w:val="0"/>
              <w:pageBreakBefore w:val="0"/>
              <w:spacing w:after="0" w:line="280" w:lineRule="exact"/>
              <w:rPr>
                <w:color w:val="auto"/>
                <w:highlight w:val="none"/>
              </w:rPr>
            </w:pPr>
            <w:r>
              <w:rPr>
                <w:rFonts w:hint="eastAsia" w:asci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eastAsia="宋体" w:cs="Times New Roman"/>
                <w:color w:val="auto"/>
                <w:sz w:val="18"/>
                <w:szCs w:val="18"/>
                <w:highlight w:val="none"/>
                <w:lang w:eastAsia="zh-CN" w:bidi="ar"/>
              </w:rPr>
              <w:t xml:space="preserve">)</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带不锈钢落水口和不锈钢垃圾网。</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大单星盆水池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1000*700*800</w:t>
            </w:r>
            <w:r>
              <w:rPr>
                <w:highlight w:val="none"/>
              </w:rPr>
            </w:r>
          </w:p>
          <w:p>
            <w:pPr>
              <w:pStyle w:val="997"/>
              <w:jc w:val="center"/>
              <w:keepLines w:val="0"/>
              <w:keepNext w:val="0"/>
              <w:pageBreakBefore w:val="0"/>
              <w:spacing w:after="0" w:line="280" w:lineRule="exact"/>
              <w:rPr>
                <w:color w:val="auto"/>
                <w:highlight w:val="none"/>
              </w:rPr>
            </w:pPr>
            <w:r>
              <w:rPr>
                <w:rFonts w:hint="eastAsia" w:asci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eastAsia="宋体" w:cs="Times New Roman"/>
                <w:color w:val="auto"/>
                <w:sz w:val="18"/>
                <w:szCs w:val="18"/>
                <w:highlight w:val="none"/>
                <w:lang w:eastAsia="zh-CN" w:bidi="ar"/>
              </w:rPr>
              <w:t xml:space="preserve">)</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带不锈钢落水口和不锈钢垃圾网。</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大单星盆水池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1200*800*800</w:t>
            </w:r>
            <w:r>
              <w:rPr>
                <w:highlight w:val="none"/>
              </w:rPr>
            </w:r>
          </w:p>
          <w:p>
            <w:pPr>
              <w:pStyle w:val="997"/>
              <w:jc w:val="center"/>
              <w:keepLines w:val="0"/>
              <w:keepNext w:val="0"/>
              <w:pageBreakBefore w:val="0"/>
              <w:spacing w:after="0" w:line="280" w:lineRule="exact"/>
              <w:rPr>
                <w:color w:val="auto"/>
                <w:highlight w:val="none"/>
              </w:rPr>
            </w:pPr>
            <w:r>
              <w:rPr>
                <w:rFonts w:hint="eastAsia" w:asci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eastAsia="宋体" w:cs="Times New Roman"/>
                <w:color w:val="auto"/>
                <w:sz w:val="18"/>
                <w:szCs w:val="18"/>
                <w:highlight w:val="none"/>
                <w:lang w:eastAsia="zh-CN" w:bidi="ar"/>
              </w:rPr>
              <w:t xml:space="preserve">)</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带不锈钢落水口和不锈钢垃圾网。</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单星盆水池柜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700*600*800</w:t>
            </w:r>
            <w:r>
              <w:rPr>
                <w:highlight w:val="none"/>
              </w:rPr>
            </w:r>
          </w:p>
          <w:p>
            <w:pPr>
              <w:pStyle w:val="997"/>
              <w:ind w:firstLine="531"/>
              <w:rPr>
                <w:color w:val="auto"/>
                <w:highlight w:val="none"/>
              </w:rPr>
            </w:pPr>
            <w:r>
              <w:rPr>
                <w:rFonts w:hint="eastAsia" w:asci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eastAsia="宋体" w:cs="Times New Roman"/>
                <w:color w:val="auto"/>
                <w:sz w:val="18"/>
                <w:szCs w:val="18"/>
                <w:highlight w:val="none"/>
                <w:lang w:eastAsia="zh-CN" w:bidi="ar"/>
              </w:rPr>
              <w:t xml:space="preserve">)</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带不锈钢落水口和不锈钢垃圾网。</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单星盆水池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600*600*800</w:t>
            </w:r>
            <w:r>
              <w:rPr>
                <w:highlight w:val="none"/>
              </w:rPr>
            </w:r>
          </w:p>
          <w:p>
            <w:pPr>
              <w:pStyle w:val="997"/>
              <w:rPr>
                <w:color w:val="auto"/>
                <w:highlight w:val="none"/>
              </w:rPr>
            </w:pPr>
            <w:r>
              <w:rPr>
                <w:rFonts w:hint="eastAsia" w:ascii="Times New Roman" w:eastAsia="宋体" w:cs="Times New Roman"/>
                <w:color w:val="auto"/>
                <w:sz w:val="18"/>
                <w:szCs w:val="18"/>
                <w:highlight w:val="none"/>
                <w:lang w:val="en-US" w:eastAsia="zh-CN" w:bidi="ar"/>
              </w:rPr>
              <w:t xml:space="preserve">(</w:t>
            </w:r>
            <w:r>
              <w:rPr>
                <w:rFonts w:hint="eastAsia" w:ascii="Times New Roman" w:hAnsi="Times New Roman" w:eastAsia="宋体" w:cs="Times New Roman"/>
                <w:color w:val="auto"/>
                <w:sz w:val="18"/>
                <w:szCs w:val="18"/>
                <w:highlight w:val="none"/>
                <w:lang w:val="en-US" w:eastAsia="zh-CN" w:bidi="ar"/>
              </w:rPr>
              <w:t xml:space="preserve">±10</w:t>
            </w:r>
            <w:r>
              <w:rPr>
                <w:rFonts w:hint="eastAsia" w:ascii="Times New Roman" w:eastAsia="宋体" w:cs="Times New Roman"/>
                <w:color w:val="auto"/>
                <w:sz w:val="18"/>
                <w:szCs w:val="18"/>
                <w:highlight w:val="none"/>
                <w:lang w:val="en-US" w:eastAsia="zh-CN" w:bidi="ar"/>
              </w:rPr>
              <w:t xml:space="preserve">)</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4、带不锈钢落水口和不锈钢垃圾网。</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大单星盆水池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900*1200*80</w:t>
            </w:r>
            <w:r>
              <w:rPr>
                <w:highlight w:val="none"/>
              </w:rP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4、带不锈钢落水口和不锈钢垃圾网。</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大单星盆水池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1000*700*800</w:t>
            </w:r>
            <w:r>
              <w:rPr>
                <w:highlight w:val="none"/>
              </w:rP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4、带不锈钢落水口和不锈钢垃圾网。</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单星盆水池柜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700*700*800</w:t>
            </w:r>
            <w:r>
              <w:rPr>
                <w:highlight w:val="none"/>
              </w:rP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4、带不锈钢落水口和不锈钢垃圾网。</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单星盆水池柜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700*500*800</w:t>
            </w:r>
            <w:r>
              <w:rPr>
                <w:highlight w:val="none"/>
              </w:rP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4、带不锈钢落水口和不锈钢垃圾网。</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星盆水池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1100*800*800</w:t>
            </w:r>
            <w:r>
              <w:rPr>
                <w:highlight w:val="none"/>
              </w:rP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星盆斗底部增加38*25*1.0mm的加强筋。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4、带不锈钢落水口和不锈钢垃圾网，带溢水口。</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拖把池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1500*700*800</w:t>
            </w:r>
            <w:r>
              <w:rPr>
                <w:highlight w:val="none"/>
              </w:rP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4、带不锈钢落水口和不锈钢垃圾网。</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拖把池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1200*700*800</w:t>
            </w:r>
            <w:r>
              <w:rPr>
                <w:highlight w:val="none"/>
              </w:rP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主材SUS304不锈钢制作，台面采用不小于1.2mm厚不锈钢板制作；星盆斗采用不小于1.2mm厚不锈钢板制作。</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2、立柱采用38*38*1.0mm方通，配可调式子弹脚；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4、带不锈钢落水口和不锈钢垃圾网。</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双层平板工作台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1800*800*800</w:t>
            </w:r>
            <w:r>
              <w:rPr>
                <w:highlight w:val="none"/>
              </w:rPr>
            </w:r>
          </w:p>
          <w:p>
            <w:pPr>
              <w:jc w:val="center"/>
              <w:keepLines w:val="0"/>
              <w:keepNext w:val="0"/>
              <w:pageBreakBefore w:val="0"/>
              <w:spacing w:after="0" w:line="280" w:lineRule="exact"/>
              <w:widowControl/>
              <w:rPr>
                <w:color w:val="auto"/>
                <w:highlight w:val="none"/>
              </w:rPr>
            </w:pPr>
            <w:r>
              <w:rPr>
                <w:rFonts w:hint="eastAsia" w:ascii="Times New Roman" w:hAnsi="Times New Roman" w:eastAsia="宋体" w:cs="Times New Roman"/>
                <w:color w:val="auto"/>
                <w:sz w:val="18"/>
                <w:szCs w:val="18"/>
                <w:highlight w:val="none"/>
                <w:lang w:val="en-US" w:eastAsia="zh-CN"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1.台面板采用SUS304，不小于1.2mm不锈钢板，配不小于1.2mm做加力筋；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2.层板采用国产SUS304，不小于1.2mm不锈钢板；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3.台脚采用48mmX1.2mm不锈钢方管</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配可调性不锈钢子弹脚；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4.面板下面加装防水不小于18mm木工板。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5.采用二次压边工艺，无割手处，焊接处理光滑，美观，无明显焊斑焊缝。</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双层平板工作台带靠背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600*800*800</w:t>
            </w:r>
            <w:r>
              <w:rPr>
                <w:highlight w:val="none"/>
              </w:rP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1.台面板采用SUS304，不小于1.2mm不锈钢板，配不小于1.2mm做加力筋；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2.层板采用国产SUS304，不小于1.2mm不锈钢板；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3.台脚采用48mmX1.2mm不锈钢方管</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配可调性不锈钢子弹脚；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4.面板下面加装防水不小于18mm木工板。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5.采用二次压边工艺，无割手处，焊接处理光滑，美观，无明显焊斑焊缝。</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双层平板工作台带靠背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1800*800*800</w:t>
            </w:r>
            <w:r>
              <w:rPr>
                <w:highlight w:val="none"/>
              </w:rP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1.台面板采用SUS304，不小于1.2mm不锈钢板，配不小于1.2mm做加力筋；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2.层板采用国产SUS304，不小于1.2mm不锈钢板；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3.台脚采用48mmX1.2mm不锈钢方管</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配可调性不锈钢子弹脚；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4.面板下面加装防水不小于18mm木工板。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5.采用二次压边工艺，无割手处，焊接处理光滑，美观，无明显焊斑焊缝。</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双层平板工作台带靠背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1500*700*800</w:t>
            </w:r>
            <w:r>
              <w:rPr>
                <w:highlight w:val="none"/>
              </w:rP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1.台面板采用SUS304，不小于1.2mm不锈钢板，配不小于1.2mm做加力筋；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2.层板采用国产SUS304，不小于1.2mm不锈钢板；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3.台脚采用48mmX1.2mm不锈钢方管</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配可调性不锈钢子弹脚；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4.面板下面加装防水不小于18mm木工板。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5.采用二次压边工艺，无割手处，焊接处理光滑，美观，无明显焊斑焊缝。</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活动双层平板工作台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1800*800*800</w:t>
            </w:r>
            <w:r>
              <w:rPr>
                <w:highlight w:val="none"/>
              </w:rP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1.台面板采用SUS304，不小于1.2mm不锈钢板，配不小于1.2mm做加力筋；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2.层板采用国产SUS304，不小于1.2mm不锈钢板；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3.台脚采用48mmX1.2mm不锈钢方管</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配可调性不锈钢子弹脚；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4.面板下面加装防水不小于18mm木工板。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5.采用二次压边工艺，无割手处，焊接处理光滑，美观，无明显焊斑焊缝。</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双层平板工作台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1400*600*800</w:t>
            </w:r>
            <w:r>
              <w:rPr>
                <w:highlight w:val="none"/>
              </w:rP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1.台面板采用SUS304，不小于1.2mm不锈钢板，配不小于1.2mm做加力筋；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2.层板采用国产SUS304，不小于1.2mm不锈钢板；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3.台脚采用48mmX1.2mm不锈钢方管</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配可调性不锈钢子弹脚；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4.面板下面加装防水不小于18mm木工板。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5.采用二次压边工艺，无割手处，焊接处理光滑，美观，无明显焊斑焊缝。</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双层推车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1000*600*850</w:t>
            </w:r>
            <w:r>
              <w:rPr>
                <w:highlight w:val="none"/>
              </w:rP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1.台面板采用SUS304，不小于1.2mm不锈钢板，配不小于1.2mm做加力筋；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2.层板采用国产SUS304，不小于1.2mm不锈钢板；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3.台脚采用48mmX1.2mm不锈钢方管</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配可调性不锈钢子弹脚；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4.面板下面加装防水不小于18mm木工板。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6. 带4个5寸橡胶静音重型推车轮，其中两个带刹车的万向轮。</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辆</w:t>
            </w:r>
            <w:r>
              <w:rPr>
                <w:highlight w:val="none"/>
              </w:rP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双层不锈钢小碗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≥直径11.5cm</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内外SUS304不锈钢制作。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2400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rPr>
                <w:highlight w:val="none"/>
              </w:rP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双层保温桶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≥10L</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SUS304不锈钢制作。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rPr>
                <w:highlight w:val="none"/>
              </w:rP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三层冲孔货架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1200*500*1550</w:t>
            </w:r>
            <w:r>
              <w:rPr>
                <w:highlight w:val="none"/>
              </w:rP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框架采用SUS304不锈钢制作，平板厚度不小于1.2mm；</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2、立柱采用48mm，≥1.2mm厚不锈钢方管；</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条板采用≥1.2mm厚板。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配备</w:t>
            </w:r>
            <w:r>
              <w:rPr>
                <w:rFonts w:ascii="Times New Roman" w:hAnsi="Times New Roman" w:eastAsia="宋体" w:cs="Times New Roman"/>
                <w:color w:val="auto"/>
                <w:sz w:val="22"/>
                <w:szCs w:val="22"/>
                <w:highlight w:val="none"/>
                <w:lang w:bidi="ar"/>
              </w:rPr>
              <w:t xml:space="preserve">不锈钢可调节子弹脚。</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三层平板货架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1200*500*1550</w:t>
            </w:r>
            <w:r>
              <w:rPr>
                <w:highlight w:val="none"/>
              </w:rP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框架采用SUS304不锈钢制作，平板厚度不小于1.2mm；</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2、立柱采用48mm，≥1.2mm厚不锈钢方管；</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条板采用≥1.2mm厚板。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3、采用二次压边工艺，无割手处，焊接处理光滑，美观，无明显焊斑焊缝。</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配备</w:t>
            </w:r>
            <w:r>
              <w:rPr>
                <w:rFonts w:ascii="Times New Roman" w:hAnsi="Times New Roman" w:eastAsia="宋体" w:cs="Times New Roman"/>
                <w:color w:val="auto"/>
                <w:sz w:val="22"/>
                <w:szCs w:val="22"/>
                <w:highlight w:val="none"/>
                <w:lang w:bidi="ar"/>
              </w:rPr>
              <w:t xml:space="preserve">不锈钢可调节子弹脚。</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30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四层平板货架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1500*500*1550</w:t>
            </w:r>
            <w:r>
              <w:rPr>
                <w:highlight w:val="none"/>
              </w:rPr>
            </w:r>
          </w:p>
          <w:p>
            <w:pPr>
              <w:jc w:val="center"/>
              <w:keepLines w:val="0"/>
              <w:keepNext w:val="0"/>
              <w:pageBreakBefore w:val="0"/>
              <w:spacing w:after="0" w:line="280" w:lineRule="exact"/>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框架采用SUS304不锈钢制作，平板厚度不小于1.</w:t>
            </w:r>
            <w:r>
              <w:rPr>
                <w:rFonts w:hint="eastAsia" w:ascii="Times New Roman" w:hAnsi="Times New Roman" w:eastAsia="宋体" w:cs="Times New Roman"/>
                <w:color w:val="auto"/>
                <w:sz w:val="22"/>
                <w:szCs w:val="22"/>
                <w:highlight w:val="none"/>
                <w:lang w:bidi="ar"/>
              </w:rPr>
              <w:t xml:space="preserve">2</w:t>
            </w:r>
            <w:r>
              <w:rPr>
                <w:rFonts w:ascii="Times New Roman" w:hAnsi="Times New Roman" w:eastAsia="宋体" w:cs="Times New Roman"/>
                <w:color w:val="auto"/>
                <w:sz w:val="22"/>
                <w:szCs w:val="22"/>
                <w:highlight w:val="none"/>
                <w:lang w:bidi="ar"/>
              </w:rPr>
              <w:t xml:space="preserve">mm；立柱采用φ48mm，1.</w:t>
            </w:r>
            <w:r>
              <w:rPr>
                <w:rFonts w:hint="eastAsia" w:ascii="Times New Roman" w:hAnsi="Times New Roman" w:eastAsia="宋体" w:cs="Times New Roman"/>
                <w:color w:val="auto"/>
                <w:sz w:val="22"/>
                <w:szCs w:val="22"/>
                <w:highlight w:val="none"/>
                <w:lang w:bidi="ar"/>
              </w:rPr>
              <w:t xml:space="preserve">2</w:t>
            </w:r>
            <w:r>
              <w:rPr>
                <w:rFonts w:ascii="Times New Roman" w:hAnsi="Times New Roman" w:eastAsia="宋体" w:cs="Times New Roman"/>
                <w:color w:val="auto"/>
                <w:sz w:val="22"/>
                <w:szCs w:val="22"/>
                <w:highlight w:val="none"/>
                <w:lang w:bidi="ar"/>
              </w:rPr>
              <w:t xml:space="preserve">mm厚不锈钢圆管；条板采用1.</w:t>
            </w:r>
            <w:r>
              <w:rPr>
                <w:rFonts w:hint="eastAsia" w:ascii="Times New Roman" w:hAnsi="Times New Roman" w:eastAsia="宋体" w:cs="Times New Roman"/>
                <w:color w:val="auto"/>
                <w:sz w:val="22"/>
                <w:szCs w:val="22"/>
                <w:highlight w:val="none"/>
                <w:lang w:bidi="ar"/>
              </w:rPr>
              <w:t xml:space="preserve">2</w:t>
            </w:r>
            <w:r>
              <w:rPr>
                <w:rFonts w:ascii="Times New Roman" w:hAnsi="Times New Roman" w:eastAsia="宋体" w:cs="Times New Roman"/>
                <w:color w:val="auto"/>
                <w:sz w:val="22"/>
                <w:szCs w:val="22"/>
                <w:highlight w:val="none"/>
                <w:lang w:bidi="ar"/>
              </w:rPr>
              <w:t xml:space="preserve">mm厚板。采用二次压边工艺，无割手处，焊接处理光滑，美观，无明显焊斑焊缝。配不锈钢可调节子弹脚。</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台</w:t>
            </w:r>
            <w:r>
              <w:rPr>
                <w:highlight w:val="none"/>
              </w:rP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米面架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1000*500*200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hint="eastAsia" w:ascii="Times New Roman" w:hAnsi="Times New Roman" w:eastAsia="宋体" w:cs="Times New Roman"/>
                <w:color w:val="auto"/>
                <w:sz w:val="22"/>
                <w:szCs w:val="22"/>
                <w:highlight w:val="none"/>
                <w:lang w:bidi="ar"/>
              </w:rPr>
              <w:t xml:space="preserve">框架采用304不锈钢制作，厚度不小于1.0mm厚；横柱用50×25×0.8mm厚不锈钢；脚管立柱采用50×50×1.0mm厚不锈钢；横柱共计10根，配置塑胶脚垫。</w:t>
            </w:r>
            <w:r>
              <w:rPr>
                <w:highlight w:val="none"/>
              </w:rPr>
            </w:r>
          </w:p>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2.</w:t>
            </w:r>
            <w:r>
              <w:rPr>
                <w:rFonts w:hint="eastAsia" w:ascii="Times New Roman" w:hAnsi="Times New Roman" w:eastAsia="宋体" w:cs="Times New Roman"/>
                <w:color w:val="auto"/>
                <w:sz w:val="22"/>
                <w:szCs w:val="22"/>
                <w:highlight w:val="none"/>
                <w:lang w:bidi="ar"/>
              </w:rPr>
              <w:t xml:space="preserve">采用二次压边工艺，无割手处，焊接处理光滑，美观，无明显焊斑焊缝。</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台</w:t>
            </w:r>
            <w:r>
              <w:rPr>
                <w:highlight w:val="none"/>
              </w:rPr>
            </w:r>
          </w:p>
        </w:tc>
      </w:tr>
      <w:tr>
        <w:trPr>
          <w:jc w:val="center"/>
          <w:trHeight w:val="18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感应水龙头</w:t>
            </w:r>
            <w:r>
              <w:rPr>
                <w:rStyle w:val="1326"/>
                <w:rFonts w:hint="default" w:ascii="Times New Roman" w:hAnsi="Times New Roman" w:cs="Times New Roman"/>
                <w:color w:val="auto"/>
                <w:highlight w:val="none"/>
                <w:lang w:bidi="ar"/>
              </w:rPr>
              <w:t xml:space="preserve">（政府采购强制认证产品）</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冷热混水型</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1.外形尺寸：190*320(mm)±5%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2.工作电压：1.5V×4（四节五号干电池）或者110V  50/60</w:t>
            </w:r>
            <w:r>
              <w:rPr>
                <w:rFonts w:hint="eastAsia" w:ascii="Times New Roman" w:hAnsi="Times New Roman" w:eastAsia="宋体" w:cs="Times New Roman"/>
                <w:color w:val="auto"/>
                <w:sz w:val="22"/>
                <w:szCs w:val="22"/>
                <w:highlight w:val="none"/>
                <w:lang w:eastAsia="zh-CN" w:bidi="ar"/>
              </w:rPr>
              <w:t xml:space="preserve">Hz</w:t>
            </w:r>
            <w:r>
              <w:rPr>
                <w:rFonts w:ascii="Times New Roman" w:hAnsi="Times New Roman" w:eastAsia="宋体" w:cs="Times New Roman"/>
                <w:color w:val="auto"/>
                <w:sz w:val="22"/>
                <w:szCs w:val="22"/>
                <w:highlight w:val="none"/>
                <w:lang w:bidi="ar"/>
              </w:rPr>
              <w:t xml:space="preserve">；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3.工作水压：0.1-0.6MPa 可接冷热混水，出水温度可调；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4.开孔径：32mm；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5.台式安装黄铜铸造水嘴，表面镀铬处理；</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6. 接水口口径为1/2"外螺纹；</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b/>
                <w:bCs/>
                <w:color w:val="auto"/>
                <w:sz w:val="22"/>
                <w:szCs w:val="22"/>
                <w:highlight w:val="none"/>
                <w:lang w:bidi="ar"/>
              </w:rPr>
              <w:t xml:space="preserve">★所投水龙头须提供有效期内的中国节水产品认证证书，水效等级≥二级，投标时附证书复印件并加盖投标人公章。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套</w:t>
            </w:r>
            <w:r>
              <w:rPr>
                <w:highlight w:val="none"/>
              </w:rP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水龙头</w:t>
            </w:r>
            <w:r>
              <w:rPr>
                <w:rStyle w:val="1326"/>
                <w:rFonts w:hint="default" w:ascii="Times New Roman" w:hAnsi="Times New Roman" w:cs="Times New Roman"/>
                <w:color w:val="auto"/>
                <w:highlight w:val="none"/>
                <w:lang w:bidi="ar"/>
              </w:rPr>
              <w:t xml:space="preserve">（政府采购强制认证产品）</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冷热混水型</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1.座台式安装，单孔单温；</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2.低铅铜铸造表面抛光镀铬处理</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3.配1/4转优质陶瓷阀芯一字型手柄；</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4.开孔尺寸为25mm ，接口为标准4分外螺纹</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b/>
                <w:bCs/>
                <w:color w:val="auto"/>
                <w:sz w:val="22"/>
                <w:szCs w:val="22"/>
                <w:highlight w:val="none"/>
                <w:lang w:bidi="ar"/>
              </w:rPr>
              <w:t xml:space="preserve">★所投水龙头须提供有效期内的中国节水产品认证证书，水效等级≥二级，投标时附证书复印件并加盖投标人公章。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套</w:t>
            </w:r>
            <w:r>
              <w:rPr>
                <w:highlight w:val="none"/>
              </w:rP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洗地龙头</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≥10M</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1.</w:t>
            </w:r>
            <w:r>
              <w:rPr>
                <w:rFonts w:ascii="Times New Roman" w:hAnsi="Times New Roman" w:eastAsia="宋体" w:cs="Times New Roman"/>
                <w:color w:val="auto"/>
                <w:sz w:val="22"/>
                <w:szCs w:val="22"/>
                <w:highlight w:val="none"/>
                <w:lang w:bidi="ar"/>
              </w:rPr>
              <w:t xml:space="preserve">耐压2mpa爆破测试，0.1mpa测试每分钟出水4.5L</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碳钢静电喷涂圆形敞开式，10M黑色钢丝液压管。</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2、SUS304#旋转便捷拆卸更换接头，水枪可360度旋转，前把手控制出水，按压渐变出水形状</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含调温止回阀。</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塑料平板推车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900*600*800</w:t>
            </w:r>
            <w:r>
              <w:rPr>
                <w:highlight w:val="none"/>
              </w:rPr>
            </w:r>
          </w:p>
          <w:p>
            <w:pPr>
              <w:jc w:val="center"/>
              <w:keepLines w:val="0"/>
              <w:keepNext w:val="0"/>
              <w:pageBreakBefore w:val="0"/>
              <w:spacing w:after="0" w:line="280" w:lineRule="exact"/>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材料采用SUS304不锈钢板制作，支撑板不小于1.0mm厚</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主管采用φ38，不小于1.0mm厚不锈钢结构管</w:t>
            </w:r>
            <w:r>
              <w:rPr>
                <w:rFonts w:hint="eastAsia" w:ascii="Times New Roman" w:hAnsi="Times New Roman" w:eastAsia="宋体" w:cs="Times New Roman"/>
                <w:color w:val="auto"/>
                <w:sz w:val="22"/>
                <w:szCs w:val="22"/>
                <w:highlight w:val="none"/>
                <w:lang w:eastAsia="zh-CN" w:bidi="ar"/>
              </w:rPr>
              <w:t xml:space="preserve">焊接</w:t>
            </w:r>
            <w:r>
              <w:rPr>
                <w:rFonts w:ascii="Times New Roman" w:hAnsi="Times New Roman" w:eastAsia="宋体" w:cs="Times New Roman"/>
                <w:color w:val="auto"/>
                <w:sz w:val="22"/>
                <w:szCs w:val="22"/>
                <w:highlight w:val="none"/>
                <w:lang w:bidi="ar"/>
              </w:rPr>
              <w:t xml:space="preserve">处打磨光滑，美观，无明显焊缝焊斑。配承重型不锈钢科顺脚轮四个</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两定向两万向</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连优质轴承，推杆底部圆管斜撑加固，车架防撞保护。承重能力要求不小于250KG</w:t>
            </w:r>
            <w:r>
              <w:rPr>
                <w:rFonts w:hint="eastAsia" w:ascii="Times New Roman" w:hAnsi="Times New Roman" w:eastAsia="宋体" w:cs="Times New Roman"/>
                <w:color w:val="auto"/>
                <w:sz w:val="22"/>
                <w:szCs w:val="22"/>
                <w:highlight w:val="none"/>
                <w:lang w:bidi="ar"/>
              </w:rPr>
              <w:t xml:space="preserve">。</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双孔收餐柜车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1200*700*1000</w:t>
            </w:r>
            <w:r>
              <w:rPr>
                <w:highlight w:val="none"/>
              </w:rP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采用SUS304不锈钢板材不小于1.0mm制作。</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采用三面围板，车子正面做对开门。采用SUS304不锈钢板材不小于1.0mm制作。不含推车不含垃圾桶。采用4个静音橡胶轮，其中2个万向轮。</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收碗推车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tcPr>
          <w:p>
            <w:pPr>
              <w:jc w:val="center"/>
              <w:keepLines w:val="0"/>
              <w:keepNext w:val="0"/>
              <w:pageBreakBefore w:val="0"/>
              <w:spacing w:after="0" w:line="280" w:lineRule="exact"/>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900*600*850</w:t>
            </w:r>
            <w:r>
              <w:rPr>
                <w:highlight w:val="none"/>
              </w:rPr>
            </w:r>
          </w:p>
          <w:p>
            <w:pPr>
              <w:jc w:val="center"/>
              <w:keepLines w:val="0"/>
              <w:keepNext w:val="0"/>
              <w:pageBreakBefore w:val="0"/>
              <w:spacing w:after="0" w:line="280" w:lineRule="exact"/>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18"/>
                <w:szCs w:val="18"/>
                <w:highlight w:val="none"/>
                <w:lang w:val="en-US" w:eastAsia="zh-CN"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1.台面板采用SUS304，不小于1.0mm不锈钢板，配不小于1.0mm做加力筋；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2.层板采用国产SUS304，不小于1.0mm不锈钢板；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3.台脚采用38mmX1.0mm不锈钢方管</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配可调性不锈钢子弹脚；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4.面板下面加装防水不小于18mm木工板。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5.采用二次压边工艺，无割手处，焊接处理光滑，美观，无明显焊斑焊缝。</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辆</w:t>
            </w:r>
            <w:r>
              <w:rPr>
                <w:highlight w:val="none"/>
              </w:rP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保温汤桶车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hint="eastAsia"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60</w:t>
            </w:r>
            <w:r>
              <w:rPr>
                <w:rFonts w:hint="eastAsia" w:ascii="Times New Roman" w:hAnsi="Times New Roman" w:eastAsia="宋体" w:cs="Times New Roman"/>
                <w:color w:val="auto"/>
                <w:sz w:val="18"/>
                <w:szCs w:val="18"/>
                <w:highlight w:val="none"/>
                <w:lang w:val="en-US" w:eastAsia="zh-CN" w:bidi="ar"/>
              </w:rPr>
              <w:t xml:space="preserve">升</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1.采用主材SUS304不锈钢制作，厚度不小于1.0mm，双层不锈钢，中间增加保温板；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2.设置不锈钢推拉手，下配两定两动静音轮；</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3.采用静音橡胶轮，其中2个万向轮。功率：220V，功率：不小于3</w:t>
            </w:r>
            <w:r>
              <w:rPr>
                <w:rFonts w:hint="eastAsia" w:ascii="Times New Roman" w:hAnsi="Times New Roman" w:eastAsia="宋体" w:cs="Times New Roman"/>
                <w:color w:val="auto"/>
                <w:sz w:val="22"/>
                <w:szCs w:val="22"/>
                <w:highlight w:val="none"/>
                <w:lang w:eastAsia="zh-CN" w:bidi="ar"/>
              </w:rPr>
              <w:t xml:space="preserve">kW</w:t>
            </w:r>
            <w:r>
              <w:rPr>
                <w:rFonts w:ascii="Times New Roman" w:hAnsi="Times New Roman" w:eastAsia="宋体" w:cs="Times New Roman"/>
                <w:color w:val="auto"/>
                <w:sz w:val="22"/>
                <w:szCs w:val="22"/>
                <w:highlight w:val="none"/>
                <w:lang w:bidi="ar"/>
              </w:rPr>
              <w:t xml:space="preserve">。</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.配备</w:t>
            </w:r>
            <w:r>
              <w:rPr>
                <w:rFonts w:ascii="Times New Roman" w:hAnsi="Times New Roman" w:eastAsia="宋体" w:cs="Times New Roman"/>
                <w:color w:val="auto"/>
                <w:sz w:val="22"/>
                <w:szCs w:val="22"/>
                <w:highlight w:val="none"/>
                <w:lang w:bidi="ar"/>
              </w:rPr>
              <w:t xml:space="preserve">相应保温桶，保温桶可单独取清洗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保温送餐车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1200*600*1450</w:t>
            </w:r>
            <w:r>
              <w:rPr>
                <w:highlight w:val="none"/>
              </w:rP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val="en-US" w:eastAsia="zh-CN"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柜体采用SUS304不锈钢不小于1.0mm制作。</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可放置120个不锈钢餐盘。根据餐盘尺寸定制送餐车大小。</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功率：220V/4</w:t>
            </w:r>
            <w:r>
              <w:rPr>
                <w:rFonts w:hint="eastAsia" w:ascii="Times New Roman" w:hAnsi="Times New Roman" w:eastAsia="宋体" w:cs="Times New Roman"/>
                <w:color w:val="auto"/>
                <w:sz w:val="22"/>
                <w:szCs w:val="22"/>
                <w:highlight w:val="none"/>
                <w:lang w:eastAsia="zh-CN" w:bidi="ar"/>
              </w:rPr>
              <w:t xml:space="preserve">kW</w:t>
            </w:r>
            <w:r>
              <w:rPr>
                <w:rFonts w:ascii="Times New Roman" w:hAnsi="Times New Roman" w:eastAsia="宋体" w:cs="Times New Roman"/>
                <w:color w:val="auto"/>
                <w:sz w:val="22"/>
                <w:szCs w:val="22"/>
                <w:highlight w:val="none"/>
                <w:lang w:bidi="ar"/>
              </w:rPr>
              <w:t xml:space="preserve">.</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电热管加热和热风循环两种加热模式。</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灭蝇灯</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≥20W</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电压：220V，功率：≥20W</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灯管：≥2*10W紫外线灯管</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覆盖面积40m2—50m2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风幕机</w:t>
            </w:r>
            <w:r>
              <w:rPr>
                <w:highlight w:val="none"/>
              </w:rPr>
            </w:r>
          </w:p>
          <w:p>
            <w:pPr>
              <w:jc w:val="center"/>
              <w:spacing w:after="62"/>
              <w:widowControl/>
              <w:rPr>
                <w:rFonts w:ascii="Times New Roman" w:hAnsi="Times New Roman" w:eastAsia="宋体" w:cs="Times New Roman"/>
                <w:color w:val="auto"/>
                <w:sz w:val="22"/>
                <w:szCs w:val="22"/>
                <w:highlight w:val="none"/>
              </w:rPr>
            </w:pPr>
            <w:r>
              <w:rPr>
                <w:rFonts w:hint="eastAsia" w:ascii="宋体" w:hAnsi="宋体" w:eastAsia="宋体" w:cs="宋体"/>
                <w:b/>
                <w:bCs/>
                <w:i w:val="0"/>
                <w:iCs w:val="0"/>
                <w:color w:val="auto"/>
                <w:sz w:val="18"/>
                <w:szCs w:val="18"/>
                <w:highlight w:val="none"/>
                <w:u w:val="none"/>
                <w:lang w:val="en-US" w:eastAsia="zh-CN" w:bidi="ar"/>
              </w:rPr>
              <w:t xml:space="preserve">◆需提供CCC认证证书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≥1800*160*200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hint="eastAsia" w:ascii="Times New Roman" w:hAnsi="Times New Roman" w:eastAsia="宋体" w:cs="Times New Roman"/>
                <w:color w:val="auto"/>
                <w:sz w:val="22"/>
                <w:szCs w:val="22"/>
                <w:highlight w:val="none"/>
                <w:lang w:bidi="ar"/>
              </w:rPr>
              <w:t xml:space="preserve">贯流式强力送风轻松在室内外之间形成一道隐形的风幕墙，隔开室内外空气的同时，更可将灰尘，飞虫等阻挡于室外。电机功率≥250W，风速≥9m/s，风量≥4600m³/h，电压/频率为220V/50Hz，噪声≤55dB。</w:t>
            </w:r>
            <w:r>
              <w:rPr>
                <w:highlight w:val="none"/>
              </w:rPr>
            </w:r>
          </w:p>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hint="eastAsia" w:ascii="Times New Roman" w:hAnsi="Times New Roman" w:eastAsia="宋体" w:cs="Times New Roman"/>
                <w:color w:val="auto"/>
                <w:sz w:val="22"/>
                <w:szCs w:val="22"/>
                <w:highlight w:val="none"/>
                <w:lang w:bidi="ar"/>
              </w:rPr>
              <w:t xml:space="preserve">遮断效果佳，风路升级体现高风速，低噪音运转。</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风幕机</w:t>
            </w:r>
            <w:r>
              <w:rPr>
                <w:highlight w:val="none"/>
              </w:rPr>
            </w:r>
          </w:p>
          <w:p>
            <w:pPr>
              <w:jc w:val="center"/>
              <w:spacing w:after="62"/>
              <w:widowControl/>
              <w:rPr>
                <w:rFonts w:ascii="Times New Roman" w:hAnsi="Times New Roman" w:eastAsia="宋体" w:cs="Times New Roman"/>
                <w:color w:val="auto"/>
                <w:sz w:val="22"/>
                <w:szCs w:val="22"/>
                <w:highlight w:val="none"/>
              </w:rPr>
            </w:pPr>
            <w:r>
              <w:rPr>
                <w:rFonts w:hint="eastAsia" w:ascii="宋体" w:hAnsi="宋体" w:eastAsia="宋体" w:cs="宋体"/>
                <w:b/>
                <w:bCs/>
                <w:i w:val="0"/>
                <w:iCs w:val="0"/>
                <w:color w:val="auto"/>
                <w:sz w:val="18"/>
                <w:szCs w:val="18"/>
                <w:highlight w:val="none"/>
                <w:u w:val="none"/>
                <w:lang w:val="en-US" w:eastAsia="zh-CN" w:bidi="ar"/>
              </w:rPr>
              <w:t xml:space="preserve">◆需提供CCC认证证书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≥1500*160*200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hint="eastAsia" w:ascii="Times New Roman" w:hAnsi="Times New Roman" w:eastAsia="宋体" w:cs="Times New Roman"/>
                <w:color w:val="auto"/>
                <w:sz w:val="22"/>
                <w:szCs w:val="22"/>
                <w:highlight w:val="none"/>
                <w:lang w:bidi="ar"/>
              </w:rPr>
              <w:t xml:space="preserve">贯流式强力送风轻松在室内外之间形成一道隐形的风幕墙，隔开室内外空气的同时，更可将灰尘，飞虫等阻挡于室外。电机功率≥250W，风速≥9m/s，风量≥4600m³/h，电压/频率为220V/50Hz，噪声≤55dB。</w:t>
            </w:r>
            <w:r>
              <w:rPr>
                <w:highlight w:val="none"/>
              </w:rPr>
            </w:r>
          </w:p>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hint="eastAsia" w:ascii="Times New Roman" w:hAnsi="Times New Roman" w:eastAsia="宋体" w:cs="Times New Roman"/>
                <w:color w:val="auto"/>
                <w:sz w:val="22"/>
                <w:szCs w:val="22"/>
                <w:highlight w:val="none"/>
                <w:lang w:bidi="ar"/>
              </w:rPr>
              <w:t xml:space="preserve">遮断效果佳，风路升级体现高风速，低噪音运转。</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43</w:t>
            </w:r>
            <w:r>
              <w:rPr>
                <w:highlight w:val="none"/>
              </w:rPr>
            </w:r>
          </w:p>
        </w:tc>
        <w:tc>
          <w:tcPr>
            <w:shd w:val="clear" w:color="auto" w:fill="auto"/>
            <w:tcBorders>
              <w:top w:val="single" w:color="000000" w:sz="4" w:space="0"/>
              <w:left w:val="single" w:color="000000" w:sz="4" w:space="0"/>
              <w:bottom w:val="non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风幕机</w:t>
            </w:r>
            <w:r>
              <w:rPr>
                <w:highlight w:val="none"/>
              </w:rPr>
            </w:r>
          </w:p>
          <w:p>
            <w:pPr>
              <w:jc w:val="center"/>
              <w:spacing w:after="62"/>
              <w:widowControl/>
              <w:rPr>
                <w:rFonts w:ascii="Times New Roman" w:hAnsi="Times New Roman" w:eastAsia="宋体" w:cs="Times New Roman"/>
                <w:color w:val="auto"/>
                <w:sz w:val="22"/>
                <w:szCs w:val="22"/>
                <w:highlight w:val="none"/>
              </w:rPr>
            </w:pPr>
            <w:r>
              <w:rPr>
                <w:rFonts w:hint="eastAsia" w:ascii="宋体" w:hAnsi="宋体" w:eastAsia="宋体" w:cs="宋体"/>
                <w:b/>
                <w:bCs/>
                <w:i w:val="0"/>
                <w:iCs w:val="0"/>
                <w:color w:val="auto"/>
                <w:sz w:val="18"/>
                <w:szCs w:val="18"/>
                <w:highlight w:val="none"/>
                <w:u w:val="none"/>
                <w:lang w:val="en-US" w:eastAsia="zh-CN" w:bidi="ar"/>
              </w:rPr>
              <w:t xml:space="preserve">◆需提供CCC认证证书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≥1200*160*200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hint="eastAsia" w:ascii="Times New Roman" w:hAnsi="Times New Roman" w:eastAsia="宋体" w:cs="Times New Roman"/>
                <w:color w:val="auto"/>
                <w:sz w:val="22"/>
                <w:szCs w:val="22"/>
                <w:highlight w:val="none"/>
                <w:lang w:bidi="ar"/>
              </w:rPr>
              <w:t xml:space="preserve">贯流式强力送风轻松在室内外之间形成一道隐形的风幕墙，隔开室内外空气的同时，更可将灰尘，飞虫等阻挡于室外。电机功率≥250W，风速≥9m/s，风量≥4600m³/h，电压/频率为220V/50Hz，噪声≤55dB。</w:t>
            </w:r>
            <w:r>
              <w:rPr>
                <w:highlight w:val="none"/>
              </w:rPr>
            </w:r>
          </w:p>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hint="eastAsia" w:ascii="Times New Roman" w:hAnsi="Times New Roman" w:eastAsia="宋体" w:cs="Times New Roman"/>
                <w:color w:val="auto"/>
                <w:sz w:val="22"/>
                <w:szCs w:val="22"/>
                <w:highlight w:val="none"/>
                <w:lang w:bidi="ar"/>
              </w:rPr>
              <w:t xml:space="preserve">遮断效果佳，风路升级体现高风速，低噪音运转。</w:t>
            </w:r>
            <w:r>
              <w:rPr>
                <w:highlight w:val="none"/>
              </w:rPr>
            </w:r>
          </w:p>
        </w:tc>
        <w:tc>
          <w:tcPr>
            <w:shd w:val="clear" w:color="auto" w:fill="auto"/>
            <w:tcBorders>
              <w:top w:val="single" w:color="000000" w:sz="4" w:space="0"/>
              <w:left w:val="single" w:color="000000" w:sz="4" w:space="0"/>
              <w:bottom w:val="non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rPr>
                <w:highlight w:val="none"/>
              </w:rP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44</w:t>
            </w:r>
            <w:r>
              <w:rPr>
                <w:highlight w:val="none"/>
              </w:rPr>
            </w:r>
          </w:p>
        </w:tc>
        <w:tc>
          <w:tcPr>
            <w:shd w:val="clear" w:color="auto" w:fill="auto"/>
            <w:tcBorders>
              <w:top w:val="single" w:color="000000" w:sz="4" w:space="0"/>
              <w:left w:val="single" w:color="000000" w:sz="4" w:space="0"/>
              <w:bottom w:val="non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土豆脱皮机</w:t>
            </w:r>
            <w:r>
              <w:rPr>
                <w:highlight w:val="none"/>
              </w:rPr>
            </w:r>
          </w:p>
        </w:tc>
        <w:tc>
          <w:tcPr>
            <w:shd w:val="clear" w:color="auto" w:fill="auto"/>
            <w:tcBorders>
              <w:top w:val="single" w:color="000000" w:sz="4" w:space="0"/>
              <w:left w:val="single" w:color="000000" w:sz="4" w:space="0"/>
              <w:bottom w:val="non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bidi="ar"/>
              </w:rPr>
              <w:t xml:space="preserve">485*680*805</w:t>
            </w:r>
            <w:r>
              <w:rPr>
                <w:highlight w:val="none"/>
              </w:rPr>
            </w:r>
          </w:p>
        </w:tc>
        <w:tc>
          <w:tcPr>
            <w:shd w:val="clear" w:color="auto" w:fill="auto"/>
            <w:tcBorders>
              <w:top w:val="single" w:color="000000" w:sz="4" w:space="0"/>
              <w:left w:val="single" w:color="000000" w:sz="4" w:space="0"/>
              <w:bottom w:val="non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电功率：≥1500W 380V/ 50Hz</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产量： ≥260</w:t>
            </w:r>
            <w:r>
              <w:rPr>
                <w:rFonts w:hint="eastAsia" w:ascii="Times New Roman" w:hAnsi="Times New Roman" w:eastAsia="宋体" w:cs="Times New Roman"/>
                <w:color w:val="auto"/>
                <w:sz w:val="22"/>
                <w:szCs w:val="22"/>
                <w:highlight w:val="none"/>
                <w:lang w:eastAsia="zh-CN" w:bidi="ar"/>
              </w:rPr>
              <w:t xml:space="preserve">kg</w:t>
            </w:r>
            <w:r>
              <w:rPr>
                <w:rFonts w:ascii="Times New Roman" w:hAnsi="Times New Roman" w:eastAsia="宋体" w:cs="Times New Roman"/>
                <w:color w:val="auto"/>
                <w:sz w:val="22"/>
                <w:szCs w:val="22"/>
                <w:highlight w:val="none"/>
                <w:lang w:bidi="ar"/>
              </w:rPr>
              <w:t xml:space="preserve">/小时</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定时器： 0~5 分钟。</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风冷马达可以长时间连续使用；</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自动土豆卸料系统；四脚带轮可移动，带密闭的卸料口；接触食品的零部件严格采用符合食品安全卫生标准的材料制作。</w:t>
            </w:r>
            <w:r>
              <w:rPr>
                <w:highlight w:val="none"/>
              </w:rPr>
            </w:r>
          </w:p>
        </w:tc>
        <w:tc>
          <w:tcPr>
            <w:shd w:val="clear" w:color="auto" w:fill="auto"/>
            <w:tcBorders>
              <w:top w:val="single" w:color="000000" w:sz="4" w:space="0"/>
              <w:left w:val="single" w:color="000000" w:sz="4" w:space="0"/>
              <w:bottom w:val="non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highlight w:val="none"/>
              </w:rPr>
            </w:r>
          </w:p>
        </w:tc>
        <w:tc>
          <w:tcPr>
            <w:shd w:val="clear" w:color="auto" w:fill="auto"/>
            <w:tcBorders>
              <w:top w:val="single" w:color="000000" w:sz="4" w:space="0"/>
              <w:left w:val="single" w:color="000000" w:sz="4" w:space="0"/>
              <w:bottom w:val="non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刀具砧板消毒柜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≥1200*660*1800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材质：内外胆采用SUS304不锈钢板≥1.0mm厚制作，一次密度保温发泡层，门带锁</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带可视玻璃。</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功能：对刀具粘板功能性设备，360度循环高温消毒，内置紫外线</w:t>
            </w:r>
            <w:r>
              <w:rPr>
                <w:rFonts w:hint="eastAsia" w:ascii="Times New Roman" w:hAnsi="Times New Roman" w:eastAsia="宋体" w:cs="Times New Roman"/>
                <w:color w:val="auto"/>
                <w:sz w:val="22"/>
                <w:szCs w:val="22"/>
                <w:highlight w:val="none"/>
                <w:lang w:eastAsia="zh-CN" w:bidi="ar"/>
              </w:rPr>
              <w:t xml:space="preserve">消毒</w:t>
            </w:r>
            <w:r>
              <w:rPr>
                <w:rFonts w:ascii="Times New Roman" w:hAnsi="Times New Roman" w:eastAsia="宋体" w:cs="Times New Roman"/>
                <w:color w:val="auto"/>
                <w:sz w:val="22"/>
                <w:szCs w:val="22"/>
                <w:highlight w:val="none"/>
                <w:lang w:bidi="ar"/>
              </w:rPr>
              <w:t xml:space="preserve">灯和石英高温消毒灯管，</w:t>
            </w:r>
            <w:r>
              <w:rPr>
                <w:rFonts w:hint="eastAsia" w:ascii="Times New Roman" w:hAnsi="Times New Roman" w:eastAsia="宋体" w:cs="Times New Roman"/>
                <w:color w:val="auto"/>
                <w:sz w:val="22"/>
                <w:szCs w:val="22"/>
                <w:highlight w:val="none"/>
                <w:lang w:eastAsia="zh-CN" w:bidi="ar"/>
              </w:rPr>
              <w:t xml:space="preserve">配备</w:t>
            </w:r>
            <w:r>
              <w:rPr>
                <w:rFonts w:ascii="Times New Roman" w:hAnsi="Times New Roman" w:eastAsia="宋体" w:cs="Times New Roman"/>
                <w:color w:val="auto"/>
                <w:sz w:val="22"/>
                <w:szCs w:val="22"/>
                <w:highlight w:val="none"/>
                <w:lang w:bidi="ar"/>
              </w:rPr>
              <w:t xml:space="preserve">自动控温和时间调节器。防水等级：≥IPX4.</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功率：≥2350W，电压：220V。</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消毒效果：对大肠杆菌、金黄色葡萄球菌杀灭率达99%。消杀时间：每次至少60分钟。</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燃气大锅灶（1000大锅）</w:t>
            </w:r>
            <w:r>
              <w:rPr>
                <w:highlight w:val="none"/>
              </w:rPr>
            </w:r>
          </w:p>
          <w:p>
            <w:pPr>
              <w:jc w:val="center"/>
              <w:spacing w:after="62"/>
              <w:widowControl/>
              <w:rPr>
                <w:rFonts w:ascii="Times New Roman" w:hAnsi="Times New Roman" w:eastAsia="宋体" w:cs="Times New Roman"/>
                <w:color w:val="auto"/>
                <w:sz w:val="22"/>
                <w:szCs w:val="22"/>
                <w:highlight w:val="none"/>
              </w:rPr>
            </w:pPr>
            <w:r>
              <w:rPr>
                <w:rFonts w:hint="eastAsia" w:ascii="宋体" w:hAnsi="宋体" w:eastAsia="宋体" w:cs="宋体"/>
                <w:b/>
                <w:bCs/>
                <w:i w:val="0"/>
                <w:iCs w:val="0"/>
                <w:color w:val="auto"/>
                <w:sz w:val="18"/>
                <w:szCs w:val="18"/>
                <w:highlight w:val="none"/>
                <w:u w:val="none"/>
                <w:lang w:val="en-US" w:eastAsia="zh-CN" w:bidi="ar"/>
              </w:rPr>
              <w:t xml:space="preserve">◆需提供CCC认证证书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≥1200*1350*800+450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hint="eastAsia" w:ascii="Times New Roman" w:hAnsi="Times New Roman" w:eastAsia="宋体" w:cs="Times New Roman"/>
                <w:b/>
                <w:bCs/>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1.</w:t>
            </w:r>
            <w:r>
              <w:rPr>
                <w:rFonts w:ascii="Times New Roman" w:hAnsi="Times New Roman" w:eastAsia="宋体" w:cs="Times New Roman"/>
                <w:color w:val="auto"/>
                <w:sz w:val="22"/>
                <w:szCs w:val="22"/>
                <w:highlight w:val="none"/>
                <w:lang w:bidi="ar"/>
              </w:rPr>
              <w:t xml:space="preserve">灶面板SUS:SUS304，厚度</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 ≥1.2mm，前脸面板、后背板SUS:201，厚度</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≥1.2mm，侧面板、后封板SUS:201厚度</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≥1.0mm，架子30方管SUS:201，厚度≥1.2mm，灶腿50方管SUS:201，厚度≥1.2mm，标配调节脚。</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2.</w:t>
            </w:r>
            <w:r>
              <w:rPr>
                <w:rFonts w:ascii="Times New Roman" w:hAnsi="Times New Roman" w:eastAsia="宋体" w:cs="Times New Roman"/>
                <w:color w:val="auto"/>
                <w:sz w:val="22"/>
                <w:szCs w:val="22"/>
                <w:highlight w:val="none"/>
                <w:lang w:bidi="ar"/>
              </w:rPr>
              <w:t xml:space="preserve">一体高铝耐火炉膛，特殊工艺处理，经久耐用。</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3.</w:t>
            </w:r>
            <w:r>
              <w:rPr>
                <w:rFonts w:ascii="Times New Roman" w:hAnsi="Times New Roman" w:eastAsia="宋体" w:cs="Times New Roman"/>
                <w:color w:val="auto"/>
                <w:sz w:val="22"/>
                <w:szCs w:val="22"/>
                <w:highlight w:val="none"/>
                <w:lang w:bidi="ar"/>
              </w:rPr>
              <w:t xml:space="preserve">通过微电脑控制燃气阀的进气量和风机转速，使小火到大火的全过程燃气量和进风量始终处于最佳比例，火焰温度可达1300，提升工作效率。</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4.</w:t>
            </w:r>
            <w:r>
              <w:rPr>
                <w:rFonts w:ascii="Times New Roman" w:hAnsi="Times New Roman" w:eastAsia="宋体" w:cs="Times New Roman"/>
                <w:color w:val="auto"/>
                <w:sz w:val="22"/>
                <w:szCs w:val="22"/>
                <w:highlight w:val="none"/>
                <w:lang w:bidi="ar"/>
              </w:rPr>
              <w:t xml:space="preserve">空气和燃气始终处于最佳比例，燃烧充分，燃气利用率高，节能燃气费用30%以上。</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5.无级</w:t>
            </w:r>
            <w:r>
              <w:rPr>
                <w:rFonts w:ascii="Times New Roman" w:hAnsi="Times New Roman" w:eastAsia="宋体" w:cs="Times New Roman"/>
                <w:color w:val="auto"/>
                <w:sz w:val="22"/>
                <w:szCs w:val="22"/>
                <w:highlight w:val="none"/>
                <w:lang w:bidi="ar"/>
              </w:rPr>
              <w:t xml:space="preserve">调节火力，操作更简便。</w:t>
            </w:r>
            <w:r>
              <w:rPr>
                <w:rFonts w:ascii="Times New Roman" w:hAnsi="Times New Roman" w:eastAsia="宋体" w:cs="Times New Roman"/>
                <w:color w:val="auto"/>
                <w:sz w:val="22"/>
                <w:szCs w:val="22"/>
                <w:highlight w:val="none"/>
                <w:lang w:bidi="ar"/>
              </w:rPr>
              <w:br/>
            </w:r>
            <w:r>
              <w:rPr>
                <w:rFonts w:ascii="Times New Roman" w:hAnsi="Times New Roman" w:cs="Times New Roman" w:eastAsiaTheme="minorEastAsia"/>
                <w:b/>
                <w:bCs/>
                <w:color w:val="auto"/>
                <w:sz w:val="22"/>
                <w:szCs w:val="22"/>
                <w:highlight w:val="none"/>
              </w:rPr>
              <w:t xml:space="preserve">▲</w:t>
            </w:r>
            <w:r>
              <w:rPr>
                <w:rFonts w:hint="eastAsia" w:ascii="Times New Roman" w:hAnsi="Times New Roman" w:cs="Times New Roman" w:eastAsiaTheme="minorEastAsia"/>
                <w:b/>
                <w:bCs/>
                <w:color w:val="auto"/>
                <w:sz w:val="22"/>
                <w:szCs w:val="22"/>
                <w:highlight w:val="none"/>
                <w:lang w:val="en-US" w:eastAsia="zh-CN"/>
              </w:rPr>
              <w:t xml:space="preserve">6.</w:t>
            </w:r>
            <w:r>
              <w:rPr>
                <w:rFonts w:ascii="Times New Roman" w:hAnsi="Times New Roman" w:eastAsia="宋体" w:cs="Times New Roman"/>
                <w:b/>
                <w:bCs/>
                <w:color w:val="auto"/>
                <w:sz w:val="22"/>
                <w:szCs w:val="22"/>
                <w:highlight w:val="none"/>
                <w:lang w:bidi="ar"/>
              </w:rPr>
              <w:t xml:space="preserve">热效率65%以上</w:t>
            </w:r>
            <w:r>
              <w:rPr>
                <w:rFonts w:hint="eastAsia" w:ascii="Times New Roman" w:hAnsi="Times New Roman" w:eastAsia="宋体" w:cs="Times New Roman"/>
                <w:b/>
                <w:bCs/>
                <w:color w:val="auto"/>
                <w:sz w:val="22"/>
                <w:szCs w:val="22"/>
                <w:highlight w:val="none"/>
                <w:lang w:eastAsia="zh-CN" w:bidi="ar"/>
              </w:rPr>
              <w:t xml:space="preserve">。</w:t>
            </w:r>
            <w:r>
              <w:rPr>
                <w:highlight w:val="none"/>
              </w:rPr>
            </w:r>
          </w:p>
          <w:p>
            <w:pPr>
              <w:jc w:val="left"/>
              <w:spacing w:after="62"/>
              <w:widowControl/>
              <w:rPr>
                <w:rFonts w:hint="eastAsia" w:ascii="Times New Roman" w:hAnsi="Times New Roman" w:eastAsia="宋体" w:cs="Times New Roman"/>
                <w:b/>
                <w:bCs/>
                <w:color w:val="auto"/>
                <w:sz w:val="22"/>
                <w:szCs w:val="22"/>
                <w:highlight w:val="none"/>
              </w:rPr>
            </w:pPr>
            <w:r>
              <w:rPr>
                <w:rFonts w:ascii="Times New Roman" w:hAnsi="Times New Roman" w:cs="Times New Roman" w:eastAsiaTheme="minorEastAsia"/>
                <w:b/>
                <w:bCs/>
                <w:color w:val="auto"/>
                <w:sz w:val="22"/>
                <w:szCs w:val="22"/>
                <w:highlight w:val="none"/>
              </w:rPr>
              <w:t xml:space="preserve">▲</w:t>
            </w:r>
            <w:r>
              <w:rPr>
                <w:rFonts w:hint="eastAsia" w:ascii="Times New Roman" w:hAnsi="Times New Roman" w:cs="Times New Roman" w:eastAsiaTheme="minorEastAsia"/>
                <w:b/>
                <w:bCs/>
                <w:color w:val="auto"/>
                <w:sz w:val="22"/>
                <w:szCs w:val="22"/>
                <w:highlight w:val="none"/>
                <w:lang w:val="en-US" w:eastAsia="zh-CN"/>
              </w:rPr>
              <w:t xml:space="preserve">7.</w:t>
            </w:r>
            <w:r>
              <w:rPr>
                <w:rFonts w:hint="eastAsia" w:ascii="Times New Roman" w:hAnsi="Times New Roman" w:eastAsia="宋体" w:cs="Times New Roman"/>
                <w:b/>
                <w:bCs/>
                <w:color w:val="auto"/>
                <w:sz w:val="22"/>
                <w:szCs w:val="22"/>
                <w:highlight w:val="none"/>
                <w:lang w:bidi="ar"/>
              </w:rPr>
              <w:t xml:space="preserve">有设备有故障代码提示功能（出现故障时候，会报警并且显示屏提示不同代码）</w:t>
            </w:r>
            <w:r>
              <w:rPr>
                <w:rFonts w:hint="eastAsia" w:ascii="Times New Roman" w:hAnsi="Times New Roman" w:eastAsia="宋体" w:cs="Times New Roman"/>
                <w:b/>
                <w:bCs/>
                <w:color w:val="auto"/>
                <w:sz w:val="22"/>
                <w:szCs w:val="22"/>
                <w:highlight w:val="none"/>
                <w:lang w:eastAsia="zh-CN" w:bidi="ar"/>
              </w:rPr>
              <w:t xml:space="preserve">。</w:t>
            </w:r>
            <w:r>
              <w:rPr>
                <w:highlight w:val="none"/>
              </w:rP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cs="Times New Roman" w:eastAsiaTheme="minorEastAsia"/>
                <w:b/>
                <w:bCs/>
                <w:color w:val="auto"/>
                <w:sz w:val="22"/>
                <w:szCs w:val="22"/>
                <w:highlight w:val="none"/>
              </w:rPr>
              <w:t xml:space="preserve">▲</w:t>
            </w:r>
            <w:r>
              <w:rPr>
                <w:rFonts w:hint="eastAsia" w:ascii="Times New Roman" w:hAnsi="Times New Roman" w:cs="Times New Roman" w:eastAsiaTheme="minorEastAsia"/>
                <w:b/>
                <w:bCs/>
                <w:color w:val="auto"/>
                <w:sz w:val="22"/>
                <w:szCs w:val="22"/>
                <w:highlight w:val="none"/>
                <w:lang w:val="en-US" w:eastAsia="zh-CN"/>
              </w:rPr>
              <w:t xml:space="preserve">8.</w:t>
            </w:r>
            <w:r>
              <w:rPr>
                <w:rFonts w:hint="eastAsia" w:ascii="Times New Roman" w:hAnsi="Times New Roman" w:eastAsia="宋体" w:cs="Times New Roman"/>
                <w:b/>
                <w:bCs/>
                <w:color w:val="auto"/>
                <w:sz w:val="22"/>
                <w:szCs w:val="22"/>
                <w:highlight w:val="none"/>
                <w:lang w:bidi="ar"/>
              </w:rPr>
              <w:t xml:space="preserve">有设备有火焰检测（熄火保护功能）</w:t>
            </w:r>
            <w:r>
              <w:rPr>
                <w:rFonts w:hint="eastAsia" w:ascii="Times New Roman" w:hAnsi="Times New Roman" w:eastAsia="宋体" w:cs="Times New Roman"/>
                <w:b/>
                <w:bCs/>
                <w:color w:val="auto"/>
                <w:sz w:val="22"/>
                <w:szCs w:val="22"/>
                <w:highlight w:val="none"/>
                <w:lang w:eastAsia="zh-CN" w:bidi="ar"/>
              </w:rPr>
              <w:t xml:space="preserve">，自动检测火焰，遇到意外熄火时，会自动关闭电磁阀并报警</w:t>
            </w:r>
            <w:r>
              <w:rPr>
                <w:rFonts w:ascii="Times New Roman" w:hAnsi="Times New Roman" w:eastAsia="宋体" w:cs="Times New Roman"/>
                <w:b/>
                <w:bCs/>
                <w:color w:val="auto"/>
                <w:sz w:val="22"/>
                <w:szCs w:val="22"/>
                <w:highlight w:val="none"/>
                <w:lang w:bidi="ar"/>
              </w:rPr>
              <w:t xml:space="preserve">。</w:t>
            </w:r>
            <w:r>
              <w:rPr>
                <w:rFonts w:ascii="Times New Roman" w:hAnsi="Times New Roman" w:eastAsia="宋体" w:cs="Times New Roman"/>
                <w:b/>
                <w:bCs/>
                <w:color w:val="auto"/>
                <w:sz w:val="22"/>
                <w:szCs w:val="22"/>
                <w:highlight w:val="none"/>
                <w:lang w:bidi="ar"/>
              </w:rPr>
              <w:br/>
            </w:r>
            <w:r>
              <w:rPr>
                <w:rFonts w:hint="eastAsia" w:ascii="Times New Roman" w:hAnsi="Times New Roman" w:eastAsia="宋体" w:cs="Times New Roman"/>
                <w:b/>
                <w:bCs/>
                <w:color w:val="auto"/>
                <w:sz w:val="22"/>
                <w:szCs w:val="22"/>
                <w:highlight w:val="none"/>
                <w:lang w:val="en-US" w:eastAsia="zh-CN" w:bidi="ar"/>
              </w:rPr>
              <w:t xml:space="preserve">有</w:t>
            </w:r>
            <w:r>
              <w:rPr>
                <w:rFonts w:ascii="Times New Roman" w:hAnsi="Times New Roman" w:cs="Times New Roman" w:eastAsiaTheme="minorEastAsia"/>
                <w:b/>
                <w:bCs/>
                <w:color w:val="auto"/>
                <w:sz w:val="22"/>
                <w:szCs w:val="22"/>
                <w:highlight w:val="none"/>
              </w:rPr>
              <w:t xml:space="preserve">▲</w:t>
            </w:r>
            <w:r>
              <w:rPr>
                <w:rFonts w:hint="eastAsia" w:ascii="Times New Roman" w:hAnsi="Times New Roman" w:cs="Times New Roman" w:eastAsiaTheme="minorEastAsia"/>
                <w:b/>
                <w:bCs/>
                <w:color w:val="auto"/>
                <w:sz w:val="22"/>
                <w:szCs w:val="22"/>
                <w:highlight w:val="none"/>
                <w:lang w:val="en-US" w:eastAsia="zh-CN"/>
              </w:rPr>
              <w:t xml:space="preserve">标记的</w:t>
            </w:r>
            <w:r>
              <w:rPr>
                <w:rFonts w:ascii="Times New Roman" w:hAnsi="Times New Roman" w:cs="Times New Roman" w:eastAsiaTheme="minorEastAsia"/>
                <w:b/>
                <w:bCs/>
                <w:color w:val="auto"/>
                <w:sz w:val="22"/>
                <w:szCs w:val="22"/>
                <w:highlight w:val="none"/>
              </w:rPr>
              <w:t xml:space="preserve">提供具备CMA或CNAS认证资质的第三方监测机构出具的检测报告（必须是整机检测报告，且报告中必须有所投设备图片），</w:t>
            </w:r>
            <w:r>
              <w:rPr>
                <w:rFonts w:hint="eastAsia" w:ascii="Times New Roman" w:hAnsi="Times New Roman" w:cs="Times New Roman" w:eastAsiaTheme="minorEastAsia"/>
                <w:b/>
                <w:bCs/>
                <w:color w:val="auto"/>
                <w:sz w:val="22"/>
                <w:szCs w:val="22"/>
                <w:highlight w:val="none"/>
              </w:rPr>
              <w:t xml:space="preserve">并提供证书信息在“全国认证认可信息公共服务平台”网站查询</w:t>
            </w:r>
            <w:r>
              <w:rPr>
                <w:rFonts w:hint="eastAsia" w:ascii="Times New Roman" w:hAnsi="Times New Roman" w:cs="Times New Roman" w:eastAsiaTheme="minorEastAsia"/>
                <w:b/>
                <w:bCs/>
                <w:color w:val="auto"/>
                <w:sz w:val="22"/>
                <w:szCs w:val="22"/>
                <w:highlight w:val="none"/>
                <w:lang w:val="en-US" w:eastAsia="zh-CN"/>
              </w:rPr>
              <w:t xml:space="preserve">有效</w:t>
            </w:r>
            <w:r>
              <w:rPr>
                <w:rFonts w:hint="eastAsia" w:ascii="Times New Roman" w:hAnsi="Times New Roman" w:cs="Times New Roman" w:eastAsiaTheme="minorEastAsia"/>
                <w:b/>
                <w:bCs/>
                <w:color w:val="auto"/>
                <w:sz w:val="22"/>
                <w:szCs w:val="22"/>
                <w:highlight w:val="none"/>
              </w:rPr>
              <w:t xml:space="preserve">的截图，均加盖投标人公章。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燃气炒灶</w:t>
            </w:r>
            <w:r>
              <w:rPr>
                <w:highlight w:val="none"/>
              </w:rPr>
            </w:r>
          </w:p>
          <w:p>
            <w:pPr>
              <w:jc w:val="center"/>
              <w:spacing w:after="62"/>
              <w:widowControl/>
              <w:rPr>
                <w:rFonts w:ascii="Times New Roman" w:hAnsi="Times New Roman" w:eastAsia="宋体" w:cs="Times New Roman"/>
                <w:color w:val="auto"/>
                <w:sz w:val="22"/>
                <w:szCs w:val="22"/>
                <w:highlight w:val="none"/>
              </w:rPr>
            </w:pPr>
            <w:r>
              <w:rPr>
                <w:rFonts w:hint="eastAsia" w:ascii="宋体" w:hAnsi="宋体" w:eastAsia="宋体" w:cs="宋体"/>
                <w:b/>
                <w:bCs/>
                <w:i w:val="0"/>
                <w:iCs w:val="0"/>
                <w:color w:val="auto"/>
                <w:sz w:val="18"/>
                <w:szCs w:val="18"/>
                <w:highlight w:val="none"/>
                <w:u w:val="none"/>
                <w:lang w:val="en-US" w:eastAsia="zh-CN" w:bidi="ar"/>
              </w:rPr>
              <w:t xml:space="preserve">◆需提供CCC认证证书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≥1000*1200*800+450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numPr>
                <w:ilvl w:val="0"/>
                <w:numId w:val="13"/>
              </w:num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灶面板SUS:SUS304，厚度</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≥1.2mm，前脸面板、后背板SUS:201，厚度</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≥1.2mm，侧面板、后封板SUS:201厚度</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≥1.0mm，架子30方管SUS:201，厚度≥1.2mm，灶腿50方管SUS:201，厚度≥1.2mm，标配调节脚。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一体高温钢精铸炉膛，特殊工艺处理，经久耐用。</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一体成型不锈钢炉头，无螺丝固定，堵塞时无需工具，手动即可轻松取下清洗。</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通过微电脑控制燃气阀的进气量和风机转速，使小火到大火的全过程燃。</w:t>
            </w:r>
            <w:r>
              <w:rPr>
                <w:highlight w:val="none"/>
              </w:rPr>
            </w:r>
          </w:p>
          <w:p>
            <w:pPr>
              <w:jc w:val="left"/>
              <w:spacing w:after="62"/>
              <w:widowControl/>
              <w:rPr>
                <w:rFonts w:hint="eastAsia" w:ascii="Times New Roman" w:hAnsi="Times New Roman" w:eastAsia="宋体" w:cs="Times New Roman"/>
                <w:b/>
                <w:bCs/>
                <w:color w:val="auto"/>
                <w:sz w:val="22"/>
                <w:szCs w:val="22"/>
                <w:highlight w:val="none"/>
              </w:rPr>
            </w:pPr>
            <w:r>
              <w:rPr>
                <w:rFonts w:hint="eastAsia" w:ascii="Times New Roman" w:hAnsi="Times New Roman" w:eastAsia="宋体" w:cs="Times New Roman"/>
                <w:color w:val="auto"/>
                <w:sz w:val="22"/>
                <w:szCs w:val="22"/>
                <w:highlight w:val="none"/>
                <w:lang w:eastAsia="zh-CN" w:bidi="ar"/>
              </w:rPr>
              <w:t xml:space="preserve">（5）</w:t>
            </w:r>
            <w:r>
              <w:rPr>
                <w:rFonts w:ascii="Times New Roman" w:hAnsi="Times New Roman" w:eastAsia="宋体" w:cs="Times New Roman"/>
                <w:color w:val="auto"/>
                <w:sz w:val="22"/>
                <w:szCs w:val="22"/>
                <w:highlight w:val="none"/>
                <w:lang w:bidi="ar"/>
              </w:rPr>
              <w:t xml:space="preserve">空气和燃气始终处于最佳比例，燃烧充分，燃气利用率高，节能燃气费用30%以上。</w:t>
            </w:r>
            <w:r>
              <w:rPr>
                <w:rFonts w:ascii="Times New Roman" w:hAnsi="Times New Roman" w:eastAsia="宋体" w:cs="Times New Roman"/>
                <w:color w:val="auto"/>
                <w:sz w:val="22"/>
                <w:szCs w:val="22"/>
                <w:highlight w:val="none"/>
                <w:lang w:bidi="ar"/>
              </w:rPr>
              <w:br/>
            </w:r>
            <w:r>
              <w:rPr>
                <w:rFonts w:ascii="Times New Roman" w:hAnsi="Times New Roman" w:cs="Times New Roman" w:eastAsiaTheme="minorEastAsia"/>
                <w:b/>
                <w:bCs/>
                <w:color w:val="auto"/>
                <w:sz w:val="22"/>
                <w:szCs w:val="22"/>
                <w:highlight w:val="none"/>
              </w:rPr>
              <w:t xml:space="preserve">▲</w:t>
            </w:r>
            <w:r>
              <w:rPr>
                <w:rFonts w:hint="eastAsia" w:ascii="Times New Roman" w:hAnsi="Times New Roman" w:cs="Times New Roman" w:eastAsiaTheme="minorEastAsia"/>
                <w:b/>
                <w:bCs/>
                <w:color w:val="auto"/>
                <w:sz w:val="22"/>
                <w:szCs w:val="22"/>
                <w:highlight w:val="none"/>
                <w:lang w:val="en-US" w:eastAsia="zh-CN"/>
              </w:rPr>
              <w:t xml:space="preserve">6.</w:t>
            </w:r>
            <w:r>
              <w:rPr>
                <w:rFonts w:ascii="Times New Roman" w:hAnsi="Times New Roman" w:eastAsia="宋体" w:cs="Times New Roman"/>
                <w:b/>
                <w:bCs/>
                <w:color w:val="auto"/>
                <w:sz w:val="22"/>
                <w:szCs w:val="22"/>
                <w:highlight w:val="none"/>
                <w:lang w:bidi="ar"/>
              </w:rPr>
              <w:t xml:space="preserve">热效率</w:t>
            </w:r>
            <w:r>
              <w:rPr>
                <w:rFonts w:hint="eastAsia" w:ascii="Times New Roman" w:hAnsi="Times New Roman" w:eastAsia="宋体" w:cs="Times New Roman"/>
                <w:b/>
                <w:bCs/>
                <w:color w:val="auto"/>
                <w:sz w:val="22"/>
                <w:szCs w:val="22"/>
                <w:highlight w:val="none"/>
                <w:lang w:val="en-US" w:eastAsia="zh-CN" w:bidi="ar"/>
              </w:rPr>
              <w:t xml:space="preserve">4</w:t>
            </w:r>
            <w:r>
              <w:rPr>
                <w:rFonts w:ascii="Times New Roman" w:hAnsi="Times New Roman" w:eastAsia="宋体" w:cs="Times New Roman"/>
                <w:b/>
                <w:bCs/>
                <w:color w:val="auto"/>
                <w:sz w:val="22"/>
                <w:szCs w:val="22"/>
                <w:highlight w:val="none"/>
                <w:lang w:bidi="ar"/>
              </w:rPr>
              <w:t xml:space="preserve">5%以上</w:t>
            </w:r>
            <w:r>
              <w:rPr>
                <w:rFonts w:hint="eastAsia" w:ascii="Times New Roman" w:hAnsi="Times New Roman" w:eastAsia="宋体" w:cs="Times New Roman"/>
                <w:b/>
                <w:bCs/>
                <w:color w:val="auto"/>
                <w:sz w:val="22"/>
                <w:szCs w:val="22"/>
                <w:highlight w:val="none"/>
                <w:lang w:eastAsia="zh-CN" w:bidi="ar"/>
              </w:rPr>
              <w:t xml:space="preserve">。</w:t>
            </w:r>
            <w:r>
              <w:rPr>
                <w:highlight w:val="none"/>
              </w:rPr>
            </w:r>
          </w:p>
          <w:p>
            <w:pPr>
              <w:jc w:val="left"/>
              <w:spacing w:after="62"/>
              <w:widowControl/>
              <w:rPr>
                <w:rFonts w:hint="eastAsia" w:ascii="Times New Roman" w:hAnsi="Times New Roman" w:eastAsia="宋体" w:cs="Times New Roman"/>
                <w:b/>
                <w:bCs/>
                <w:color w:val="auto"/>
                <w:sz w:val="22"/>
                <w:szCs w:val="22"/>
                <w:highlight w:val="none"/>
              </w:rPr>
            </w:pPr>
            <w:r>
              <w:rPr>
                <w:rFonts w:ascii="Times New Roman" w:hAnsi="Times New Roman" w:cs="Times New Roman" w:eastAsiaTheme="minorEastAsia"/>
                <w:b/>
                <w:bCs/>
                <w:color w:val="auto"/>
                <w:sz w:val="22"/>
                <w:szCs w:val="22"/>
                <w:highlight w:val="none"/>
              </w:rPr>
              <w:t xml:space="preserve">▲</w:t>
            </w:r>
            <w:r>
              <w:rPr>
                <w:rFonts w:hint="eastAsia" w:ascii="Times New Roman" w:hAnsi="Times New Roman" w:cs="Times New Roman" w:eastAsiaTheme="minorEastAsia"/>
                <w:b/>
                <w:bCs/>
                <w:color w:val="auto"/>
                <w:sz w:val="22"/>
                <w:szCs w:val="22"/>
                <w:highlight w:val="none"/>
                <w:lang w:val="en-US" w:eastAsia="zh-CN"/>
              </w:rPr>
              <w:t xml:space="preserve">7.</w:t>
            </w:r>
            <w:r>
              <w:rPr>
                <w:rFonts w:hint="eastAsia" w:ascii="Times New Roman" w:hAnsi="Times New Roman" w:eastAsia="宋体" w:cs="Times New Roman"/>
                <w:b/>
                <w:bCs/>
                <w:color w:val="auto"/>
                <w:sz w:val="22"/>
                <w:szCs w:val="22"/>
                <w:highlight w:val="none"/>
                <w:lang w:bidi="ar"/>
              </w:rPr>
              <w:t xml:space="preserve">有设备有故障代码提示功能（出现故障时候，会报警并且显示屏提示不同代码）</w:t>
            </w:r>
            <w:r>
              <w:rPr>
                <w:rFonts w:hint="eastAsia" w:ascii="Times New Roman" w:hAnsi="Times New Roman" w:eastAsia="宋体" w:cs="Times New Roman"/>
                <w:b/>
                <w:bCs/>
                <w:color w:val="auto"/>
                <w:sz w:val="22"/>
                <w:szCs w:val="22"/>
                <w:highlight w:val="none"/>
                <w:lang w:eastAsia="zh-CN" w:bidi="ar"/>
              </w:rPr>
              <w:t xml:space="preserve">。</w:t>
            </w:r>
            <w:r>
              <w:rPr>
                <w:highlight w:val="none"/>
              </w:rP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cs="Times New Roman" w:eastAsiaTheme="minorEastAsia"/>
                <w:b/>
                <w:bCs/>
                <w:color w:val="auto"/>
                <w:sz w:val="22"/>
                <w:szCs w:val="22"/>
                <w:highlight w:val="none"/>
              </w:rPr>
              <w:t xml:space="preserve">▲</w:t>
            </w:r>
            <w:r>
              <w:rPr>
                <w:rFonts w:hint="eastAsia" w:ascii="Times New Roman" w:hAnsi="Times New Roman" w:cs="Times New Roman" w:eastAsiaTheme="minorEastAsia"/>
                <w:b/>
                <w:bCs/>
                <w:color w:val="auto"/>
                <w:sz w:val="22"/>
                <w:szCs w:val="22"/>
                <w:highlight w:val="none"/>
                <w:lang w:val="en-US" w:eastAsia="zh-CN"/>
              </w:rPr>
              <w:t xml:space="preserve">8.</w:t>
            </w:r>
            <w:r>
              <w:rPr>
                <w:rFonts w:hint="eastAsia" w:ascii="Times New Roman" w:hAnsi="Times New Roman" w:eastAsia="宋体" w:cs="Times New Roman"/>
                <w:b/>
                <w:bCs/>
                <w:color w:val="auto"/>
                <w:sz w:val="22"/>
                <w:szCs w:val="22"/>
                <w:highlight w:val="none"/>
                <w:lang w:bidi="ar"/>
              </w:rPr>
              <w:t xml:space="preserve">有设备有火焰检测（熄火保护功能）</w:t>
            </w:r>
            <w:r>
              <w:rPr>
                <w:rFonts w:hint="eastAsia" w:ascii="Times New Roman" w:hAnsi="Times New Roman" w:eastAsia="宋体" w:cs="Times New Roman"/>
                <w:b/>
                <w:bCs/>
                <w:color w:val="auto"/>
                <w:sz w:val="22"/>
                <w:szCs w:val="22"/>
                <w:highlight w:val="none"/>
                <w:lang w:eastAsia="zh-CN" w:bidi="ar"/>
              </w:rPr>
              <w:t xml:space="preserve">，自动检测火焰，遇到意外熄火时，会自动关闭电磁阀并报警</w:t>
            </w:r>
            <w:r>
              <w:rPr>
                <w:rFonts w:ascii="Times New Roman" w:hAnsi="Times New Roman" w:eastAsia="宋体" w:cs="Times New Roman"/>
                <w:b/>
                <w:bCs/>
                <w:color w:val="auto"/>
                <w:sz w:val="22"/>
                <w:szCs w:val="22"/>
                <w:highlight w:val="none"/>
                <w:lang w:bidi="ar"/>
              </w:rPr>
              <w:t xml:space="preserve">。</w:t>
            </w:r>
            <w:r>
              <w:rPr>
                <w:rFonts w:ascii="Times New Roman" w:hAnsi="Times New Roman" w:eastAsia="宋体" w:cs="Times New Roman"/>
                <w:b/>
                <w:bCs/>
                <w:color w:val="auto"/>
                <w:sz w:val="22"/>
                <w:szCs w:val="22"/>
                <w:highlight w:val="none"/>
                <w:lang w:bidi="ar"/>
              </w:rPr>
              <w:br/>
            </w:r>
            <w:r>
              <w:rPr>
                <w:rFonts w:hint="eastAsia" w:ascii="Times New Roman" w:hAnsi="Times New Roman" w:eastAsia="宋体" w:cs="Times New Roman"/>
                <w:b/>
                <w:bCs/>
                <w:color w:val="auto"/>
                <w:sz w:val="22"/>
                <w:szCs w:val="22"/>
                <w:highlight w:val="none"/>
                <w:lang w:val="en-US" w:eastAsia="zh-CN" w:bidi="ar"/>
              </w:rPr>
              <w:t xml:space="preserve">有</w:t>
            </w:r>
            <w:r>
              <w:rPr>
                <w:rFonts w:ascii="Times New Roman" w:hAnsi="Times New Roman" w:cs="Times New Roman" w:eastAsiaTheme="minorEastAsia"/>
                <w:b/>
                <w:bCs/>
                <w:color w:val="auto"/>
                <w:sz w:val="22"/>
                <w:szCs w:val="22"/>
                <w:highlight w:val="none"/>
              </w:rPr>
              <w:t xml:space="preserve">▲</w:t>
            </w:r>
            <w:r>
              <w:rPr>
                <w:rFonts w:hint="eastAsia" w:ascii="Times New Roman" w:hAnsi="Times New Roman" w:cs="Times New Roman" w:eastAsiaTheme="minorEastAsia"/>
                <w:b/>
                <w:bCs/>
                <w:color w:val="auto"/>
                <w:sz w:val="22"/>
                <w:szCs w:val="22"/>
                <w:highlight w:val="none"/>
                <w:lang w:val="en-US" w:eastAsia="zh-CN"/>
              </w:rPr>
              <w:t xml:space="preserve">标记的</w:t>
            </w:r>
            <w:r>
              <w:rPr>
                <w:rFonts w:ascii="Times New Roman" w:hAnsi="Times New Roman" w:cs="Times New Roman" w:eastAsiaTheme="minorEastAsia"/>
                <w:b/>
                <w:bCs/>
                <w:color w:val="auto"/>
                <w:sz w:val="22"/>
                <w:szCs w:val="22"/>
                <w:highlight w:val="none"/>
              </w:rPr>
              <w:t xml:space="preserve">提供具备CMA或CNAS认证资质的第三方监测机构出具的检测报告（必须是整机检测报告，且报告中必须有所投设备图片），</w:t>
            </w:r>
            <w:r>
              <w:rPr>
                <w:rFonts w:hint="eastAsia" w:ascii="Times New Roman" w:hAnsi="Times New Roman" w:cs="Times New Roman" w:eastAsiaTheme="minorEastAsia"/>
                <w:b/>
                <w:bCs/>
                <w:color w:val="auto"/>
                <w:sz w:val="22"/>
                <w:szCs w:val="22"/>
                <w:highlight w:val="none"/>
              </w:rPr>
              <w:t xml:space="preserve">并提供证书信息在“全国认证认可信息公共服务平台”网站查询</w:t>
            </w:r>
            <w:r>
              <w:rPr>
                <w:rFonts w:hint="eastAsia" w:ascii="Times New Roman" w:hAnsi="Times New Roman" w:cs="Times New Roman" w:eastAsiaTheme="minorEastAsia"/>
                <w:b/>
                <w:bCs/>
                <w:color w:val="auto"/>
                <w:sz w:val="22"/>
                <w:szCs w:val="22"/>
                <w:highlight w:val="none"/>
                <w:lang w:val="en-US" w:eastAsia="zh-CN"/>
              </w:rPr>
              <w:t xml:space="preserve">有效</w:t>
            </w:r>
            <w:r>
              <w:rPr>
                <w:rFonts w:hint="eastAsia" w:ascii="Times New Roman" w:hAnsi="Times New Roman" w:cs="Times New Roman" w:eastAsiaTheme="minorEastAsia"/>
                <w:b/>
                <w:bCs/>
                <w:color w:val="auto"/>
                <w:sz w:val="22"/>
                <w:szCs w:val="22"/>
                <w:highlight w:val="none"/>
              </w:rPr>
              <w:t xml:space="preserve">的截图，均加盖投标人公章。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燃气大锅灶（800大锅）</w:t>
            </w:r>
            <w:r>
              <w:rPr>
                <w:highlight w:val="none"/>
              </w:rPr>
            </w:r>
          </w:p>
          <w:p>
            <w:pPr>
              <w:pStyle w:val="997"/>
              <w:rPr>
                <w:color w:val="auto"/>
                <w:highlight w:val="none"/>
              </w:rPr>
            </w:pPr>
            <w:r>
              <w:rPr>
                <w:rFonts w:hint="eastAsia" w:ascii="宋体" w:hAnsi="宋体" w:eastAsia="宋体" w:cs="宋体"/>
                <w:b/>
                <w:bCs/>
                <w:i w:val="0"/>
                <w:iCs w:val="0"/>
                <w:color w:val="auto"/>
                <w:sz w:val="18"/>
                <w:szCs w:val="18"/>
                <w:highlight w:val="none"/>
                <w:u w:val="none"/>
                <w:lang w:val="en-US" w:eastAsia="zh-CN" w:bidi="ar"/>
              </w:rPr>
              <w:t xml:space="preserve">◆需提供CCC认证证书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≥1000*1200*800+450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numPr>
                <w:ilvl w:val="0"/>
                <w:numId w:val="0"/>
              </w:num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1.</w:t>
            </w:r>
            <w:r>
              <w:rPr>
                <w:rFonts w:ascii="Times New Roman" w:hAnsi="Times New Roman" w:eastAsia="宋体" w:cs="Times New Roman"/>
                <w:color w:val="auto"/>
                <w:sz w:val="22"/>
                <w:szCs w:val="22"/>
                <w:highlight w:val="none"/>
                <w:lang w:bidi="ar"/>
              </w:rPr>
              <w:t xml:space="preserve">灶面板SUS:SUS304，厚度</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 ≥1.2mm，前脸面板、后背板SUS:201，厚度</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≥1.2mm，侧面板、后封板SUS:201厚度</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≥1.0mm，架子30方管SUS:201，厚度≥1.2mm，灶腿50方管SUS:201，厚度≥1.2mm，标配调节脚。</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2.</w:t>
            </w:r>
            <w:r>
              <w:rPr>
                <w:rFonts w:ascii="Times New Roman" w:hAnsi="Times New Roman" w:eastAsia="宋体" w:cs="Times New Roman"/>
                <w:color w:val="auto"/>
                <w:sz w:val="22"/>
                <w:szCs w:val="22"/>
                <w:highlight w:val="none"/>
                <w:lang w:bidi="ar"/>
              </w:rPr>
              <w:t xml:space="preserve">一体高铝耐火炉膛，特殊工艺处理，经久耐用。</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3.</w:t>
            </w:r>
            <w:r>
              <w:rPr>
                <w:rFonts w:ascii="Times New Roman" w:hAnsi="Times New Roman" w:eastAsia="宋体" w:cs="Times New Roman"/>
                <w:color w:val="auto"/>
                <w:sz w:val="22"/>
                <w:szCs w:val="22"/>
                <w:highlight w:val="none"/>
                <w:lang w:bidi="ar"/>
              </w:rPr>
              <w:t xml:space="preserve">通过微电脑控制燃气阀的进气量和风机转速，使小火到大火的全过程燃气量和进风量始终处于最佳比例，火焰温度可达1300，提升工作效率。</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4.</w:t>
            </w:r>
            <w:r>
              <w:rPr>
                <w:rFonts w:ascii="Times New Roman" w:hAnsi="Times New Roman" w:eastAsia="宋体" w:cs="Times New Roman"/>
                <w:color w:val="auto"/>
                <w:sz w:val="22"/>
                <w:szCs w:val="22"/>
                <w:highlight w:val="none"/>
                <w:lang w:bidi="ar"/>
              </w:rPr>
              <w:t xml:space="preserve">空气和燃气始终处于最佳比例，燃烧充分，燃气利用率高，节能燃气费用30%以上。</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5.</w:t>
            </w:r>
            <w:r>
              <w:rPr>
                <w:rFonts w:ascii="Times New Roman" w:hAnsi="Times New Roman" w:eastAsia="宋体" w:cs="Times New Roman"/>
                <w:color w:val="auto"/>
                <w:sz w:val="22"/>
                <w:szCs w:val="22"/>
                <w:highlight w:val="none"/>
                <w:lang w:bidi="ar"/>
              </w:rPr>
              <w:t xml:space="preserve">自动检测火焰，遇到意外熄火时会自动关闭电磁阀并报警。</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6.无级</w:t>
            </w:r>
            <w:r>
              <w:rPr>
                <w:rFonts w:ascii="Times New Roman" w:hAnsi="Times New Roman" w:eastAsia="宋体" w:cs="Times New Roman"/>
                <w:color w:val="auto"/>
                <w:sz w:val="22"/>
                <w:szCs w:val="22"/>
                <w:highlight w:val="none"/>
                <w:lang w:bidi="ar"/>
              </w:rPr>
              <w:t xml:space="preserve">调节火力，操作更简便。</w:t>
            </w:r>
            <w:r>
              <w:rPr>
                <w:highlight w:val="none"/>
              </w:rPr>
            </w:r>
          </w:p>
          <w:p>
            <w:pPr>
              <w:numPr>
                <w:ilvl w:val="0"/>
                <w:numId w:val="0"/>
              </w:numPr>
              <w:jc w:val="left"/>
              <w:spacing w:after="62"/>
              <w:widowControl/>
              <w:rPr>
                <w:rFonts w:hint="eastAsia" w:eastAsia="宋体"/>
                <w:color w:val="auto"/>
                <w:highlight w:val="none"/>
              </w:rPr>
            </w:pPr>
            <w:r>
              <w:rPr>
                <w:rFonts w:hint="eastAsia" w:ascii="Times New Roman" w:hAnsi="Times New Roman" w:eastAsia="宋体" w:cs="Times New Roman"/>
                <w:color w:val="auto"/>
                <w:sz w:val="22"/>
                <w:szCs w:val="22"/>
                <w:highlight w:val="none"/>
                <w:lang w:val="en-US" w:eastAsia="zh-CN" w:bidi="ar"/>
              </w:rPr>
              <w:t xml:space="preserve">7.</w:t>
            </w:r>
            <w:r>
              <w:rPr>
                <w:rFonts w:ascii="Times New Roman" w:hAnsi="Times New Roman" w:eastAsia="宋体" w:cs="Times New Roman"/>
                <w:color w:val="auto"/>
                <w:sz w:val="22"/>
                <w:szCs w:val="22"/>
                <w:highlight w:val="none"/>
                <w:lang w:bidi="ar"/>
              </w:rPr>
              <w:t xml:space="preserve">热效率65%以上</w:t>
            </w:r>
            <w:r>
              <w:rPr>
                <w:rFonts w:hint="eastAsia" w:ascii="Times New Roman" w:hAnsi="Times New Roman" w:eastAsia="宋体" w:cs="Times New Roman"/>
                <w:color w:val="auto"/>
                <w:sz w:val="22"/>
                <w:szCs w:val="22"/>
                <w:highlight w:val="none"/>
                <w:lang w:eastAsia="zh-CN" w:bidi="ar"/>
              </w:rPr>
              <w:t xml:space="preserve">。</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29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厨房灭火系统</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双瓶组</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主机箱采用SUS304-1.0mm不锈钢板材，灭火系统连接管采用SUS304-0.8mm不锈钢管，喷嘴采用360度无死角转动喷嘴：</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1.所投产品具备：（1）功能：需与消防水</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或者自来水</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管路相连，设备具有自动启动，应急启动模式，（2）系统装置组成：控制箱、管路、喷嘴探测器、易熔连接片、金属拉索、滑轮三通、滑轮弯头</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释放机构、驱动瓶、水流控制阀、单向阀、减压阀。</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2.灭火装置配置远程控制模块，能同时兼容消控中心信号反馈、切断燃气电磁阀、关闭排风风机等功能；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3.氮气瓶充装压力：10MPa ；药剂喷洒时间：≥26秒，</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食用油专用灭火剂应为绿色环保型灭火药剂，无色、无味、灭火效率快且不复燃。</w:t>
            </w:r>
            <w:r>
              <w:rPr>
                <w:highlight w:val="none"/>
              </w:rPr>
            </w:r>
          </w:p>
          <w:p>
            <w:pPr>
              <w:jc w:val="left"/>
              <w:spacing w:after="62"/>
              <w:widowControl/>
              <w:rPr>
                <w:rFonts w:hint="eastAsia" w:ascii="Times New Roman" w:hAnsi="Times New Roman" w:eastAsia="宋体" w:cs="Times New Roman"/>
                <w:b/>
                <w:bCs/>
                <w:color w:val="auto"/>
                <w:sz w:val="22"/>
                <w:szCs w:val="22"/>
                <w:highlight w:val="none"/>
              </w:rPr>
            </w:pPr>
            <w:r>
              <w:rPr>
                <w:rFonts w:hint="eastAsia" w:ascii="Times New Roman" w:hAnsi="Times New Roman" w:eastAsia="宋体" w:cs="Times New Roman"/>
                <w:b/>
                <w:bCs/>
                <w:color w:val="auto"/>
                <w:sz w:val="22"/>
                <w:szCs w:val="22"/>
                <w:highlight w:val="none"/>
                <w:lang w:bidi="ar"/>
              </w:rPr>
              <w:t xml:space="preserve">▲</w:t>
            </w:r>
            <w:r>
              <w:rPr>
                <w:rFonts w:hint="eastAsia" w:ascii="Times New Roman" w:hAnsi="Times New Roman" w:eastAsia="宋体" w:cs="Times New Roman"/>
                <w:b/>
                <w:bCs/>
                <w:color w:val="auto"/>
                <w:sz w:val="22"/>
                <w:szCs w:val="22"/>
                <w:highlight w:val="none"/>
                <w:lang w:val="en-US" w:eastAsia="zh-CN" w:bidi="ar"/>
              </w:rPr>
              <w:t xml:space="preserve">4.有压力观察口。</w:t>
            </w:r>
            <w:r>
              <w:rPr>
                <w:rFonts w:hint="eastAsia" w:ascii="Times New Roman" w:hAnsi="Times New Roman" w:eastAsia="宋体" w:cs="Times New Roman"/>
                <w:b/>
                <w:bCs/>
                <w:color w:val="auto"/>
                <w:sz w:val="22"/>
                <w:szCs w:val="22"/>
                <w:highlight w:val="none"/>
                <w:lang w:bidi="ar"/>
              </w:rPr>
              <w:t xml:space="preserve">提供具备CMA或CNAS标识的型式试验报告扫描件</w:t>
            </w:r>
            <w:r>
              <w:rPr>
                <w:rFonts w:hint="eastAsia" w:ascii="Times New Roman" w:hAnsi="Times New Roman" w:eastAsia="宋体" w:cs="Times New Roman"/>
                <w:b/>
                <w:bCs/>
                <w:color w:val="auto"/>
                <w:sz w:val="22"/>
                <w:szCs w:val="22"/>
                <w:highlight w:val="none"/>
                <w:lang w:val="en-US" w:eastAsia="zh-CN" w:bidi="ar"/>
              </w:rPr>
              <w:t xml:space="preserve">,</w:t>
            </w:r>
            <w:r>
              <w:rPr>
                <w:rFonts w:hint="eastAsia" w:ascii="Times New Roman" w:hAnsi="Times New Roman" w:cs="Times New Roman" w:eastAsiaTheme="minorEastAsia"/>
                <w:b/>
                <w:bCs/>
                <w:color w:val="auto"/>
                <w:sz w:val="22"/>
                <w:szCs w:val="22"/>
                <w:highlight w:val="none"/>
              </w:rPr>
              <w:t xml:space="preserve">并提供证书信息在“全国认证认可信息公共服务平台”网站查询</w:t>
            </w:r>
            <w:r>
              <w:rPr>
                <w:rFonts w:hint="eastAsia" w:ascii="Times New Roman" w:hAnsi="Times New Roman" w:cs="Times New Roman" w:eastAsiaTheme="minorEastAsia"/>
                <w:b/>
                <w:bCs/>
                <w:color w:val="auto"/>
                <w:sz w:val="22"/>
                <w:szCs w:val="22"/>
                <w:highlight w:val="none"/>
                <w:lang w:val="en-US" w:eastAsia="zh-CN"/>
              </w:rPr>
              <w:t xml:space="preserve">有效</w:t>
            </w:r>
            <w:r>
              <w:rPr>
                <w:rFonts w:hint="eastAsia" w:ascii="Times New Roman" w:hAnsi="Times New Roman" w:cs="Times New Roman" w:eastAsiaTheme="minorEastAsia"/>
                <w:b/>
                <w:bCs/>
                <w:color w:val="auto"/>
                <w:sz w:val="22"/>
                <w:szCs w:val="22"/>
                <w:highlight w:val="none"/>
              </w:rPr>
              <w:t xml:space="preserve">的截图，均加盖投标人公章。</w:t>
            </w:r>
            <w:r>
              <w:rPr>
                <w:highlight w:val="none"/>
              </w:rPr>
            </w:r>
          </w:p>
          <w:p>
            <w:pPr>
              <w:jc w:val="left"/>
              <w:spacing w:after="62"/>
              <w:widowControl/>
              <w:rPr>
                <w:rFonts w:hint="default"/>
                <w:b/>
                <w:bCs/>
                <w:color w:val="auto"/>
                <w:highlight w:val="none"/>
              </w:rPr>
            </w:pPr>
            <w:r>
              <w:rPr>
                <w:rFonts w:hint="eastAsia" w:ascii="Times New Roman" w:hAnsi="Times New Roman" w:eastAsia="宋体" w:cs="Times New Roman"/>
                <w:b/>
                <w:bCs/>
                <w:color w:val="auto"/>
                <w:sz w:val="22"/>
                <w:szCs w:val="22"/>
                <w:highlight w:val="none"/>
                <w:lang w:bidi="ar"/>
              </w:rPr>
              <w:t xml:space="preserve">▲</w:t>
            </w:r>
            <w:r>
              <w:rPr>
                <w:rFonts w:hint="eastAsia" w:ascii="Times New Roman" w:hAnsi="Times New Roman" w:eastAsia="宋体" w:cs="Times New Roman"/>
                <w:b/>
                <w:bCs/>
                <w:color w:val="auto"/>
                <w:sz w:val="22"/>
                <w:szCs w:val="22"/>
                <w:highlight w:val="none"/>
                <w:lang w:val="en-US" w:eastAsia="zh-CN" w:bidi="ar"/>
              </w:rPr>
              <w:t xml:space="preserve">5.</w:t>
            </w:r>
            <w:r>
              <w:rPr>
                <w:rFonts w:ascii="Times New Roman" w:hAnsi="Times New Roman" w:eastAsia="宋体" w:cs="Times New Roman"/>
                <w:b/>
                <w:bCs/>
                <w:color w:val="auto"/>
                <w:sz w:val="22"/>
                <w:szCs w:val="22"/>
                <w:highlight w:val="none"/>
                <w:lang w:bidi="ar"/>
              </w:rPr>
              <w:t xml:space="preserve">灭火时间：≤3S</w:t>
            </w:r>
            <w:r>
              <w:rPr>
                <w:rFonts w:hint="eastAsia" w:ascii="Times New Roman" w:hAnsi="Times New Roman" w:eastAsia="宋体" w:cs="Times New Roman"/>
                <w:b/>
                <w:bCs/>
                <w:color w:val="auto"/>
                <w:sz w:val="22"/>
                <w:szCs w:val="22"/>
                <w:highlight w:val="none"/>
                <w:lang w:val="en-US" w:eastAsia="zh-CN" w:bidi="ar"/>
              </w:rPr>
              <w:t xml:space="preserve">。提供具备CMA或CNAS标识的检测报告扫描件,并提供证书信息在“全国认证认可信息公共服务平台”网站查询有效的截图，均加盖投标人公章。</w:t>
            </w:r>
            <w:r>
              <w:rPr>
                <w:highlight w:val="none"/>
              </w:rPr>
            </w:r>
          </w:p>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b/>
                <w:bCs/>
                <w:color w:val="auto"/>
                <w:sz w:val="22"/>
                <w:szCs w:val="22"/>
                <w:highlight w:val="none"/>
                <w:lang w:bidi="ar"/>
              </w:rPr>
              <w:t xml:space="preserve">▲</w:t>
            </w:r>
            <w:r>
              <w:rPr>
                <w:rFonts w:hint="eastAsia" w:ascii="Times New Roman" w:hAnsi="Times New Roman" w:eastAsia="宋体" w:cs="Times New Roman"/>
                <w:b/>
                <w:bCs/>
                <w:color w:val="auto"/>
                <w:sz w:val="22"/>
                <w:szCs w:val="22"/>
                <w:highlight w:val="none"/>
                <w:lang w:val="en-US" w:eastAsia="zh-CN" w:bidi="ar"/>
              </w:rPr>
              <w:t xml:space="preserve">6.</w:t>
            </w:r>
            <w:r>
              <w:rPr>
                <w:rFonts w:hint="eastAsia" w:ascii="Times New Roman" w:hAnsi="Times New Roman" w:eastAsia="宋体" w:cs="Times New Roman"/>
                <w:b/>
                <w:bCs/>
                <w:color w:val="auto"/>
                <w:sz w:val="22"/>
                <w:szCs w:val="22"/>
                <w:highlight w:val="none"/>
                <w:lang w:bidi="ar"/>
              </w:rPr>
              <w:t xml:space="preserve">厨房灭火系统须具有有效消防产品认证证书，提供证书扫描件加盖投标人公章。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炉拼台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≥400*1200*800+450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优质SUS304不锈钢磨砂板，面板1.0mm</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侧板1.0mm；置高450mm不锈钢后挡炉背板；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横通采用￠25*1.0mm不锈钢管连接，立管采用￠38*1.0mm不锈钢管连可调节高度子弹脚。</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灶封板</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≥17200*2100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采用SUS304不锈钢管不小于1.0mm制作。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80.22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m²</w:t>
            </w:r>
            <w:r>
              <w:rPr>
                <w:highlight w:val="none"/>
              </w:rPr>
            </w:r>
          </w:p>
        </w:tc>
      </w:tr>
      <w:tr>
        <w:trPr>
          <w:jc w:val="center"/>
          <w:trHeight w:val="18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电磁摇摆汤炉</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≥200L</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≥25</w:t>
            </w:r>
            <w:r>
              <w:rPr>
                <w:rFonts w:hint="eastAsia" w:ascii="Times New Roman" w:hAnsi="Times New Roman" w:eastAsia="宋体" w:cs="Times New Roman"/>
                <w:color w:val="auto"/>
                <w:sz w:val="22"/>
                <w:szCs w:val="22"/>
                <w:highlight w:val="none"/>
                <w:lang w:eastAsia="zh-CN" w:bidi="ar"/>
              </w:rPr>
              <w:t xml:space="preserve">kW</w:t>
            </w:r>
            <w:r>
              <w:rPr>
                <w:rFonts w:ascii="Times New Roman" w:hAnsi="Times New Roman" w:eastAsia="宋体" w:cs="Times New Roman"/>
                <w:color w:val="auto"/>
                <w:sz w:val="22"/>
                <w:szCs w:val="22"/>
                <w:highlight w:val="none"/>
                <w:lang w:bidi="ar"/>
              </w:rPr>
              <w:t xml:space="preserve">/380v，容量：≥200L。</w:t>
            </w:r>
            <w:r>
              <w:rPr>
                <w:highlight w:val="none"/>
              </w:rP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可倾斜式设计，0~90 度汤锅可倾斜角度 , 便于食物的投入或取出。</w:t>
            </w:r>
            <w:r>
              <w:rPr>
                <w:highlight w:val="none"/>
              </w:rP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环流立体加热，双向滚动沸腾，使食材充分受热，有效提高加热效率。</w:t>
            </w:r>
            <w:r>
              <w:rPr>
                <w:highlight w:val="none"/>
              </w:rP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无死角球底设计，清洗更方便。</w:t>
            </w:r>
            <w:r>
              <w:rPr>
                <w:highlight w:val="none"/>
              </w:rP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材质：SUS304不锈钢加厚机身，耐腐蚀，经久耐用。</w:t>
            </w:r>
            <w:r>
              <w:rPr>
                <w:highlight w:val="none"/>
              </w:rP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水龙头：配备 SUS304 不锈钢摇摆水龙头，可以 180度旋转，安全防漏。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18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color w:val="auto"/>
                <w:highlight w:val="none"/>
              </w:rPr>
            </w:pPr>
            <w:r>
              <w:rPr>
                <w:rFonts w:ascii="Times New Roman" w:hAnsi="Times New Roman" w:eastAsia="宋体" w:cs="Times New Roman"/>
                <w:color w:val="auto"/>
                <w:sz w:val="22"/>
                <w:szCs w:val="22"/>
                <w:highlight w:val="none"/>
                <w:lang w:bidi="ar"/>
              </w:rPr>
              <w:t xml:space="preserve">电蒸箱</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≥1100*750*1700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规格：24盘</w:t>
            </w:r>
            <w:r>
              <w:rPr>
                <w:rFonts w:hint="eastAsia" w:ascii="Times New Roman" w:hAnsi="Times New Roman" w:eastAsia="宋体" w:cs="Times New Roman"/>
                <w:color w:val="auto"/>
                <w:sz w:val="22"/>
                <w:szCs w:val="22"/>
                <w:highlight w:val="none"/>
                <w:lang w:val="en-US" w:eastAsia="zh-CN" w:bidi="ar"/>
              </w:rPr>
              <w:t xml:space="preserve">  功率380V 24kW；</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主材SUS304不锈钢板材制作，隔条50%防脱落，包括内部全不锈钢加强。保证长期使用结构安全可靠，无腐蚀现象。优质不锈钢材质加长双</w:t>
            </w:r>
            <w:r>
              <w:rPr>
                <w:rFonts w:hint="eastAsia" w:ascii="Times New Roman" w:hAnsi="Times New Roman" w:eastAsia="宋体" w:cs="Times New Roman"/>
                <w:color w:val="auto"/>
                <w:sz w:val="22"/>
                <w:szCs w:val="22"/>
                <w:highlight w:val="none"/>
                <w:lang w:eastAsia="zh-CN" w:bidi="ar"/>
              </w:rPr>
              <w:t xml:space="preserve">u</w:t>
            </w:r>
            <w:r>
              <w:rPr>
                <w:rFonts w:ascii="Times New Roman" w:hAnsi="Times New Roman" w:eastAsia="宋体" w:cs="Times New Roman"/>
                <w:color w:val="auto"/>
                <w:sz w:val="22"/>
                <w:szCs w:val="22"/>
                <w:highlight w:val="none"/>
                <w:lang w:bidi="ar"/>
              </w:rPr>
              <w:t xml:space="preserve">型优质发热管，电线符合国家标准，配有接地标准。自动进水功能。浮球优质不锈钢材质。蒸饭时箱内承受650帕微压状态，自动泄压，水的蒸发量每小时10公斤，既安全节能</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食物口感更佳。柜体采用高密度保温材料，使用过程中外壳表面温度在50摄氏度以内，不烫手。微电脑控制，带除垢功能，保温性能优良，安全节能。隔条50%防脱落，定时定温，缺水保护，过热保护 ，门打开防倾倒 ，水箱为整体一次成型。</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蒸饭盘</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≥400*600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采用SUS304不锈钢，尺寸：≥400*600*4.8，卷边不割手。</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72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rPr>
                <w:highlight w:val="none"/>
              </w:rPr>
            </w:r>
          </w:p>
        </w:tc>
      </w:tr>
      <w:tr>
        <w:trPr>
          <w:jc w:val="center"/>
          <w:trHeight w:val="243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智能留样柜</w:t>
            </w:r>
            <w:r>
              <w:rPr>
                <w:highlight w:val="none"/>
              </w:rPr>
            </w:r>
          </w:p>
          <w:p>
            <w:pPr>
              <w:jc w:val="center"/>
              <w:spacing w:after="62"/>
              <w:widowControl/>
              <w:rPr>
                <w:rFonts w:ascii="Times New Roman" w:hAnsi="Times New Roman" w:eastAsia="宋体" w:cs="Times New Roman"/>
                <w:color w:val="auto"/>
                <w:sz w:val="22"/>
                <w:szCs w:val="22"/>
                <w:highlight w:val="none"/>
              </w:rPr>
            </w:pPr>
            <w:r>
              <w:rPr>
                <w:rFonts w:hint="eastAsia" w:ascii="宋体" w:hAnsi="宋体" w:eastAsia="宋体" w:cs="宋体"/>
                <w:b/>
                <w:bCs/>
                <w:i w:val="0"/>
                <w:iCs w:val="0"/>
                <w:color w:val="auto"/>
                <w:sz w:val="18"/>
                <w:szCs w:val="18"/>
                <w:highlight w:val="none"/>
                <w:u w:val="none"/>
                <w:lang w:val="en-US" w:eastAsia="zh-CN" w:bidi="ar"/>
              </w:rPr>
              <w:t xml:space="preserve">◆需提供CCC认证证书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6"/>
                <w:szCs w:val="16"/>
                <w:highlight w:val="none"/>
              </w:rPr>
            </w:pPr>
            <w:r>
              <w:rPr>
                <w:rFonts w:ascii="Times New Roman" w:hAnsi="Times New Roman" w:eastAsia="宋体" w:cs="Times New Roman"/>
                <w:color w:val="auto"/>
                <w:sz w:val="16"/>
                <w:szCs w:val="16"/>
                <w:highlight w:val="none"/>
                <w:lang w:bidi="ar"/>
              </w:rPr>
              <w:t xml:space="preserve">≥600*800*1970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制冷方式：风冷，温度：2℃~8℃，门数：单门，有效留样空间：≥6层，额定电压及频率：220V</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50HZ，额定功率≤400W；</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箱体内外均采用食品级不锈钢，箱体整体发泡，中梁配加热丝，采用双层电加热防雾玻璃门，可拆卸门封条，自动回归门设计；品牌压缩机，纯铜蒸发器，在最高42℃的极端环境温度下也能正常制冷；</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配置离子食物保鲜系统，通过释放活氧抑制细菌生长，通过释放负离子延缓食物氧化，延长食物保鲜时间；</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四门冷冻高身柜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≥1200*750*1900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容量：≥925L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功率：220V/≥428W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箱内温度：F-12~-18℃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采用内外201，门铰链SUS304不锈钢产品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采用国内一线品牌压缩机，温控均为一线品牌温控，温度更精确，箱内拼接采用倒圆弧设计，干净清爽更易清洁。</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6</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橡胶轮带刹车，可换不锈钢调节脚。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带温度显示屏。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定制高温智控热风循环消毒房</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≥4800*3800*2400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总功率：380V/≥40</w:t>
            </w:r>
            <w:r>
              <w:rPr>
                <w:rFonts w:hint="eastAsia" w:ascii="Times New Roman" w:hAnsi="Times New Roman" w:eastAsia="宋体" w:cs="Times New Roman"/>
                <w:color w:val="auto"/>
                <w:sz w:val="22"/>
                <w:szCs w:val="22"/>
                <w:highlight w:val="none"/>
                <w:lang w:eastAsia="zh-CN" w:bidi="ar"/>
              </w:rPr>
              <w:t xml:space="preserve">kW</w:t>
            </w:r>
            <w:r>
              <w:rPr>
                <w:rFonts w:ascii="Times New Roman" w:hAnsi="Times New Roman" w:eastAsia="宋体" w:cs="Times New Roman"/>
                <w:color w:val="auto"/>
                <w:sz w:val="22"/>
                <w:szCs w:val="22"/>
                <w:highlight w:val="none"/>
                <w:lang w:bidi="ar"/>
              </w:rPr>
              <w:t xml:space="preserve">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门洞尺寸≥840*2000mm的门2套，含SUS304五金挂件，含真空玻璃可视窗。</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保温房板：采用100mm厚耐高温B1级阻燃岩棉保温板。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库房材料：双门采用磨砂SUS304不锈钢板，0.8MM厚。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地面：采用3mm压花防滑铝板，与外地面平行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6</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消毒温度：30-130℃可调，可定时</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定温</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自带记忆功能。</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内照明：嵌入式LED灯（防水、防爆、防高温）；</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8</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安全装置：</w:t>
            </w:r>
            <w:r>
              <w:rPr>
                <w:rFonts w:hint="eastAsia" w:ascii="Times New Roman" w:hAnsi="Times New Roman" w:eastAsia="宋体" w:cs="Times New Roman"/>
                <w:color w:val="auto"/>
                <w:sz w:val="22"/>
                <w:szCs w:val="22"/>
                <w:highlight w:val="none"/>
                <w:lang w:eastAsia="zh-CN" w:bidi="ar"/>
              </w:rPr>
              <w:t xml:space="preserve">电控</w:t>
            </w:r>
            <w:r>
              <w:rPr>
                <w:rFonts w:ascii="Times New Roman" w:hAnsi="Times New Roman" w:eastAsia="宋体" w:cs="Times New Roman"/>
                <w:color w:val="auto"/>
                <w:sz w:val="22"/>
                <w:szCs w:val="22"/>
                <w:highlight w:val="none"/>
                <w:lang w:bidi="ar"/>
              </w:rPr>
              <w:t xml:space="preserve">采用微电脑智能保护，拥有：超温保护、漏电保护及有障碍无法启动装置，内设自助应急开门装置确保任何情况下人员及设备的安全，使用警示报警闪灯提示故障，采用∅25mm不锈钢管防碰撞护栏。</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9</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控制系统：采用智能控制系统，触屏操作更简单直观，拥有：实时温度显示、消毒时间倒计时显示、故障代码显示、一键式启动功能等可省去需要专人操作的麻烦。</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10</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强制循环系统：6组耐高温高湿强制循环风机，6套4</w:t>
            </w:r>
            <w:r>
              <w:rPr>
                <w:rFonts w:hint="eastAsia" w:ascii="Times New Roman" w:hAnsi="Times New Roman" w:eastAsia="宋体" w:cs="Times New Roman"/>
                <w:color w:val="auto"/>
                <w:sz w:val="22"/>
                <w:szCs w:val="22"/>
                <w:highlight w:val="none"/>
                <w:lang w:eastAsia="zh-CN" w:bidi="ar"/>
              </w:rPr>
              <w:t xml:space="preserve">kW</w:t>
            </w:r>
            <w:r>
              <w:rPr>
                <w:rFonts w:ascii="Times New Roman" w:hAnsi="Times New Roman" w:eastAsia="宋体" w:cs="Times New Roman"/>
                <w:color w:val="auto"/>
                <w:sz w:val="22"/>
                <w:szCs w:val="22"/>
                <w:highlight w:val="none"/>
                <w:lang w:bidi="ar"/>
              </w:rPr>
              <w:t xml:space="preserve">的SUS304发热组件。</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11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消毒原理：利用强制空间热能循环产生无死角流动的130℃热风对消毒物品表面及缝隙穿透杀灭残留细菌、病毒。消毒效果：对大肠杆菌、金黄色葡萄球菌杀灭率达99%。消杀时间：每次至少60分钟。</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12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食堂消毒房可对餐具、厨具、食品容器进行高温/专业消杀，彻底杀灭细菌、病毒、大肠杆菌等有害微生物；有效去除油污残留、异味，杜绝碗筷交叉污染；抑制霉菌滋生，防止餐具发霉变质；从源头把控食堂食品安全，预防肠道传染病，保障就餐人员饮食卫生与健康。</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13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消毒房： 防鼠：门窗、缝隙封堵严实，防止老鼠进入污染餐具和消毒区域；防蝇：配备纱门纱窗、风幕等，阻挡苍蝇蚊虫飞入；防尘：密闭保洁，防止外界灰尘、杂物落入已消毒餐具，保持洁净无菌。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18.3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平方</w:t>
            </w:r>
            <w:r>
              <w:rPr>
                <w:highlight w:val="none"/>
              </w:rPr>
            </w:r>
          </w:p>
        </w:tc>
      </w:tr>
      <w:tr>
        <w:trPr>
          <w:jc w:val="center"/>
          <w:trHeight w:val="13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四门保洁柜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≥1200*500*1800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主材采用SUS304不锈钢制作，台面厚度不小于1.0mm，下层、侧</w:t>
            </w:r>
            <w:r>
              <w:rPr>
                <w:rFonts w:hint="eastAsia" w:ascii="Times New Roman" w:hAnsi="Times New Roman" w:eastAsia="宋体" w:cs="Times New Roman"/>
                <w:color w:val="auto"/>
                <w:sz w:val="22"/>
                <w:szCs w:val="22"/>
                <w:highlight w:val="none"/>
                <w:lang w:eastAsia="zh-CN" w:bidi="ar"/>
              </w:rPr>
              <w:t xml:space="preserve">板</w:t>
            </w:r>
            <w:r>
              <w:rPr>
                <w:rFonts w:ascii="Times New Roman" w:hAnsi="Times New Roman" w:eastAsia="宋体" w:cs="Times New Roman"/>
                <w:color w:val="auto"/>
                <w:sz w:val="22"/>
                <w:szCs w:val="22"/>
                <w:highlight w:val="none"/>
                <w:lang w:bidi="ar"/>
              </w:rPr>
              <w:t xml:space="preserve">厚度不小于1.0mm</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并用不小于1.0mm厚不锈钢板折成加强筋加固；</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脚管采用Ф48*1.0mm厚不锈钢圆管，配置不锈钢可调子弹脚。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采用二次压边工艺，无割手处，焊接处理光滑，美观，无明显焊斑焊缝。</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五格保温售饭工作台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≥1800*700*800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电压：220v、功率：3</w:t>
            </w:r>
            <w:r>
              <w:rPr>
                <w:rFonts w:hint="eastAsia" w:ascii="Times New Roman" w:hAnsi="Times New Roman" w:eastAsia="宋体" w:cs="Times New Roman"/>
                <w:color w:val="auto"/>
                <w:sz w:val="22"/>
                <w:szCs w:val="22"/>
                <w:highlight w:val="none"/>
                <w:lang w:eastAsia="zh-CN" w:bidi="ar"/>
              </w:rPr>
              <w:t xml:space="preserve">kW</w:t>
            </w:r>
            <w:r>
              <w:rPr>
                <w:rFonts w:ascii="Times New Roman" w:hAnsi="Times New Roman" w:eastAsia="宋体" w:cs="Times New Roman"/>
                <w:color w:val="auto"/>
                <w:sz w:val="22"/>
                <w:szCs w:val="22"/>
                <w:highlight w:val="none"/>
                <w:lang w:bidi="ar"/>
              </w:rPr>
              <w:t xml:space="preserve">。</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规格：智能恒温，可定时定温，高效加热管，快速升温，经久耐用，搭配探针实时掌控温度。</w:t>
            </w:r>
            <w:r>
              <w:rPr>
                <w:rFonts w:hint="eastAsia" w:ascii="Times New Roman" w:hAnsi="Times New Roman" w:eastAsia="宋体" w:cs="Times New Roman"/>
                <w:color w:val="auto"/>
                <w:sz w:val="22"/>
                <w:szCs w:val="22"/>
                <w:highlight w:val="none"/>
                <w:lang w:eastAsia="zh-CN" w:bidi="ar"/>
              </w:rPr>
              <w:t xml:space="preserve">铜质</w:t>
            </w:r>
            <w:r>
              <w:rPr>
                <w:rFonts w:ascii="Times New Roman" w:hAnsi="Times New Roman" w:eastAsia="宋体" w:cs="Times New Roman"/>
                <w:color w:val="auto"/>
                <w:sz w:val="22"/>
                <w:szCs w:val="22"/>
                <w:highlight w:val="none"/>
                <w:lang w:bidi="ar"/>
              </w:rPr>
              <w:t xml:space="preserve">阀门下水，安全不漏水。</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柜体采用SUS304不锈钢不小于1.2mm制作。</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保温池底部增加38*25*1.0mm的加强筋。</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1/1份数盘带盖</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≥530*330*150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SUS304不锈钢不小于1.0mm制作，与五格保温售饭工作台配套。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rPr>
                <w:highlight w:val="none"/>
              </w:rP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1/1份数盘不带盖</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≥530*330*150</w:t>
            </w:r>
            <w:r>
              <w:rPr>
                <w:highlight w:val="none"/>
              </w:rPr>
            </w:r>
          </w:p>
        </w:tc>
        <w:tc>
          <w:tcPr>
            <w:shd w:val="clear" w:color="auto" w:fill="auto"/>
            <w:tcBorders>
              <w:top w:val="single" w:color="000000" w:sz="4" w:space="0"/>
              <w:left w:val="single" w:color="000000" w:sz="4" w:space="0"/>
              <w:bottom w:val="single" w:color="auto"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SUS304不锈钢不小于1.0mm制作，与五格保温售饭工作台配套。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rPr>
                <w:highlight w:val="none"/>
              </w:rP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6</w:t>
            </w:r>
            <w:r>
              <w:rPr>
                <w:rFonts w:ascii="Times New Roman" w:hAnsi="Times New Roman" w:eastAsia="宋体" w:cs="Times New Roman"/>
                <w:color w:val="auto"/>
                <w:sz w:val="22"/>
                <w:szCs w:val="22"/>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15L小厨宝</w:t>
            </w:r>
            <w:r>
              <w:rPr>
                <w:highlight w:val="none"/>
              </w:rPr>
            </w:r>
          </w:p>
          <w:p>
            <w:pPr>
              <w:pStyle w:val="997"/>
              <w:rPr>
                <w:color w:val="auto"/>
                <w:highlight w:val="none"/>
              </w:rPr>
            </w:pPr>
            <w:r>
              <w:rPr>
                <w:rFonts w:hint="eastAsia" w:ascii="宋体" w:hAnsi="宋体" w:eastAsia="宋体" w:cs="宋体"/>
                <w:b/>
                <w:bCs/>
                <w:i w:val="0"/>
                <w:iCs w:val="0"/>
                <w:color w:val="auto"/>
                <w:sz w:val="18"/>
                <w:szCs w:val="18"/>
                <w:highlight w:val="none"/>
                <w:u w:val="none"/>
                <w:lang w:val="en-US" w:eastAsia="zh-CN" w:bidi="ar"/>
              </w:rPr>
              <w:t xml:space="preserve">◆需提供CCC认证证书</w:t>
            </w:r>
            <w:r>
              <w:rPr>
                <w:highlight w:val="none"/>
              </w:rPr>
            </w:r>
          </w:p>
        </w:tc>
        <w:tc>
          <w:tcPr>
            <w:shd w:val="clear" w:color="auto" w:fill="auto"/>
            <w:tcBorders>
              <w:top w:val="single" w:color="000000" w:sz="4" w:space="0"/>
              <w:left w:val="single" w:color="000000" w:sz="4" w:space="0"/>
              <w:bottom w:val="single" w:color="000000" w:sz="4" w:space="0"/>
              <w:right w:val="single" w:color="auto"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w:t>
            </w:r>
            <w:r>
              <w:rPr>
                <w:rFonts w:hint="eastAsia" w:ascii="宋体" w:hAnsi="宋体" w:cs="宋体"/>
                <w:color w:val="auto"/>
                <w:sz w:val="22"/>
                <w:szCs w:val="22"/>
                <w:highlight w:val="none"/>
                <w:lang w:bidi="ar"/>
              </w:rPr>
              <w:t xml:space="preserve">355*355*325</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9310" w:type="dxa"/>
            <w:vAlign w:val="center"/>
            <w:textDirection w:val="lrTb"/>
            <w:noWrap w:val="false"/>
          </w:tcPr>
          <w:p>
            <w:pPr>
              <w:jc w:val="left"/>
              <w:spacing w:after="62"/>
              <w:widowControl/>
              <w:rPr>
                <w:rStyle w:val="1327"/>
                <w:rFonts w:hint="default" w:ascii="Times New Roman" w:hAnsi="Times New Roman" w:cs="Times New Roman"/>
                <w:color w:val="auto"/>
                <w:highlight w:val="none"/>
              </w:rPr>
            </w:pPr>
            <w:r>
              <w:rPr>
                <w:rStyle w:val="1327"/>
                <w:rFonts w:hint="default" w:ascii="Times New Roman" w:hAnsi="Times New Roman" w:cs="Times New Roman"/>
                <w:color w:val="auto"/>
                <w:highlight w:val="none"/>
                <w:lang w:bidi="ar"/>
              </w:rPr>
              <w:t xml:space="preserve">1</w:t>
            </w:r>
            <w:r>
              <w:rPr>
                <w:rStyle w:val="1327"/>
                <w:rFonts w:hint="eastAsia" w:ascii="Times New Roman" w:hAnsi="Times New Roman" w:eastAsia="宋体" w:cs="Times New Roman"/>
                <w:color w:val="auto"/>
                <w:highlight w:val="none"/>
                <w:lang w:val="en-US" w:eastAsia="zh-CN" w:bidi="ar"/>
              </w:rPr>
              <w:t xml:space="preserve">.</w:t>
            </w:r>
            <w:r>
              <w:rPr>
                <w:rStyle w:val="1327"/>
                <w:rFonts w:hint="default" w:ascii="Times New Roman" w:hAnsi="Times New Roman" w:cs="Times New Roman"/>
                <w:color w:val="auto"/>
                <w:highlight w:val="none"/>
                <w:lang w:bidi="ar"/>
              </w:rPr>
              <w:t xml:space="preserve">储水式电热水器， ≥15升容量，内胆外壳采用310S不锈钢</w:t>
            </w:r>
            <w:r>
              <w:rPr>
                <w:rStyle w:val="1327"/>
                <w:rFonts w:hint="eastAsia" w:ascii="Times New Roman" w:hAnsi="Times New Roman" w:eastAsia="宋体" w:cs="Times New Roman"/>
                <w:color w:val="auto"/>
                <w:highlight w:val="none"/>
                <w:lang w:eastAsia="zh-CN" w:bidi="ar"/>
              </w:rPr>
              <w:t xml:space="preserve">，</w:t>
            </w:r>
            <w:r>
              <w:rPr>
                <w:rStyle w:val="1327"/>
                <w:rFonts w:hint="default" w:ascii="Times New Roman" w:hAnsi="Times New Roman" w:cs="Times New Roman"/>
                <w:color w:val="auto"/>
                <w:highlight w:val="none"/>
                <w:lang w:bidi="ar"/>
              </w:rPr>
              <w:t xml:space="preserve">内胆内部采用搪瓷工艺防腐。</w:t>
            </w:r>
            <w:r>
              <w:rPr>
                <w:highlight w:val="none"/>
              </w:rPr>
            </w:r>
          </w:p>
          <w:p>
            <w:pPr>
              <w:jc w:val="left"/>
              <w:spacing w:after="62"/>
              <w:widowControl/>
              <w:rPr>
                <w:rStyle w:val="1327"/>
                <w:rFonts w:hint="eastAsia" w:ascii="Times New Roman" w:hAnsi="Times New Roman" w:eastAsia="宋体" w:cs="Times New Roman"/>
                <w:color w:val="auto"/>
                <w:highlight w:val="none"/>
              </w:rPr>
            </w:pPr>
            <w:r>
              <w:rPr>
                <w:rStyle w:val="1327"/>
                <w:rFonts w:hint="default" w:ascii="Times New Roman" w:hAnsi="Times New Roman" w:cs="Times New Roman"/>
                <w:color w:val="auto"/>
                <w:highlight w:val="none"/>
                <w:lang w:bidi="ar"/>
              </w:rPr>
              <w:t xml:space="preserve">2</w:t>
            </w:r>
            <w:r>
              <w:rPr>
                <w:rStyle w:val="1327"/>
                <w:rFonts w:hint="eastAsia" w:ascii="Times New Roman" w:hAnsi="Times New Roman" w:eastAsia="宋体" w:cs="Times New Roman"/>
                <w:color w:val="auto"/>
                <w:highlight w:val="none"/>
                <w:lang w:val="en-US" w:eastAsia="zh-CN" w:bidi="ar"/>
              </w:rPr>
              <w:t xml:space="preserve">.</w:t>
            </w:r>
            <w:r>
              <w:rPr>
                <w:rStyle w:val="1327"/>
                <w:rFonts w:hint="default" w:ascii="Times New Roman" w:hAnsi="Times New Roman" w:cs="Times New Roman"/>
                <w:color w:val="auto"/>
                <w:highlight w:val="none"/>
                <w:lang w:bidi="ar"/>
              </w:rPr>
              <w:t xml:space="preserve"> 1500W功率</w:t>
            </w:r>
            <w:r>
              <w:rPr>
                <w:rStyle w:val="1327"/>
                <w:rFonts w:hint="eastAsia" w:ascii="Times New Roman" w:hAnsi="Times New Roman" w:eastAsia="宋体" w:cs="Times New Roman"/>
                <w:color w:val="auto"/>
                <w:highlight w:val="none"/>
                <w:lang w:eastAsia="zh-CN" w:bidi="ar"/>
              </w:rPr>
              <w:t xml:space="preserve">；</w:t>
            </w:r>
            <w:r>
              <w:rPr>
                <w:rStyle w:val="1327"/>
                <w:rFonts w:hint="default" w:ascii="Times New Roman" w:hAnsi="Times New Roman" w:cs="Times New Roman"/>
                <w:color w:val="auto"/>
                <w:highlight w:val="none"/>
                <w:lang w:bidi="ar"/>
              </w:rPr>
              <w:t xml:space="preserve">3</w:t>
            </w:r>
            <w:r>
              <w:rPr>
                <w:rStyle w:val="1327"/>
                <w:rFonts w:hint="eastAsia" w:ascii="Times New Roman" w:hAnsi="Times New Roman" w:eastAsia="宋体" w:cs="Times New Roman"/>
                <w:color w:val="auto"/>
                <w:highlight w:val="none"/>
                <w:lang w:eastAsia="zh-CN" w:bidi="ar"/>
              </w:rPr>
              <w:t xml:space="preserve">：</w:t>
            </w:r>
            <w:r>
              <w:rPr>
                <w:rStyle w:val="1327"/>
                <w:rFonts w:hint="default" w:ascii="Times New Roman" w:hAnsi="Times New Roman" w:cs="Times New Roman"/>
                <w:color w:val="auto"/>
                <w:highlight w:val="none"/>
                <w:lang w:bidi="ar"/>
              </w:rPr>
              <w:t xml:space="preserve">上出水</w:t>
            </w:r>
            <w:r>
              <w:rPr>
                <w:rStyle w:val="1327"/>
                <w:rFonts w:hint="eastAsia" w:ascii="Times New Roman" w:hAnsi="Times New Roman" w:eastAsia="宋体" w:cs="Times New Roman"/>
                <w:color w:val="auto"/>
                <w:highlight w:val="none"/>
                <w:lang w:eastAsia="zh-CN" w:bidi="ar"/>
              </w:rPr>
              <w:t xml:space="preserve">；</w:t>
            </w:r>
            <w:r>
              <w:rPr>
                <w:rStyle w:val="1327"/>
                <w:rFonts w:hint="default" w:ascii="Times New Roman" w:hAnsi="Times New Roman" w:cs="Times New Roman"/>
                <w:color w:val="auto"/>
                <w:highlight w:val="none"/>
                <w:lang w:bidi="ar"/>
              </w:rPr>
              <w:t xml:space="preserve">4: 机械调温</w:t>
            </w:r>
            <w:r>
              <w:rPr>
                <w:rStyle w:val="1327"/>
                <w:rFonts w:hint="eastAsia" w:ascii="Times New Roman" w:hAnsi="Times New Roman" w:eastAsia="宋体" w:cs="Times New Roman"/>
                <w:color w:val="auto"/>
                <w:highlight w:val="none"/>
                <w:lang w:eastAsia="zh-CN" w:bidi="ar"/>
              </w:rPr>
              <w:t xml:space="preserve">。</w:t>
            </w:r>
            <w:r>
              <w:rPr>
                <w:highlight w:val="none"/>
              </w:rPr>
            </w:r>
          </w:p>
          <w:p>
            <w:pPr>
              <w:jc w:val="left"/>
              <w:spacing w:after="62"/>
              <w:widowControl/>
              <w:rPr>
                <w:color w:val="auto"/>
                <w:highlight w:val="none"/>
              </w:rPr>
            </w:pPr>
            <w:r>
              <w:rPr>
                <w:rStyle w:val="1327"/>
                <w:rFonts w:hint="default" w:ascii="Times New Roman" w:hAnsi="Times New Roman" w:cs="Times New Roman"/>
                <w:b/>
                <w:bCs/>
                <w:color w:val="auto"/>
                <w:highlight w:val="none"/>
                <w:lang w:bidi="ar"/>
              </w:rPr>
              <w:t xml:space="preserve">★能效等级：≥二级。提供有效期内的节能产品认证证书和中国政府采购节能品目清单查询截图（中国政府采购网 (www.ccgp.gov.cn)）</w:t>
            </w:r>
            <w:r>
              <w:rPr>
                <w:highlight w:val="none"/>
              </w:rPr>
            </w:r>
          </w:p>
        </w:tc>
        <w:tc>
          <w:tcPr>
            <w:shd w:val="clear" w:color="auto" w:fill="auto"/>
            <w:tcBorders>
              <w:top w:val="single" w:color="000000" w:sz="4" w:space="0"/>
              <w:left w:val="single" w:color="auto"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台</w:t>
            </w:r>
            <w:r>
              <w:rPr>
                <w:highlight w:val="none"/>
              </w:rPr>
            </w:r>
          </w:p>
        </w:tc>
      </w:tr>
      <w:tr>
        <w:trPr>
          <w:jc w:val="center"/>
          <w:trHeight w:val="324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干手器</w:t>
            </w:r>
            <w:r>
              <w:rPr>
                <w:highlight w:val="none"/>
              </w:rPr>
            </w:r>
          </w:p>
          <w:p>
            <w:pPr>
              <w:jc w:val="center"/>
              <w:spacing w:after="62"/>
              <w:widowControl/>
              <w:rPr>
                <w:rFonts w:ascii="Times New Roman" w:hAnsi="Times New Roman" w:eastAsia="宋体" w:cs="Times New Roman"/>
                <w:color w:val="auto"/>
                <w:sz w:val="22"/>
                <w:szCs w:val="22"/>
                <w:highlight w:val="none"/>
              </w:rPr>
            </w:pPr>
            <w:r>
              <w:rPr>
                <w:rFonts w:hint="eastAsia" w:ascii="宋体" w:hAnsi="宋体" w:eastAsia="宋体" w:cs="宋体"/>
                <w:b/>
                <w:bCs/>
                <w:i w:val="0"/>
                <w:iCs w:val="0"/>
                <w:color w:val="auto"/>
                <w:sz w:val="18"/>
                <w:szCs w:val="18"/>
                <w:highlight w:val="none"/>
                <w:u w:val="none"/>
                <w:lang w:val="en-US" w:eastAsia="zh-CN" w:bidi="ar"/>
              </w:rPr>
              <w:t xml:space="preserve">◆需提供CCC认证证书</w:t>
            </w:r>
            <w:r>
              <w:rPr>
                <w:highlight w:val="none"/>
              </w:rPr>
            </w:r>
          </w:p>
        </w:tc>
        <w:tc>
          <w:tcPr>
            <w:shd w:val="clear" w:color="auto" w:fill="auto"/>
            <w:tcBorders>
              <w:top w:val="single" w:color="000000" w:sz="4" w:space="0"/>
              <w:left w:val="single" w:color="000000" w:sz="4" w:space="0"/>
              <w:bottom w:val="single" w:color="000000" w:sz="4" w:space="0"/>
              <w:right w:val="single" w:color="auto"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≥156*176*207</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Style w:val="1327"/>
                <w:rFonts w:hint="default" w:ascii="Times New Roman" w:hAnsi="Times New Roman" w:cs="Times New Roman"/>
                <w:color w:val="auto"/>
                <w:highlight w:val="none"/>
                <w:lang w:bidi="ar"/>
              </w:rPr>
              <w:t xml:space="preserve">1.结构与材质：外壳须为一体成型设计。</w:t>
            </w:r>
            <w:r>
              <w:rPr>
                <w:rStyle w:val="1327"/>
                <w:rFonts w:hint="default" w:ascii="Times New Roman" w:hAnsi="Times New Roman" w:cs="Times New Roman"/>
                <w:color w:val="auto"/>
                <w:highlight w:val="none"/>
                <w:lang w:bidi="ar"/>
              </w:rPr>
              <w:br/>
            </w:r>
            <w:r>
              <w:rPr>
                <w:rStyle w:val="1327"/>
                <w:rFonts w:hint="default" w:ascii="Times New Roman" w:hAnsi="Times New Roman" w:cs="Times New Roman"/>
                <w:color w:val="auto"/>
                <w:highlight w:val="none"/>
                <w:lang w:bidi="ar"/>
              </w:rPr>
              <w:t xml:space="preserve">2.干手性能：</w:t>
            </w:r>
            <w:r>
              <w:rPr>
                <w:rStyle w:val="1327"/>
                <w:rFonts w:hint="default" w:ascii="Times New Roman" w:hAnsi="Times New Roman" w:cs="Times New Roman"/>
                <w:color w:val="auto"/>
                <w:highlight w:val="none"/>
                <w:lang w:bidi="ar"/>
              </w:rPr>
              <w:br/>
            </w:r>
            <w:r>
              <w:rPr>
                <w:rStyle w:val="1327"/>
                <w:rFonts w:hint="default" w:ascii="Times New Roman" w:hAnsi="Times New Roman" w:cs="Times New Roman"/>
                <w:color w:val="auto"/>
                <w:highlight w:val="none"/>
                <w:lang w:bidi="ar"/>
              </w:rPr>
              <w:t xml:space="preserve">采用双面出风模式。干手时间应不大于7秒（在标准测试条件下）。须内置空气压缩箱体以提升风速，实现风干与沥干同步进行。</w:t>
            </w:r>
            <w:r>
              <w:rPr>
                <w:rStyle w:val="1327"/>
                <w:rFonts w:hint="default" w:ascii="Times New Roman" w:hAnsi="Times New Roman" w:cs="Times New Roman"/>
                <w:color w:val="auto"/>
                <w:highlight w:val="none"/>
                <w:lang w:bidi="ar"/>
              </w:rPr>
              <w:br/>
            </w:r>
            <w:r>
              <w:rPr>
                <w:rStyle w:val="1327"/>
                <w:rFonts w:hint="default" w:ascii="Times New Roman" w:hAnsi="Times New Roman" w:cs="Times New Roman"/>
                <w:color w:val="auto"/>
                <w:highlight w:val="none"/>
                <w:lang w:bidi="ar"/>
              </w:rPr>
              <w:t xml:space="preserve">3.核心部件：</w:t>
            </w:r>
            <w:r>
              <w:rPr>
                <w:rStyle w:val="1327"/>
                <w:rFonts w:hint="default" w:ascii="Times New Roman" w:hAnsi="Times New Roman" w:cs="Times New Roman"/>
                <w:color w:val="auto"/>
                <w:highlight w:val="none"/>
                <w:lang w:bidi="ar"/>
              </w:rPr>
              <w:br/>
            </w:r>
            <w:r>
              <w:rPr>
                <w:rStyle w:val="1327"/>
                <w:rFonts w:hint="default" w:ascii="Times New Roman" w:hAnsi="Times New Roman" w:cs="Times New Roman"/>
                <w:color w:val="auto"/>
                <w:highlight w:val="none"/>
                <w:lang w:bidi="ar"/>
              </w:rPr>
              <w:t xml:space="preserve">电机额定功率为2000W，须具备启动性能好、运行</w:t>
            </w:r>
            <w:r>
              <w:rPr>
                <w:rStyle w:val="1327"/>
                <w:rFonts w:hint="eastAsia" w:ascii="Times New Roman" w:hAnsi="Times New Roman" w:eastAsia="宋体" w:cs="Times New Roman"/>
                <w:color w:val="auto"/>
                <w:highlight w:val="none"/>
                <w:lang w:eastAsia="zh-CN" w:bidi="ar"/>
              </w:rPr>
              <w:t xml:space="preserve">噪声</w:t>
            </w:r>
            <w:r>
              <w:rPr>
                <w:rStyle w:val="1327"/>
                <w:rFonts w:hint="default" w:ascii="Times New Roman" w:hAnsi="Times New Roman" w:cs="Times New Roman"/>
                <w:color w:val="auto"/>
                <w:highlight w:val="none"/>
                <w:lang w:bidi="ar"/>
              </w:rPr>
              <w:t xml:space="preserve">低的特点。采用全金属涡轮增压风扇，并带降噪圆弧结构以控制运行</w:t>
            </w:r>
            <w:r>
              <w:rPr>
                <w:rStyle w:val="1327"/>
                <w:rFonts w:hint="eastAsia" w:ascii="Times New Roman" w:hAnsi="Times New Roman" w:eastAsia="宋体" w:cs="Times New Roman"/>
                <w:color w:val="auto"/>
                <w:highlight w:val="none"/>
                <w:lang w:eastAsia="zh-CN" w:bidi="ar"/>
              </w:rPr>
              <w:t xml:space="preserve">噪声</w:t>
            </w:r>
            <w:r>
              <w:rPr>
                <w:rStyle w:val="1327"/>
                <w:rFonts w:hint="default" w:ascii="Times New Roman" w:hAnsi="Times New Roman" w:cs="Times New Roman"/>
                <w:color w:val="auto"/>
                <w:highlight w:val="none"/>
                <w:lang w:bidi="ar"/>
              </w:rPr>
              <w:t xml:space="preserve">。</w:t>
            </w:r>
            <w:r>
              <w:rPr>
                <w:rStyle w:val="1327"/>
                <w:rFonts w:hint="default" w:ascii="Times New Roman" w:hAnsi="Times New Roman" w:cs="Times New Roman"/>
                <w:color w:val="auto"/>
                <w:highlight w:val="none"/>
                <w:lang w:bidi="ar"/>
              </w:rPr>
              <w:br/>
            </w:r>
            <w:r>
              <w:rPr>
                <w:rStyle w:val="1327"/>
                <w:rFonts w:hint="default" w:ascii="Times New Roman" w:hAnsi="Times New Roman" w:cs="Times New Roman"/>
                <w:color w:val="auto"/>
                <w:highlight w:val="none"/>
                <w:lang w:bidi="ar"/>
              </w:rPr>
              <w:t xml:space="preserve">4.感应技术：</w:t>
            </w:r>
            <w:r>
              <w:rPr>
                <w:rStyle w:val="1327"/>
                <w:rFonts w:hint="default" w:ascii="Times New Roman" w:hAnsi="Times New Roman" w:cs="Times New Roman"/>
                <w:color w:val="auto"/>
                <w:highlight w:val="none"/>
                <w:lang w:bidi="ar"/>
              </w:rPr>
              <w:br/>
            </w:r>
            <w:r>
              <w:rPr>
                <w:rStyle w:val="1327"/>
                <w:rFonts w:hint="default" w:ascii="Times New Roman" w:hAnsi="Times New Roman" w:cs="Times New Roman"/>
                <w:color w:val="auto"/>
                <w:highlight w:val="none"/>
                <w:lang w:bidi="ar"/>
              </w:rPr>
              <w:t xml:space="preserve">采用以波长为主要感应距离的近红外感应技术。</w:t>
            </w:r>
            <w:r>
              <w:rPr>
                <w:rStyle w:val="1327"/>
                <w:rFonts w:hint="default" w:ascii="Times New Roman" w:hAnsi="Times New Roman" w:cs="Times New Roman"/>
                <w:color w:val="auto"/>
                <w:highlight w:val="none"/>
                <w:lang w:bidi="ar"/>
              </w:rPr>
              <w:br/>
            </w:r>
            <w:r>
              <w:rPr>
                <w:rStyle w:val="1327"/>
                <w:rFonts w:hint="default" w:ascii="Times New Roman" w:hAnsi="Times New Roman" w:cs="Times New Roman"/>
                <w:color w:val="auto"/>
                <w:highlight w:val="none"/>
                <w:lang w:bidi="ar"/>
              </w:rPr>
              <w:t xml:space="preserve">配备高灵敏度的信号收发送感光元件，实现智能、快速、可靠的自动感应启停。</w:t>
            </w:r>
            <w:r>
              <w:rPr>
                <w:highlight w:val="none"/>
              </w:rPr>
            </w:r>
          </w:p>
        </w:tc>
        <w:tc>
          <w:tcPr>
            <w:shd w:val="clear" w:color="auto" w:fill="auto"/>
            <w:tcBorders>
              <w:top w:val="single" w:color="000000" w:sz="4" w:space="0"/>
              <w:left w:val="single" w:color="auto"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6469"/>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全自动长龙式洗碗机（含全自动分配器）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≥3500*820*1550</w:t>
            </w:r>
            <w:r>
              <w:rPr>
                <w:highlight w:val="none"/>
              </w:rPr>
            </w:r>
          </w:p>
        </w:tc>
        <w:tc>
          <w:tcPr>
            <w:shd w:val="clear" w:color="auto" w:fill="auto"/>
            <w:tcBorders>
              <w:top w:val="single" w:color="auto"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1.</w:t>
            </w:r>
            <w:r>
              <w:rPr>
                <w:rFonts w:ascii="Times New Roman" w:hAnsi="Times New Roman" w:eastAsia="宋体" w:cs="Times New Roman"/>
                <w:color w:val="auto"/>
                <w:sz w:val="22"/>
                <w:szCs w:val="22"/>
                <w:highlight w:val="none"/>
                <w:lang w:bidi="ar"/>
              </w:rPr>
              <w:t xml:space="preserve">最大洗涤速度（履带速度）：≥1.5米/分钟（4500碟/小时，8寸碟计算）；</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2.</w:t>
            </w:r>
            <w:r>
              <w:rPr>
                <w:rFonts w:ascii="Times New Roman" w:hAnsi="Times New Roman" w:eastAsia="宋体" w:cs="Times New Roman"/>
                <w:color w:val="auto"/>
                <w:sz w:val="22"/>
                <w:szCs w:val="22"/>
                <w:highlight w:val="none"/>
                <w:lang w:bidi="ar"/>
              </w:rPr>
              <w:t xml:space="preserve">机器总功率：≤50kW；</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3.</w:t>
            </w:r>
            <w:r>
              <w:rPr>
                <w:rFonts w:ascii="Times New Roman" w:hAnsi="Times New Roman" w:eastAsia="宋体" w:cs="Times New Roman"/>
                <w:color w:val="auto"/>
                <w:sz w:val="22"/>
                <w:szCs w:val="22"/>
                <w:highlight w:val="none"/>
                <w:lang w:bidi="ar"/>
              </w:rPr>
              <w:t xml:space="preserve">功能区块：入口区机器入口长度≥900mm，机器入口宽度≥612mm；机器入口高度≥440mm；入口区配置风罩，减少废热气对人的侵袭及向外溢出；进口端侧护板可拆卸，易于清洁，不留卫生死角，符合HACCP要求，入口配备感应传感器，自动检测餐具，操作更加</w:t>
            </w:r>
            <w:r>
              <w:rPr>
                <w:rFonts w:hint="eastAsia" w:ascii="Times New Roman" w:hAnsi="Times New Roman" w:eastAsia="宋体" w:cs="Times New Roman"/>
                <w:color w:val="auto"/>
                <w:sz w:val="22"/>
                <w:szCs w:val="22"/>
                <w:highlight w:val="none"/>
                <w:lang w:eastAsia="zh-CN" w:bidi="ar"/>
              </w:rPr>
              <w:t xml:space="preserve">方便</w:t>
            </w:r>
            <w:r>
              <w:rPr>
                <w:rFonts w:ascii="Times New Roman" w:hAnsi="Times New Roman" w:eastAsia="宋体" w:cs="Times New Roman"/>
                <w:color w:val="auto"/>
                <w:sz w:val="22"/>
                <w:szCs w:val="22"/>
                <w:highlight w:val="none"/>
                <w:lang w:bidi="ar"/>
              </w:rPr>
              <w:t xml:space="preserve">。</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4.</w:t>
            </w:r>
            <w:r>
              <w:rPr>
                <w:rFonts w:ascii="Times New Roman" w:hAnsi="Times New Roman" w:eastAsia="宋体" w:cs="Times New Roman"/>
                <w:color w:val="auto"/>
                <w:sz w:val="22"/>
                <w:szCs w:val="22"/>
                <w:highlight w:val="none"/>
                <w:lang w:bidi="ar"/>
              </w:rPr>
              <w:t xml:space="preserve">功能区块：主洗区清洗泵功率≥1.5kW，水缸容量≥82L，清洗温度：55~60℃，加热功率≤18kW，清洗臂抽屉式安装，清洁时装卸更加便捷，降低操作人员操作的复杂程度，洗臂材料：必须是不锈钢金属材料，耐油碱腐蚀；耐高温、不易变形、不易老化。洗臂数量≥上4根/组，下4根/组。</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5.</w:t>
            </w:r>
            <w:r>
              <w:rPr>
                <w:rFonts w:ascii="Times New Roman" w:hAnsi="Times New Roman" w:eastAsia="宋体" w:cs="Times New Roman"/>
                <w:color w:val="auto"/>
                <w:sz w:val="22"/>
                <w:szCs w:val="22"/>
                <w:highlight w:val="none"/>
                <w:lang w:bidi="ar"/>
              </w:rPr>
              <w:t xml:space="preserve">功能区块：双喷淋区，喷淋臂：含预喷淋臂，其材料必须是不锈钢金属材料，耐油碱腐蚀；耐高温、不易变形、不易老化。 喷淋温度≥82℃（当进水温度为10℃时实测） 耗水量≤350L  喷淋温度≥82℃  加热功率≤30kW；双道喷淋节能系统，预喷淋流量更大，清洁效果更佳，在降低水消耗量的同时，有效提升喷淋效果；</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6.</w:t>
            </w:r>
            <w:r>
              <w:rPr>
                <w:rFonts w:ascii="Times New Roman" w:hAnsi="Times New Roman" w:eastAsia="宋体" w:cs="Times New Roman"/>
                <w:color w:val="auto"/>
                <w:sz w:val="22"/>
                <w:szCs w:val="22"/>
                <w:highlight w:val="none"/>
                <w:lang w:bidi="ar"/>
              </w:rPr>
              <w:t xml:space="preserve">功能区块：出口区机器出口长度≥1200mm，机器出口工作面高度≤860mm   功能部分：出口区四周围边可拆，易于清洁，不留卫生死角，符合HACCP要求；洗臂、喷淋臂材料：必须是不锈钢金属材料，耐油碱腐蚀；耐高温、不易变形、不易老化。</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7.</w:t>
            </w:r>
            <w:r>
              <w:rPr>
                <w:rFonts w:ascii="Times New Roman" w:hAnsi="Times New Roman" w:eastAsia="宋体" w:cs="Times New Roman"/>
                <w:color w:val="auto"/>
                <w:sz w:val="22"/>
                <w:szCs w:val="22"/>
                <w:highlight w:val="none"/>
                <w:lang w:bidi="ar"/>
              </w:rPr>
              <w:t xml:space="preserve">传送系统：采用高强度工程塑料；整机防水，密封：清洗、喷淋模块保证完全密封，防水性更好，同时防止老鼠对线路的破坏，降低维修费用；机身SUS304不锈钢</w:t>
            </w:r>
            <w:r>
              <w:rPr>
                <w:rFonts w:ascii="Times New Roman" w:hAnsi="Times New Roman" w:eastAsia="宋体" w:cs="Times New Roman"/>
                <w:color w:val="auto"/>
                <w:sz w:val="22"/>
                <w:szCs w:val="22"/>
                <w:highlight w:val="none"/>
                <w:lang w:bidi="ar"/>
              </w:rPr>
              <w:br/>
            </w:r>
            <w:r>
              <w:rPr>
                <w:rFonts w:hint="eastAsia" w:ascii="Times New Roman" w:hAnsi="Times New Roman" w:eastAsia="宋体" w:cs="Times New Roman"/>
                <w:color w:val="auto"/>
                <w:sz w:val="22"/>
                <w:szCs w:val="22"/>
                <w:highlight w:val="none"/>
                <w:lang w:val="en-US" w:eastAsia="zh-CN" w:bidi="ar"/>
              </w:rPr>
              <w:t xml:space="preserve">8.</w:t>
            </w:r>
            <w:r>
              <w:rPr>
                <w:rFonts w:ascii="Times New Roman" w:hAnsi="Times New Roman" w:eastAsia="宋体" w:cs="Times New Roman"/>
                <w:color w:val="auto"/>
                <w:sz w:val="22"/>
                <w:szCs w:val="22"/>
                <w:highlight w:val="none"/>
                <w:lang w:bidi="ar"/>
              </w:rPr>
              <w:t xml:space="preserve">控制系统：自动启动、延时，简化操作，操作人员只需简单培训便可上岗操作，手动+自动切换，机器控制出现故障可通过</w:t>
            </w:r>
            <w:r>
              <w:rPr>
                <w:rFonts w:hint="eastAsia" w:ascii="Times New Roman" w:hAnsi="Times New Roman" w:eastAsia="宋体" w:cs="Times New Roman"/>
                <w:color w:val="auto"/>
                <w:sz w:val="22"/>
                <w:szCs w:val="22"/>
                <w:highlight w:val="none"/>
                <w:lang w:eastAsia="zh-CN" w:bidi="ar"/>
              </w:rPr>
              <w:t xml:space="preserve">手动挡</w:t>
            </w:r>
            <w:r>
              <w:rPr>
                <w:rFonts w:ascii="Times New Roman" w:hAnsi="Times New Roman" w:eastAsia="宋体" w:cs="Times New Roman"/>
                <w:color w:val="auto"/>
                <w:sz w:val="22"/>
                <w:szCs w:val="22"/>
                <w:highlight w:val="none"/>
                <w:lang w:bidi="ar"/>
              </w:rPr>
              <w:t xml:space="preserve">位继续运行，保证机器的稳定性；电子温度显示，清晰、直观，观察方便*升温箱分级加热控制，双温度探头监测减小温度波动，达到最佳喷淋效果。</w:t>
            </w:r>
            <w:r>
              <w:rPr>
                <w:rFonts w:ascii="Times New Roman" w:hAnsi="Times New Roman" w:eastAsia="宋体" w:cs="Times New Roman"/>
                <w:color w:val="auto"/>
                <w:sz w:val="22"/>
                <w:szCs w:val="22"/>
                <w:highlight w:val="none"/>
                <w:lang w:bidi="ar"/>
              </w:rPr>
              <w:br/>
            </w:r>
            <w:r>
              <w:rPr>
                <w:rFonts w:hint="eastAsia" w:ascii="Times New Roman" w:hAnsi="Times New Roman" w:cs="Times New Roman" w:eastAsiaTheme="minorEastAsia"/>
                <w:b/>
                <w:bCs/>
                <w:color w:val="auto"/>
                <w:sz w:val="22"/>
                <w:szCs w:val="22"/>
                <w:highlight w:val="none"/>
              </w:rPr>
              <w:t xml:space="preserve">▲</w:t>
            </w:r>
            <w:r>
              <w:rPr>
                <w:rFonts w:hint="eastAsia" w:ascii="Times New Roman" w:hAnsi="Times New Roman" w:cs="Times New Roman" w:eastAsiaTheme="minorEastAsia"/>
                <w:b/>
                <w:bCs/>
                <w:color w:val="auto"/>
                <w:sz w:val="22"/>
                <w:szCs w:val="22"/>
                <w:highlight w:val="none"/>
                <w:lang w:val="en-US" w:eastAsia="zh-CN"/>
              </w:rPr>
              <w:t xml:space="preserve">9.</w:t>
            </w:r>
            <w:r>
              <w:rPr>
                <w:rFonts w:hint="eastAsia" w:ascii="Times New Roman" w:hAnsi="Times New Roman" w:cs="Times New Roman" w:eastAsiaTheme="minorEastAsia"/>
                <w:b/>
                <w:bCs/>
                <w:color w:val="auto"/>
                <w:sz w:val="22"/>
                <w:szCs w:val="22"/>
                <w:highlight w:val="none"/>
              </w:rPr>
              <w:t xml:space="preserve">有商用洗碗机洗净性能认证证书</w:t>
            </w:r>
            <w:r>
              <w:rPr>
                <w:rFonts w:hint="eastAsia" w:ascii="Times New Roman" w:hAnsi="Times New Roman" w:cs="Times New Roman" w:eastAsiaTheme="minorEastAsia"/>
                <w:b/>
                <w:bCs/>
                <w:color w:val="auto"/>
                <w:sz w:val="22"/>
                <w:szCs w:val="22"/>
                <w:highlight w:val="none"/>
                <w:lang w:eastAsia="zh-CN"/>
              </w:rPr>
              <w:t xml:space="preserve">。</w:t>
            </w:r>
            <w:r>
              <w:rPr>
                <w:rFonts w:hint="eastAsia" w:ascii="Times New Roman" w:hAnsi="Times New Roman" w:cs="Times New Roman" w:eastAsiaTheme="minorEastAsia"/>
                <w:b/>
                <w:bCs/>
                <w:color w:val="auto"/>
                <w:sz w:val="22"/>
                <w:szCs w:val="22"/>
                <w:highlight w:val="none"/>
              </w:rPr>
              <w:t xml:space="preserve">提供认证</w:t>
            </w:r>
            <w:r>
              <w:rPr>
                <w:rFonts w:hint="eastAsia" w:ascii="Times New Roman" w:hAnsi="Times New Roman" w:cs="Times New Roman" w:eastAsiaTheme="minorEastAsia"/>
                <w:b/>
                <w:bCs/>
                <w:color w:val="auto"/>
                <w:sz w:val="22"/>
                <w:szCs w:val="22"/>
                <w:highlight w:val="none"/>
                <w:lang w:val="en-US" w:eastAsia="zh-CN"/>
              </w:rPr>
              <w:t xml:space="preserve">扫描</w:t>
            </w:r>
            <w:r>
              <w:rPr>
                <w:rFonts w:hint="eastAsia" w:ascii="Times New Roman" w:hAnsi="Times New Roman" w:cs="Times New Roman" w:eastAsiaTheme="minorEastAsia"/>
                <w:b/>
                <w:bCs/>
                <w:color w:val="auto"/>
                <w:sz w:val="22"/>
                <w:szCs w:val="22"/>
                <w:highlight w:val="none"/>
              </w:rPr>
              <w:t xml:space="preserve">件</w:t>
            </w:r>
            <w:r>
              <w:rPr>
                <w:rFonts w:hint="eastAsia" w:ascii="Times New Roman" w:hAnsi="Times New Roman" w:cs="Times New Roman" w:eastAsiaTheme="minorEastAsia"/>
                <w:b/>
                <w:bCs/>
                <w:color w:val="auto"/>
                <w:sz w:val="22"/>
                <w:szCs w:val="22"/>
                <w:highlight w:val="none"/>
                <w:lang w:eastAsia="zh-CN"/>
              </w:rPr>
              <w:t xml:space="preserve">，</w:t>
            </w:r>
            <w:r>
              <w:rPr>
                <w:rFonts w:hint="eastAsia" w:ascii="Times New Roman" w:hAnsi="Times New Roman" w:cs="Times New Roman" w:eastAsiaTheme="minorEastAsia"/>
                <w:b/>
                <w:bCs/>
                <w:color w:val="auto"/>
                <w:sz w:val="22"/>
                <w:szCs w:val="22"/>
                <w:highlight w:val="none"/>
              </w:rPr>
              <w:t xml:space="preserve">并提供证书信息在“全国认证认可信息公共服务平台”网站查询</w:t>
            </w:r>
            <w:r>
              <w:rPr>
                <w:rFonts w:hint="eastAsia" w:ascii="Times New Roman" w:hAnsi="Times New Roman" w:cs="Times New Roman" w:eastAsiaTheme="minorEastAsia"/>
                <w:b/>
                <w:bCs/>
                <w:color w:val="auto"/>
                <w:sz w:val="22"/>
                <w:szCs w:val="22"/>
                <w:highlight w:val="none"/>
                <w:lang w:val="en-US" w:eastAsia="zh-CN"/>
              </w:rPr>
              <w:t xml:space="preserve">有效</w:t>
            </w:r>
            <w:r>
              <w:rPr>
                <w:rFonts w:hint="eastAsia" w:ascii="Times New Roman" w:hAnsi="Times New Roman" w:cs="Times New Roman" w:eastAsiaTheme="minorEastAsia"/>
                <w:b/>
                <w:bCs/>
                <w:color w:val="auto"/>
                <w:sz w:val="22"/>
                <w:szCs w:val="22"/>
                <w:highlight w:val="none"/>
              </w:rPr>
              <w:t xml:space="preserve">的截图，均加盖投标人公章。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19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洗碗机机用液</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洗涤剂20L/桶</w:t>
            </w:r>
            <w:r>
              <w:rPr>
                <w:highlight w:val="none"/>
              </w:rP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催干剂20L/桶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洗碗机专用洗涤剂：本品全新配方呈碱性，</w:t>
            </w:r>
            <w:r>
              <w:rPr>
                <w:rFonts w:hint="eastAsia" w:ascii="Times New Roman" w:hAnsi="Times New Roman" w:eastAsia="宋体" w:cs="Times New Roman"/>
                <w:color w:val="auto"/>
                <w:sz w:val="22"/>
                <w:szCs w:val="22"/>
                <w:highlight w:val="none"/>
                <w:lang w:eastAsia="zh-CN" w:bidi="ar"/>
              </w:rPr>
              <w:t xml:space="preserve">含水</w:t>
            </w:r>
            <w:r>
              <w:rPr>
                <w:rFonts w:ascii="Times New Roman" w:hAnsi="Times New Roman" w:eastAsia="宋体" w:cs="Times New Roman"/>
                <w:color w:val="auto"/>
                <w:sz w:val="22"/>
                <w:szCs w:val="22"/>
                <w:highlight w:val="none"/>
                <w:lang w:bidi="ar"/>
              </w:rPr>
              <w:t xml:space="preserve">处理剂和污垢控制剂，浓缩型清洁剂，去污力，去除食物残渣，污渍及油脂。</w:t>
            </w:r>
            <w:r>
              <w:rPr>
                <w:highlight w:val="none"/>
              </w:rP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规格：每桶20L。 外观：红色或无色透明液体  总活性物含量≥10%。</w:t>
            </w:r>
            <w:r>
              <w:rPr>
                <w:rFonts w:hint="eastAsia" w:ascii="Times New Roman" w:hAnsi="Times New Roman" w:eastAsia="宋体" w:cs="Times New Roman"/>
                <w:color w:val="auto"/>
                <w:sz w:val="22"/>
                <w:szCs w:val="22"/>
                <w:highlight w:val="none"/>
                <w:lang w:eastAsia="zh-CN" w:bidi="ar"/>
              </w:rPr>
              <w:t xml:space="preserve">pH值</w:t>
            </w:r>
            <w:r>
              <w:rPr>
                <w:rFonts w:ascii="Times New Roman" w:hAnsi="Times New Roman" w:eastAsia="宋体" w:cs="Times New Roman"/>
                <w:color w:val="auto"/>
                <w:sz w:val="22"/>
                <w:szCs w:val="22"/>
                <w:highlight w:val="none"/>
                <w:lang w:bidi="ar"/>
              </w:rPr>
              <w:t xml:space="preserve">（1%水溶性）：≥12.  活碱：10.5±5.漂洗性：易清洗。</w:t>
            </w:r>
            <w:r>
              <w:rPr>
                <w:highlight w:val="none"/>
              </w:rP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溶解性：全溶。相对密度：1.23±0.005.保质期：2年   容量：20L。</w:t>
            </w:r>
            <w:r>
              <w:rPr>
                <w:highlight w:val="none"/>
              </w:rP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洗碗机专用催干剂：由表面活性剂复配而成，浓缩高效，提高洗碗机工作效率，通过降低水的表面张力，</w:t>
            </w:r>
            <w:r>
              <w:rPr>
                <w:rFonts w:hint="eastAsia" w:ascii="Times New Roman" w:hAnsi="Times New Roman" w:eastAsia="宋体" w:cs="Times New Roman"/>
                <w:color w:val="auto"/>
                <w:sz w:val="22"/>
                <w:szCs w:val="22"/>
                <w:highlight w:val="none"/>
                <w:lang w:eastAsia="zh-CN" w:bidi="ar"/>
              </w:rPr>
              <w:t xml:space="preserve">使</w:t>
            </w:r>
            <w:r>
              <w:rPr>
                <w:rFonts w:ascii="Times New Roman" w:hAnsi="Times New Roman" w:eastAsia="宋体" w:cs="Times New Roman"/>
                <w:color w:val="auto"/>
                <w:sz w:val="22"/>
                <w:szCs w:val="22"/>
                <w:highlight w:val="none"/>
                <w:lang w:bidi="ar"/>
              </w:rPr>
              <w:t xml:space="preserve">喷淋后的餐具形成无水渍，催干、消毒一次完成。</w:t>
            </w:r>
            <w:r>
              <w:rPr>
                <w:highlight w:val="none"/>
              </w:rP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催干剂必须与洗涤剂配合使用。规格：每桶20L。外观：清澈的蓝色液体。总活性物含量≥12%，</w:t>
            </w:r>
            <w:r>
              <w:rPr>
                <w:rFonts w:hint="eastAsia" w:ascii="Times New Roman" w:hAnsi="Times New Roman" w:eastAsia="宋体" w:cs="Times New Roman"/>
                <w:color w:val="auto"/>
                <w:sz w:val="22"/>
                <w:szCs w:val="22"/>
                <w:highlight w:val="none"/>
                <w:lang w:eastAsia="zh-CN" w:bidi="ar"/>
              </w:rPr>
              <w:t xml:space="preserve">pH值</w:t>
            </w:r>
            <w:r>
              <w:rPr>
                <w:rFonts w:ascii="Times New Roman" w:hAnsi="Times New Roman" w:eastAsia="宋体" w:cs="Times New Roman"/>
                <w:color w:val="auto"/>
                <w:sz w:val="22"/>
                <w:szCs w:val="22"/>
                <w:highlight w:val="none"/>
                <w:lang w:bidi="ar"/>
              </w:rPr>
              <w:t xml:space="preserve">：3~7.溶解性：全溶。相对密度：1.0575±0.005 质保期：2年。容量：20L。</w:t>
            </w:r>
            <w:r>
              <w:rPr>
                <w:highlight w:val="none"/>
              </w:rPr>
            </w:r>
          </w:p>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1桶洗碗机专用洗涤剂和1桶洗碗机专用催干剂为1组，为全自动长龙式洗碗机（含全自动分配器）耗材。</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组</w:t>
            </w:r>
            <w:r>
              <w:rPr>
                <w:highlight w:val="none"/>
              </w:rPr>
            </w:r>
          </w:p>
        </w:tc>
      </w:tr>
      <w:tr>
        <w:trPr>
          <w:jc w:val="center"/>
          <w:trHeight w:val="19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w:t>
            </w:r>
            <w:r>
              <w:rPr>
                <w:rFonts w:hint="eastAsia" w:ascii="Times New Roman" w:hAnsi="Times New Roman" w:eastAsia="宋体" w:cs="Times New Roman"/>
                <w:color w:val="auto"/>
                <w:sz w:val="22"/>
                <w:szCs w:val="22"/>
                <w:highlight w:val="none"/>
                <w:lang w:val="en-US" w:eastAsia="zh-CN"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双门立式消毒柜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≥1310*620*1930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1.外形尺寸：≥1310*620*1930mm，</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2.功率 ≥2.4kW/220V，消毒容积≥720L；</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3.采用优质不锈钢制作，整体发泡；</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4.机械式旋钮控制系统，操作方便，带温控和定时功能，温度范围30~125°，时间范围0~90min；</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5.消毒效率高，灭菌力强，符合二星级消毒柜要求；</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6.对大肠杆菌的杀灭对数值＞3.00，对脊髓灰质炎病毒Ⅰ型疫苗株的灭活对数值＞4.00。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156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w:t>
            </w:r>
            <w:r>
              <w:rPr>
                <w:rFonts w:hint="eastAsia" w:ascii="Times New Roman" w:hAnsi="Times New Roman" w:eastAsia="宋体" w:cs="Times New Roman"/>
                <w:color w:val="auto"/>
                <w:sz w:val="22"/>
                <w:szCs w:val="22"/>
                <w:highlight w:val="none"/>
                <w:lang w:val="en-US" w:eastAsia="zh-CN" w:bidi="ar"/>
              </w:rPr>
              <w:t xml:space="preserve">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单通工作台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≥1800*800*800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1.台面板采用SUS304，不小于1.0mm不锈钢板，配不小于1.0mm做加力筋；</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2.层板采用国产SUS304，不小于1.0mm不锈钢板；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3.台脚采用Ф38mmX1.0mm不锈钢圆管</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配可调性不锈钢子弹脚；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 面板下面加装防水不小于18mm木工板。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5.采用二次压边工艺，无割手处，焊接处理光滑，美观，无明显焊斑焊缝。</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2862"/>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6</w:t>
            </w:r>
            <w:r>
              <w:rPr>
                <w:rFonts w:hint="eastAsia" w:ascii="Times New Roman" w:hAnsi="Times New Roman" w:eastAsia="宋体" w:cs="Times New Roman"/>
                <w:color w:val="auto"/>
                <w:sz w:val="22"/>
                <w:szCs w:val="22"/>
                <w:highlight w:val="none"/>
                <w:lang w:val="en-US" w:eastAsia="zh-CN"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六门双温冰箱</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6"/>
                <w:szCs w:val="16"/>
                <w:highlight w:val="none"/>
              </w:rPr>
            </w:pPr>
            <w:r>
              <w:rPr>
                <w:rFonts w:ascii="Times New Roman" w:hAnsi="Times New Roman" w:eastAsia="宋体" w:cs="Times New Roman"/>
                <w:color w:val="auto"/>
                <w:sz w:val="16"/>
                <w:szCs w:val="16"/>
                <w:highlight w:val="none"/>
                <w:lang w:bidi="ar"/>
              </w:rPr>
              <w:t xml:space="preserve">≥1800*750*1950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容量：≥1453L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功率：220V/≥398W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箱内温度：+8~-18℃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采用内外201，门铰链304不锈钢产品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采用国内一线品牌压缩机，采用一线品牌温控，温度更精确，箱内拼接采用倒圆弧设计，干净清爽更易清洁。</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6</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橡胶轮带刹车，可换不锈钢调节脚。</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带温度显示屏。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69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双头煮面炉</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≥1300*790*800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容量：≥70L*2 ；功率：≥9</w:t>
            </w:r>
            <w:r>
              <w:rPr>
                <w:rFonts w:hint="eastAsia" w:ascii="Times New Roman" w:hAnsi="Times New Roman" w:eastAsia="宋体" w:cs="Times New Roman"/>
                <w:color w:val="auto"/>
                <w:sz w:val="22"/>
                <w:szCs w:val="22"/>
                <w:highlight w:val="none"/>
                <w:lang w:eastAsia="zh-CN" w:bidi="ar"/>
              </w:rPr>
              <w:t xml:space="preserve">kW</w:t>
            </w:r>
            <w:r>
              <w:rPr>
                <w:rFonts w:ascii="Times New Roman" w:hAnsi="Times New Roman" w:eastAsia="宋体" w:cs="Times New Roman"/>
                <w:color w:val="auto"/>
                <w:sz w:val="22"/>
                <w:szCs w:val="22"/>
                <w:highlight w:val="none"/>
                <w:lang w:bidi="ar"/>
              </w:rPr>
              <w:t xml:space="preserve">；电压：380V；内/外直径：≥45/51CM；</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桶深：≥43CM；接线标准：100A；</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煮面炉柜身采用201不锈钢≥1.0mm</w:t>
            </w:r>
            <w:r>
              <w:rPr>
                <w:rFonts w:hint="eastAsia" w:ascii="Times New Roman" w:hAnsi="Times New Roman" w:eastAsia="宋体" w:cs="Times New Roman"/>
                <w:color w:val="auto"/>
                <w:sz w:val="22"/>
                <w:szCs w:val="22"/>
                <w:highlight w:val="none"/>
                <w:lang w:eastAsia="zh-CN" w:bidi="ar"/>
              </w:rPr>
              <w:t xml:space="preserve">厚</w:t>
            </w:r>
            <w:r>
              <w:rPr>
                <w:rFonts w:ascii="Times New Roman" w:hAnsi="Times New Roman" w:eastAsia="宋体" w:cs="Times New Roman"/>
                <w:color w:val="auto"/>
                <w:sz w:val="22"/>
                <w:szCs w:val="22"/>
                <w:highlight w:val="none"/>
                <w:lang w:bidi="ar"/>
              </w:rPr>
              <w:t xml:space="preserve">柜体，内胆采用SUS304不锈钢1.5mm厚。</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rPr>
              <w:t xml:space="preserve">70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left"/>
              <w:spacing w:after="62"/>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数显温控J40系列包体长方形液压餐炉</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550*430*210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数显温控，220V，≥300W，容量9L，材质：SUS304不锈钢内胆</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bidi="ar"/>
              </w:rPr>
              <w:t xml:space="preserve">电饼铛</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bidi="ar"/>
              </w:rPr>
              <w:t xml:space="preserve">620*655*700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spacing w:after="62"/>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bidi="ar"/>
              </w:rPr>
              <w:t xml:space="preserve">不锈钢机身1.0mm厚，装备恒温装置，工作温度：50℃-300℃，大面积封闭加热，机械控温，快速升温，温度误差小，节能环保，降低能耗，电饼铛内胆采用铝合金制作，升温快，加热均匀，不</w:t>
            </w:r>
            <w:r>
              <w:rPr>
                <w:rFonts w:hint="eastAsia" w:ascii="Times New Roman" w:hAnsi="Times New Roman" w:eastAsia="宋体" w:cs="Times New Roman"/>
                <w:color w:val="auto"/>
                <w:sz w:val="18"/>
                <w:szCs w:val="18"/>
                <w:highlight w:val="none"/>
                <w:lang w:eastAsia="zh-CN" w:bidi="ar"/>
              </w:rPr>
              <w:t xml:space="preserve">黏附</w:t>
            </w:r>
            <w:r>
              <w:rPr>
                <w:rFonts w:hint="eastAsia" w:ascii="Times New Roman" w:hAnsi="Times New Roman" w:eastAsia="宋体" w:cs="Times New Roman"/>
                <w:color w:val="auto"/>
                <w:sz w:val="18"/>
                <w:szCs w:val="18"/>
                <w:highlight w:val="none"/>
                <w:lang w:bidi="ar"/>
              </w:rPr>
              <w:t xml:space="preserve">，容易脱模，油烟少，电功率：5KW380V/220V</w:t>
            </w:r>
            <w:r>
              <w:rPr>
                <w:rFonts w:hint="eastAsia" w:ascii="Times New Roman" w:hAnsi="Times New Roman" w:eastAsia="宋体" w:cs="Times New Roman"/>
                <w:color w:val="auto"/>
                <w:sz w:val="18"/>
                <w:szCs w:val="18"/>
                <w:highlight w:val="none"/>
                <w:lang w:bidi="ar"/>
              </w:rPr>
              <w:br/>
            </w:r>
            <w:r>
              <w:rPr>
                <w:rFonts w:hint="eastAsia" w:ascii="Times New Roman" w:hAnsi="Times New Roman" w:eastAsia="宋体" w:cs="Times New Roman"/>
                <w:color w:val="auto"/>
                <w:sz w:val="18"/>
                <w:szCs w:val="18"/>
                <w:highlight w:val="none"/>
                <w:lang w:bidi="ar"/>
              </w:rPr>
              <w:t xml:space="preserve">直径：50CM</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left"/>
              <w:spacing w:after="62"/>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left"/>
              <w:spacing w:after="62"/>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bidi="ar"/>
              </w:rPr>
              <w:t xml:space="preserve">台</w:t>
            </w:r>
            <w:r>
              <w:rPr>
                <w:highlight w:val="none"/>
              </w:rP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val="en-US" w:eastAsia="zh-CN"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暖汤煲</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≥13L</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尺寸： ≥38*38*41CM</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容量：</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≥13L,≥300W，外层三层隔热，外壳内胆：纯铝速热，可拆SUS304不锈钢内胆，0~80℃五段控温系统。</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val="en-US" w:eastAsia="zh-CN"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勾柄厨具/汤勺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≥150ML</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SUS304不锈钢≥150ML，尺寸：柄长≥30cm.</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rPr>
                <w:highlight w:val="none"/>
              </w:rP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val="en-US" w:eastAsia="zh-CN"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精抛食品夹单齿</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≥24cm</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单齿加厚SUS304不锈钢制作。尺寸：≥24cm</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rPr>
                <w:highlight w:val="none"/>
              </w:rP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val="en-US" w:eastAsia="zh-CN"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餐夹搁盘</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≥15*28.5cm</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SUS304不锈钢制作。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rPr>
                <w:highlight w:val="none"/>
              </w:rPr>
            </w:r>
          </w:p>
        </w:tc>
      </w:tr>
      <w:tr>
        <w:trPr>
          <w:jc w:val="center"/>
          <w:trHeight w:val="151"/>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val="en-US" w:eastAsia="zh-CN"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五格餐盘带盖</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≥290*230*40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食品级SUS304不锈钢≥1.0mm厚，盖子SUS304不锈钢。</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2400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rPr>
                <w:highlight w:val="none"/>
              </w:rPr>
            </w:r>
          </w:p>
        </w:tc>
      </w:tr>
      <w:tr>
        <w:trPr>
          <w:jc w:val="center"/>
          <w:trHeight w:val="181"/>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val="en-US" w:eastAsia="zh-CN" w:bidi="ar"/>
              </w:rPr>
              <w:t xml:space="preserve">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双层不锈钢小碗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≥直径11.5cm</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内外SUS304不锈钢制作。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2400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rPr>
                <w:highlight w:val="none"/>
              </w:rPr>
            </w:r>
          </w:p>
        </w:tc>
      </w:tr>
      <w:tr>
        <w:trPr>
          <w:jc w:val="center"/>
          <w:trHeight w:val="241"/>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val="en-US" w:eastAsia="zh-CN"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不锈钢小勺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≥18.5cm</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SUS304不锈钢制作。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2400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rPr>
                <w:highlight w:val="none"/>
              </w:rP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79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不锈钢盆</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≥直径80cm</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SUS304不锈钢制作。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rPr>
                <w:highlight w:val="none"/>
              </w:rP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rPr>
                <w:rFonts w:hint="eastAsia" w:ascii="Times New Roman" w:hAnsi="Times New Roman" w:eastAsia="宋体" w:cs="Times New Roman"/>
                <w:color w:val="auto"/>
                <w:sz w:val="22"/>
                <w:szCs w:val="22"/>
                <w:highlight w:val="none"/>
                <w:lang w:val="en-US" w:eastAsia="zh-CN" w:bidi="ar"/>
              </w:rPr>
              <w:t xml:space="preserve">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平板塑料垫板</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≥1500*1400*14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采用PP材质，静载4000KG</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动载1200KG，耐高温135℃，耐低温-40℃，九个脚+4根钢（外边脚各1根钢，中间2根钢）</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rPr>
                <w:highlight w:val="none"/>
              </w:rPr>
            </w:r>
          </w:p>
        </w:tc>
      </w:tr>
      <w:tr>
        <w:trPr>
          <w:jc w:val="center"/>
          <w:trHeight w:val="10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rPr>
                <w:rFonts w:hint="eastAsia" w:ascii="Times New Roman" w:hAnsi="Times New Roman" w:eastAsia="宋体" w:cs="Times New Roman"/>
                <w:color w:val="auto"/>
                <w:sz w:val="22"/>
                <w:szCs w:val="22"/>
                <w:highlight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（一楼主厨间）机械静电光解复合式集烟罩（油烟净化一体设备）</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≥17200*1500*780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numPr>
                <w:ilvl w:val="0"/>
                <w:numId w:val="0"/>
              </w:numPr>
              <w:jc w:val="left"/>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1.</w:t>
            </w:r>
            <w:r>
              <w:rPr>
                <w:rFonts w:ascii="Times New Roman" w:hAnsi="Times New Roman" w:eastAsia="宋体" w:cs="Times New Roman"/>
                <w:color w:val="auto"/>
                <w:sz w:val="22"/>
                <w:szCs w:val="22"/>
                <w:highlight w:val="none"/>
                <w:lang w:bidi="ar"/>
              </w:rPr>
              <w:t xml:space="preserve">本体采用优质不锈钢201板材，厚度≥1.0mm，净化率≥</w:t>
            </w:r>
            <w:r>
              <w:rPr>
                <w:rFonts w:hint="eastAsia" w:ascii="Times New Roman" w:hAnsi="Times New Roman" w:eastAsia="宋体" w:cs="Times New Roman"/>
                <w:color w:val="auto"/>
                <w:sz w:val="22"/>
                <w:szCs w:val="22"/>
                <w:highlight w:val="none"/>
                <w:lang w:val="en-US" w:eastAsia="zh-CN" w:bidi="ar"/>
              </w:rPr>
              <w:t xml:space="preserve">85</w:t>
            </w:r>
            <w:r>
              <w:rPr>
                <w:rFonts w:ascii="Times New Roman" w:hAnsi="Times New Roman" w:eastAsia="宋体" w:cs="Times New Roman"/>
                <w:color w:val="auto"/>
                <w:sz w:val="22"/>
                <w:szCs w:val="22"/>
                <w:highlight w:val="none"/>
                <w:lang w:bidi="ar"/>
              </w:rPr>
              <w:t xml:space="preserve">%。 设备集烟罩、抽排系统、风幕系统、净化系统为一体的油烟净化设备。</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设备通道式设计，方便拼接安装。单台设备独立控制，自带动力，整机额定功率1.9-2.4</w:t>
            </w:r>
            <w:r>
              <w:rPr>
                <w:rFonts w:hint="eastAsia" w:ascii="Times New Roman" w:hAnsi="Times New Roman" w:eastAsia="宋体" w:cs="Times New Roman"/>
                <w:color w:val="auto"/>
                <w:sz w:val="22"/>
                <w:szCs w:val="22"/>
                <w:highlight w:val="none"/>
                <w:lang w:eastAsia="zh-CN" w:bidi="ar"/>
              </w:rPr>
              <w:t xml:space="preserve">kW</w:t>
            </w:r>
            <w:r>
              <w:rPr>
                <w:rFonts w:ascii="Times New Roman" w:hAnsi="Times New Roman" w:eastAsia="宋体" w:cs="Times New Roman"/>
                <w:color w:val="auto"/>
                <w:sz w:val="22"/>
                <w:szCs w:val="22"/>
                <w:highlight w:val="none"/>
                <w:lang w:bidi="ar"/>
              </w:rPr>
              <w:t xml:space="preserve">。</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设备自带风幕风帘系统，有效防止油烟逃逸，提高油烟捕获效率。</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高清液晶显示屏，触摸按键。实时工作温度显示</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自带缺相检测，可调节过载保护</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 AC~220V风机自动识别兼容，无需手动。</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烹饪时所产生的油烟气体，随风机产生的气流，进入高速旋转的网盘，被网盘屏蔽拦截，并在其离心作用下分离；                                                                                                 6</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后经多层铝波纹丝网过滤并均分散流；再经过高低压电场使油烟颗粒荷电分离并吸附于电极上；</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7</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最后采用UV-C光解净化工艺，对油烟颗粒物、蒸气和气味进行氧化反应。废油回收率高，管道风机不积油，大大降低了风管内因大颗粒废油堆积而引起的火灾隐患。</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8</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节能环保，油烟排放符合国家排放标准。</w:t>
            </w:r>
            <w:r>
              <w:rPr>
                <w:highlight w:val="none"/>
              </w:rPr>
            </w:r>
          </w:p>
          <w:p>
            <w:pPr>
              <w:pStyle w:val="997"/>
              <w:ind w:firstLine="0"/>
              <w:spacing w:after="62"/>
              <w:rPr>
                <w:rFonts w:hint="default" w:ascii="Times New Roman" w:eastAsia="宋体" w:cs="Times New Roman"/>
                <w:b/>
                <w:bCs/>
                <w:color w:val="auto"/>
                <w:sz w:val="22"/>
                <w:szCs w:val="22"/>
                <w:highlight w:val="none"/>
              </w:rPr>
            </w:pPr>
            <w:r>
              <w:rPr>
                <w:rFonts w:ascii="Times New Roman" w:eastAsia="宋体" w:cs="Times New Roman"/>
                <w:b/>
                <w:bCs/>
                <w:color w:val="auto"/>
                <w:sz w:val="22"/>
                <w:szCs w:val="22"/>
                <w:highlight w:val="none"/>
                <w:lang w:eastAsia="zh-CN" w:bidi="ar"/>
              </w:rPr>
              <w:t xml:space="preserve">▲</w:t>
            </w:r>
            <w:r>
              <w:rPr>
                <w:rFonts w:hint="eastAsia" w:ascii="Times New Roman" w:eastAsia="宋体" w:cs="Times New Roman"/>
                <w:b/>
                <w:bCs/>
                <w:color w:val="auto"/>
                <w:sz w:val="22"/>
                <w:szCs w:val="22"/>
                <w:highlight w:val="none"/>
                <w:lang w:val="en-US" w:eastAsia="zh-CN" w:bidi="ar"/>
              </w:rPr>
              <w:t xml:space="preserve">9.有节能产品认证扫描件,并提供证书信息在“全国认证认可信息公共服务平台”网站查询有效的截图，均加盖投标人公章。</w:t>
            </w:r>
            <w:r>
              <w:rPr>
                <w:highlight w:val="none"/>
              </w:rPr>
            </w:r>
          </w:p>
          <w:p>
            <w:pPr>
              <w:pStyle w:val="997"/>
              <w:ind w:firstLine="0"/>
              <w:spacing w:after="62"/>
              <w:rPr>
                <w:rFonts w:ascii="Times New Roman" w:cs="Times New Roman"/>
                <w:color w:val="auto"/>
                <w:highlight w:val="none"/>
              </w:rPr>
            </w:pPr>
            <w:r>
              <w:rPr>
                <w:rFonts w:ascii="Times New Roman" w:eastAsia="宋体" w:cs="Times New Roman"/>
                <w:b/>
                <w:bCs/>
                <w:color w:val="auto"/>
                <w:sz w:val="22"/>
                <w:szCs w:val="22"/>
                <w:highlight w:val="none"/>
                <w:lang w:eastAsia="zh-CN" w:bidi="ar"/>
              </w:rPr>
              <w:t xml:space="preserve">▲</w:t>
            </w:r>
            <w:r>
              <w:rPr>
                <w:rFonts w:hint="eastAsia" w:ascii="Times New Roman" w:eastAsia="宋体" w:cs="Times New Roman"/>
                <w:b/>
                <w:bCs/>
                <w:color w:val="auto"/>
                <w:sz w:val="22"/>
                <w:szCs w:val="22"/>
                <w:highlight w:val="none"/>
                <w:lang w:val="en-US" w:eastAsia="zh-CN" w:bidi="ar"/>
              </w:rPr>
              <w:t xml:space="preserve">10.有中国环境保护产品认证扫描件。并提供证书信息在“全国认证认可信息公共服务平台”网站查询有效的截图，均加盖投标人公章。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25.8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平方</w:t>
            </w:r>
            <w:r>
              <w:rPr>
                <w:highlight w:val="none"/>
              </w:rP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82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一楼蒸煮间集气罩</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≥10500*1300*500*2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采用SUS304板不锈钢制作，烟罩板材厚度不小于1.0MM，滤/油板0.8MM；</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主体方形立体设计，加强筋及支架厚度不小于1.0MM；</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27.3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平方</w:t>
            </w:r>
            <w:r>
              <w:rPr>
                <w:highlight w:val="none"/>
              </w:rP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rPr>
                <w:rFonts w:hint="eastAsia" w:ascii="Times New Roman" w:hAnsi="Times New Roman" w:eastAsia="宋体" w:cs="Times New Roman"/>
                <w:color w:val="auto"/>
                <w:sz w:val="22"/>
                <w:szCs w:val="22"/>
                <w:highlight w:val="none"/>
                <w:lang w:val="en-US" w:eastAsia="zh-CN"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一楼洗碗机集气罩</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≥4000*1000*500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采用SUS304板不锈钢制作，烟罩板材厚度不小于1.0MM，滤油板0.8MM；</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主体方形立体设计，加强筋及支架厚度不小于1.0MM；</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平方</w:t>
            </w:r>
            <w:r>
              <w:rPr>
                <w:highlight w:val="none"/>
              </w:rP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rPr>
                <w:rFonts w:hint="eastAsia" w:ascii="Times New Roman" w:hAnsi="Times New Roman" w:eastAsia="宋体" w:cs="Times New Roman"/>
                <w:color w:val="auto"/>
                <w:sz w:val="22"/>
                <w:szCs w:val="22"/>
                <w:highlight w:val="none"/>
                <w:lang w:val="en-US" w:eastAsia="zh-CN"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二楼洗碗机集气罩</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≥4000*1000*500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采用SUS304板不锈钢制作，烟罩板材厚度不小于1.0MM，滤油板0.8MM；</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主体方形立体设计，加强筋及支架厚度不小于1.0MM；</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平方</w:t>
            </w:r>
            <w:r>
              <w:rPr>
                <w:highlight w:val="none"/>
              </w:rP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rPr>
                <w:rFonts w:hint="eastAsia" w:ascii="Times New Roman" w:hAnsi="Times New Roman" w:eastAsia="宋体" w:cs="Times New Roman"/>
                <w:color w:val="auto"/>
                <w:sz w:val="22"/>
                <w:szCs w:val="22"/>
                <w:highlight w:val="none"/>
                <w:lang w:val="en-US" w:eastAsia="zh-CN"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二楼早餐间集气罩</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≥1500*1000*500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采用SUS304板不锈钢制作，烟罩板材厚度不小于1.0MM，滤油板0.8MM；</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主体方形立体设计，加强筋及支架厚度不小于1.0MM；</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平方</w:t>
            </w:r>
            <w:r>
              <w:rPr>
                <w:highlight w:val="none"/>
              </w:rP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rPr>
                <w:rFonts w:hint="eastAsia" w:ascii="Times New Roman" w:hAnsi="Times New Roman" w:eastAsia="宋体" w:cs="Times New Roman"/>
                <w:color w:val="auto"/>
                <w:sz w:val="22"/>
                <w:szCs w:val="22"/>
                <w:highlight w:val="none"/>
                <w:lang w:val="en-US" w:eastAsia="zh-CN"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5#轴流风机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≥210*225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铜芯，全国联保</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220V/0.55</w:t>
            </w:r>
            <w:r>
              <w:rPr>
                <w:rFonts w:hint="eastAsia" w:ascii="Times New Roman" w:hAnsi="Times New Roman" w:eastAsia="宋体" w:cs="Times New Roman"/>
                <w:color w:val="auto"/>
                <w:sz w:val="22"/>
                <w:szCs w:val="22"/>
                <w:highlight w:val="none"/>
                <w:lang w:eastAsia="zh-CN" w:bidi="ar"/>
              </w:rPr>
              <w:t xml:space="preserve">kW</w:t>
            </w:r>
            <w:r>
              <w:rPr>
                <w:rFonts w:ascii="Times New Roman" w:hAnsi="Times New Roman" w:eastAsia="宋体" w:cs="Times New Roman"/>
                <w:color w:val="auto"/>
                <w:sz w:val="22"/>
                <w:szCs w:val="22"/>
                <w:highlight w:val="none"/>
                <w:lang w:bidi="ar"/>
              </w:rPr>
              <w:t xml:space="preserve">。</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全压：140Pa</w:t>
            </w:r>
            <w:r>
              <w:rPr>
                <w:rFonts w:hint="eastAsia" w:ascii="Times New Roman" w:hAnsi="Times New Roman" w:eastAsia="宋体" w:cs="Times New Roman"/>
                <w:color w:val="auto"/>
                <w:sz w:val="22"/>
                <w:szCs w:val="22"/>
                <w:highlight w:val="none"/>
                <w:lang w:eastAsia="zh-CN" w:bidi="ar"/>
              </w:rPr>
              <w:t xml:space="preserve">，</w:t>
            </w:r>
            <w:r>
              <w:rPr>
                <w:rFonts w:ascii="Times New Roman" w:hAnsi="Times New Roman" w:eastAsia="宋体" w:cs="Times New Roman"/>
                <w:color w:val="auto"/>
                <w:sz w:val="22"/>
                <w:szCs w:val="22"/>
                <w:highlight w:val="none"/>
                <w:lang w:bidi="ar"/>
              </w:rPr>
              <w:t xml:space="preserve">风量：1500m³/h.转速：2500r/mmin.</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rPr>
                <w:rFonts w:hint="eastAsia" w:ascii="Times New Roman" w:hAnsi="Times New Roman" w:eastAsia="宋体" w:cs="Times New Roman"/>
                <w:color w:val="auto"/>
                <w:sz w:val="22"/>
                <w:szCs w:val="22"/>
                <w:highlight w:val="none"/>
                <w:lang w:val="en-US" w:eastAsia="zh-CN" w:bidi="ar"/>
              </w:rPr>
              <w:t xml:space="preserve">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低噪音厢式风机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≥4</w:t>
            </w:r>
            <w:r>
              <w:rPr>
                <w:rFonts w:hint="eastAsia" w:ascii="Times New Roman" w:hAnsi="Times New Roman" w:eastAsia="宋体" w:cs="Times New Roman"/>
                <w:color w:val="auto"/>
                <w:sz w:val="20"/>
                <w:szCs w:val="20"/>
                <w:highlight w:val="none"/>
                <w:lang w:eastAsia="zh-CN" w:bidi="ar"/>
              </w:rPr>
              <w:t xml:space="preserve">kW</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vMerge w:val="restart"/>
            <w:textDirection w:val="lrTb"/>
            <w:noWrap w:val="false"/>
          </w:tcPr>
          <w:p>
            <w:pPr>
              <w:numPr>
                <w:ilvl w:val="0"/>
                <w:numId w:val="14"/>
              </w:numPr>
              <w:jc w:val="left"/>
              <w:keepLines w:val="0"/>
              <w:keepNext w:val="0"/>
              <w:pageBreakBefore w:val="0"/>
              <w:spacing w:after="0" w:line="360" w:lineRule="exact"/>
              <w:widowControl w:val="off"/>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外壳采用不小于1.0mm双面烤漆钢板制作，内部双层静音棉孔板制作</w:t>
            </w:r>
            <w:r>
              <w:rPr>
                <w:rFonts w:hint="eastAsia" w:ascii="Times New Roman" w:hAnsi="Times New Roman" w:eastAsia="宋体" w:cs="Times New Roman"/>
                <w:color w:val="auto"/>
                <w:sz w:val="22"/>
                <w:szCs w:val="22"/>
                <w:highlight w:val="none"/>
                <w:lang w:eastAsia="zh-CN" w:bidi="ar"/>
              </w:rPr>
              <w:t xml:space="preserve">适当</w:t>
            </w:r>
            <w:r>
              <w:rPr>
                <w:rFonts w:ascii="Times New Roman" w:hAnsi="Times New Roman" w:eastAsia="宋体" w:cs="Times New Roman"/>
                <w:color w:val="auto"/>
                <w:sz w:val="22"/>
                <w:szCs w:val="22"/>
                <w:highlight w:val="none"/>
                <w:lang w:bidi="ar"/>
              </w:rPr>
              <w:t xml:space="preserve">加固以避免在正常运作时产生振动；</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轴承：采用耐腐蚀风机专用轴承；</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电机：纯铜芯国标电机。</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叶轮：按三元流理论设计的机翼形前倾式风轮，厚度不小于1.0mm镀锌钢板制作，耐腐蚀性好，风机设有检修门，方便日后维护； </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5</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底部自带槽钢支架，便于安装。   </w:t>
            </w:r>
            <w:r>
              <w:rPr>
                <w:highlight w:val="none"/>
              </w:rPr>
            </w:r>
          </w:p>
          <w:p>
            <w:pPr>
              <w:numPr>
                <w:ilvl w:val="0"/>
                <w:numId w:val="0"/>
              </w:numPr>
              <w:jc w:val="left"/>
              <w:keepLines w:val="0"/>
              <w:keepNext w:val="0"/>
              <w:pageBreakBefore w:val="0"/>
              <w:spacing w:after="0" w:line="360" w:lineRule="exact"/>
              <w:widowControl w:val="off"/>
              <w:rPr>
                <w:rFonts w:hint="eastAsia" w:ascii="Times New Roman" w:hAnsi="Times New Roman" w:eastAsia="宋体" w:cs="Times New Roman"/>
                <w:b/>
                <w:bCs/>
                <w:color w:val="auto"/>
                <w:sz w:val="22"/>
                <w:szCs w:val="22"/>
                <w:highlight w:val="none"/>
              </w:rPr>
            </w:pPr>
            <w:r>
              <w:rPr>
                <w:rFonts w:ascii="Times New Roman" w:eastAsia="宋体" w:cs="Times New Roman"/>
                <w:b/>
                <w:bCs/>
                <w:color w:val="auto"/>
                <w:sz w:val="22"/>
                <w:szCs w:val="22"/>
                <w:highlight w:val="none"/>
                <w:lang w:eastAsia="zh-CN" w:bidi="ar"/>
              </w:rPr>
              <w:t xml:space="preserve">▲</w:t>
            </w:r>
            <w:r>
              <w:rPr>
                <w:rFonts w:hint="eastAsia" w:ascii="Times New Roman" w:hAnsi="Times New Roman" w:eastAsia="宋体" w:cs="Times New Roman"/>
                <w:b/>
                <w:bCs/>
                <w:color w:val="auto"/>
                <w:sz w:val="22"/>
                <w:szCs w:val="22"/>
                <w:highlight w:val="none"/>
                <w:lang w:val="en-US" w:eastAsia="zh-CN" w:bidi="ar"/>
              </w:rPr>
              <w:t xml:space="preserve">6.所投产品外壳依据GB/T20854-2025标准，采用48h循环盐雾腐蚀试验，结果定为合格。提供CNAS或CMA标志的检测报告扫描件,</w:t>
            </w:r>
            <w:r>
              <w:rPr>
                <w:rFonts w:hint="eastAsia" w:ascii="Times New Roman" w:hAnsi="Times New Roman" w:cs="Times New Roman" w:eastAsiaTheme="minorEastAsia"/>
                <w:b/>
                <w:bCs/>
                <w:color w:val="auto"/>
                <w:sz w:val="22"/>
                <w:szCs w:val="22"/>
                <w:highlight w:val="none"/>
              </w:rPr>
              <w:t xml:space="preserve">并提供</w:t>
            </w:r>
            <w:r>
              <w:rPr>
                <w:rFonts w:hint="eastAsia" w:ascii="Times New Roman" w:hAnsi="Times New Roman" w:eastAsia="宋体" w:cs="Times New Roman"/>
                <w:b/>
                <w:bCs/>
                <w:color w:val="auto"/>
                <w:sz w:val="22"/>
                <w:szCs w:val="22"/>
                <w:highlight w:val="none"/>
                <w:lang w:val="en-US" w:eastAsia="zh-CN" w:bidi="ar"/>
              </w:rPr>
              <w:t xml:space="preserve">证书信息在“全国认证认可信息公共服务平台”网站查询有效的截图，均加盖投标人公章。</w:t>
            </w:r>
            <w:r>
              <w:rPr>
                <w:highlight w:val="none"/>
              </w:rPr>
            </w:r>
          </w:p>
          <w:p>
            <w:pPr>
              <w:numPr>
                <w:ilvl w:val="0"/>
                <w:numId w:val="0"/>
              </w:numPr>
              <w:jc w:val="left"/>
              <w:keepLines w:val="0"/>
              <w:keepNext w:val="0"/>
              <w:pageBreakBefore w:val="0"/>
              <w:spacing w:after="0" w:line="360" w:lineRule="exact"/>
              <w:widowControl w:val="off"/>
              <w:rPr>
                <w:rFonts w:ascii="Times New Roman" w:hAnsi="Times New Roman" w:eastAsia="宋体" w:cs="Times New Roman"/>
                <w:color w:val="auto"/>
                <w:sz w:val="22"/>
                <w:szCs w:val="22"/>
                <w:highlight w:val="none"/>
              </w:rPr>
            </w:pPr>
            <w:r>
              <w:rPr>
                <w:rFonts w:ascii="Times New Roman" w:eastAsia="宋体" w:cs="Times New Roman"/>
                <w:b/>
                <w:bCs/>
                <w:color w:val="auto"/>
                <w:sz w:val="22"/>
                <w:szCs w:val="22"/>
                <w:highlight w:val="none"/>
                <w:lang w:eastAsia="zh-CN" w:bidi="ar"/>
              </w:rPr>
              <w:t xml:space="preserve">▲</w:t>
            </w:r>
            <w:r>
              <w:rPr>
                <w:rFonts w:hint="eastAsia" w:ascii="Times New Roman" w:hAnsi="Times New Roman" w:eastAsia="宋体" w:cs="Times New Roman"/>
                <w:b/>
                <w:bCs/>
                <w:color w:val="auto"/>
                <w:sz w:val="22"/>
                <w:szCs w:val="22"/>
                <w:highlight w:val="none"/>
                <w:lang w:val="en-US" w:eastAsia="zh-CN" w:bidi="ar"/>
              </w:rPr>
              <w:t xml:space="preserve">7. 有低噪音产品认证证书。 需提供证书扫描件，</w:t>
            </w:r>
            <w:r>
              <w:rPr>
                <w:rFonts w:hint="eastAsia" w:ascii="Times New Roman" w:hAnsi="Times New Roman" w:cs="Times New Roman" w:eastAsiaTheme="minorEastAsia"/>
                <w:b/>
                <w:bCs/>
                <w:color w:val="auto"/>
                <w:sz w:val="22"/>
                <w:szCs w:val="22"/>
                <w:highlight w:val="none"/>
              </w:rPr>
              <w:t xml:space="preserve">并提供</w:t>
            </w:r>
            <w:r>
              <w:rPr>
                <w:rFonts w:hint="eastAsia" w:ascii="Times New Roman" w:hAnsi="Times New Roman" w:eastAsia="宋体" w:cs="Times New Roman"/>
                <w:b/>
                <w:bCs/>
                <w:color w:val="auto"/>
                <w:sz w:val="22"/>
                <w:szCs w:val="22"/>
                <w:highlight w:val="none"/>
                <w:lang w:val="en-US" w:eastAsia="zh-CN" w:bidi="ar"/>
              </w:rPr>
              <w:t xml:space="preserve">证书信息在“全国认证认可信息公共服务平台”网站查询有效的截图，均加盖投标人公章。</w:t>
            </w:r>
            <w:r>
              <w:rPr>
                <w:rFonts w:ascii="Times New Roman" w:hAnsi="Times New Roman" w:eastAsia="宋体" w:cs="Times New Roman"/>
                <w:b/>
                <w:bCs/>
                <w:color w:val="auto"/>
                <w:sz w:val="22"/>
                <w:szCs w:val="22"/>
                <w:highlight w:val="none"/>
                <w:lang w:bidi="ar"/>
              </w:rPr>
              <w:t xml:space="preserve">   </w:t>
            </w:r>
            <w:r>
              <w:rPr>
                <w:rFonts w:ascii="Times New Roman" w:hAnsi="Times New Roman" w:eastAsia="宋体" w:cs="Times New Roman"/>
                <w:color w:val="auto"/>
                <w:sz w:val="22"/>
                <w:szCs w:val="22"/>
                <w:highlight w:val="none"/>
                <w:lang w:bidi="ar"/>
              </w:rPr>
              <w:t xml:space="preserve">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台</w:t>
            </w:r>
            <w:r>
              <w:rPr>
                <w:highlight w:val="none"/>
              </w:rP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8</w:t>
            </w:r>
            <w:r>
              <w:rPr>
                <w:rFonts w:hint="eastAsia" w:ascii="Times New Roman" w:hAnsi="Times New Roman" w:eastAsia="宋体" w:cs="Times New Roman"/>
                <w:color w:val="auto"/>
                <w:sz w:val="22"/>
                <w:szCs w:val="22"/>
                <w:highlight w:val="none"/>
                <w:lang w:val="en-US" w:eastAsia="zh-CN"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低噪音厢式风机（新风风机）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≥5.5</w:t>
            </w:r>
            <w:r>
              <w:rPr>
                <w:rFonts w:hint="eastAsia" w:ascii="Times New Roman" w:hAnsi="Times New Roman" w:eastAsia="宋体" w:cs="Times New Roman"/>
                <w:color w:val="auto"/>
                <w:sz w:val="20"/>
                <w:szCs w:val="20"/>
                <w:highlight w:val="none"/>
                <w:lang w:eastAsia="zh-CN" w:bidi="ar"/>
              </w:rPr>
              <w:t xml:space="preserve">kW</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vMerge w:val="continue"/>
            <w:textDirection w:val="lrTb"/>
            <w:noWrap w:val="false"/>
          </w:tcPr>
          <w:p>
            <w:pPr>
              <w:jc w:val="left"/>
              <w:spacing w:after="62"/>
              <w:rPr>
                <w:rFonts w:ascii="Times New Roman" w:hAnsi="Times New Roman" w:eastAsia="宋体" w:cs="Times New Roman"/>
                <w:color w:val="auto"/>
                <w:sz w:val="22"/>
                <w:szCs w:val="22"/>
              </w:rPr>
            </w:pPr>
            <w:r>
              <w:rPr>
                <w:rFonts w:ascii="Times New Roman" w:hAnsi="Times New Roman" w:eastAsia="宋体" w:cs="Times New Roman"/>
                <w:color w:val="auto"/>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台</w:t>
            </w:r>
            <w:r>
              <w:rPr>
                <w:highlight w:val="none"/>
              </w:rP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89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低噪音厢式风机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22</w:t>
            </w:r>
            <w:r>
              <w:rPr>
                <w:rFonts w:hint="eastAsia" w:ascii="Times New Roman" w:hAnsi="Times New Roman" w:eastAsia="宋体" w:cs="Times New Roman"/>
                <w:color w:val="auto"/>
                <w:sz w:val="20"/>
                <w:szCs w:val="20"/>
                <w:highlight w:val="none"/>
                <w:lang w:eastAsia="zh-CN" w:bidi="ar"/>
              </w:rPr>
              <w:t xml:space="preserve">kW</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vMerge w:val="continue"/>
            <w:textDirection w:val="lrTb"/>
            <w:noWrap w:val="false"/>
          </w:tcPr>
          <w:p>
            <w:pPr>
              <w:jc w:val="left"/>
              <w:spacing w:after="62"/>
              <w:rPr>
                <w:rFonts w:ascii="Times New Roman" w:hAnsi="Times New Roman" w:eastAsia="宋体" w:cs="Times New Roman"/>
                <w:color w:val="auto"/>
                <w:sz w:val="22"/>
                <w:szCs w:val="22"/>
              </w:rPr>
            </w:pPr>
            <w:r>
              <w:rPr>
                <w:rFonts w:ascii="Times New Roman" w:hAnsi="Times New Roman" w:eastAsia="宋体" w:cs="Times New Roman"/>
                <w:color w:val="auto"/>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台</w:t>
            </w:r>
            <w:r>
              <w:rPr>
                <w:highlight w:val="none"/>
              </w:rPr>
            </w:r>
          </w:p>
        </w:tc>
      </w:tr>
      <w:tr>
        <w:trPr>
          <w:jc w:val="center"/>
          <w:trHeight w:val="6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4"/>
                <w:highlight w:val="none"/>
              </w:rPr>
            </w:pPr>
            <w:r>
              <w:rPr>
                <w:rFonts w:ascii="Times New Roman" w:hAnsi="Times New Roman" w:eastAsia="宋体" w:cs="Times New Roman"/>
                <w:color w:val="auto"/>
                <w:sz w:val="22"/>
                <w:szCs w:val="22"/>
                <w:highlight w:val="none"/>
                <w:lang w:bidi="ar"/>
              </w:rPr>
              <w:t xml:space="preserve">9</w:t>
            </w:r>
            <w:r>
              <w:rPr>
                <w:rFonts w:hint="eastAsia" w:ascii="Times New Roman" w:hAnsi="Times New Roman" w:eastAsia="宋体" w:cs="Times New Roman"/>
                <w:color w:val="auto"/>
                <w:sz w:val="22"/>
                <w:szCs w:val="22"/>
                <w:highlight w:val="none"/>
                <w:lang w:val="en-US" w:eastAsia="zh-CN" w:bidi="ar"/>
              </w:rPr>
              <w:t xml:space="preserve">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低噪音厢式风机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18</w:t>
            </w:r>
            <w:r>
              <w:rPr>
                <w:rFonts w:hint="eastAsia" w:ascii="Times New Roman" w:hAnsi="Times New Roman" w:eastAsia="宋体" w:cs="Times New Roman"/>
                <w:color w:val="auto"/>
                <w:sz w:val="20"/>
                <w:szCs w:val="20"/>
                <w:highlight w:val="none"/>
                <w:lang w:eastAsia="zh-CN" w:bidi="ar"/>
              </w:rPr>
              <w:t xml:space="preserve">kW</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vMerge w:val="continue"/>
            <w:textDirection w:val="lrTb"/>
            <w:noWrap w:val="false"/>
          </w:tcPr>
          <w:p>
            <w:pPr>
              <w:jc w:val="left"/>
              <w:spacing w:after="62"/>
              <w:rPr>
                <w:rFonts w:ascii="Times New Roman" w:hAnsi="Times New Roman" w:eastAsia="宋体" w:cs="Times New Roman"/>
                <w:color w:val="auto"/>
                <w:sz w:val="22"/>
                <w:szCs w:val="22"/>
              </w:rPr>
            </w:pPr>
            <w:r>
              <w:rPr>
                <w:rFonts w:ascii="Times New Roman" w:hAnsi="Times New Roman" w:eastAsia="宋体" w:cs="Times New Roman"/>
                <w:color w:val="auto"/>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lang w:bidi="ar"/>
              </w:rPr>
              <w:t xml:space="preserve">台</w:t>
            </w:r>
            <w:r>
              <w:rPr>
                <w:highlight w:val="none"/>
              </w:rP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9</w:t>
            </w:r>
            <w:r>
              <w:rPr>
                <w:rFonts w:hint="eastAsia" w:ascii="Times New Roman" w:hAnsi="Times New Roman" w:eastAsia="宋体" w:cs="Times New Roman"/>
                <w:color w:val="auto"/>
                <w:sz w:val="22"/>
                <w:szCs w:val="22"/>
                <w:highlight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新风管道</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≥400*400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采用不锈钢不小于1.0mm板制作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150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平方</w:t>
            </w:r>
            <w:r>
              <w:rPr>
                <w:highlight w:val="none"/>
              </w:rP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9</w:t>
            </w:r>
            <w:r>
              <w:rPr>
                <w:rFonts w:hint="eastAsia" w:ascii="Times New Roman" w:hAnsi="Times New Roman" w:eastAsia="宋体" w:cs="Times New Roman"/>
                <w:color w:val="auto"/>
                <w:sz w:val="22"/>
                <w:szCs w:val="22"/>
                <w:highlight w:val="none"/>
                <w:lang w:val="en-US" w:eastAsia="zh-CN"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排烟管道</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≥600*800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采用不锈钢不小于1.0mm板制作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130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平方</w:t>
            </w:r>
            <w:r>
              <w:rPr>
                <w:highlight w:val="none"/>
              </w:rP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9</w:t>
            </w:r>
            <w:r>
              <w:rPr>
                <w:rFonts w:hint="eastAsia" w:ascii="Times New Roman" w:hAnsi="Times New Roman" w:eastAsia="宋体" w:cs="Times New Roman"/>
                <w:color w:val="auto"/>
                <w:sz w:val="22"/>
                <w:szCs w:val="22"/>
                <w:highlight w:val="none"/>
                <w:lang w:val="en-US" w:eastAsia="zh-CN"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弯头</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采用不锈钢不小于1.0mm板制作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rPr>
                <w:highlight w:val="none"/>
              </w:rP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9</w:t>
            </w:r>
            <w:r>
              <w:rPr>
                <w:rFonts w:hint="eastAsia" w:ascii="Times New Roman" w:hAnsi="Times New Roman" w:eastAsia="宋体" w:cs="Times New Roman"/>
                <w:color w:val="auto"/>
                <w:sz w:val="22"/>
                <w:szCs w:val="22"/>
                <w:highlight w:val="none"/>
                <w:lang w:val="en-US" w:eastAsia="zh-CN"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辅材</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含减震器、软连接、风机支架等。</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套</w:t>
            </w:r>
            <w:r>
              <w:rPr>
                <w:highlight w:val="none"/>
              </w:rP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9</w:t>
            </w:r>
            <w:r>
              <w:rPr>
                <w:rFonts w:hint="eastAsia" w:ascii="Times New Roman" w:hAnsi="Times New Roman" w:eastAsia="宋体" w:cs="Times New Roman"/>
                <w:color w:val="auto"/>
                <w:sz w:val="22"/>
                <w:szCs w:val="22"/>
                <w:highlight w:val="none"/>
                <w:lang w:val="en-US" w:eastAsia="zh-CN"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百叶窗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采用SUS304不锈钢不小于1.0厚制作。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个</w:t>
            </w:r>
            <w:r>
              <w:rPr>
                <w:highlight w:val="none"/>
              </w:rP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9</w:t>
            </w:r>
            <w:r>
              <w:rPr>
                <w:rFonts w:hint="eastAsia" w:ascii="Times New Roman" w:hAnsi="Times New Roman" w:eastAsia="宋体" w:cs="Times New Roman"/>
                <w:color w:val="auto"/>
                <w:sz w:val="22"/>
                <w:szCs w:val="22"/>
                <w:highlight w:val="none"/>
                <w:lang w:val="en-US" w:eastAsia="zh-CN"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风机启动箱</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1</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采用彩钢板制作，带锁。</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2</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含风机缺项保护。</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3</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内部电子元器件安装及项目接线端整齐。</w:t>
            </w:r>
            <w:r>
              <w:rPr>
                <w:rFonts w:ascii="Times New Roman" w:hAnsi="Times New Roman" w:eastAsia="宋体" w:cs="Times New Roman"/>
                <w:color w:val="auto"/>
                <w:sz w:val="22"/>
                <w:szCs w:val="22"/>
                <w:highlight w:val="none"/>
                <w:lang w:bidi="ar"/>
              </w:rPr>
              <w:br/>
            </w:r>
            <w:r>
              <w:rPr>
                <w:rFonts w:ascii="Times New Roman" w:hAnsi="Times New Roman" w:eastAsia="宋体" w:cs="Times New Roman"/>
                <w:color w:val="auto"/>
                <w:sz w:val="22"/>
                <w:szCs w:val="22"/>
                <w:highlight w:val="none"/>
                <w:lang w:bidi="ar"/>
              </w:rPr>
              <w:t xml:space="preserve">4</w:t>
            </w:r>
            <w:r>
              <w:rPr>
                <w:rFonts w:hint="eastAsia" w:ascii="Times New Roman" w:hAnsi="Times New Roman" w:eastAsia="宋体" w:cs="Times New Roman"/>
                <w:color w:val="auto"/>
                <w:sz w:val="22"/>
                <w:szCs w:val="22"/>
                <w:highlight w:val="none"/>
                <w:lang w:val="en-US" w:eastAsia="zh-CN" w:bidi="ar"/>
              </w:rPr>
              <w:t xml:space="preserve">.</w:t>
            </w:r>
            <w:r>
              <w:rPr>
                <w:rFonts w:ascii="Times New Roman" w:hAnsi="Times New Roman" w:eastAsia="宋体" w:cs="Times New Roman"/>
                <w:color w:val="auto"/>
                <w:sz w:val="22"/>
                <w:szCs w:val="22"/>
                <w:highlight w:val="none"/>
                <w:lang w:bidi="ar"/>
              </w:rPr>
              <w:t xml:space="preserve">设置开、</w:t>
            </w:r>
            <w:r>
              <w:rPr>
                <w:rFonts w:hint="eastAsia" w:ascii="Times New Roman" w:hAnsi="Times New Roman" w:eastAsia="宋体" w:cs="Times New Roman"/>
                <w:color w:val="auto"/>
                <w:sz w:val="22"/>
                <w:szCs w:val="22"/>
                <w:highlight w:val="none"/>
                <w:lang w:eastAsia="zh-CN" w:bidi="ar"/>
              </w:rPr>
              <w:t xml:space="preserve">关键</w:t>
            </w:r>
            <w:r>
              <w:rPr>
                <w:rFonts w:ascii="Times New Roman" w:hAnsi="Times New Roman" w:eastAsia="宋体" w:cs="Times New Roman"/>
                <w:color w:val="auto"/>
                <w:sz w:val="22"/>
                <w:szCs w:val="22"/>
                <w:highlight w:val="none"/>
                <w:lang w:bidi="ar"/>
              </w:rPr>
              <w:t xml:space="preserve">，控制风机。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台</w:t>
            </w:r>
            <w:r>
              <w:rPr>
                <w:highlight w:val="none"/>
              </w:rP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9</w:t>
            </w:r>
            <w:r>
              <w:rPr>
                <w:rFonts w:hint="eastAsia" w:ascii="Times New Roman" w:hAnsi="Times New Roman" w:eastAsia="宋体" w:cs="Times New Roman"/>
                <w:color w:val="auto"/>
                <w:sz w:val="22"/>
                <w:szCs w:val="22"/>
                <w:highlight w:val="none"/>
                <w:lang w:val="en-US" w:eastAsia="zh-CN" w:bidi="ar"/>
              </w:rPr>
              <w:t xml:space="preserve">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ascii="Times New Roman" w:hAnsi="Times New Roman" w:eastAsia="宋体" w:cs="Times New Roman"/>
                <w:color w:val="auto"/>
                <w:sz w:val="22"/>
                <w:szCs w:val="22"/>
                <w:highlight w:val="none"/>
                <w:lang w:bidi="ar"/>
              </w:rPr>
              <w:t xml:space="preserve">电子秤</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ascii="Times New Roman" w:hAnsi="Times New Roman" w:eastAsia="宋体" w:cs="Times New Roman"/>
                <w:color w:val="auto"/>
                <w:sz w:val="18"/>
                <w:szCs w:val="18"/>
                <w:highlight w:val="none"/>
                <w:lang w:bidi="ar"/>
              </w:rPr>
              <w:t xml:space="preserve">400*500*770</w:t>
            </w:r>
            <w:r>
              <w:rPr>
                <w:highlight w:val="none"/>
              </w:rP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eastAsia="zh-CN" w:bidi="ar"/>
              </w:rPr>
              <w:t xml:space="preserve">(</w:t>
            </w:r>
            <w:r>
              <w:rPr>
                <w:rFonts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tabs>
                <w:tab w:val="left" w:pos="1561" w:leader="none"/>
              </w:tabs>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交直流两用，可充电，采用LED数码显示，带计价功能；量程：≥150kg，采用智能高清显示器，计价可累计99次金额，带有去皮功能。不锈钢防水大按键，采用食品级不锈钢制作。充满电可持续使用1个月。</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台</w:t>
            </w:r>
            <w:r>
              <w:rPr>
                <w:highlight w:val="none"/>
              </w:rP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98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送餐保温箱（含2个1/2盆）</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bidi="ar"/>
              </w:rPr>
              <w:t xml:space="preserve">67*58*40cm</w:t>
            </w:r>
            <w:r>
              <w:rPr>
                <w:highlight w:val="none"/>
              </w:rP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eastAsia="zh-CN" w:bidi="ar"/>
              </w:rPr>
              <w:t xml:space="preserve">(</w:t>
            </w:r>
            <w:r>
              <w:rPr>
                <w:rFonts w:hint="eastAsia"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tabs>
                <w:tab w:val="left" w:pos="1561" w:leader="none"/>
              </w:tabs>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30升保温箱空箱+2个1/2盆</w:t>
            </w:r>
            <w:r>
              <w:rPr>
                <w:rFonts w:hint="eastAsia" w:ascii="Times New Roman" w:hAnsi="Times New Roman" w:eastAsia="宋体" w:cs="Times New Roman"/>
                <w:color w:val="auto"/>
                <w:sz w:val="22"/>
                <w:szCs w:val="22"/>
                <w:highlight w:val="none"/>
                <w:lang w:val="en-US" w:eastAsia="zh-CN" w:bidi="ar"/>
              </w:rPr>
              <w:t xml:space="preserve">为1件。</w:t>
            </w:r>
            <w:r>
              <w:rPr>
                <w:rFonts w:hint="eastAsia" w:ascii="Times New Roman" w:hAnsi="Times New Roman" w:eastAsia="宋体" w:cs="Times New Roman"/>
                <w:color w:val="auto"/>
                <w:sz w:val="22"/>
                <w:szCs w:val="22"/>
                <w:highlight w:val="none"/>
                <w:lang w:bidi="ar"/>
              </w:rPr>
              <w:t xml:space="preserve">保温箱空箱</w:t>
            </w:r>
            <w:r>
              <w:rPr>
                <w:rFonts w:hint="eastAsia" w:ascii="Times New Roman" w:hAnsi="Times New Roman" w:eastAsia="宋体" w:cs="Times New Roman"/>
                <w:color w:val="auto"/>
                <w:sz w:val="22"/>
                <w:szCs w:val="22"/>
                <w:highlight w:val="none"/>
                <w:lang w:val="en-US" w:eastAsia="zh-CN" w:bidi="ar"/>
              </w:rPr>
              <w:t xml:space="preserve">为</w:t>
            </w:r>
            <w:r>
              <w:rPr>
                <w:rFonts w:hint="eastAsia" w:ascii="Times New Roman" w:hAnsi="Times New Roman" w:eastAsia="宋体" w:cs="Times New Roman"/>
                <w:color w:val="auto"/>
                <w:sz w:val="22"/>
                <w:szCs w:val="22"/>
                <w:highlight w:val="none"/>
                <w:lang w:bidi="ar"/>
              </w:rPr>
              <w:t xml:space="preserve">食品级PE塑料，PU保温层，</w:t>
            </w:r>
            <w:r>
              <w:rPr>
                <w:rFonts w:hint="eastAsia" w:ascii="Times New Roman" w:hAnsi="Times New Roman" w:eastAsia="宋体" w:cs="Times New Roman"/>
                <w:color w:val="auto"/>
                <w:sz w:val="22"/>
                <w:szCs w:val="22"/>
                <w:highlight w:val="none"/>
                <w:lang w:val="en-US" w:eastAsia="zh-CN" w:bidi="ar"/>
              </w:rPr>
              <w:t xml:space="preserve">内胆2个</w:t>
            </w:r>
            <w:r>
              <w:rPr>
                <w:rFonts w:hint="eastAsia" w:ascii="Times New Roman" w:hAnsi="Times New Roman" w:eastAsia="宋体" w:cs="Times New Roman"/>
                <w:color w:val="auto"/>
                <w:sz w:val="22"/>
                <w:szCs w:val="22"/>
                <w:highlight w:val="none"/>
                <w:lang w:bidi="ar"/>
              </w:rPr>
              <w:t xml:space="preserve">1/2盆为</w:t>
            </w:r>
            <w:r>
              <w:rPr>
                <w:rFonts w:hint="eastAsia" w:ascii="Times New Roman" w:hAnsi="Times New Roman" w:eastAsia="宋体" w:cs="Times New Roman"/>
                <w:color w:val="auto"/>
                <w:sz w:val="22"/>
                <w:szCs w:val="22"/>
                <w:highlight w:val="none"/>
                <w:lang w:val="en-US" w:eastAsia="zh-CN" w:bidi="ar"/>
              </w:rPr>
              <w:t xml:space="preserve">304</w:t>
            </w:r>
            <w:r>
              <w:rPr>
                <w:rFonts w:hint="eastAsia" w:ascii="Times New Roman" w:hAnsi="Times New Roman" w:eastAsia="宋体" w:cs="Times New Roman"/>
                <w:color w:val="auto"/>
                <w:sz w:val="22"/>
                <w:szCs w:val="22"/>
                <w:highlight w:val="none"/>
                <w:lang w:bidi="ar"/>
              </w:rPr>
              <w:t xml:space="preserve">不锈钢</w:t>
            </w:r>
            <w:r>
              <w:rPr>
                <w:rFonts w:hint="eastAsia" w:ascii="Times New Roman" w:hAnsi="Times New Roman" w:eastAsia="宋体" w:cs="Times New Roman"/>
                <w:color w:val="auto"/>
                <w:sz w:val="22"/>
                <w:szCs w:val="22"/>
                <w:highlight w:val="none"/>
                <w:lang w:val="en-US" w:eastAsia="zh-CN" w:bidi="ar"/>
              </w:rPr>
              <w:t xml:space="preserve">制作并带不锈钢盖</w:t>
            </w:r>
            <w:r>
              <w:rPr>
                <w:rFonts w:hint="eastAsia" w:ascii="Times New Roman" w:hAnsi="Times New Roman" w:eastAsia="宋体" w:cs="Times New Roman"/>
                <w:color w:val="auto"/>
                <w:sz w:val="22"/>
                <w:szCs w:val="22"/>
                <w:highlight w:val="none"/>
                <w:lang w:bidi="ar"/>
              </w:rPr>
              <w:t xml:space="preserve">。（外观颜色：黄色、蓝色、绿色各</w:t>
            </w:r>
            <w:r>
              <w:rPr>
                <w:rFonts w:hint="eastAsia" w:ascii="Times New Roman" w:hAnsi="Times New Roman" w:eastAsia="宋体" w:cs="Times New Roman"/>
                <w:color w:val="auto"/>
                <w:sz w:val="22"/>
                <w:szCs w:val="22"/>
                <w:highlight w:val="none"/>
                <w:lang w:val="en-US" w:eastAsia="zh-CN" w:bidi="ar"/>
              </w:rPr>
              <w:t xml:space="preserve">35</w:t>
            </w:r>
            <w:r>
              <w:rPr>
                <w:rFonts w:hint="eastAsia" w:ascii="Times New Roman" w:hAnsi="Times New Roman" w:eastAsia="宋体" w:cs="Times New Roman"/>
                <w:color w:val="auto"/>
                <w:sz w:val="22"/>
                <w:szCs w:val="22"/>
                <w:highlight w:val="none"/>
                <w:lang w:bidi="ar"/>
              </w:rPr>
              <w:t xml:space="preserve">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105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件</w:t>
            </w:r>
            <w:r>
              <w:rPr>
                <w:highlight w:val="none"/>
              </w:rP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spacing w:after="62"/>
              <w:widowControl/>
              <w:rPr>
                <w:rFonts w:hint="default"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99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after="62"/>
              <w:widowControl/>
              <w:rPr>
                <w:rFonts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挂衣钩</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857" w:type="dxa"/>
            <w:vAlign w:val="center"/>
            <w:textDirection w:val="lrTb"/>
            <w:noWrap w:val="false"/>
          </w:tcPr>
          <w:p>
            <w:pPr>
              <w:jc w:val="center"/>
              <w:keepLines w:val="0"/>
              <w:keepNext w:val="0"/>
              <w:pageBreakBefore w:val="0"/>
              <w:spacing w:after="0" w:line="280" w:lineRule="exact"/>
              <w:widowControl/>
              <w:rPr>
                <w:rFonts w:hint="eastAsia"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bidi="ar"/>
              </w:rPr>
              <w:t xml:space="preserve">410*45*50</w:t>
            </w:r>
            <w:r>
              <w:rPr>
                <w:highlight w:val="none"/>
              </w:rPr>
            </w:r>
          </w:p>
          <w:p>
            <w:pPr>
              <w:jc w:val="center"/>
              <w:keepLines w:val="0"/>
              <w:keepNext w:val="0"/>
              <w:pageBreakBefore w:val="0"/>
              <w:spacing w:after="0" w:line="280" w:lineRule="exact"/>
              <w:widowControl/>
              <w:rPr>
                <w:rFonts w:ascii="Times New Roman" w:hAnsi="Times New Roman" w:eastAsia="宋体" w:cs="Times New Roman"/>
                <w:color w:val="auto"/>
                <w:sz w:val="18"/>
                <w:szCs w:val="18"/>
                <w:highlight w:val="none"/>
              </w:rPr>
            </w:pPr>
            <w:r>
              <w:rPr>
                <w:rFonts w:hint="eastAsia" w:ascii="Times New Roman" w:hAnsi="Times New Roman" w:eastAsia="宋体" w:cs="Times New Roman"/>
                <w:color w:val="auto"/>
                <w:sz w:val="18"/>
                <w:szCs w:val="18"/>
                <w:highlight w:val="none"/>
                <w:lang w:eastAsia="zh-CN" w:bidi="ar"/>
              </w:rPr>
              <w:t xml:space="preserve">(</w:t>
            </w:r>
            <w:r>
              <w:rPr>
                <w:rFonts w:ascii="Times New Roman" w:hAnsi="Times New Roman" w:eastAsia="宋体" w:cs="Times New Roman"/>
                <w:color w:val="auto"/>
                <w:sz w:val="18"/>
                <w:szCs w:val="18"/>
                <w:highlight w:val="none"/>
                <w:lang w:bidi="ar"/>
              </w:rPr>
              <w:t xml:space="preserve">±10</w:t>
            </w:r>
            <w:r>
              <w:rPr>
                <w:rFonts w:hint="eastAsia" w:ascii="Times New Roman" w:hAnsi="Times New Roman" w:eastAsia="宋体" w:cs="Times New Roman"/>
                <w:color w:val="auto"/>
                <w:sz w:val="18"/>
                <w:szCs w:val="18"/>
                <w:highlight w:val="none"/>
                <w:lang w:eastAsia="zh-CN" w:bidi="ar"/>
              </w:rPr>
              <w:t xml:space="preserve">)</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jc w:val="left"/>
              <w:spacing w:after="62"/>
              <w:widowControl/>
              <w:tabs>
                <w:tab w:val="left" w:pos="1561" w:leader="none"/>
              </w:tabs>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bidi="ar"/>
              </w:rPr>
              <w:t xml:space="preserve">304不锈钢制作</w:t>
            </w:r>
            <w:r>
              <w:rPr>
                <w:rFonts w:hint="eastAsia" w:ascii="Times New Roman" w:hAnsi="Times New Roman" w:eastAsia="宋体" w:cs="Times New Roman"/>
                <w:color w:val="auto"/>
                <w:sz w:val="22"/>
                <w:szCs w:val="22"/>
                <w:highlight w:val="none"/>
                <w:lang w:eastAsia="zh-CN" w:bidi="ar"/>
              </w:rPr>
              <w:t xml:space="preserve">，</w:t>
            </w:r>
            <w:r>
              <w:rPr>
                <w:rFonts w:hint="eastAsia" w:ascii="Times New Roman" w:hAnsi="Times New Roman" w:eastAsia="宋体" w:cs="Times New Roman"/>
                <w:color w:val="auto"/>
                <w:sz w:val="22"/>
                <w:szCs w:val="22"/>
                <w:highlight w:val="none"/>
                <w:lang w:bidi="ar"/>
              </w:rPr>
              <w:t xml:space="preserve">每根至少5个挂钩</w:t>
            </w:r>
            <w:r>
              <w:rPr>
                <w:rFonts w:hint="eastAsia" w:ascii="Times New Roman" w:hAnsi="Times New Roman" w:eastAsia="宋体" w:cs="Times New Roman"/>
                <w:color w:val="auto"/>
                <w:sz w:val="22"/>
                <w:szCs w:val="22"/>
                <w:highlight w:val="none"/>
                <w:lang w:eastAsia="zh-CN" w:bidi="ar"/>
              </w:rPr>
              <w:t xml:space="preserve">。</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spacing w:after="62"/>
              <w:widowControl/>
              <w:rPr>
                <w:rFonts w:hint="eastAsia" w:ascii="Times New Roman" w:hAnsi="Times New Roman" w:eastAsia="宋体" w:cs="Times New Roman"/>
                <w:color w:val="auto"/>
                <w:sz w:val="22"/>
                <w:szCs w:val="22"/>
                <w:highlight w:val="none"/>
              </w:rPr>
            </w:pPr>
            <w:r>
              <w:rPr>
                <w:rFonts w:hint="eastAsia" w:ascii="Times New Roman" w:hAnsi="Times New Roman" w:eastAsia="宋体" w:cs="Times New Roman"/>
                <w:color w:val="auto"/>
                <w:sz w:val="22"/>
                <w:szCs w:val="22"/>
                <w:highlight w:val="none"/>
                <w:lang w:val="en-US" w:eastAsia="zh-CN" w:bidi="ar"/>
              </w:rPr>
              <w:t xml:space="preserve">根</w:t>
            </w:r>
            <w:r>
              <w:rPr>
                <w:highlight w:val="none"/>
              </w:rPr>
            </w:r>
          </w:p>
        </w:tc>
      </w:tr>
    </w:tbl>
    <w:tbl>
      <w:tblPr>
        <w:tblStyle w:val="996"/>
        <w:tblW w:w="14045" w:type="dxa"/>
        <w:tblInd w:w="93" w:type="dxa"/>
        <w:tblLayout w:type="fixed"/>
        <w:tblCellMar>
          <w:left w:w="108" w:type="dxa"/>
          <w:top w:w="0" w:type="dxa"/>
          <w:right w:w="108" w:type="dxa"/>
          <w:bottom w:w="0" w:type="dxa"/>
        </w:tblCellMar>
        <w:tblLook w:val="04A0" w:firstRow="1" w:lastRow="0" w:firstColumn="1" w:lastColumn="0" w:noHBand="0" w:noVBand="1"/>
      </w:tblPr>
      <w:tblGrid>
        <w:gridCol w:w="726"/>
        <w:gridCol w:w="142"/>
        <w:gridCol w:w="1148"/>
        <w:gridCol w:w="396"/>
        <w:gridCol w:w="1781"/>
        <w:gridCol w:w="1602"/>
        <w:gridCol w:w="6420"/>
        <w:gridCol w:w="870"/>
        <w:gridCol w:w="90"/>
        <w:gridCol w:w="825"/>
        <w:gridCol w:w="45"/>
      </w:tblGrid>
      <w:tr>
        <w:trPr>
          <w:gridAfter w:val="1"/>
          <w:trHeight w:val="375"/>
        </w:trPr>
        <w:tc>
          <w:tcPr>
            <w:gridSpan w:val="10"/>
            <w:shd w:val="clear" w:color="auto" w:fill="auto"/>
            <w:tcBorders>
              <w:top w:val="none" w:color="000000" w:sz="4" w:space="0"/>
              <w:left w:val="none" w:color="000000" w:sz="4" w:space="0"/>
              <w:bottom w:val="none" w:color="000000" w:sz="4" w:space="0"/>
              <w:right w:val="none" w:color="000000" w:sz="4" w:space="0"/>
            </w:tcBorders>
            <w:tcW w:w="14000" w:type="dxa"/>
            <w:vAlign w:val="center"/>
            <w:textDirection w:val="lrTb"/>
            <w:noWrap/>
          </w:tcPr>
          <w:p>
            <w:pPr>
              <w:jc w:val="center"/>
              <w:spacing w:after="62"/>
              <w:widowControl/>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lang w:bidi="ar"/>
              </w:rPr>
            </w:r>
            <w:r>
              <w:rPr>
                <w:highlight w:val="none"/>
              </w:rPr>
            </w:r>
          </w:p>
          <w:p>
            <w:pPr>
              <w:jc w:val="center"/>
              <w:spacing w:after="62"/>
              <w:widowControl/>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lang w:bidi="ar"/>
              </w:rPr>
              <w:t xml:space="preserve">②</w:t>
            </w:r>
            <w:r>
              <w:rPr>
                <w:rStyle w:val="1321"/>
                <w:rFonts w:hint="default" w:ascii="Times New Roman" w:hAnsi="Times New Roman" w:cs="Times New Roman"/>
                <w:highlight w:val="none"/>
                <w:lang w:bidi="ar"/>
              </w:rPr>
              <w:t xml:space="preserve">厨房工具采购清单及技术参数</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left"/>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序号</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名称</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尺寸</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技术参数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数量</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单位</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1</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密胺面碗</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φ200*80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采用密胺制作，规格：φ200*80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200</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rPr>
                <w:highlight w:val="none"/>
              </w:rPr>
            </w:r>
          </w:p>
        </w:tc>
      </w:tr>
      <w:tr>
        <w:trPr>
          <w:gridAfter w:val="1"/>
          <w:trHeight w:val="54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2</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不锈钢留样盒</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120*120*45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采用SUS304不锈钢制作。规格：120*120*45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40</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3</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切菜刀</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1号刀</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采用SUS304不锈钢制作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20</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4</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斩骨刀</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常规</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采用SUS304不锈钢制作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5</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削皮刀</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常规</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采用SUS304不锈钢制作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rPr>
                <w:highlight w:val="none"/>
              </w:rPr>
            </w:r>
          </w:p>
        </w:tc>
      </w:tr>
      <w:tr>
        <w:trPr>
          <w:gridAfter w:val="1"/>
          <w:trHeight w:val="81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6</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聚酯切菜板</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500*350*25/白色10块，绿色10块，红色5块，蓝色5块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无毒无味、轻便耐用、耐腐蚀、易清洁、韧性强等因素；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30</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rPr>
                <w:highlight w:val="none"/>
              </w:rPr>
            </w:r>
          </w:p>
        </w:tc>
      </w:tr>
      <w:tr>
        <w:trPr>
          <w:gridAfter w:val="1"/>
          <w:trHeight w:val="78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7</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聚酯切肉、砍骨板</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φ450*40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无毒无味、轻便耐用、耐腐蚀、易清洁、韧性强等因素；厚度</w:t>
            </w:r>
            <w:r>
              <w:rPr>
                <w:rFonts w:hint="eastAsia" w:ascii="Times New Roman" w:hAnsi="Times New Roman" w:eastAsia="宋体" w:cs="Times New Roman"/>
                <w:color w:val="000000"/>
                <w:szCs w:val="21"/>
                <w:highlight w:val="none"/>
                <w:lang w:eastAsia="zh-CN" w:bidi="ar"/>
              </w:rPr>
              <w:t xml:space="preserve">：</w:t>
            </w:r>
            <w:r>
              <w:rPr>
                <w:rFonts w:ascii="Times New Roman" w:hAnsi="Times New Roman" w:eastAsia="宋体" w:cs="Times New Roman"/>
                <w:color w:val="000000"/>
                <w:szCs w:val="21"/>
                <w:highlight w:val="none"/>
                <w:lang w:bidi="ar"/>
              </w:rPr>
              <w:t xml:space="preserve">4.0cm。规格：φ450*40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8</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铲刀</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大号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采用不锈钢制作。大号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6</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9</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铲刀</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中号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采用不锈钢制作。中号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6</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10</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打菜勺</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3两</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采用不锈钢制作。3两</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20</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11</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打菜勺</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6两</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采用不锈钢制作。6两</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12</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打汤勺</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8两</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采用不锈钢制作。8两</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13</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不锈钢笊篱</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φ300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采用不锈钢制作。φ300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6</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rPr>
                <w:highlight w:val="none"/>
              </w:rPr>
            </w:r>
          </w:p>
        </w:tc>
      </w:tr>
      <w:tr>
        <w:trPr>
          <w:gridAfter w:val="1"/>
          <w:trHeight w:val="157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14</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塑料菜筐</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640*440*350 中号</w:t>
            </w:r>
            <w:r>
              <w:rPr>
                <w:rFonts w:hint="eastAsia" w:ascii="Times New Roman" w:hAnsi="Times New Roman" w:eastAsia="宋体" w:cs="Times New Roman"/>
                <w:color w:val="000000"/>
                <w:szCs w:val="21"/>
                <w:highlight w:val="none"/>
                <w:lang w:eastAsia="zh-CN" w:bidi="ar"/>
              </w:rPr>
              <w:t xml:space="preserve">（</w:t>
            </w:r>
            <w:r>
              <w:rPr>
                <w:rFonts w:ascii="Times New Roman" w:hAnsi="Times New Roman" w:eastAsia="宋体" w:cs="Times New Roman"/>
                <w:color w:val="000000"/>
                <w:szCs w:val="21"/>
                <w:highlight w:val="none"/>
                <w:lang w:bidi="ar"/>
              </w:rPr>
              <w:t xml:space="preserve">绿筐20个、红筐10个、</w:t>
            </w:r>
            <w:r>
              <w:rPr>
                <w:rFonts w:hint="eastAsia" w:ascii="Times New Roman" w:hAnsi="Times New Roman" w:eastAsia="宋体" w:cs="Times New Roman"/>
                <w:color w:val="000000"/>
                <w:szCs w:val="21"/>
                <w:highlight w:val="none"/>
                <w:lang w:eastAsia="zh-CN" w:bidi="ar"/>
              </w:rPr>
              <w:t xml:space="preserve">篮筐</w:t>
            </w:r>
            <w:r>
              <w:rPr>
                <w:rFonts w:ascii="Times New Roman" w:hAnsi="Times New Roman" w:eastAsia="宋体" w:cs="Times New Roman"/>
                <w:color w:val="000000"/>
                <w:szCs w:val="21"/>
                <w:highlight w:val="none"/>
                <w:lang w:bidi="ar"/>
              </w:rPr>
              <w:t xml:space="preserve">10个</w:t>
            </w:r>
            <w:r>
              <w:rPr>
                <w:rFonts w:hint="eastAsia" w:ascii="Times New Roman" w:hAnsi="Times New Roman" w:eastAsia="宋体" w:cs="Times New Roman"/>
                <w:color w:val="000000"/>
                <w:szCs w:val="21"/>
                <w:highlight w:val="none"/>
                <w:lang w:eastAsia="zh-CN" w:bidi="ar"/>
              </w:rPr>
              <w:t xml:space="preserve">）</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采用人体无害的工程塑料一次性注塑成型。640*440*350 中号</w:t>
            </w:r>
            <w:r>
              <w:rPr>
                <w:rFonts w:hint="eastAsia" w:ascii="Times New Roman" w:hAnsi="Times New Roman" w:eastAsia="宋体" w:cs="Times New Roman"/>
                <w:color w:val="000000"/>
                <w:szCs w:val="21"/>
                <w:highlight w:val="none"/>
                <w:lang w:eastAsia="zh-CN" w:bidi="ar"/>
              </w:rPr>
              <w:t xml:space="preserve">（</w:t>
            </w:r>
            <w:r>
              <w:rPr>
                <w:rFonts w:ascii="Times New Roman" w:hAnsi="Times New Roman" w:eastAsia="宋体" w:cs="Times New Roman"/>
                <w:color w:val="000000"/>
                <w:szCs w:val="21"/>
                <w:highlight w:val="none"/>
                <w:lang w:bidi="ar"/>
              </w:rPr>
              <w:t xml:space="preserve">绿筐20个、红筐10个、</w:t>
            </w:r>
            <w:r>
              <w:rPr>
                <w:rFonts w:hint="eastAsia" w:ascii="Times New Roman" w:hAnsi="Times New Roman" w:eastAsia="宋体" w:cs="Times New Roman"/>
                <w:color w:val="000000"/>
                <w:szCs w:val="21"/>
                <w:highlight w:val="none"/>
                <w:lang w:eastAsia="zh-CN" w:bidi="ar"/>
              </w:rPr>
              <w:t xml:space="preserve">篮筐</w:t>
            </w:r>
            <w:r>
              <w:rPr>
                <w:rFonts w:ascii="Times New Roman" w:hAnsi="Times New Roman" w:eastAsia="宋体" w:cs="Times New Roman"/>
                <w:color w:val="000000"/>
                <w:szCs w:val="21"/>
                <w:highlight w:val="none"/>
                <w:lang w:bidi="ar"/>
              </w:rPr>
              <w:t xml:space="preserve">10个</w:t>
            </w:r>
            <w:r>
              <w:rPr>
                <w:rFonts w:hint="eastAsia" w:ascii="Times New Roman" w:hAnsi="Times New Roman" w:eastAsia="宋体" w:cs="Times New Roman"/>
                <w:color w:val="000000"/>
                <w:szCs w:val="21"/>
                <w:highlight w:val="none"/>
                <w:lang w:eastAsia="zh-CN" w:bidi="ar"/>
              </w:rPr>
              <w:t xml:space="preserve">）</w:t>
            </w:r>
            <w:r>
              <w:rPr>
                <w:rFonts w:ascii="Times New Roman" w:hAnsi="Times New Roman" w:eastAsia="宋体" w:cs="Times New Roman"/>
                <w:color w:val="000000"/>
                <w:szCs w:val="21"/>
                <w:highlight w:val="none"/>
                <w:lang w:bidi="ar"/>
              </w:rPr>
              <w:t xml:space="preserve">采用食品级材质，中标后，供货前，提供检测报告，否则拒收。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40</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rPr>
                <w:highlight w:val="none"/>
              </w:rPr>
            </w:r>
          </w:p>
        </w:tc>
      </w:tr>
      <w:tr>
        <w:trPr>
          <w:gridAfter w:val="1"/>
          <w:trHeight w:val="51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15</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塑料垃圾桶</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中号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lang w:eastAsia="zh-CN" w:bidi="ar"/>
              </w:rPr>
              <w:t xml:space="preserve">外形</w:t>
            </w:r>
            <w:r>
              <w:rPr>
                <w:rFonts w:ascii="Times New Roman" w:hAnsi="Times New Roman" w:eastAsia="宋体" w:cs="Times New Roman"/>
                <w:color w:val="000000"/>
                <w:szCs w:val="21"/>
                <w:highlight w:val="none"/>
                <w:lang w:bidi="ar"/>
              </w:rPr>
              <w:t xml:space="preserve">美观，采用优质工程材料制作，经久耐用。带轮。</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20</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16</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厨余垃圾桶</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120升</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30</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rPr>
                <w:highlight w:val="none"/>
              </w:rPr>
            </w:r>
          </w:p>
        </w:tc>
      </w:tr>
      <w:tr>
        <w:trPr>
          <w:gridAfter w:val="1"/>
          <w:trHeight w:val="52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17</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不锈钢脸盆</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φ800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采用SUS304不锈钢制作，厚度：0.6mm。φ800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8</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rPr>
                <w:highlight w:val="none"/>
              </w:rPr>
            </w:r>
          </w:p>
        </w:tc>
      </w:tr>
      <w:tr>
        <w:trPr>
          <w:gridAfter w:val="1"/>
          <w:trHeight w:val="52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18</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不锈钢脸盆</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φ600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采用SUS304不锈钢制作，厚度：0.6mm。φ600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8</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rPr>
                <w:highlight w:val="none"/>
              </w:rPr>
            </w:r>
          </w:p>
        </w:tc>
      </w:tr>
      <w:tr>
        <w:trPr>
          <w:gridAfter w:val="1"/>
          <w:trHeight w:val="52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19</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不锈钢脸盆</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φ400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采用SUS304不锈钢制作，厚度：0.6mm。φ400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8</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rPr>
                <w:highlight w:val="none"/>
              </w:rPr>
            </w:r>
          </w:p>
        </w:tc>
      </w:tr>
      <w:tr>
        <w:trPr>
          <w:gridAfter w:val="1"/>
          <w:trHeight w:val="54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20</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刀叉框</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500*500*50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采用优质PP材料制作。规格：500*500*50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rPr>
                <w:highlight w:val="none"/>
              </w:rPr>
            </w:r>
          </w:p>
        </w:tc>
      </w:tr>
      <w:tr>
        <w:trPr>
          <w:gridAfter w:val="1"/>
          <w:trHeight w:val="76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21</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不锈钢方盘</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600*400*40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采用不锈钢制作，厚度：0.8mm。规格：600*400*40</w:t>
            </w:r>
            <w:r>
              <w:rPr>
                <w:rFonts w:ascii="Times New Roman" w:hAnsi="Times New Roman" w:eastAsia="宋体" w:cs="Times New Roman"/>
                <w:color w:val="000000"/>
                <w:szCs w:val="21"/>
                <w:highlight w:val="none"/>
                <w:lang w:bidi="ar"/>
              </w:rPr>
              <w:br/>
            </w:r>
            <w:r>
              <w:rPr>
                <w:rFonts w:ascii="Times New Roman" w:hAnsi="Times New Roman" w:eastAsia="宋体" w:cs="Times New Roman"/>
                <w:color w:val="000000"/>
                <w:szCs w:val="21"/>
                <w:highlight w:val="none"/>
                <w:lang w:bidi="ar"/>
              </w:rPr>
              <w:t xml:space="preserve">带304钢印。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50</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只</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22</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广式水勺</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4斤</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采用304不锈钢制作。4斤</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把</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23</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长柄水勺</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160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采用304不锈钢制作。160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把</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24</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炒勺</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12两</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采用304不锈钢制作。12两</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把</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25</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漏勺</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300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采用304不锈钢制作。300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把</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26</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宽边油隔</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10寸</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采用304不锈钢制作。10寸</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27</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饭勺</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常规</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采用304不锈钢制作。常规</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8</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把</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28</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洗米箩</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20KG</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采用304不锈钢制作。20KG</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6</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只</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29</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荷花夹</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9寸</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采用304不锈钢制作。9寸</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只</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30</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铲刀头连木柄</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采用304不锈钢制作。18#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把</w:t>
            </w:r>
            <w:r>
              <w:rPr>
                <w:highlight w:val="none"/>
              </w:rPr>
            </w:r>
          </w:p>
        </w:tc>
      </w:tr>
      <w:tr>
        <w:trPr>
          <w:gridAfter w:val="1"/>
          <w:trHeight w:val="52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31</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刨刀</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小号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刀片</w:t>
            </w:r>
            <w:r>
              <w:rPr>
                <w:rFonts w:hint="eastAsia" w:ascii="Times New Roman" w:hAnsi="Times New Roman" w:eastAsia="宋体" w:cs="Times New Roman"/>
                <w:color w:val="000000"/>
                <w:szCs w:val="21"/>
                <w:highlight w:val="none"/>
                <w:lang w:eastAsia="zh-CN" w:bidi="ar"/>
              </w:rPr>
              <w:t xml:space="preserve">：</w:t>
            </w:r>
            <w:r>
              <w:rPr>
                <w:rFonts w:ascii="Times New Roman" w:hAnsi="Times New Roman" w:eastAsia="宋体" w:cs="Times New Roman"/>
                <w:color w:val="000000"/>
                <w:szCs w:val="21"/>
                <w:highlight w:val="none"/>
                <w:lang w:bidi="ar"/>
              </w:rPr>
              <w:t xml:space="preserve">采用304不锈钢制作；手柄：采用工程塑料制作。小号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把</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32</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鱼鳞刨</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3寸</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采用304不锈钢制作。3寸</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只</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33</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肉锤</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大号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采用304不锈钢制作。大号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只</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34</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水果刀</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10寸</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采用304不锈钢制作。10寸</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3</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只</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35</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打蛋器</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12寸</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采用304不锈钢制作。12寸</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rPr>
                <w:highlight w:val="none"/>
              </w:rPr>
            </w:r>
          </w:p>
        </w:tc>
      </w:tr>
      <w:tr>
        <w:trPr>
          <w:gridAfter w:val="1"/>
          <w:trHeight w:val="525"/>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36</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油石</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10寸</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形状：长方形；材质：采用金刚砂制作。10寸</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只</w:t>
            </w:r>
            <w:r>
              <w:rPr>
                <w:highlight w:val="none"/>
              </w:rPr>
            </w:r>
          </w:p>
        </w:tc>
      </w:tr>
      <w:tr>
        <w:trPr>
          <w:gridAfter w:val="1"/>
          <w:trHeight w:val="51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37</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耐高温手套</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大号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材料：防火布、优质隔热棉。大号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4</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副</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38</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拖把</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60cm</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长条棉布拖</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6</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39</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防水手套</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加长</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加长防水</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双</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40</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防水围裙</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加长</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防水</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件</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41</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地刷</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1.2m</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20CM</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6</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把</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42</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毛巾</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50</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块</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43</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水鞋</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38/39/40/41/42各2双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双</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44</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马斗</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304不锈钢材质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30</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45</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油缸</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304不锈钢材质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20</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46</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调料缸</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304不锈钢材质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20</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47</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小勺</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304不锈钢材质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20</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把</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48</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密格平框</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50*50cm</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密胺材质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49</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杯框</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50*50cm</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密胺材质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10</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50</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磨刀石</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80木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51</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不锈钢保温桶</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40CM</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40CM</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52</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不锈钢保温桶</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50CM</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50CM</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5</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个</w:t>
            </w:r>
            <w:r>
              <w:rPr>
                <w:highlight w:val="none"/>
              </w:rP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53</w:t>
            </w:r>
            <w:r>
              <w:rPr>
                <w:highlight w:val="none"/>
              </w:rPr>
            </w:r>
          </w:p>
        </w:tc>
        <w:tc>
          <w:tcPr>
            <w:gridSpan w:val="3"/>
            <w:shd w:val="clear" w:color="auto" w:fill="auto"/>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筷子消毒机</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383"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285*335*240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臭氧消毒，自动出筷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8</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after="62"/>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bidi="ar"/>
              </w:rPr>
              <w:t xml:space="preserve">台</w:t>
            </w:r>
            <w:r>
              <w:rPr>
                <w:highlight w:val="none"/>
              </w:rPr>
            </w:r>
          </w:p>
        </w:tc>
      </w:tr>
      <w:tr>
        <w:trPr>
          <w:trHeight w:val="360"/>
        </w:trPr>
        <w:tc>
          <w:tcPr>
            <w:gridSpan w:val="11"/>
            <w:shd w:val="clear" w:color="auto" w:fill="auto"/>
            <w:tcBorders>
              <w:top w:val="none" w:color="000000" w:sz="4" w:space="0"/>
              <w:left w:val="none" w:color="000000" w:sz="4" w:space="0"/>
              <w:bottom w:val="none" w:color="000000" w:sz="4" w:space="0"/>
              <w:right w:val="none" w:color="000000" w:sz="4" w:space="0"/>
            </w:tcBorders>
            <w:tcW w:w="14045" w:type="dxa"/>
            <w:vAlign w:val="center"/>
            <w:textDirection w:val="lrTb"/>
            <w:noWrap/>
          </w:tcPr>
          <w:p>
            <w:pPr>
              <w:jc w:val="center"/>
              <w:spacing w:after="62"/>
              <w:widowControl/>
              <w:rPr>
                <w:rFonts w:ascii="Times New Roman" w:hAnsi="Times New Roman" w:eastAsia="方正公文楷体" w:cs="Times New Roman"/>
                <w:b/>
                <w:bCs/>
                <w:color w:val="000000"/>
                <w:sz w:val="28"/>
                <w:szCs w:val="28"/>
                <w:highlight w:val="none"/>
              </w:rPr>
            </w:pPr>
            <w:r>
              <w:rPr>
                <w:rFonts w:ascii="Times New Roman" w:hAnsi="Times New Roman" w:eastAsia="方正公文楷体" w:cs="Times New Roman"/>
                <w:b/>
                <w:bCs/>
                <w:color w:val="000000"/>
                <w:sz w:val="28"/>
                <w:szCs w:val="28"/>
                <w:highlight w:val="none"/>
                <w:lang w:bidi="ar"/>
              </w:rPr>
              <w:t xml:space="preserve">③食堂桌椅采购清单及技术参数</w:t>
            </w:r>
            <w:r>
              <w:rPr>
                <w:highlight w:val="none"/>
              </w:rPr>
            </w:r>
          </w:p>
        </w:tc>
      </w:tr>
      <w:tr>
        <w:trPr>
          <w:trHeight w:val="270"/>
        </w:trPr>
        <w:tc>
          <w:tcPr>
            <w:gridSpan w:val="2"/>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序号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148"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名称</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2177"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规格型号</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8022"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技术参数</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数量</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after="62"/>
              <w:widowControl/>
              <w:rPr>
                <w:rFonts w:ascii="Times New Roman" w:hAnsi="Times New Roman" w:eastAsia="宋体" w:cs="Times New Roman"/>
                <w:color w:val="000000"/>
                <w:sz w:val="22"/>
                <w:szCs w:val="22"/>
                <w:highlight w:val="none"/>
              </w:rPr>
            </w:pPr>
            <w:r>
              <w:rPr>
                <w:rFonts w:ascii="Times New Roman" w:hAnsi="Times New Roman" w:eastAsia="宋体" w:cs="Times New Roman"/>
                <w:color w:val="000000"/>
                <w:sz w:val="22"/>
                <w:szCs w:val="22"/>
                <w:highlight w:val="none"/>
                <w:lang w:bidi="ar"/>
              </w:rPr>
              <w:t xml:space="preserve">单位</w:t>
            </w:r>
            <w:r>
              <w:rPr>
                <w:highlight w:val="none"/>
              </w:rPr>
            </w:r>
          </w:p>
        </w:tc>
      </w:tr>
      <w:tr>
        <w:trPr>
          <w:trHeight w:val="2779"/>
        </w:trPr>
        <w:tc>
          <w:tcPr>
            <w:gridSpan w:val="2"/>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翻转式四人连座折叠座椅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1200*1400*762</w:t>
            </w:r>
            <w:r>
              <w:rPr>
                <w:highlight w:val="none"/>
              </w:rPr>
            </w:r>
          </w:p>
          <w:p>
            <w:pPr>
              <w:pStyle w:val="997"/>
              <w:ind w:left="0" w:firstLine="0"/>
              <w:jc w:val="both"/>
              <w:rPr>
                <w:rFonts w:hint="eastAsia" w:eastAsia="宋体"/>
                <w:highlight w:val="none"/>
              </w:rPr>
            </w:pPr>
            <w:r>
              <w:rPr>
                <w:rFonts w:hint="eastAsia" w:ascii="Times New Roman" w:eastAsia="宋体" w:cs="Times New Roman"/>
                <w:b/>
                <w:bCs/>
                <w:color w:val="000000"/>
                <w:sz w:val="21"/>
                <w:szCs w:val="24"/>
                <w:highlight w:val="none"/>
                <w:lang w:eastAsia="zh-CN" w:bidi="ar"/>
              </w:rPr>
              <w:t xml:space="preserve">（±3%</w:t>
            </w:r>
            <w:r>
              <w:rPr>
                <w:rFonts w:hint="eastAsia" w:ascii="Times New Roman" w:eastAsia="宋体" w:cs="Times New Roman"/>
                <w:b/>
                <w:bCs/>
                <w:color w:val="000000"/>
                <w:sz w:val="21"/>
                <w:szCs w:val="24"/>
                <w:highlight w:val="none"/>
                <w:lang w:val="en-US" w:eastAsia="zh-CN" w:bidi="ar"/>
              </w:rPr>
              <w:t xml:space="preserve">之内</w:t>
            </w:r>
            <w:r>
              <w:rPr>
                <w:rFonts w:hint="eastAsia" w:ascii="Times New Roman" w:eastAsia="宋体" w:cs="Times New Roman"/>
                <w:b/>
                <w:bCs/>
                <w:color w:val="000000"/>
                <w:sz w:val="21"/>
                <w:szCs w:val="24"/>
                <w:highlight w:val="none"/>
                <w:lang w:eastAsia="zh-CN" w:bidi="ar"/>
              </w:rPr>
              <w:t xml:space="preserve">）</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8022" w:type="dxa"/>
            <w:vAlign w:val="center"/>
            <w:textDirection w:val="lrTb"/>
            <w:noWrap w:val="false"/>
          </w:tcPr>
          <w:p>
            <w:pPr>
              <w:pStyle w:val="997"/>
              <w:ind w:left="0" w:firstLine="0"/>
              <w:keepLines w:val="0"/>
              <w:keepNext w:val="0"/>
              <w:pageBreakBefore w:val="0"/>
              <w:spacing w:line="360" w:lineRule="exact"/>
              <w:widowControl w:val="off"/>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1.桌面采用抗倍特板制作，桌面尺寸</w:t>
            </w:r>
            <w:r>
              <w:rPr>
                <w:rFonts w:hint="eastAsia" w:ascii="Times New Roman" w:eastAsia="宋体" w:cs="Times New Roman"/>
                <w:color w:val="000000"/>
                <w:sz w:val="24"/>
                <w:highlight w:val="none"/>
                <w:lang w:eastAsia="zh-CN" w:bidi="ar"/>
              </w:rPr>
              <w:t xml:space="preserve">：</w:t>
            </w:r>
            <w:r>
              <w:rPr>
                <w:rFonts w:hint="eastAsia" w:ascii="Times New Roman" w:hAnsi="Times New Roman" w:eastAsia="宋体" w:cs="Times New Roman"/>
                <w:color w:val="000000"/>
                <w:sz w:val="24"/>
                <w:highlight w:val="none"/>
                <w:lang w:bidi="ar"/>
              </w:rPr>
              <w:t xml:space="preserve">1200mm*600mm*12mm，桌面高762mm，颜色荷花白，面板四周采用CNC修边，四周倒角，圆润光滑不得有任何毛边。</w:t>
            </w:r>
            <w:r>
              <w:rPr>
                <w:highlight w:val="none"/>
              </w:rPr>
            </w:r>
          </w:p>
          <w:p>
            <w:pPr>
              <w:pStyle w:val="997"/>
              <w:ind w:left="0" w:firstLine="0"/>
              <w:keepLines w:val="0"/>
              <w:keepNext w:val="0"/>
              <w:pageBreakBefore w:val="0"/>
              <w:spacing w:line="360" w:lineRule="exact"/>
              <w:widowControl w:val="off"/>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2.主框架采用SUS304材质50mm*50mm*1.5mm方管，中间连接采用SUS304材质50mm*50mm*1.5mm方管，托架采用SUS304材质25mm*50mm*1.5mm方管，翻转椅架采用SUS304材质直径38mm厚度3.0mm圆管。</w:t>
            </w:r>
            <w:r>
              <w:rPr>
                <w:highlight w:val="none"/>
              </w:rPr>
            </w:r>
          </w:p>
          <w:p>
            <w:pPr>
              <w:pStyle w:val="997"/>
              <w:ind w:left="0" w:firstLine="0"/>
              <w:keepLines w:val="0"/>
              <w:keepNext w:val="0"/>
              <w:pageBreakBefore w:val="0"/>
              <w:spacing w:line="360" w:lineRule="exact"/>
              <w:widowControl w:val="off"/>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3.坐垫采用PP材质，直径300mm，坐垫高450mm，颜色为草绿色、棕色</w:t>
            </w:r>
            <w:r>
              <w:rPr>
                <w:rFonts w:hint="eastAsia" w:ascii="Times New Roman" w:eastAsia="宋体" w:cs="Times New Roman"/>
                <w:color w:val="000000"/>
                <w:sz w:val="24"/>
                <w:highlight w:val="none"/>
                <w:lang w:eastAsia="zh-CN" w:bidi="ar"/>
              </w:rPr>
              <w:t xml:space="preserve">、蓝色</w:t>
            </w:r>
            <w:r>
              <w:rPr>
                <w:rFonts w:hint="eastAsia" w:ascii="Times New Roman" w:eastAsia="宋体" w:cs="Times New Roman"/>
                <w:color w:val="000000"/>
                <w:sz w:val="24"/>
                <w:highlight w:val="none"/>
                <w:lang w:val="en-US" w:eastAsia="zh-CN" w:bidi="ar"/>
              </w:rPr>
              <w:t xml:space="preserve">等颜色</w:t>
            </w:r>
            <w:r>
              <w:rPr>
                <w:rFonts w:hint="eastAsia" w:ascii="Times New Roman" w:hAnsi="Times New Roman" w:eastAsia="宋体" w:cs="Times New Roman"/>
                <w:color w:val="000000"/>
                <w:sz w:val="24"/>
                <w:highlight w:val="none"/>
                <w:lang w:bidi="ar"/>
              </w:rPr>
              <w:t xml:space="preserve">，</w:t>
            </w:r>
            <w:r>
              <w:rPr>
                <w:rFonts w:hint="eastAsia" w:ascii="Times New Roman" w:hAnsi="Times New Roman" w:eastAsia="宋体" w:cs="Times New Roman"/>
                <w:b/>
                <w:bCs/>
                <w:color w:val="000000"/>
                <w:sz w:val="24"/>
                <w:highlight w:val="none"/>
                <w:lang w:bidi="ar"/>
              </w:rPr>
              <w:t xml:space="preserve">坐垫颜色由学校确定后制作</w:t>
            </w:r>
            <w:r>
              <w:rPr>
                <w:rFonts w:hint="eastAsia" w:ascii="Times New Roman" w:hAnsi="Times New Roman" w:eastAsia="宋体" w:cs="Times New Roman"/>
                <w:color w:val="000000"/>
                <w:sz w:val="24"/>
                <w:highlight w:val="none"/>
                <w:lang w:bidi="ar"/>
              </w:rPr>
              <w:t xml:space="preserve">。</w:t>
            </w:r>
            <w:r>
              <w:rPr>
                <w:highlight w:val="none"/>
              </w:rPr>
            </w:r>
          </w:p>
          <w:p>
            <w:pPr>
              <w:pStyle w:val="997"/>
              <w:ind w:left="0" w:firstLine="0"/>
              <w:keepLines w:val="0"/>
              <w:keepNext w:val="0"/>
              <w:pageBreakBefore w:val="0"/>
              <w:spacing w:line="360" w:lineRule="exact"/>
              <w:widowControl w:val="off"/>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4.桌角轮子采用四个移动刹车静音车轮。</w:t>
            </w:r>
            <w:r>
              <w:rPr>
                <w:highlight w:val="none"/>
              </w:rPr>
            </w:r>
          </w:p>
          <w:p>
            <w:pPr>
              <w:pStyle w:val="997"/>
              <w:numPr>
                <w:ilvl w:val="0"/>
                <w:numId w:val="0"/>
              </w:numPr>
              <w:keepLines w:val="0"/>
              <w:keepNext w:val="0"/>
              <w:pageBreakBefore w:val="0"/>
              <w:spacing w:line="360" w:lineRule="exact"/>
              <w:widowControl w:val="off"/>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bidi="ar"/>
              </w:rPr>
              <w:t xml:space="preserve">5.桌面背面有十字加强筋</w:t>
            </w:r>
            <w:r>
              <w:rPr>
                <w:rFonts w:hint="eastAsia" w:ascii="Times New Roman" w:eastAsia="宋体" w:cs="Times New Roman"/>
                <w:color w:val="000000"/>
                <w:sz w:val="24"/>
                <w:highlight w:val="none"/>
                <w:lang w:eastAsia="zh-CN" w:bidi="ar"/>
              </w:rPr>
              <w:t xml:space="preserve">，加强筋与主骨架焊接牢固，无变形、无脱焊</w:t>
            </w:r>
            <w:r>
              <w:rPr>
                <w:rFonts w:hint="eastAsia" w:ascii="Times New Roman" w:hAnsi="Times New Roman" w:eastAsia="宋体" w:cs="Times New Roman"/>
                <w:color w:val="000000"/>
                <w:sz w:val="24"/>
                <w:highlight w:val="none"/>
                <w:lang w:bidi="ar"/>
              </w:rPr>
              <w:t xml:space="preserve">。</w:t>
            </w:r>
            <w:r>
              <w:rPr>
                <w:highlight w:val="none"/>
              </w:rPr>
            </w:r>
          </w:p>
          <w:p>
            <w:pPr>
              <w:pStyle w:val="997"/>
              <w:numPr>
                <w:ilvl w:val="0"/>
                <w:numId w:val="0"/>
              </w:numPr>
              <w:keepLines w:val="0"/>
              <w:keepNext w:val="0"/>
              <w:pageBreakBefore w:val="0"/>
              <w:spacing w:line="360" w:lineRule="exact"/>
              <w:widowControl w:val="off"/>
              <w:rPr>
                <w:rFonts w:hint="eastAsia" w:ascii="Times New Roman" w:eastAsia="宋体" w:cs="Times New Roman"/>
                <w:color w:val="000000"/>
                <w:sz w:val="24"/>
                <w:highlight w:val="none"/>
              </w:rPr>
            </w:pPr>
            <w:r>
              <w:rPr>
                <w:rFonts w:hint="eastAsia" w:ascii="Times New Roman" w:eastAsia="宋体" w:cs="Times New Roman"/>
                <w:color w:val="000000"/>
                <w:sz w:val="24"/>
                <w:highlight w:val="none"/>
                <w:lang w:val="en-US" w:eastAsia="zh-CN" w:bidi="ar"/>
              </w:rPr>
              <w:t xml:space="preserve">6.</w:t>
            </w:r>
            <w:r>
              <w:rPr>
                <w:rFonts w:hint="eastAsia" w:ascii="Times New Roman" w:hAnsi="Times New Roman" w:eastAsia="宋体" w:cs="Times New Roman"/>
                <w:color w:val="000000"/>
                <w:sz w:val="24"/>
                <w:highlight w:val="none"/>
                <w:lang w:val="en-US" w:eastAsia="zh-CN" w:bidi="ar"/>
              </w:rPr>
              <w:t xml:space="preserve">所有金属连接点均为满焊</w:t>
            </w:r>
            <w:r>
              <w:rPr>
                <w:rFonts w:hint="eastAsia" w:ascii="Times New Roman" w:eastAsia="宋体" w:cs="Times New Roman"/>
                <w:color w:val="000000"/>
                <w:sz w:val="24"/>
                <w:highlight w:val="none"/>
                <w:lang w:val="en-US" w:eastAsia="zh-CN" w:bidi="ar"/>
              </w:rPr>
              <w:t xml:space="preserve">，翻转机构转轴、螺丝等配件材质均匀。</w:t>
            </w:r>
            <w:r>
              <w:rPr>
                <w:highlight w:val="none"/>
              </w:rPr>
            </w:r>
          </w:p>
          <w:p>
            <w:pPr>
              <w:pStyle w:val="997"/>
              <w:ind w:left="0" w:firstLine="0"/>
              <w:keepLines w:val="0"/>
              <w:keepNext w:val="0"/>
              <w:pageBreakBefore w:val="0"/>
              <w:spacing w:line="360" w:lineRule="exact"/>
              <w:widowControl w:val="off"/>
              <w:rPr>
                <w:rFonts w:hint="eastAsia" w:ascii="Times New Roman" w:eastAsia="宋体" w:cs="Times New Roman"/>
                <w:color w:val="000000"/>
                <w:sz w:val="24"/>
                <w:highlight w:val="none"/>
              </w:rPr>
            </w:pPr>
            <w:r>
              <w:rPr>
                <w:rFonts w:hint="eastAsia" w:ascii="Times New Roman" w:eastAsia="宋体" w:cs="Times New Roman"/>
                <w:color w:val="000000"/>
                <w:sz w:val="24"/>
                <w:highlight w:val="none"/>
                <w:lang w:val="en-US" w:eastAsia="zh-CN" w:bidi="ar"/>
              </w:rPr>
              <w:t xml:space="preserve">7.目测检查所有部件无锈蚀、无毛刺，无裂纹、无气泡、无明显色差，所有紧固件无松动，徒手触摸座椅所有边角、焊接点、螺丝孔位及翻转机构活动部位，无刮手感觉。</w:t>
            </w:r>
            <w:r>
              <w:rPr>
                <w:highlight w:val="none"/>
              </w:rPr>
            </w:r>
          </w:p>
          <w:p>
            <w:pPr>
              <w:pStyle w:val="997"/>
              <w:ind w:left="0" w:firstLine="0"/>
              <w:keepLines w:val="0"/>
              <w:keepNext w:val="0"/>
              <w:pageBreakBefore w:val="0"/>
              <w:spacing w:line="360" w:lineRule="exact"/>
              <w:widowControl w:val="off"/>
              <w:rPr>
                <w:rFonts w:hint="default" w:ascii="Times New Roman" w:eastAsia="宋体" w:cs="Times New Roman"/>
                <w:color w:val="000000"/>
                <w:sz w:val="24"/>
                <w:highlight w:val="none"/>
              </w:rPr>
            </w:pPr>
            <w:r>
              <w:rPr>
                <w:rFonts w:hint="eastAsia" w:ascii="Times New Roman" w:eastAsia="宋体" w:cs="Times New Roman"/>
                <w:color w:val="000000"/>
                <w:sz w:val="24"/>
                <w:highlight w:val="none"/>
                <w:lang w:val="en-US" w:eastAsia="zh-CN" w:bidi="ar"/>
              </w:rPr>
              <w:t xml:space="preserve">8.翻转顺畅、静置稳固、承重不变形；座椅置于水平地面，四脚（或底座）同时着地，无晃动。</w:t>
            </w:r>
            <w:r>
              <w:rPr>
                <w:highlight w:val="none"/>
              </w:rPr>
            </w:r>
          </w:p>
          <w:p>
            <w:pPr>
              <w:pStyle w:val="997"/>
              <w:ind w:left="0" w:firstLine="0"/>
              <w:keepLines w:val="0"/>
              <w:keepNext w:val="0"/>
              <w:pageBreakBefore w:val="0"/>
              <w:spacing w:line="360" w:lineRule="exact"/>
              <w:widowControl w:val="off"/>
              <w:rPr>
                <w:rFonts w:hint="default"/>
                <w:color w:val="000000" w:themeColor="text1"/>
                <w:highlight w:val="none"/>
                <w14:textFill>
                  <w14:solidFill>
                    <w14:schemeClr w14:val="tx1"/>
                  </w14:solidFill>
                </w14:textFill>
              </w:rPr>
            </w:pPr>
            <w:r>
              <w:rPr>
                <w:rFonts w:hint="eastAsia" w:ascii="Times New Roman" w:eastAsia="宋体" w:cs="Times New Roman"/>
                <w:color w:val="000000" w:themeColor="text1"/>
                <w:sz w:val="24"/>
                <w:highlight w:val="none"/>
                <w:lang w:val="en-US" w:eastAsia="zh-CN" w:bidi="ar"/>
                <w14:textFill>
                  <w14:solidFill>
                    <w14:schemeClr w14:val="tx1"/>
                  </w14:solidFill>
                </w14:textFill>
              </w:rPr>
              <w:t xml:space="preserve">9.</w:t>
            </w:r>
            <w:r>
              <w:rPr>
                <w:rFonts w:hint="eastAsia" w:ascii="Times New Roman" w:eastAsia="宋体" w:cs="Times New Roman"/>
                <w:b/>
                <w:bCs/>
                <w:color w:val="000000" w:themeColor="text1"/>
                <w:sz w:val="24"/>
                <w:highlight w:val="none"/>
                <w:lang w:val="en-US" w:eastAsia="zh-CN" w:bidi="ar"/>
                <w14:textFill>
                  <w14:solidFill>
                    <w14:schemeClr w14:val="tx1"/>
                  </w14:solidFill>
                </w14:textFill>
              </w:rPr>
              <w:t xml:space="preserve">尺寸误差在</w:t>
            </w:r>
            <w:r>
              <w:rPr>
                <w:rFonts w:hint="eastAsia" w:ascii="Times New Roman" w:eastAsia="宋体" w:cs="Times New Roman"/>
                <w:b/>
                <w:bCs/>
                <w:color w:val="000000" w:themeColor="text1"/>
                <w:sz w:val="21"/>
                <w:szCs w:val="24"/>
                <w:highlight w:val="none"/>
                <w:lang w:eastAsia="zh-CN" w:bidi="ar"/>
                <w14:textFill>
                  <w14:solidFill>
                    <w14:schemeClr w14:val="tx1"/>
                  </w14:solidFill>
                </w14:textFill>
              </w:rPr>
              <w:t xml:space="preserve">±3%</w:t>
            </w:r>
            <w:r>
              <w:rPr>
                <w:rFonts w:hint="eastAsia" w:ascii="Times New Roman" w:eastAsia="宋体" w:cs="Times New Roman"/>
                <w:b/>
                <w:bCs/>
                <w:color w:val="000000" w:themeColor="text1"/>
                <w:sz w:val="24"/>
                <w:highlight w:val="none"/>
                <w:lang w:val="en-US" w:eastAsia="zh-CN" w:bidi="ar"/>
                <w14:textFill>
                  <w14:solidFill>
                    <w14:schemeClr w14:val="tx1"/>
                  </w14:solidFill>
                </w14:textFill>
              </w:rPr>
              <w:t xml:space="preserve">之内</w:t>
            </w:r>
            <w:r>
              <w:rPr>
                <w:rFonts w:hint="eastAsia" w:ascii="Times New Roman" w:eastAsia="宋体" w:cs="Times New Roman"/>
                <w:color w:val="000000" w:themeColor="text1"/>
                <w:sz w:val="24"/>
                <w:highlight w:val="none"/>
                <w:lang w:val="en-US" w:eastAsia="zh-CN" w:bidi="ar"/>
                <w14:textFill>
                  <w14:solidFill>
                    <w14:schemeClr w14:val="tx1"/>
                  </w14:solidFill>
                </w14:textFill>
              </w:rPr>
              <w:t xml:space="preserve">，参考图片如下：</w:t>
            </w:r>
            <w:r>
              <w:rPr>
                <w:highlight w:val="none"/>
              </w:rPr>
            </w:r>
          </w:p>
          <w:p>
            <w:pPr>
              <w:pStyle w:val="997"/>
              <w:numPr>
                <w:ilvl w:val="0"/>
                <w:numId w:val="0"/>
              </w:numPr>
              <w:rPr>
                <w:rFonts w:hint="default" w:ascii="Times New Roman" w:eastAsia="宋体" w:cs="Times New Roman"/>
                <w:color w:val="000000"/>
                <w:sz w:val="24"/>
                <w:highlight w:val="none"/>
              </w:rPr>
            </w:pPr>
            <w:r>
              <w:rPr>
                <w:rFonts w:ascii="Times New Roman" w:hAnsi="Times New Roman" w:eastAsia="方正公文仿宋" w:cs="Times New Roman"/>
                <w:sz w:val="28"/>
                <w:szCs w:val="28"/>
                <w:highlight w:val="none"/>
              </w:rPr>
              <mc:AlternateContent>
                <mc:Choice Requires="wpg">
                  <w:drawing>
                    <wp:inline xmlns:wp="http://schemas.openxmlformats.org/drawingml/2006/wordprocessingDrawing" distT="0" distB="0" distL="0" distR="0">
                      <wp:extent cx="4017645" cy="1838325"/>
                      <wp:effectExtent l="0" t="0" r="1905" b="9525"/>
                      <wp:docPr id="8" name="图片 7" descr="09821d09-4b54-4a1a-b430-5046e610cf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09821d09-4b54-4a1a-b430-5046e610cf30"/>
                              <pic:cNvPicPr>
                                <a:picLocks noChangeAspect="1"/>
                              </pic:cNvPicPr>
                              <pic:nvPr/>
                            </pic:nvPicPr>
                            <pic:blipFill>
                              <a:blip r:embed="rId23"/>
                              <a:stretch/>
                            </pic:blipFill>
                            <pic:spPr bwMode="auto">
                              <a:xfrm>
                                <a:off x="0" y="0"/>
                                <a:ext cx="4017644" cy="18383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16.3pt;height:144.8pt;mso-wrap-distance-left:0.0pt;mso-wrap-distance-top:0.0pt;mso-wrap-distance-right:0.0pt;mso-wrap-distance-bottom:0.0pt;" stroked="false">
                      <v:path textboxrect="0,0,0,0"/>
                      <v:imagedata r:id="rId23" o:title=""/>
                    </v:shape>
                  </w:pict>
                </mc:Fallback>
              </mc:AlternateConten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hint="eastAsia" w:ascii="Times New Roman" w:hAnsi="Times New Roman" w:eastAsia="宋体" w:cs="Times New Roman"/>
                <w:color w:val="ff0000"/>
                <w:sz w:val="24"/>
                <w:highlight w:val="none"/>
                <w:lang w:bidi="ar"/>
              </w:rPr>
              <w:t xml:space="preserve">624</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after="62"/>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lang w:bidi="ar"/>
              </w:rPr>
              <w:t xml:space="preserve">张</w:t>
            </w:r>
            <w:r>
              <w:rPr>
                <w:highlight w:val="none"/>
              </w:rPr>
            </w:r>
          </w:p>
        </w:tc>
      </w:tr>
    </w:tbl>
    <w:p>
      <w:pPr>
        <w:pStyle w:val="997"/>
        <w:ind w:firstLine="0"/>
        <w:spacing w:after="62" w:line="240" w:lineRule="auto"/>
        <w:rPr>
          <w:rFonts w:ascii="Times New Roman" w:cs="Times New Roman"/>
          <w:highlight w:val="none"/>
        </w:rPr>
        <w:sectPr>
          <w:footnotePr/>
          <w:endnotePr/>
          <w:type w:val="nextPage"/>
          <w:pgSz w:w="16838" w:h="11906" w:orient="landscape"/>
          <w:pgMar w:top="1417" w:right="1417" w:bottom="1417" w:left="1417" w:header="851" w:footer="992" w:gutter="0"/>
          <w:cols w:num="1" w:sep="0" w:space="425" w:equalWidth="1"/>
          <w:docGrid w:linePitch="360"/>
        </w:sectPr>
      </w:pPr>
      <w:r>
        <w:rPr>
          <w:rFonts w:ascii="Times New Roman" w:cs="Times New Roman"/>
          <w:highlight w:val="none"/>
          <w:lang w:eastAsia="zh-CN"/>
        </w:rPr>
      </w:r>
      <w:r>
        <w:rPr>
          <w:highlight w:val="none"/>
        </w:rPr>
      </w:r>
    </w:p>
    <w:p>
      <w:p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（四）采购标的数量、采购项目交付或者实施的时间和地点</w:t>
      </w:r>
      <w:r>
        <w:rPr>
          <w:highlight w:val="none"/>
        </w:rPr>
      </w:r>
    </w:p>
    <w:p>
      <w:pPr>
        <w:ind w:firstLine="560"/>
        <w:spacing w:after="62" w:line="46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1.</w:t>
      </w:r>
      <w:r>
        <w:rPr>
          <w:rFonts w:ascii="Times New Roman" w:hAnsi="Times New Roman" w:eastAsia="仿宋" w:cs="Times New Roman"/>
          <w:sz w:val="28"/>
          <w:szCs w:val="28"/>
          <w:highlight w:val="none"/>
        </w:rPr>
        <w:t xml:space="preserve">标的数量：食堂设备清单及技术要求详见附件</w:t>
      </w:r>
      <w:r>
        <w:rPr>
          <w:highlight w:val="none"/>
        </w:rPr>
      </w:r>
    </w:p>
    <w:p>
      <w:pPr>
        <w:ind w:firstLine="560"/>
        <w:spacing w:after="62" w:line="46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2.</w:t>
      </w:r>
      <w:r>
        <w:rPr>
          <w:rFonts w:ascii="Times New Roman" w:hAnsi="Times New Roman" w:eastAsia="仿宋" w:cs="Times New Roman"/>
          <w:sz w:val="28"/>
          <w:szCs w:val="28"/>
          <w:highlight w:val="none"/>
        </w:rPr>
        <w:t xml:space="preserve">供货周期：签订合同后30天内完成供货安装调试</w:t>
      </w:r>
      <w:r>
        <w:rPr>
          <w:rFonts w:hint="eastAsia" w:eastAsia="仿宋" w:cs="Times New Roman"/>
          <w:sz w:val="28"/>
          <w:szCs w:val="28"/>
          <w:highlight w:val="none"/>
          <w:lang w:eastAsia="zh-CN"/>
        </w:rPr>
        <w:t xml:space="preserve">（</w:t>
      </w:r>
      <w:r>
        <w:rPr>
          <w:rFonts w:hint="eastAsia" w:eastAsia="仿宋" w:cs="Times New Roman"/>
          <w:sz w:val="28"/>
          <w:szCs w:val="28"/>
          <w:highlight w:val="none"/>
          <w:lang w:val="en-US" w:eastAsia="zh-CN"/>
        </w:rPr>
        <w:t xml:space="preserve">安装应遵循食堂平面图详见采购公告附件</w:t>
      </w:r>
      <w:r>
        <w:rPr>
          <w:rFonts w:hint="eastAsia" w:eastAsia="仿宋" w:cs="Times New Roman"/>
          <w:sz w:val="28"/>
          <w:szCs w:val="28"/>
          <w:highlight w:val="none"/>
          <w:lang w:eastAsia="zh-CN"/>
        </w:rPr>
        <w:t xml:space="preserve">）</w:t>
      </w:r>
      <w:r>
        <w:rPr>
          <w:rFonts w:ascii="Times New Roman" w:hAnsi="Times New Roman" w:eastAsia="仿宋" w:cs="Times New Roman"/>
          <w:sz w:val="28"/>
          <w:szCs w:val="28"/>
          <w:highlight w:val="none"/>
        </w:rPr>
        <w:t xml:space="preserve">，并通过采购人验收。</w:t>
      </w:r>
      <w:r>
        <w:rPr>
          <w:highlight w:val="none"/>
        </w:rPr>
      </w:r>
    </w:p>
    <w:p>
      <w:pPr>
        <w:ind w:firstLine="560"/>
        <w:spacing w:after="62" w:line="46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3.</w:t>
      </w:r>
      <w:r>
        <w:rPr>
          <w:rFonts w:ascii="Times New Roman" w:hAnsi="Times New Roman" w:eastAsia="仿宋" w:cs="Times New Roman"/>
          <w:sz w:val="28"/>
          <w:szCs w:val="28"/>
          <w:highlight w:val="none"/>
        </w:rPr>
        <w:t xml:space="preserve">交货地点：南通市田家炳初级中学南园校区（南园路21号），具体按采购人指定地点送货、安装。</w:t>
      </w:r>
      <w:r>
        <w:rPr>
          <w:highlight w:val="none"/>
        </w:rPr>
      </w:r>
    </w:p>
    <w:p>
      <w:p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（五）采购标的需满足的服务标准、期限、效率等要求</w:t>
      </w:r>
      <w:r>
        <w:rPr>
          <w:highlight w:val="none"/>
        </w:rPr>
      </w:r>
    </w:p>
    <w:p>
      <w:pPr>
        <w:ind w:firstLine="560"/>
        <w:spacing w:after="62" w:line="46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1.</w:t>
      </w:r>
      <w:r>
        <w:rPr>
          <w:rFonts w:ascii="Times New Roman" w:hAnsi="Times New Roman" w:eastAsia="仿宋" w:cs="Times New Roman"/>
          <w:sz w:val="28"/>
          <w:szCs w:val="28"/>
          <w:highlight w:val="none"/>
        </w:rPr>
        <w:t xml:space="preserve">投标人应保证货物是全新、未使用过的原厂合格产品，并完全符合投标文件的质量、规格和参数的要求。</w:t>
      </w:r>
      <w:r>
        <w:rPr>
          <w:highlight w:val="none"/>
        </w:rPr>
      </w:r>
    </w:p>
    <w:p>
      <w:pPr>
        <w:ind w:firstLine="560"/>
        <w:spacing w:after="62" w:line="46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2.</w:t>
      </w:r>
      <w:r>
        <w:rPr>
          <w:rFonts w:ascii="Times New Roman" w:hAnsi="Times New Roman" w:eastAsia="仿宋" w:cs="Times New Roman"/>
          <w:sz w:val="28"/>
          <w:szCs w:val="28"/>
          <w:highlight w:val="none"/>
        </w:rPr>
        <w:t xml:space="preserve">投标人应保证其货物在正确安装、正常使用下，在其使用寿命期内应具有满意的性能。</w:t>
      </w:r>
      <w:r>
        <w:rPr>
          <w:highlight w:val="none"/>
        </w:rPr>
      </w:r>
    </w:p>
    <w:p>
      <w:pPr>
        <w:ind w:firstLine="560"/>
        <w:spacing w:after="62" w:line="46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3.</w:t>
      </w:r>
      <w:r>
        <w:rPr>
          <w:rFonts w:ascii="Times New Roman" w:hAnsi="Times New Roman" w:eastAsia="仿宋" w:cs="Times New Roman"/>
          <w:sz w:val="28"/>
          <w:szCs w:val="28"/>
          <w:highlight w:val="none"/>
        </w:rPr>
        <w:t xml:space="preserve">投标人必须不低于本采购文件所提供的技术指标进行技术响应（《技术要求响应及偏离表》必须列明产品名称、品牌、具体尺寸、具体规格参数以及《技术要求》中提出的其他内容，以及采购文件要求提供的检测报告、产品认证等技术参数佐证材料），投标人照搬或者响应内容不全或技术参数不明确或不满足要求</w:t>
      </w:r>
      <w:r>
        <w:rPr>
          <w:rFonts w:hint="eastAsia" w:ascii="Times New Roman" w:hAnsi="Times New Roman" w:eastAsia="仿宋" w:cs="Times New Roman"/>
          <w:sz w:val="28"/>
          <w:szCs w:val="28"/>
          <w:highlight w:val="none"/>
          <w:lang w:eastAsia="zh-CN"/>
        </w:rPr>
        <w:t xml:space="preserve">，或者</w:t>
      </w:r>
      <w:r>
        <w:rPr>
          <w:rFonts w:ascii="Times New Roman" w:hAnsi="Times New Roman" w:eastAsia="仿宋" w:cs="Times New Roman"/>
          <w:sz w:val="28"/>
          <w:szCs w:val="28"/>
          <w:highlight w:val="none"/>
        </w:rPr>
        <w:t xml:space="preserve">未按采购文件要求提供响应佐证材料的，均视为未实质性响应。</w:t>
      </w:r>
      <w:r>
        <w:rPr>
          <w:highlight w:val="none"/>
        </w:rPr>
      </w:r>
    </w:p>
    <w:p>
      <w:pPr>
        <w:spacing w:after="62" w:line="460" w:lineRule="exact"/>
        <w:rPr>
          <w:rFonts w:ascii="Times New Roman" w:hAnsi="Times New Roman" w:eastAsia="仿宋" w:cs="Times New Roman"/>
          <w:sz w:val="28"/>
          <w:szCs w:val="28"/>
          <w:highlight w:val="none"/>
        </w:rPr>
      </w:pPr>
      <w:r>
        <w:rPr>
          <w:rFonts w:ascii="Times New Roman" w:hAnsi="Times New Roman" w:eastAsia="仿宋" w:cs="Times New Roman"/>
          <w:b/>
          <w:bCs/>
          <w:sz w:val="28"/>
          <w:szCs w:val="28"/>
          <w:highlight w:val="none"/>
        </w:rPr>
        <w:t xml:space="preserve">（六）采购标的验收标准</w:t>
      </w:r>
      <w:r>
        <w:rPr>
          <w:rFonts w:ascii="Times New Roman" w:hAnsi="Times New Roman" w:eastAsia="仿宋" w:cs="Times New Roman"/>
          <w:sz w:val="28"/>
          <w:szCs w:val="28"/>
          <w:highlight w:val="none"/>
        </w:rPr>
        <w:tab/>
      </w:r>
      <w:r>
        <w:rPr>
          <w:highlight w:val="none"/>
        </w:rPr>
      </w:r>
    </w:p>
    <w:p>
      <w:pPr>
        <w:ind w:firstLine="560"/>
        <w:spacing w:after="62" w:line="46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1.</w:t>
      </w:r>
      <w:r>
        <w:rPr>
          <w:rFonts w:ascii="Times New Roman" w:hAnsi="Times New Roman" w:eastAsia="仿宋" w:cs="Times New Roman"/>
          <w:sz w:val="28"/>
          <w:szCs w:val="28"/>
          <w:highlight w:val="none"/>
        </w:rPr>
        <w:t xml:space="preserve">在接到供应商以书面形式提出验收申请后，在5个工作日内及时组织相关专业技术人员，按国家制造和安装的标准要求执行，必要时</w:t>
      </w:r>
      <w:r>
        <w:rPr>
          <w:rFonts w:hint="eastAsia" w:ascii="Times New Roman" w:hAnsi="Times New Roman" w:eastAsia="仿宋" w:cs="Times New Roman"/>
          <w:sz w:val="28"/>
          <w:szCs w:val="28"/>
          <w:highlight w:val="none"/>
          <w:lang w:eastAsia="zh-CN"/>
        </w:rPr>
        <w:t xml:space="preserve">邀请</w:t>
      </w:r>
      <w:r>
        <w:rPr>
          <w:rFonts w:hint="eastAsia" w:ascii="Times New Roman" w:hAnsi="Times New Roman" w:eastAsia="仿宋" w:cs="Times New Roman"/>
          <w:sz w:val="28"/>
          <w:szCs w:val="28"/>
          <w:highlight w:val="none"/>
        </w:rPr>
        <w:t xml:space="preserve">设计公司</w:t>
      </w:r>
      <w:r>
        <w:rPr>
          <w:rFonts w:hint="eastAsia" w:ascii="Times New Roman" w:hAnsi="Times New Roman" w:eastAsia="仿宋" w:cs="Times New Roman"/>
          <w:sz w:val="28"/>
          <w:szCs w:val="28"/>
          <w:highlight w:val="none"/>
          <w:lang w:val="en-US" w:eastAsia="zh-CN"/>
        </w:rPr>
        <w:t xml:space="preserve">及</w:t>
      </w:r>
      <w:r>
        <w:rPr>
          <w:rFonts w:ascii="Times New Roman" w:hAnsi="Times New Roman" w:eastAsia="仿宋" w:cs="Times New Roman"/>
          <w:sz w:val="28"/>
          <w:szCs w:val="28"/>
          <w:highlight w:val="none"/>
        </w:rPr>
        <w:t xml:space="preserve">第三方质检等部门共同参与验收，并出具验收报告，作为支付货款的依据。</w:t>
      </w:r>
      <w:r>
        <w:rPr>
          <w:highlight w:val="none"/>
        </w:rPr>
      </w:r>
    </w:p>
    <w:p>
      <w:pPr>
        <w:ind w:firstLine="560"/>
        <w:spacing w:after="62" w:line="46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2.</w:t>
      </w:r>
      <w:r>
        <w:rPr>
          <w:rFonts w:ascii="Times New Roman" w:hAnsi="Times New Roman" w:eastAsia="仿宋" w:cs="Times New Roman"/>
          <w:sz w:val="28"/>
          <w:szCs w:val="28"/>
          <w:highlight w:val="none"/>
        </w:rPr>
        <w:t xml:space="preserve">所供产品交付使用时，供应商必须向需方提供产品说明书、质量保证书、保修卡、合格证等必须具备的相关资料和必备的附件。</w:t>
      </w:r>
      <w:r>
        <w:rPr>
          <w:highlight w:val="none"/>
        </w:rPr>
      </w:r>
    </w:p>
    <w:p>
      <w:pPr>
        <w:ind w:firstLine="560"/>
        <w:spacing w:after="62" w:line="46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3.</w:t>
      </w:r>
      <w:r>
        <w:rPr>
          <w:rFonts w:ascii="Times New Roman" w:hAnsi="Times New Roman" w:eastAsia="仿宋" w:cs="Times New Roman"/>
          <w:sz w:val="28"/>
          <w:szCs w:val="28"/>
          <w:highlight w:val="none"/>
        </w:rPr>
        <w:t xml:space="preserve">中标人必须负责所采购产品的运输，并派有经验的技术人员到现场进行卸货、安装，经调试、检测合格后交付使用，其费用由中标人承担，包含在报价中。 </w:t>
      </w:r>
      <w:r>
        <w:rPr>
          <w:highlight w:val="none"/>
        </w:rPr>
      </w:r>
    </w:p>
    <w:p>
      <w:pPr>
        <w:ind w:firstLine="560"/>
        <w:spacing w:after="62" w:line="460" w:lineRule="exact"/>
        <w:rPr>
          <w:rFonts w:ascii="Times New Roman" w:hAnsi="Times New Roman" w:eastAsia="仿宋" w:cs="Times New Roman"/>
          <w:sz w:val="28"/>
          <w:szCs w:val="28"/>
          <w:highlight w:val="none"/>
        </w:rPr>
        <w:sectPr>
          <w:footerReference w:type="default" r:id="rId17"/>
          <w:footerReference w:type="first" r:id="rId18"/>
          <w:footnotePr/>
          <w:endnotePr/>
          <w:type w:val="nextPage"/>
          <w:pgSz w:w="11906" w:h="16838" w:orient="portrait"/>
          <w:pgMar w:top="1418" w:right="1588" w:bottom="1418" w:left="1365" w:header="851" w:footer="907" w:gutter="0"/>
          <w:pgNumType w:start="20"/>
          <w:cols w:num="1" w:sep="0" w:space="1701" w:equalWidth="1"/>
          <w:docGrid w:linePitch="360"/>
          <w:titlePg/>
        </w:sectPr>
      </w:pPr>
      <w:r>
        <w:rPr>
          <w:rFonts w:hint="eastAsia" w:ascii="Times New Roman" w:hAnsi="Times New Roman" w:eastAsia="仿宋" w:cs="Times New Roman"/>
          <w:sz w:val="28"/>
          <w:szCs w:val="28"/>
          <w:highlight w:val="none"/>
          <w:lang w:eastAsia="zh-CN"/>
        </w:rPr>
        <w:t xml:space="preserve">4.</w:t>
      </w:r>
      <w:r>
        <w:rPr>
          <w:rFonts w:ascii="Times New Roman" w:hAnsi="Times New Roman" w:eastAsia="仿宋" w:cs="Times New Roman"/>
          <w:sz w:val="28"/>
          <w:szCs w:val="28"/>
          <w:highlight w:val="none"/>
        </w:rPr>
        <w:t xml:space="preserve">不锈钢材质焊接拼缝处应无明显缝隙，无虚焊，表面需打磨抛光处</w:t>
      </w:r>
      <w:r>
        <w:rPr>
          <w:highlight w:val="none"/>
        </w:rPr>
      </w:r>
    </w:p>
    <w:p>
      <w:pPr>
        <w:ind w:firstLine="560"/>
        <w:spacing w:after="62" w:line="460" w:lineRule="exact"/>
        <w:rPr>
          <w:rFonts w:ascii="Times New Roman" w:hAnsi="Times New Roman" w:eastAsia="仿宋" w:cs="Times New Roman"/>
          <w:b/>
          <w:sz w:val="28"/>
          <w:szCs w:val="28"/>
          <w:highlight w:val="none"/>
        </w:rPr>
      </w:pPr>
      <w:r>
        <w:rPr>
          <w:rFonts w:ascii="Times New Roman" w:hAnsi="Times New Roman" w:eastAsia="仿宋" w:cs="Times New Roman"/>
          <w:sz w:val="28"/>
          <w:szCs w:val="28"/>
          <w:highlight w:val="none"/>
        </w:rPr>
        <w:t xml:space="preserve">理（所有焊接用氩弧焊焊接）。</w:t>
      </w:r>
      <w:r>
        <w:rPr>
          <w:highlight w:val="none"/>
        </w:rPr>
      </w:r>
    </w:p>
    <w:p>
      <w:pPr>
        <w:spacing w:after="62" w:line="460" w:lineRule="exact"/>
        <w:rPr>
          <w:rFonts w:ascii="Times New Roman" w:hAnsi="Times New Roman" w:eastAsia="仿宋" w:cs="Times New Roman"/>
          <w:sz w:val="28"/>
          <w:szCs w:val="28"/>
          <w:highlight w:val="none"/>
        </w:rPr>
      </w:pPr>
      <w:r>
        <w:rPr>
          <w:rFonts w:ascii="Times New Roman" w:hAnsi="Times New Roman" w:eastAsia="仿宋" w:cs="Times New Roman"/>
          <w:b/>
          <w:bCs/>
          <w:sz w:val="28"/>
          <w:szCs w:val="28"/>
          <w:highlight w:val="none"/>
        </w:rPr>
        <w:t xml:space="preserve">（七）采购标的其他技术、服务等要求</w:t>
      </w:r>
      <w:r>
        <w:rPr>
          <w:highlight w:val="none"/>
        </w:rPr>
      </w:r>
    </w:p>
    <w:p>
      <w:pPr>
        <w:ind w:firstLine="560"/>
        <w:spacing w:after="62" w:line="460" w:lineRule="exact"/>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1.</w:t>
      </w:r>
      <w:r>
        <w:rPr>
          <w:rFonts w:ascii="Times New Roman" w:hAnsi="Times New Roman" w:eastAsia="仿宋" w:cs="Times New Roman"/>
          <w:bCs/>
          <w:sz w:val="28"/>
          <w:szCs w:val="28"/>
          <w:highlight w:val="none"/>
        </w:rPr>
        <w:t xml:space="preserve">中标人负责标的物的现场安装调试，将采购物品按采购人要求摆放到位。</w:t>
      </w:r>
      <w:r>
        <w:rPr>
          <w:highlight w:val="none"/>
        </w:rPr>
      </w:r>
    </w:p>
    <w:p>
      <w:pPr>
        <w:ind w:firstLine="560"/>
        <w:spacing w:after="62" w:line="460" w:lineRule="exact"/>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2.</w:t>
      </w:r>
      <w:r>
        <w:rPr>
          <w:rFonts w:ascii="Times New Roman" w:hAnsi="Times New Roman" w:eastAsia="仿宋" w:cs="Times New Roman"/>
          <w:bCs/>
          <w:sz w:val="28"/>
          <w:szCs w:val="28"/>
          <w:highlight w:val="none"/>
        </w:rPr>
        <w:t xml:space="preserve">中标人免费提供标的物组装和一般维修所必需的工具；</w:t>
      </w:r>
      <w:r>
        <w:rPr>
          <w:highlight w:val="none"/>
        </w:rPr>
      </w:r>
    </w:p>
    <w:p>
      <w:pPr>
        <w:ind w:firstLine="560"/>
        <w:spacing w:after="62" w:line="460" w:lineRule="exact"/>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3.</w:t>
      </w:r>
      <w:r>
        <w:rPr>
          <w:rFonts w:ascii="Times New Roman" w:hAnsi="Times New Roman" w:eastAsia="仿宋" w:cs="Times New Roman"/>
          <w:bCs/>
          <w:sz w:val="28"/>
          <w:szCs w:val="28"/>
          <w:highlight w:val="none"/>
        </w:rPr>
        <w:t xml:space="preserve">中标人在合同规定的期限内对所提供的标的物实行现场维护，随时处理存在的故障，如现场不能维修解决的故障问题，须提供故障不能排除时的解决方案。</w:t>
      </w:r>
      <w:r>
        <w:rPr>
          <w:highlight w:val="none"/>
        </w:rPr>
      </w:r>
    </w:p>
    <w:p>
      <w:pPr>
        <w:ind w:firstLine="560"/>
        <w:spacing w:after="62" w:line="460" w:lineRule="exact"/>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4.</w:t>
      </w:r>
      <w:r>
        <w:rPr>
          <w:rFonts w:ascii="Times New Roman" w:hAnsi="Times New Roman" w:eastAsia="仿宋" w:cs="Times New Roman"/>
          <w:bCs/>
          <w:sz w:val="28"/>
          <w:szCs w:val="28"/>
          <w:highlight w:val="none"/>
        </w:rPr>
        <w:t xml:space="preserve">中标人接到使用方通知后1小时内响应，2小时内上门服务，24小时内解决好问题。</w:t>
      </w:r>
      <w:r>
        <w:rPr>
          <w:highlight w:val="none"/>
        </w:rPr>
      </w:r>
    </w:p>
    <w:p>
      <w:pPr>
        <w:ind w:firstLine="560"/>
        <w:spacing w:after="62" w:line="460" w:lineRule="exact"/>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5.</w:t>
      </w:r>
      <w:r>
        <w:rPr>
          <w:rFonts w:ascii="Times New Roman" w:hAnsi="Times New Roman" w:eastAsia="仿宋" w:cs="Times New Roman"/>
          <w:b/>
          <w:sz w:val="28"/>
          <w:szCs w:val="28"/>
          <w:highlight w:val="none"/>
        </w:rPr>
        <w:t xml:space="preserve">本项目厨房设备质保三年，食堂桌椅整体质保三年</w:t>
      </w:r>
      <w:r>
        <w:rPr>
          <w:rFonts w:ascii="Times New Roman" w:hAnsi="Times New Roman" w:eastAsia="仿宋" w:cs="Times New Roman"/>
          <w:bCs/>
          <w:sz w:val="28"/>
          <w:szCs w:val="28"/>
          <w:highlight w:val="none"/>
        </w:rPr>
        <w:t xml:space="preserve">，中标人须承诺质保期满后提供终身维修服务，保证零配件供应，维修费用按照材料成本收取。</w:t>
      </w:r>
      <w:r>
        <w:rPr>
          <w:highlight w:val="none"/>
        </w:rPr>
      </w:r>
    </w:p>
    <w:p>
      <w:pPr>
        <w:ind w:firstLine="560"/>
        <w:spacing w:after="62" w:line="460" w:lineRule="exact"/>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6.</w:t>
      </w:r>
      <w:r>
        <w:rPr>
          <w:rFonts w:ascii="Times New Roman" w:hAnsi="Times New Roman" w:eastAsia="仿宋" w:cs="Times New Roman"/>
          <w:bCs/>
          <w:sz w:val="28"/>
          <w:szCs w:val="28"/>
          <w:highlight w:val="none"/>
        </w:rPr>
        <w:t xml:space="preserve">中标人应对采购人技术人员进行维护、维修、培训，确保使用者了解维护方法和进行简单的维修操作。</w:t>
      </w:r>
      <w:r>
        <w:rPr>
          <w:highlight w:val="none"/>
        </w:rPr>
      </w:r>
    </w:p>
    <w:p>
      <w:pPr>
        <w:ind w:firstLine="560"/>
        <w:spacing w:after="62" w:line="460" w:lineRule="exact"/>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7.</w:t>
      </w:r>
      <w:r>
        <w:rPr>
          <w:rFonts w:ascii="Times New Roman" w:hAnsi="Times New Roman" w:eastAsia="仿宋" w:cs="Times New Roman"/>
          <w:bCs/>
          <w:sz w:val="28"/>
          <w:szCs w:val="28"/>
          <w:highlight w:val="none"/>
        </w:rPr>
        <w:t xml:space="preserve">中标人提供现场技术培训，保证采购人使用人员能够正常操作产品的各种功能。</w:t>
      </w:r>
      <w:r>
        <w:rPr>
          <w:highlight w:val="none"/>
        </w:rPr>
      </w:r>
    </w:p>
    <w:p>
      <w:pPr>
        <w:ind w:firstLine="560"/>
        <w:spacing w:after="62" w:line="460" w:lineRule="exact"/>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8.</w:t>
      </w:r>
      <w:r>
        <w:rPr>
          <w:rFonts w:ascii="Times New Roman" w:hAnsi="Times New Roman" w:eastAsia="仿宋" w:cs="Times New Roman"/>
          <w:bCs/>
          <w:sz w:val="28"/>
          <w:szCs w:val="28"/>
          <w:highlight w:val="none"/>
        </w:rPr>
        <w:t xml:space="preserve">政府采购优先采购节能产品和环境标志产品</w:t>
      </w:r>
      <w:r>
        <w:rPr>
          <w:highlight w:val="none"/>
        </w:rP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节能产品是指列入财政部、国家发展和改革委员会制定的《节能产品政府采购清单》。环境标志产品是指财政部、国家环保总局制定的《环境标志产品政府采购清单》。</w:t>
      </w:r>
      <w:r>
        <w:rPr>
          <w:highlight w:val="none"/>
        </w:rP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8.1本次采购需切实履行绿色采购。</w:t>
      </w:r>
      <w:r>
        <w:rPr>
          <w:highlight w:val="none"/>
        </w:rP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8.1.1商品包装环保要求：应当按《关于印发〈商品包装政府采购需求标准（试行）〉、〈快递包装政府采购需求标准（试行）〉的通知》（财办库〔2020〕123号）文件执行。</w:t>
      </w:r>
      <w:r>
        <w:rPr>
          <w:highlight w:val="none"/>
        </w:rP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（1）商品包装层数不得超过 3 层，空隙率不大于40%；</w:t>
      </w:r>
      <w:r>
        <w:rPr>
          <w:highlight w:val="none"/>
        </w:rP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（2）商品包装尽可能使用单一材质的包装材料，如因功能需求</w:t>
      </w:r>
      <w:r>
        <w:rPr>
          <w:rFonts w:hint="eastAsia" w:ascii="Times New Roman" w:hAnsi="Times New Roman" w:eastAsia="仿宋" w:cs="Times New Roman"/>
          <w:bCs/>
          <w:sz w:val="28"/>
          <w:szCs w:val="28"/>
          <w:highlight w:val="none"/>
          <w:lang w:eastAsia="zh-CN"/>
        </w:rPr>
        <w:t xml:space="preserve">必须</w:t>
      </w:r>
      <w:r>
        <w:rPr>
          <w:rFonts w:ascii="Times New Roman" w:hAnsi="Times New Roman" w:eastAsia="仿宋" w:cs="Times New Roman"/>
          <w:bCs/>
          <w:sz w:val="28"/>
          <w:szCs w:val="28"/>
          <w:highlight w:val="none"/>
        </w:rPr>
        <w:t xml:space="preserve">使用不同材质，不同材质间应便于分离；</w:t>
      </w:r>
      <w:r>
        <w:rPr>
          <w:highlight w:val="none"/>
        </w:rP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（3）商品包装中铅、汞、镉、六价铬的总含量应不大于100mg/kg；</w:t>
      </w:r>
      <w:r>
        <w:rPr>
          <w:highlight w:val="none"/>
        </w:rP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（4）商品包装印刷使用的油墨中挥发性有机化合物</w:t>
      </w:r>
      <w:r>
        <w:rPr>
          <w:rFonts w:hint="eastAsia" w:ascii="Times New Roman" w:hAnsi="Times New Roman" w:eastAsia="仿宋" w:cs="Times New Roman"/>
          <w:bCs/>
          <w:sz w:val="28"/>
          <w:szCs w:val="28"/>
          <w:highlight w:val="none"/>
          <w:lang w:eastAsia="zh-CN"/>
        </w:rPr>
        <w:t xml:space="preserve">（</w:t>
      </w:r>
      <w:r>
        <w:rPr>
          <w:rFonts w:ascii="Times New Roman" w:hAnsi="Times New Roman" w:eastAsia="仿宋" w:cs="Times New Roman"/>
          <w:bCs/>
          <w:sz w:val="28"/>
          <w:szCs w:val="28"/>
          <w:highlight w:val="none"/>
        </w:rPr>
        <w:t xml:space="preserve">VOCs</w:t>
      </w:r>
      <w:r>
        <w:rPr>
          <w:rFonts w:hint="eastAsia" w:ascii="Times New Roman" w:hAnsi="Times New Roman" w:eastAsia="仿宋" w:cs="Times New Roman"/>
          <w:bCs/>
          <w:sz w:val="28"/>
          <w:szCs w:val="28"/>
          <w:highlight w:val="none"/>
          <w:lang w:eastAsia="zh-CN"/>
        </w:rPr>
        <w:t xml:space="preserve">）</w:t>
      </w:r>
      <w:r>
        <w:rPr>
          <w:rFonts w:ascii="Times New Roman" w:hAnsi="Times New Roman" w:eastAsia="仿宋" w:cs="Times New Roman"/>
          <w:bCs/>
          <w:sz w:val="28"/>
          <w:szCs w:val="28"/>
          <w:highlight w:val="none"/>
        </w:rPr>
        <w:t xml:space="preserve">含量应不大于 5%（以重量计）；</w:t>
      </w:r>
      <w:r>
        <w:rPr>
          <w:highlight w:val="none"/>
        </w:rP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（5）塑料材质商品包装上呈现的印刷颜色不得超过 6 色；</w:t>
      </w:r>
      <w:r>
        <w:rPr>
          <w:highlight w:val="none"/>
        </w:rP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（6）纸质商品包装应使用 75%以上的可再生纤维原料生产；</w:t>
      </w:r>
      <w:r>
        <w:rPr>
          <w:highlight w:val="none"/>
        </w:rP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（7）木质商品包装的原料应来源于可持续性森林。</w:t>
      </w:r>
      <w:r>
        <w:rPr>
          <w:highlight w:val="none"/>
        </w:rP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8.1.2快递包装环保要求：</w:t>
      </w:r>
      <w:r>
        <w:rPr>
          <w:highlight w:val="none"/>
        </w:rP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（1）快递包装中重金属（铅、汞、镉、六价铬）总量应不大于 100mg/kg；</w:t>
      </w:r>
      <w:r>
        <w:rPr>
          <w:highlight w:val="none"/>
        </w:rP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（2）快递包装印刷使用的油墨中不应添加邻苯二甲酸酯，其挥发性有机化合物</w:t>
      </w:r>
      <w:r>
        <w:rPr>
          <w:rFonts w:hint="eastAsia" w:ascii="Times New Roman" w:hAnsi="Times New Roman" w:eastAsia="仿宋" w:cs="Times New Roman"/>
          <w:bCs/>
          <w:sz w:val="28"/>
          <w:szCs w:val="28"/>
          <w:highlight w:val="none"/>
          <w:lang w:eastAsia="zh-CN"/>
        </w:rPr>
        <w:t xml:space="preserve">（</w:t>
      </w:r>
      <w:r>
        <w:rPr>
          <w:rFonts w:ascii="Times New Roman" w:hAnsi="Times New Roman" w:eastAsia="仿宋" w:cs="Times New Roman"/>
          <w:bCs/>
          <w:sz w:val="28"/>
          <w:szCs w:val="28"/>
          <w:highlight w:val="none"/>
        </w:rPr>
        <w:t xml:space="preserve">VOCs</w:t>
      </w:r>
      <w:r>
        <w:rPr>
          <w:rFonts w:hint="eastAsia" w:ascii="Times New Roman" w:hAnsi="Times New Roman" w:eastAsia="仿宋" w:cs="Times New Roman"/>
          <w:bCs/>
          <w:sz w:val="28"/>
          <w:szCs w:val="28"/>
          <w:highlight w:val="none"/>
          <w:lang w:eastAsia="zh-CN"/>
        </w:rPr>
        <w:t xml:space="preserve">）</w:t>
      </w:r>
      <w:r>
        <w:rPr>
          <w:rFonts w:ascii="Times New Roman" w:hAnsi="Times New Roman" w:eastAsia="仿宋" w:cs="Times New Roman"/>
          <w:bCs/>
          <w:sz w:val="28"/>
          <w:szCs w:val="28"/>
          <w:highlight w:val="none"/>
        </w:rPr>
        <w:t xml:space="preserve">含量应不大于5%（以重量计）；</w:t>
      </w:r>
      <w:r>
        <w:rPr>
          <w:highlight w:val="none"/>
        </w:rP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（3）快递包装中使用纸基材的包装材料，纸基材中的有机氯的含量应不大于 150 mg/kg；</w:t>
      </w:r>
      <w:r>
        <w:rPr>
          <w:highlight w:val="none"/>
        </w:rP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（4）快递包装中使用塑料基材的包装材料不得使用邻苯二甲酸二异壬酯、邻苯二甲酸二正辛酯、邻苯二甲酸二</w:t>
      </w:r>
      <w:r>
        <w:rPr>
          <w:rFonts w:hint="eastAsia" w:ascii="Times New Roman" w:hAnsi="Times New Roman" w:eastAsia="仿宋" w:cs="Times New Roman"/>
          <w:bCs/>
          <w:sz w:val="28"/>
          <w:szCs w:val="28"/>
          <w:highlight w:val="none"/>
          <w:lang w:eastAsia="zh-CN"/>
        </w:rPr>
        <w:t xml:space="preserve">（</w:t>
      </w:r>
      <w:r>
        <w:rPr>
          <w:rFonts w:ascii="Times New Roman" w:hAnsi="Times New Roman" w:eastAsia="仿宋" w:cs="Times New Roman"/>
          <w:bCs/>
          <w:sz w:val="28"/>
          <w:szCs w:val="28"/>
          <w:highlight w:val="none"/>
        </w:rPr>
        <w:t xml:space="preserve">2</w:t>
      </w:r>
      <w:r>
        <w:rPr>
          <w:rFonts w:hint="eastAsia" w:ascii="Times New Roman" w:hAnsi="Times New Roman" w:eastAsia="仿宋" w:cs="Times New Roman"/>
          <w:bCs/>
          <w:sz w:val="28"/>
          <w:szCs w:val="28"/>
          <w:highlight w:val="none"/>
          <w:lang w:eastAsia="zh-CN"/>
        </w:rPr>
        <w:t xml:space="preserve">－</w:t>
      </w:r>
      <w:r>
        <w:rPr>
          <w:rFonts w:ascii="Times New Roman" w:hAnsi="Times New Roman" w:eastAsia="仿宋" w:cs="Times New Roman"/>
          <w:bCs/>
          <w:sz w:val="28"/>
          <w:szCs w:val="28"/>
          <w:highlight w:val="none"/>
        </w:rPr>
        <w:t xml:space="preserve">乙基</w:t>
      </w:r>
      <w:r>
        <w:rPr>
          <w:rFonts w:hint="eastAsia" w:ascii="Times New Roman" w:hAnsi="Times New Roman" w:eastAsia="仿宋" w:cs="Times New Roman"/>
          <w:bCs/>
          <w:sz w:val="28"/>
          <w:szCs w:val="28"/>
          <w:highlight w:val="none"/>
          <w:lang w:eastAsia="zh-CN"/>
        </w:rPr>
        <w:t xml:space="preserve">）</w:t>
      </w:r>
      <w:r>
        <w:rPr>
          <w:rFonts w:ascii="Times New Roman" w:hAnsi="Times New Roman" w:eastAsia="仿宋" w:cs="Times New Roman"/>
          <w:bCs/>
          <w:sz w:val="28"/>
          <w:szCs w:val="28"/>
          <w:highlight w:val="none"/>
        </w:rPr>
        <w:t xml:space="preserve">己酯、邻苯二甲酸二异癸酯、邻苯二甲酸丁基苄基酯、邻苯二甲酸二丁酯等作为增塑剂；</w:t>
      </w:r>
      <w:r>
        <w:rPr>
          <w:highlight w:val="none"/>
        </w:rP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（5）快递中使用的塑料包装袋不得使用聚氯乙烯作为原料，且原料应为单一材质制成，生物分解率大于60%；</w:t>
      </w:r>
      <w:r>
        <w:rPr>
          <w:highlight w:val="none"/>
        </w:rP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（6）快递中使用的充气类填充物不得使用聚氯乙烯作为 原料，且原料为单一材质制成，生物分解率大于60%；</w:t>
      </w:r>
      <w:r>
        <w:rPr>
          <w:highlight w:val="none"/>
        </w:rP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（7）快递中使用的集装袋应为单一材质制成，其重复使用次数应不小于 80 次；</w:t>
      </w:r>
      <w:r>
        <w:rPr>
          <w:highlight w:val="none"/>
        </w:rP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（8）快递中应使用幅宽不大于45mm 的生物降解胶带；</w:t>
      </w:r>
      <w:r>
        <w:rPr>
          <w:highlight w:val="none"/>
        </w:rP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（9）快递包装中不得使用溶剂型</w:t>
      </w:r>
      <w:r>
        <w:rPr>
          <w:rFonts w:hint="eastAsia" w:ascii="Times New Roman" w:hAnsi="Times New Roman" w:eastAsia="仿宋" w:cs="Times New Roman"/>
          <w:bCs/>
          <w:sz w:val="28"/>
          <w:szCs w:val="28"/>
          <w:highlight w:val="none"/>
          <w:lang w:eastAsia="zh-CN"/>
        </w:rPr>
        <w:t xml:space="preserve">胶黏剂</w:t>
      </w:r>
      <w:r>
        <w:rPr>
          <w:rFonts w:ascii="Times New Roman" w:hAnsi="Times New Roman" w:eastAsia="仿宋" w:cs="Times New Roman"/>
          <w:bCs/>
          <w:sz w:val="28"/>
          <w:szCs w:val="28"/>
          <w:highlight w:val="none"/>
        </w:rPr>
        <w:t xml:space="preserve">；</w:t>
      </w:r>
      <w:r>
        <w:rPr>
          <w:highlight w:val="none"/>
        </w:rP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（11）快递应使用电子面单；</w:t>
      </w:r>
      <w:r>
        <w:rPr>
          <w:highlight w:val="none"/>
        </w:rP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（12）直接使用商品包装作为快递包装的商品，其商品包装满足《商品包装政府采购需求标准（试行）》即可；</w:t>
      </w:r>
      <w:r>
        <w:rPr>
          <w:highlight w:val="none"/>
        </w:rPr>
      </w:r>
    </w:p>
    <w:p>
      <w:pPr>
        <w:ind w:firstLine="560"/>
        <w:spacing w:after="62" w:line="460" w:lineRule="exact"/>
        <w:rPr>
          <w:rFonts w:ascii="Times New Roman" w:hAnsi="Times New Roman" w:eastAsia="仿宋" w:cs="Times New Roman"/>
          <w:bCs/>
          <w:sz w:val="28"/>
          <w:szCs w:val="28"/>
          <w:highlight w:val="none"/>
        </w:rPr>
      </w:pPr>
      <w:r>
        <w:rPr>
          <w:rFonts w:ascii="Times New Roman" w:hAnsi="Times New Roman" w:eastAsia="仿宋" w:cs="Times New Roman"/>
          <w:bCs/>
          <w:sz w:val="28"/>
          <w:szCs w:val="28"/>
          <w:highlight w:val="none"/>
        </w:rPr>
        <w:t xml:space="preserve">（13）快递包装产品质量和封装方式应符合相关国家或行业标准技术指标要求。</w:t>
      </w:r>
      <w:r>
        <w:rPr>
          <w:highlight w:val="none"/>
        </w:rPr>
      </w:r>
    </w:p>
    <w:p>
      <w:p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（八）本项目（接受/不接受）进口产品投标</w:t>
      </w:r>
      <w:r>
        <w:rPr>
          <w:rFonts w:hint="eastAsia" w:ascii="Times New Roman" w:hAnsi="Times New Roman" w:eastAsia="仿宋" w:cs="Times New Roman"/>
          <w:b/>
          <w:bCs/>
          <w:sz w:val="28"/>
          <w:szCs w:val="28"/>
          <w:highlight w:val="none"/>
          <w:lang w:eastAsia="zh-CN"/>
        </w:rPr>
        <w:t xml:space="preserve">；</w:t>
      </w:r>
      <w:r>
        <w:rPr>
          <w:rFonts w:ascii="Times New Roman" w:hAnsi="Times New Roman" w:eastAsia="仿宋" w:cs="Times New Roman"/>
          <w:b/>
          <w:bCs/>
          <w:sz w:val="28"/>
          <w:szCs w:val="28"/>
          <w:highlight w:val="none"/>
        </w:rPr>
        <w:t xml:space="preserve">（备注：如有多分包，明确每个分包是否接受进口产品投标。）</w:t>
      </w:r>
      <w:r>
        <w:rPr>
          <w:highlight w:val="none"/>
        </w:rPr>
      </w:r>
    </w:p>
    <w:p>
      <w:pPr>
        <w:ind w:firstLine="562"/>
        <w:spacing w:after="62" w:line="460" w:lineRule="exact"/>
        <w:rPr>
          <w:rFonts w:ascii="Times New Roman" w:hAnsi="Times New Roman" w:eastAsia="仿宋" w:cs="Times New Roman"/>
          <w:b/>
          <w:bCs/>
          <w:color w:val="000000"/>
          <w:sz w:val="28"/>
          <w:szCs w:val="28"/>
          <w:highlight w:val="none"/>
        </w:rPr>
      </w:pPr>
      <w:r>
        <w:rPr>
          <w:rFonts w:ascii="Times New Roman" w:hAnsi="Times New Roman" w:eastAsia="仿宋" w:cs="Times New Roman"/>
          <w:b/>
          <w:bCs/>
          <w:color w:val="000000"/>
          <w:sz w:val="28"/>
          <w:szCs w:val="28"/>
          <w:highlight w:val="none"/>
        </w:rPr>
        <w:t xml:space="preserve">本项目不接受进口产品投标，不接受分包。</w:t>
      </w:r>
      <w:r>
        <w:rPr>
          <w:highlight w:val="none"/>
        </w:rPr>
      </w:r>
    </w:p>
    <w:p>
      <w:pPr>
        <w:numPr>
          <w:ilvl w:val="0"/>
          <w:numId w:val="15"/>
        </w:num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非单一产品采购项目，采购标的中的核心产品</w:t>
      </w:r>
      <w:r>
        <w:rPr>
          <w:highlight w:val="none"/>
        </w:rPr>
      </w:r>
    </w:p>
    <w:tbl>
      <w:tblPr>
        <w:tblStyle w:val="9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5021"/>
      </w:tblGrid>
      <w:tr>
        <w:trPr>
          <w:jc w:val="center"/>
        </w:trPr>
        <w:tc>
          <w:tcPr>
            <w:tcW w:w="1216" w:type="dxa"/>
            <w:textDirection w:val="lrTb"/>
            <w:noWrap w:val="false"/>
          </w:tcPr>
          <w:p>
            <w:pPr>
              <w:jc w:val="center"/>
              <w:spacing w:after="62" w:line="480" w:lineRule="exact"/>
              <w:rPr>
                <w:rFonts w:ascii="Times New Roman" w:hAnsi="Times New Roman" w:eastAsia="仿宋" w:cs="Times New Roman"/>
                <w:b/>
                <w:bCs/>
                <w:sz w:val="24"/>
                <w:highlight w:val="none"/>
              </w:rPr>
            </w:pPr>
            <w:r>
              <w:rPr>
                <w:rFonts w:ascii="Times New Roman" w:hAnsi="Times New Roman" w:eastAsia="仿宋" w:cs="Times New Roman"/>
                <w:b/>
                <w:bCs/>
                <w:sz w:val="24"/>
                <w:highlight w:val="none"/>
              </w:rPr>
              <w:t xml:space="preserve">分包号</w:t>
            </w:r>
            <w:r>
              <w:rPr>
                <w:highlight w:val="none"/>
              </w:rPr>
            </w:r>
          </w:p>
        </w:tc>
        <w:tc>
          <w:tcPr>
            <w:tcW w:w="5021" w:type="dxa"/>
            <w:textDirection w:val="lrTb"/>
            <w:noWrap w:val="false"/>
          </w:tcPr>
          <w:p>
            <w:pPr>
              <w:jc w:val="center"/>
              <w:spacing w:after="62" w:line="480" w:lineRule="exact"/>
              <w:rPr>
                <w:rFonts w:ascii="Times New Roman" w:hAnsi="Times New Roman" w:eastAsia="仿宋" w:cs="Times New Roman"/>
                <w:b/>
                <w:bCs/>
                <w:sz w:val="24"/>
                <w:highlight w:val="none"/>
              </w:rPr>
            </w:pPr>
            <w:r>
              <w:rPr>
                <w:rFonts w:ascii="Times New Roman" w:hAnsi="Times New Roman" w:eastAsia="仿宋" w:cs="Times New Roman"/>
                <w:b/>
                <w:bCs/>
                <w:sz w:val="24"/>
                <w:highlight w:val="none"/>
              </w:rPr>
              <w:t xml:space="preserve">核心产品（主要标的）</w:t>
            </w:r>
            <w:r>
              <w:rPr>
                <w:highlight w:val="none"/>
              </w:rPr>
            </w:r>
          </w:p>
        </w:tc>
      </w:tr>
      <w:tr>
        <w:trPr>
          <w:jc w:val="center"/>
        </w:trPr>
        <w:tc>
          <w:tcPr>
            <w:tcW w:w="1216" w:type="dxa"/>
            <w:textDirection w:val="lrTb"/>
            <w:noWrap w:val="false"/>
          </w:tcPr>
          <w:p>
            <w:pPr>
              <w:jc w:val="center"/>
              <w:spacing w:after="62" w:line="480" w:lineRule="exact"/>
              <w:rPr>
                <w:rFonts w:ascii="Times New Roman" w:hAnsi="Times New Roman" w:eastAsia="仿宋" w:cs="Times New Roman"/>
                <w:b/>
                <w:bCs/>
                <w:sz w:val="24"/>
                <w:highlight w:val="none"/>
              </w:rPr>
            </w:pPr>
            <w:r>
              <w:rPr>
                <w:rFonts w:ascii="Times New Roman" w:hAnsi="Times New Roman" w:eastAsia="仿宋" w:cs="Times New Roman"/>
                <w:b/>
                <w:bCs/>
                <w:sz w:val="24"/>
                <w:highlight w:val="none"/>
              </w:rPr>
              <w:t xml:space="preserve">1</w:t>
            </w:r>
            <w:r>
              <w:rPr>
                <w:highlight w:val="none"/>
              </w:rPr>
            </w:r>
          </w:p>
        </w:tc>
        <w:tc>
          <w:tcPr>
            <w:tcW w:w="5021" w:type="dxa"/>
            <w:textDirection w:val="lrTb"/>
            <w:noWrap w:val="false"/>
          </w:tcPr>
          <w:p>
            <w:pPr>
              <w:jc w:val="center"/>
              <w:spacing w:after="62" w:line="480" w:lineRule="exact"/>
              <w:rPr>
                <w:rFonts w:ascii="Times New Roman" w:hAnsi="Times New Roman" w:eastAsia="仿宋" w:cs="Times New Roman"/>
                <w:b/>
                <w:bCs/>
                <w:sz w:val="24"/>
                <w:highlight w:val="none"/>
              </w:rPr>
            </w:pPr>
            <w:r>
              <w:rPr>
                <w:rFonts w:ascii="Times New Roman" w:hAnsi="Times New Roman" w:eastAsia="仿宋" w:cs="Times New Roman"/>
                <w:b/>
                <w:bCs/>
                <w:sz w:val="24"/>
                <w:highlight w:val="none"/>
              </w:rPr>
              <w:t xml:space="preserve">燃气大锅灶（1000大锅）</w:t>
            </w:r>
            <w:r>
              <w:rPr>
                <w:highlight w:val="none"/>
              </w:rPr>
            </w:r>
          </w:p>
        </w:tc>
      </w:tr>
    </w:tbl>
    <w:p>
      <w:pPr>
        <w:ind w:firstLine="843"/>
        <w:spacing w:after="62"/>
        <w:rPr>
          <w:rFonts w:ascii="Times New Roman" w:hAnsi="Times New Roman" w:eastAsia="仿宋" w:cs="Times New Roman"/>
          <w:b/>
          <w:sz w:val="28"/>
          <w:szCs w:val="28"/>
          <w:highlight w:val="none"/>
        </w:rPr>
      </w:pPr>
      <w:r>
        <w:rPr>
          <w:rFonts w:ascii="Times New Roman" w:hAnsi="Times New Roman" w:eastAsia="仿宋" w:cs="Times New Roman"/>
          <w:b/>
          <w:sz w:val="28"/>
          <w:szCs w:val="28"/>
          <w:highlight w:val="none"/>
        </w:rPr>
      </w:r>
      <w:r>
        <w:rPr>
          <w:highlight w:val="none"/>
        </w:rPr>
      </w:r>
    </w:p>
    <w:p>
      <w:pPr>
        <w:spacing w:after="62" w:line="460" w:lineRule="exact"/>
        <w:rPr>
          <w:rFonts w:ascii="Times New Roman" w:hAnsi="Times New Roman" w:eastAsia="仿宋" w:cs="Times New Roman"/>
          <w:b/>
          <w:sz w:val="28"/>
          <w:szCs w:val="28"/>
          <w:highlight w:val="none"/>
        </w:rPr>
      </w:pPr>
      <w:r>
        <w:rPr>
          <w:rFonts w:ascii="Times New Roman" w:hAnsi="Times New Roman" w:eastAsia="仿宋" w:cs="Times New Roman"/>
          <w:b/>
          <w:sz w:val="28"/>
          <w:szCs w:val="28"/>
          <w:highlight w:val="none"/>
        </w:rPr>
        <w:t xml:space="preserve">三、商务要求</w:t>
      </w:r>
      <w:r>
        <w:rPr>
          <w:highlight w:val="none"/>
        </w:rPr>
      </w:r>
    </w:p>
    <w:p>
      <w:pPr>
        <w:ind w:firstLine="560"/>
        <w:jc w:val="left"/>
        <w:spacing w:after="62" w:line="46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包括交付（实施）的时间（期限）和地点（范围），付款条件（进度和方法），包装和运输，售后服务，保险等：</w:t>
      </w:r>
      <w:r>
        <w:rPr>
          <w:highlight w:val="none"/>
        </w:rPr>
      </w:r>
    </w:p>
    <w:p>
      <w:pPr>
        <w:spacing w:after="62" w:line="460" w:lineRule="exact"/>
        <w:rPr>
          <w:rFonts w:ascii="Times New Roman" w:hAnsi="Times New Roman" w:eastAsia="仿宋" w:cs="Times New Roman"/>
          <w:b/>
          <w:sz w:val="28"/>
          <w:szCs w:val="28"/>
          <w:highlight w:val="none"/>
        </w:rPr>
      </w:pPr>
      <w:r>
        <w:rPr>
          <w:rFonts w:ascii="Times New Roman" w:hAnsi="Times New Roman" w:eastAsia="仿宋" w:cs="Times New Roman"/>
          <w:b/>
          <w:sz w:val="28"/>
          <w:szCs w:val="28"/>
          <w:highlight w:val="none"/>
        </w:rPr>
        <w:t xml:space="preserve">（一）采购标的数量、采购项目交付或者实施的时间和地点</w:t>
      </w:r>
      <w:r>
        <w:rPr>
          <w:highlight w:val="none"/>
        </w:rPr>
      </w:r>
    </w:p>
    <w:p>
      <w:pPr>
        <w:ind w:firstLine="560"/>
        <w:spacing w:after="62" w:line="46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1.</w:t>
      </w:r>
      <w:r>
        <w:rPr>
          <w:rFonts w:ascii="Times New Roman" w:hAnsi="Times New Roman" w:eastAsia="仿宋" w:cs="Times New Roman"/>
          <w:sz w:val="28"/>
          <w:szCs w:val="28"/>
          <w:highlight w:val="none"/>
        </w:rPr>
        <w:t xml:space="preserve">标的数量：厨房设备清单及技术要求详见附件</w:t>
      </w:r>
      <w:r>
        <w:rPr>
          <w:highlight w:val="none"/>
        </w:rPr>
      </w:r>
    </w:p>
    <w:p>
      <w:pPr>
        <w:ind w:firstLine="560"/>
        <w:spacing w:after="62" w:line="46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2.</w:t>
      </w:r>
      <w:r>
        <w:rPr>
          <w:rFonts w:ascii="Times New Roman" w:hAnsi="Times New Roman" w:eastAsia="仿宋" w:cs="Times New Roman"/>
          <w:sz w:val="28"/>
          <w:szCs w:val="28"/>
          <w:highlight w:val="none"/>
        </w:rPr>
        <w:t xml:space="preserve">供货周期：签订合同后30天内完成供货安装调试</w:t>
      </w:r>
      <w:r>
        <w:rPr>
          <w:rFonts w:hint="eastAsia" w:eastAsia="仿宋" w:cs="Times New Roman"/>
          <w:sz w:val="28"/>
          <w:szCs w:val="28"/>
          <w:highlight w:val="none"/>
          <w:lang w:eastAsia="zh-CN"/>
        </w:rPr>
        <w:t xml:space="preserve">（</w:t>
      </w:r>
      <w:r>
        <w:rPr>
          <w:rFonts w:hint="eastAsia" w:eastAsia="仿宋" w:cs="Times New Roman"/>
          <w:sz w:val="28"/>
          <w:szCs w:val="28"/>
          <w:highlight w:val="none"/>
          <w:lang w:val="en-US" w:eastAsia="zh-CN"/>
        </w:rPr>
        <w:t xml:space="preserve">安装应遵循食堂平面图详见采购公告附件</w:t>
      </w:r>
      <w:r>
        <w:rPr>
          <w:rFonts w:hint="eastAsia" w:eastAsia="仿宋" w:cs="Times New Roman"/>
          <w:sz w:val="28"/>
          <w:szCs w:val="28"/>
          <w:highlight w:val="none"/>
          <w:lang w:eastAsia="zh-CN"/>
        </w:rPr>
        <w:t xml:space="preserve">）</w:t>
      </w:r>
      <w:r>
        <w:rPr>
          <w:rFonts w:ascii="Times New Roman" w:hAnsi="Times New Roman" w:eastAsia="仿宋" w:cs="Times New Roman"/>
          <w:sz w:val="28"/>
          <w:szCs w:val="28"/>
          <w:highlight w:val="none"/>
        </w:rPr>
        <w:t xml:space="preserve">，并通过采购人验收。</w:t>
      </w:r>
      <w:r>
        <w:rPr>
          <w:highlight w:val="none"/>
        </w:rPr>
      </w:r>
    </w:p>
    <w:p>
      <w:pPr>
        <w:ind w:firstLine="560"/>
        <w:spacing w:after="62" w:line="460" w:lineRule="exact"/>
        <w:rPr>
          <w:rFonts w:ascii="Times New Roman" w:hAnsi="Times New Roman" w:eastAsia="仿宋" w:cs="Times New Roman"/>
          <w:sz w:val="28"/>
          <w:szCs w:val="28"/>
          <w:highlight w:val="none"/>
        </w:rPr>
      </w:pPr>
      <w:r>
        <w:rPr>
          <w:rFonts w:hint="eastAsia" w:ascii="Times New Roman" w:hAnsi="Times New Roman" w:eastAsia="仿宋" w:cs="Times New Roman"/>
          <w:sz w:val="28"/>
          <w:szCs w:val="28"/>
          <w:highlight w:val="none"/>
          <w:lang w:eastAsia="zh-CN"/>
        </w:rPr>
        <w:t xml:space="preserve">3.</w:t>
      </w:r>
      <w:r>
        <w:rPr>
          <w:rFonts w:ascii="Times New Roman" w:hAnsi="Times New Roman" w:eastAsia="仿宋" w:cs="Times New Roman"/>
          <w:sz w:val="28"/>
          <w:szCs w:val="28"/>
          <w:highlight w:val="none"/>
        </w:rPr>
        <w:t xml:space="preserve">交货地点：南通市田家炳初级中学南园校区（南园路21号），具体按采购人指定地点送货、安装。</w:t>
      </w:r>
      <w:r>
        <w:rPr>
          <w:highlight w:val="none"/>
        </w:rPr>
      </w:r>
    </w:p>
    <w:p>
      <w:pPr>
        <w:spacing w:after="62" w:line="460" w:lineRule="exact"/>
        <w:rPr>
          <w:rFonts w:ascii="Times New Roman" w:hAnsi="Times New Roman" w:eastAsia="仿宋" w:cs="Times New Roman"/>
          <w:b/>
          <w:sz w:val="28"/>
          <w:szCs w:val="28"/>
          <w:highlight w:val="none"/>
        </w:rPr>
      </w:pPr>
      <w:r>
        <w:rPr>
          <w:rFonts w:ascii="Times New Roman" w:hAnsi="Times New Roman" w:eastAsia="仿宋" w:cs="Times New Roman"/>
          <w:b/>
          <w:sz w:val="28"/>
          <w:szCs w:val="28"/>
          <w:highlight w:val="none"/>
        </w:rPr>
        <w:t xml:space="preserve">（二）付款方式</w:t>
      </w:r>
      <w:r>
        <w:rPr>
          <w:highlight w:val="none"/>
        </w:rPr>
      </w:r>
    </w:p>
    <w:p>
      <w:pPr>
        <w:ind w:firstLine="560"/>
        <w:spacing w:after="62" w:line="460" w:lineRule="exact"/>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1.</w:t>
      </w:r>
      <w:r>
        <w:rPr>
          <w:rFonts w:ascii="Times New Roman" w:hAnsi="Times New Roman" w:eastAsia="仿宋" w:cs="Times New Roman"/>
          <w:bCs/>
          <w:sz w:val="28"/>
          <w:szCs w:val="28"/>
          <w:highlight w:val="none"/>
        </w:rPr>
        <w:t xml:space="preserve">合同签订生效后一个月采购人支付中标人合同总价的30%预付款。</w:t>
      </w:r>
      <w:r>
        <w:rPr>
          <w:highlight w:val="none"/>
        </w:rPr>
      </w:r>
    </w:p>
    <w:p>
      <w:pPr>
        <w:ind w:firstLine="560"/>
        <w:spacing w:after="62" w:line="460" w:lineRule="exact"/>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2.</w:t>
      </w:r>
      <w:r>
        <w:rPr>
          <w:rFonts w:ascii="Times New Roman" w:hAnsi="Times New Roman" w:eastAsia="仿宋" w:cs="Times New Roman"/>
          <w:bCs/>
          <w:sz w:val="28"/>
          <w:szCs w:val="28"/>
          <w:highlight w:val="none"/>
        </w:rPr>
        <w:t xml:space="preserve">货物到场、安装调试完毕，并经采购人验收合格确认签字入库1个月后收到中标人正规发票付至货款的100%。</w:t>
      </w:r>
      <w:bookmarkStart w:id="200" w:name="_GoBack"/>
      <w:r>
        <w:rPr>
          <w:highlight w:val="none"/>
        </w:rPr>
      </w:r>
      <w:bookmarkEnd w:id="200"/>
      <w:r>
        <w:rPr>
          <w:highlight w:val="none"/>
        </w:rPr>
      </w:r>
      <w:r>
        <w:rPr>
          <w:highlight w:val="none"/>
        </w:rPr>
      </w:r>
    </w:p>
    <w:p>
      <w:pPr>
        <w:ind w:firstLine="560"/>
        <w:spacing w:after="62" w:line="460" w:lineRule="exact"/>
        <w:rPr>
          <w:rFonts w:ascii="Times New Roman" w:hAnsi="Times New Roman" w:eastAsia="仿宋" w:cs="Times New Roman"/>
          <w:bCs/>
          <w:sz w:val="28"/>
          <w:szCs w:val="28"/>
          <w:highlight w:val="none"/>
        </w:rPr>
      </w:pPr>
      <w:r>
        <w:rPr>
          <w:rFonts w:hint="eastAsia" w:ascii="Times New Roman" w:hAnsi="Times New Roman" w:eastAsia="仿宋" w:cs="Times New Roman"/>
          <w:bCs/>
          <w:sz w:val="28"/>
          <w:szCs w:val="28"/>
          <w:highlight w:val="none"/>
          <w:lang w:eastAsia="zh-CN"/>
        </w:rPr>
        <w:t xml:space="preserve">3.</w:t>
      </w:r>
      <w:r>
        <w:rPr>
          <w:rFonts w:ascii="Times New Roman" w:hAnsi="Times New Roman" w:eastAsia="仿宋" w:cs="Times New Roman"/>
          <w:bCs/>
          <w:sz w:val="28"/>
          <w:szCs w:val="28"/>
          <w:highlight w:val="none"/>
        </w:rPr>
        <w:t xml:space="preserve">因中标人发票错误、迟延等问题而导致采购人无法付款的，采购人不承担责任。</w:t>
      </w:r>
      <w:r>
        <w:rPr>
          <w:highlight w:val="none"/>
        </w:rPr>
      </w:r>
    </w:p>
    <w:p>
      <w:pPr>
        <w:spacing w:after="62" w:line="460" w:lineRule="exact"/>
        <w:rPr>
          <w:rFonts w:ascii="Times New Roman" w:hAnsi="Times New Roman" w:eastAsia="仿宋" w:cs="Times New Roman"/>
          <w:b/>
          <w:sz w:val="28"/>
          <w:szCs w:val="28"/>
          <w:highlight w:val="none"/>
        </w:rPr>
      </w:pPr>
      <w:r>
        <w:rPr>
          <w:rFonts w:ascii="Times New Roman" w:hAnsi="Times New Roman" w:eastAsia="仿宋" w:cs="Times New Roman"/>
          <w:b/>
          <w:sz w:val="28"/>
          <w:szCs w:val="28"/>
          <w:highlight w:val="none"/>
        </w:rPr>
        <w:t xml:space="preserve">（三）履约保证金</w:t>
      </w:r>
      <w:r>
        <w:rPr>
          <w:highlight w:val="none"/>
        </w:rPr>
      </w:r>
    </w:p>
    <w:p>
      <w:pPr>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1.</w:t>
      </w:r>
      <w:r>
        <w:rPr>
          <w:rFonts w:hint="eastAsia" w:ascii="仿宋" w:hAnsi="仿宋" w:eastAsia="仿宋"/>
          <w:color w:val="000000"/>
          <w:sz w:val="28"/>
          <w:szCs w:val="28"/>
          <w:highlight w:val="none"/>
        </w:rPr>
        <w:t xml:space="preserve">本项目成交后的履约保证金为项目成交价的10%，成交供应商的履约保证金须在成交通知书发出之日起至合同签订前汇入采购人账户（应当以数字人民币、支票、汇票或者金融机构、担保机构出具的保函等形式提交），成交供应商凭成交通知书与采购人签订合同。由于中标人原因造成超期未签订合同的，则视为自动放弃成交资格。</w:t>
      </w:r>
      <w:r>
        <w:rPr>
          <w:highlight w:val="none"/>
        </w:rPr>
      </w:r>
    </w:p>
    <w:p>
      <w:pPr>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2.</w:t>
      </w:r>
      <w:r>
        <w:rPr>
          <w:rFonts w:hint="eastAsia" w:ascii="仿宋" w:hAnsi="仿宋" w:eastAsia="仿宋"/>
          <w:color w:val="000000"/>
          <w:sz w:val="28"/>
          <w:szCs w:val="28"/>
          <w:highlight w:val="none"/>
        </w:rPr>
        <w:t xml:space="preserve">成交供应商全部履约合同义务，经采购人验收合格无质量、进度等问题的，采购人在验收合格后一次性退还履约保证金，采购人若逾期退还履约保证金的，按照逾期部分的每日0.05%支付违约金；</w:t>
      </w:r>
      <w:r>
        <w:rPr>
          <w:highlight w:val="none"/>
        </w:rPr>
      </w:r>
    </w:p>
    <w:p>
      <w:pPr>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3.</w:t>
      </w:r>
      <w:r>
        <w:rPr>
          <w:rFonts w:hint="eastAsia" w:ascii="仿宋" w:hAnsi="仿宋" w:eastAsia="仿宋"/>
          <w:color w:val="000000"/>
          <w:sz w:val="28"/>
          <w:szCs w:val="28"/>
          <w:highlight w:val="none"/>
        </w:rPr>
        <w:t xml:space="preserve">发生以下情况的，履约保证金不予退还或部分退还：</w:t>
      </w:r>
      <w:r>
        <w:rPr>
          <w:highlight w:val="none"/>
        </w:rPr>
      </w:r>
    </w:p>
    <w:p>
      <w:pPr>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a.签订合同后，成交供应商不履行合同义务的，采购人有权全额扣除履约保证金，全额不予退还，同时采购人亦有权终止合同，中标人还须承担相应的法律赔偿责任。</w:t>
      </w:r>
      <w:r>
        <w:rPr>
          <w:highlight w:val="none"/>
        </w:rPr>
      </w:r>
    </w:p>
    <w:p>
      <w:pPr>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b.成交供应商在履约过程中发生违约行为，给采购人造成损失的，采购人有权在成交供应商缴纳的履约保证金中予以扣款，以弥补采购人经济损失，不足的部分成交供应商另外补齐。</w:t>
      </w:r>
      <w:r>
        <w:rPr>
          <w:highlight w:val="none"/>
        </w:rPr>
      </w:r>
    </w:p>
    <w:p>
      <w:pPr>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c.因乙方违约应向甲方支付违约金或承担损失超过履约保函额度，或者提供履约保函的担保人未在30日内完成相关款项支付的，乙方负有先行垫付义务，且甲方保留扣除乙方合同款、向乙方追偿不予支付超过保修额度以外的款项的权利。</w:t>
      </w:r>
      <w:r>
        <w:rPr>
          <w:highlight w:val="none"/>
        </w:rPr>
      </w:r>
    </w:p>
    <w:p>
      <w:pPr>
        <w:ind w:firstLine="560"/>
        <w:spacing w:line="480" w:lineRule="exact"/>
        <w:rPr>
          <w:rFonts w:ascii="仿宋" w:hAnsi="仿宋" w:eastAsia="仿宋"/>
          <w:b/>
          <w:bCs/>
          <w:color w:val="000000"/>
          <w:sz w:val="28"/>
          <w:szCs w:val="28"/>
          <w:highlight w:val="none"/>
        </w:rPr>
      </w:pPr>
      <w:r>
        <w:rPr>
          <w:rFonts w:hint="eastAsia" w:ascii="仿宋" w:hAnsi="仿宋" w:eastAsia="仿宋"/>
          <w:color w:val="000000"/>
          <w:sz w:val="28"/>
          <w:szCs w:val="28"/>
          <w:highlight w:val="none"/>
          <w:lang w:eastAsia="zh-CN"/>
        </w:rPr>
        <w:t xml:space="preserve">4.</w:t>
      </w:r>
      <w:r>
        <w:rPr>
          <w:rFonts w:hint="eastAsia" w:ascii="仿宋" w:hAnsi="仿宋" w:eastAsia="仿宋"/>
          <w:color w:val="000000"/>
          <w:sz w:val="28"/>
          <w:szCs w:val="28"/>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8"/>
          <w:szCs w:val="28"/>
          <w:highlight w:val="none"/>
          <w:lang w:eastAsia="zh-CN"/>
        </w:rPr>
        <w:t xml:space="preserve">可登录</w:t>
      </w:r>
      <w:r>
        <w:rPr>
          <w:rFonts w:hint="eastAsia" w:ascii="仿宋" w:hAnsi="仿宋" w:eastAsia="仿宋"/>
          <w:color w:val="000000"/>
          <w:sz w:val="28"/>
          <w:szCs w:val="28"/>
          <w:highlight w:val="none"/>
        </w:rPr>
        <w:t xml:space="preserve">江苏政府采购网“资料下载”栏目下载“政府采购电子履约（保函）保险操作手册（网址：www.ccgp-jiangsu.gov.cn/jisngsu/zlxz</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w:t>
      </w:r>
      <w:r>
        <w:rPr>
          <w:highlight w:val="none"/>
        </w:rPr>
      </w:r>
    </w:p>
    <w:p>
      <w:pPr>
        <w:spacing w:after="62" w:line="480" w:lineRule="exact"/>
        <w:rPr>
          <w:rFonts w:ascii="Times New Roman" w:hAnsi="Times New Roman" w:eastAsia="仿宋" w:cs="Times New Roman"/>
          <w:b/>
          <w:bCs/>
          <w:color w:val="000000"/>
          <w:sz w:val="28"/>
          <w:szCs w:val="28"/>
          <w:highlight w:val="none"/>
        </w:rPr>
      </w:pPr>
      <w:r>
        <w:rPr>
          <w:rFonts w:ascii="Times New Roman" w:hAnsi="Times New Roman" w:eastAsia="仿宋" w:cs="Times New Roman"/>
          <w:b/>
          <w:bCs/>
          <w:color w:val="000000"/>
          <w:sz w:val="28"/>
          <w:szCs w:val="28"/>
          <w:highlight w:val="none"/>
        </w:rPr>
      </w:r>
      <w:r>
        <w:rPr>
          <w:highlight w:val="none"/>
        </w:rPr>
      </w:r>
    </w:p>
    <w:p>
      <w:pPr>
        <w:spacing w:after="62" w:line="480" w:lineRule="exact"/>
        <w:rPr>
          <w:rFonts w:ascii="Times New Roman" w:hAnsi="Times New Roman" w:eastAsia="仿宋" w:cs="Times New Roman"/>
          <w:b/>
          <w:bCs/>
          <w:i/>
          <w:sz w:val="28"/>
          <w:szCs w:val="28"/>
          <w:highlight w:val="none"/>
          <w:u w:val="single"/>
        </w:rPr>
      </w:pPr>
      <w:r>
        <w:rPr>
          <w:rFonts w:ascii="Times New Roman" w:hAnsi="Times New Roman" w:eastAsia="仿宋" w:cs="Times New Roman"/>
          <w:b/>
          <w:bCs/>
          <w:i/>
          <w:sz w:val="28"/>
          <w:szCs w:val="28"/>
          <w:highlight w:val="none"/>
          <w:u w:val="single"/>
        </w:rPr>
        <w:t xml:space="preserve">四、采购需求中必须满足的实质性要求</w:t>
      </w:r>
      <w:r>
        <w:rPr>
          <w:highlight w:val="none"/>
        </w:rPr>
      </w:r>
    </w:p>
    <w:p>
      <w:pPr>
        <w:spacing w:after="62" w:line="480" w:lineRule="exact"/>
        <w:rPr>
          <w:rFonts w:ascii="Times New Roman" w:hAnsi="Times New Roman" w:eastAsia="仿宋" w:cs="Times New Roman"/>
          <w:b/>
          <w:bCs/>
          <w:i/>
          <w:sz w:val="28"/>
          <w:szCs w:val="28"/>
          <w:highlight w:val="none"/>
          <w:u w:val="single"/>
        </w:rPr>
      </w:pPr>
      <w:r>
        <w:rPr>
          <w:rFonts w:ascii="Times New Roman" w:hAnsi="Times New Roman" w:eastAsia="仿宋" w:cs="Times New Roman"/>
          <w:i/>
          <w:sz w:val="28"/>
          <w:szCs w:val="28"/>
          <w:highlight w:val="none"/>
          <w:u w:val="single"/>
        </w:rPr>
        <w:t xml:space="preserve">4.1技术部分实质性要求</w:t>
      </w:r>
      <w:r>
        <w:rPr>
          <w:rFonts w:ascii="Times New Roman" w:hAnsi="Times New Roman" w:eastAsia="仿宋" w:cs="Times New Roman"/>
          <w:b/>
          <w:bCs/>
          <w:i/>
          <w:sz w:val="28"/>
          <w:szCs w:val="28"/>
          <w:highlight w:val="none"/>
          <w:u w:val="single"/>
        </w:rPr>
        <w:t xml:space="preserve">（请单独列出并加斜体下划线）</w:t>
      </w:r>
      <w:r>
        <w:rPr>
          <w:highlight w:val="none"/>
        </w:rPr>
      </w:r>
    </w:p>
    <w:p>
      <w:pPr>
        <w:spacing w:after="62" w:line="480" w:lineRule="exact"/>
        <w:rPr>
          <w:rFonts w:ascii="Times New Roman" w:hAnsi="Times New Roman" w:eastAsia="仿宋" w:cs="Times New Roman"/>
          <w:b/>
          <w:bCs/>
          <w:i/>
          <w:sz w:val="28"/>
          <w:szCs w:val="28"/>
          <w:highlight w:val="none"/>
          <w:u w:val="single"/>
        </w:rPr>
      </w:pPr>
      <w:r>
        <w:rPr>
          <w:rFonts w:ascii="Times New Roman" w:hAnsi="Times New Roman" w:eastAsia="仿宋" w:cs="Times New Roman"/>
          <w:i/>
          <w:sz w:val="28"/>
          <w:szCs w:val="28"/>
          <w:highlight w:val="none"/>
          <w:u w:val="single"/>
        </w:rPr>
        <w:t xml:space="preserve">4.1.1</w:t>
      </w:r>
      <w:r>
        <w:rPr>
          <w:rFonts w:ascii="Times New Roman" w:hAnsi="Times New Roman" w:eastAsia="仿宋" w:cs="Times New Roman"/>
          <w:b/>
          <w:bCs/>
          <w:i/>
          <w:sz w:val="28"/>
          <w:szCs w:val="28"/>
          <w:highlight w:val="none"/>
          <w:u w:val="single"/>
        </w:rPr>
        <w:t xml:space="preserve">机械静电光解复合式集烟罩餐饮业油烟净化一体机/设备</w:t>
      </w:r>
      <w:r>
        <w:rPr>
          <w:rFonts w:ascii="Times New Roman" w:hAnsi="Times New Roman" w:eastAsia="仿宋" w:cs="Times New Roman"/>
          <w:i/>
          <w:sz w:val="28"/>
          <w:szCs w:val="28"/>
          <w:highlight w:val="none"/>
          <w:u w:val="single"/>
        </w:rPr>
        <w:t xml:space="preserve">须提供书面承诺，承诺满足GB 18483-2001饮食业油烟排放标准中油烟净化效率≥85%的要求，且承诺中标后在验收时提供第三方检测机构出具的检测报告（须带有 CMA或CNAS 标志）</w:t>
      </w:r>
      <w:r>
        <w:rPr>
          <w:rFonts w:ascii="Times New Roman" w:hAnsi="Times New Roman" w:eastAsia="仿宋" w:cs="Times New Roman"/>
          <w:b/>
          <w:bCs/>
          <w:i/>
          <w:sz w:val="28"/>
          <w:szCs w:val="28"/>
          <w:highlight w:val="none"/>
          <w:u w:val="single"/>
        </w:rPr>
        <w:t xml:space="preserve">（请投标人做出书面承诺，</w:t>
      </w:r>
      <w:r>
        <w:rPr>
          <w:rFonts w:hint="eastAsia" w:ascii="Times New Roman" w:hAnsi="Times New Roman" w:eastAsia="仿宋" w:cs="Times New Roman"/>
          <w:b/>
          <w:bCs/>
          <w:i/>
          <w:sz w:val="28"/>
          <w:szCs w:val="28"/>
          <w:highlight w:val="none"/>
          <w:u w:val="single"/>
          <w:lang w:val="en-US" w:eastAsia="zh-CN"/>
        </w:rPr>
        <w:t xml:space="preserve">格式自拟，</w:t>
      </w:r>
      <w:r>
        <w:rPr>
          <w:rFonts w:ascii="Times New Roman" w:hAnsi="Times New Roman" w:eastAsia="仿宋" w:cs="Times New Roman"/>
          <w:b/>
          <w:bCs/>
          <w:i/>
          <w:sz w:val="28"/>
          <w:szCs w:val="28"/>
          <w:highlight w:val="none"/>
          <w:u w:val="single"/>
        </w:rPr>
        <w:t xml:space="preserve">承诺文件放在符合性审查文件中）。</w:t>
      </w:r>
      <w:r>
        <w:rPr>
          <w:highlight w:val="none"/>
        </w:rPr>
      </w:r>
    </w:p>
    <w:p>
      <w:pPr>
        <w:spacing w:line="480" w:lineRule="exact"/>
        <w:rPr>
          <w:rFonts w:hint="eastAsia" w:ascii="仿宋" w:hAnsi="仿宋" w:eastAsia="仿宋" w:cs="Times New Roman"/>
          <w:i/>
          <w:sz w:val="28"/>
          <w:szCs w:val="28"/>
          <w:highlight w:val="none"/>
          <w:u w:val="single"/>
        </w:rPr>
      </w:pPr>
      <w:r>
        <w:rPr>
          <w:rFonts w:hint="eastAsia" w:ascii="仿宋" w:hAnsi="仿宋" w:eastAsia="仿宋" w:cs="Times New Roman"/>
          <w:i/>
          <w:sz w:val="28"/>
          <w:szCs w:val="28"/>
          <w:highlight w:val="none"/>
          <w:u w:val="single"/>
          <w:lang w:val="en-US" w:eastAsia="zh-CN"/>
        </w:rPr>
        <w:t xml:space="preserve">4.1.2节能产品政府强制采购产品：采购需求产品属于《节能产品政府采购品目清单》中，技术参数以“★”标注的为政府强制采购产品。投标人应当根据采购文件要求投标时提供国家认可的认证机构出具的、处于有效期内的《节能产品认证证书》，否则按无效投标处理。</w:t>
      </w:r>
      <w:r>
        <w:rPr>
          <w:highlight w:val="none"/>
        </w:rPr>
      </w:r>
    </w:p>
    <w:p>
      <w:pPr>
        <w:spacing w:line="480" w:lineRule="exact"/>
        <w:rPr>
          <w:rFonts w:hint="eastAsia" w:ascii="仿宋" w:hAnsi="仿宋" w:eastAsia="仿宋" w:cs="Times New Roman"/>
          <w:i/>
          <w:sz w:val="28"/>
          <w:szCs w:val="28"/>
          <w:highlight w:val="none"/>
          <w:u w:val="single"/>
        </w:rPr>
      </w:pPr>
      <w:r>
        <w:rPr>
          <w:rFonts w:hint="eastAsia" w:ascii="仿宋" w:hAnsi="仿宋" w:eastAsia="仿宋" w:cs="Times New Roman"/>
          <w:i/>
          <w:sz w:val="28"/>
          <w:szCs w:val="28"/>
          <w:highlight w:val="none"/>
          <w:u w:val="single"/>
          <w:lang w:val="en-US" w:eastAsia="zh-CN"/>
        </w:rPr>
        <w:t xml:space="preserve">4.1.3  CCC认证：提供标注“◆”产品的，投标单位应当根据采购文件要求投标时提供国家认可的认证机构出具的、处于有效期内的《中国国家强制性产品认证证书》，否则按无投标处理。</w:t>
      </w:r>
      <w:r>
        <w:rPr>
          <w:highlight w:val="none"/>
        </w:rPr>
      </w:r>
    </w:p>
    <w:p>
      <w:pPr>
        <w:spacing w:line="480" w:lineRule="exact"/>
        <w:rPr>
          <w:rFonts w:hint="eastAsia" w:ascii="仿宋" w:hAnsi="仿宋" w:eastAsia="仿宋"/>
          <w:b/>
          <w:bCs/>
          <w:i/>
          <w:sz w:val="28"/>
          <w:szCs w:val="28"/>
          <w:highlight w:val="none"/>
          <w:u w:val="single"/>
        </w:rPr>
      </w:pPr>
      <w:r>
        <w:rPr>
          <w:rFonts w:hint="eastAsia" w:ascii="仿宋" w:hAnsi="仿宋" w:eastAsia="仿宋"/>
          <w:i/>
          <w:sz w:val="28"/>
          <w:szCs w:val="28"/>
          <w:highlight w:val="none"/>
          <w:u w:val="single"/>
        </w:rPr>
        <w:t xml:space="preserve">4.</w:t>
      </w:r>
      <w:r>
        <w:rPr>
          <w:rFonts w:hint="eastAsia" w:ascii="仿宋" w:hAnsi="仿宋" w:eastAsia="仿宋"/>
          <w:i/>
          <w:sz w:val="28"/>
          <w:szCs w:val="28"/>
          <w:highlight w:val="none"/>
          <w:u w:val="single"/>
          <w:lang w:val="en-US" w:eastAsia="zh-CN"/>
        </w:rPr>
        <w:t xml:space="preserve">2</w:t>
      </w:r>
      <w:r>
        <w:rPr>
          <w:rFonts w:hint="eastAsia" w:ascii="仿宋" w:hAnsi="仿宋" w:eastAsia="仿宋"/>
          <w:i/>
          <w:sz w:val="28"/>
          <w:szCs w:val="28"/>
          <w:highlight w:val="none"/>
          <w:u w:val="single"/>
        </w:rPr>
        <w:t xml:space="preserve">商务部分实质性要求</w:t>
      </w:r>
      <w:r>
        <w:rPr>
          <w:rFonts w:hint="eastAsia" w:ascii="仿宋" w:hAnsi="仿宋" w:eastAsia="仿宋"/>
          <w:b/>
          <w:bCs/>
          <w:i/>
          <w:sz w:val="28"/>
          <w:szCs w:val="28"/>
          <w:highlight w:val="none"/>
          <w:u w:val="single"/>
        </w:rPr>
        <w:t xml:space="preserve">（请单独列出并加斜体下划线）</w:t>
      </w:r>
      <w:r>
        <w:rPr>
          <w:highlight w:val="none"/>
        </w:rPr>
      </w:r>
    </w:p>
    <w:p>
      <w:pPr>
        <w:spacing w:line="480" w:lineRule="exact"/>
        <w:rPr>
          <w:rFonts w:ascii="仿宋" w:hAnsi="仿宋" w:eastAsia="仿宋"/>
          <w:i/>
          <w:sz w:val="28"/>
          <w:szCs w:val="28"/>
          <w:highlight w:val="none"/>
          <w:u w:val="single"/>
        </w:rPr>
      </w:pPr>
      <w:r>
        <w:rPr>
          <w:rFonts w:hint="eastAsia" w:ascii="仿宋" w:hAnsi="仿宋" w:eastAsia="仿宋"/>
          <w:i/>
          <w:sz w:val="28"/>
          <w:szCs w:val="28"/>
          <w:highlight w:val="none"/>
          <w:u w:val="single"/>
        </w:rPr>
        <w:t xml:space="preserve">4.</w:t>
      </w:r>
      <w:r>
        <w:rPr>
          <w:rFonts w:hint="eastAsia" w:ascii="仿宋" w:hAnsi="仿宋" w:eastAsia="仿宋"/>
          <w:i/>
          <w:sz w:val="28"/>
          <w:szCs w:val="28"/>
          <w:highlight w:val="none"/>
          <w:u w:val="single"/>
          <w:lang w:val="en-US" w:eastAsia="zh-CN"/>
        </w:rPr>
        <w:t xml:space="preserve">2</w:t>
      </w:r>
      <w:r>
        <w:rPr>
          <w:rFonts w:hint="eastAsia" w:ascii="仿宋" w:hAnsi="仿宋" w:eastAsia="仿宋"/>
          <w:i/>
          <w:sz w:val="28"/>
          <w:szCs w:val="28"/>
          <w:highlight w:val="none"/>
          <w:u w:val="single"/>
        </w:rPr>
        <w:t xml:space="preserve">.1投标人必须不低于本采购文件所提出的商务要求进行响应（《商务要求响应及偏离表》必须列明</w:t>
      </w:r>
      <w:r>
        <w:rPr>
          <w:rFonts w:hint="eastAsia" w:ascii="仿宋" w:hAnsi="仿宋" w:eastAsia="仿宋"/>
          <w:i/>
          <w:sz w:val="28"/>
          <w:szCs w:val="28"/>
          <w:highlight w:val="none"/>
          <w:u w:val="single"/>
          <w:lang w:val="en-US" w:eastAsia="zh-CN"/>
        </w:rPr>
        <w:t xml:space="preserve">供货的数量、产地、交付时间、交付地点、财务和服务要求，包括交付（实施）的</w:t>
      </w:r>
      <w:r>
        <w:rPr>
          <w:rFonts w:hint="eastAsia" w:ascii="仿宋" w:hAnsi="仿宋" w:eastAsia="仿宋"/>
          <w:i/>
          <w:sz w:val="28"/>
          <w:szCs w:val="28"/>
          <w:highlight w:val="none"/>
          <w:u w:val="single"/>
        </w:rPr>
        <w:t xml:space="preserve">数量、产地、时间</w:t>
      </w:r>
      <w:r>
        <w:rPr>
          <w:rFonts w:hint="eastAsia" w:ascii="仿宋" w:hAnsi="仿宋" w:eastAsia="仿宋"/>
          <w:i/>
          <w:sz w:val="28"/>
          <w:szCs w:val="28"/>
          <w:highlight w:val="none"/>
          <w:u w:val="single"/>
          <w:lang w:eastAsia="zh-CN"/>
        </w:rPr>
        <w:t xml:space="preserve">（</w:t>
      </w:r>
      <w:r>
        <w:rPr>
          <w:rFonts w:hint="eastAsia" w:ascii="仿宋" w:hAnsi="仿宋" w:eastAsia="仿宋"/>
          <w:i/>
          <w:sz w:val="28"/>
          <w:szCs w:val="28"/>
          <w:highlight w:val="none"/>
          <w:u w:val="single"/>
          <w:lang w:val="en-US" w:eastAsia="zh-CN"/>
        </w:rPr>
        <w:t xml:space="preserve">期限</w:t>
      </w:r>
      <w:r>
        <w:rPr>
          <w:rFonts w:hint="eastAsia" w:ascii="仿宋" w:hAnsi="仿宋" w:eastAsia="仿宋"/>
          <w:i/>
          <w:sz w:val="28"/>
          <w:szCs w:val="28"/>
          <w:highlight w:val="none"/>
          <w:u w:val="single"/>
          <w:lang w:eastAsia="zh-CN"/>
        </w:rPr>
        <w:t xml:space="preserve">）</w:t>
      </w:r>
      <w:r>
        <w:rPr>
          <w:rFonts w:hint="eastAsia" w:ascii="仿宋" w:hAnsi="仿宋" w:eastAsia="仿宋"/>
          <w:i/>
          <w:sz w:val="28"/>
          <w:szCs w:val="28"/>
          <w:highlight w:val="none"/>
          <w:u w:val="single"/>
        </w:rPr>
        <w:t xml:space="preserve">、地点</w:t>
      </w:r>
      <w:r>
        <w:rPr>
          <w:rFonts w:hint="eastAsia" w:ascii="仿宋" w:hAnsi="仿宋" w:eastAsia="仿宋"/>
          <w:i/>
          <w:sz w:val="28"/>
          <w:szCs w:val="28"/>
          <w:highlight w:val="none"/>
          <w:u w:val="single"/>
          <w:lang w:eastAsia="zh-CN"/>
        </w:rPr>
        <w:t xml:space="preserve">（</w:t>
      </w:r>
      <w:r>
        <w:rPr>
          <w:rFonts w:hint="eastAsia" w:ascii="仿宋" w:hAnsi="仿宋" w:eastAsia="仿宋"/>
          <w:i/>
          <w:sz w:val="28"/>
          <w:szCs w:val="28"/>
          <w:highlight w:val="none"/>
          <w:u w:val="single"/>
          <w:lang w:val="en-US" w:eastAsia="zh-CN"/>
        </w:rPr>
        <w:t xml:space="preserve">范围）</w:t>
      </w:r>
      <w:r>
        <w:rPr>
          <w:rFonts w:hint="eastAsia" w:ascii="仿宋" w:hAnsi="仿宋" w:eastAsia="仿宋"/>
          <w:i/>
          <w:sz w:val="28"/>
          <w:szCs w:val="28"/>
          <w:highlight w:val="none"/>
          <w:u w:val="single"/>
        </w:rPr>
        <w:t xml:space="preserve">，付款条件（进度和方法），包装和运输，验收、售后服务内容。投标人照搬或者响应内容不全或响应内容不明确或不满足要求的，均视为未实质性响应。</w:t>
      </w:r>
      <w:r>
        <w:rPr>
          <w:highlight w:val="none"/>
        </w:rPr>
      </w:r>
    </w:p>
    <w:p>
      <w:pPr>
        <w:spacing w:line="480" w:lineRule="exact"/>
        <w:rPr>
          <w:rFonts w:hint="eastAsia" w:ascii="黑体" w:eastAsia="黑体"/>
          <w:bCs/>
          <w:color w:val="000000" w:themeColor="text1"/>
          <w:sz w:val="44"/>
          <w:szCs w:val="28"/>
          <w:highlight w:val="none"/>
          <w14:textFill>
            <w14:solidFill>
              <w14:schemeClr w14:val="tx1"/>
            </w14:solidFill>
          </w14:textFill>
        </w:rPr>
      </w:pPr>
      <w:r>
        <w:rPr>
          <w:rFonts w:hint="eastAsia" w:ascii="仿宋" w:hAnsi="仿宋" w:eastAsia="仿宋"/>
          <w:i/>
          <w:sz w:val="28"/>
          <w:szCs w:val="28"/>
          <w:highlight w:val="none"/>
          <w:u w:val="single"/>
        </w:rPr>
        <w:t xml:space="preserve">4.2.2中标人须完成与所供产品相关的阀门、龙头、连接件等厨具设备安装需要的所有配件、附件，相关</w:t>
      </w:r>
      <w:r>
        <w:rPr>
          <w:rFonts w:hint="eastAsia" w:ascii="仿宋" w:hAnsi="仿宋" w:eastAsia="仿宋"/>
          <w:i/>
          <w:sz w:val="28"/>
          <w:szCs w:val="28"/>
          <w:highlight w:val="none"/>
          <w:u w:val="single"/>
          <w:lang w:eastAsia="zh-CN"/>
        </w:rPr>
        <w:t xml:space="preserve">材料费</w:t>
      </w:r>
      <w:r>
        <w:rPr>
          <w:rFonts w:hint="eastAsia" w:ascii="仿宋" w:hAnsi="仿宋" w:eastAsia="仿宋"/>
          <w:i/>
          <w:sz w:val="28"/>
          <w:szCs w:val="28"/>
          <w:highlight w:val="none"/>
          <w:u w:val="single"/>
        </w:rPr>
        <w:t xml:space="preserve">、辅材费、安装费、税金等包含在总报价之中</w:t>
      </w:r>
      <w:r>
        <w:rPr>
          <w:rFonts w:hint="eastAsia" w:ascii="仿宋" w:hAnsi="仿宋" w:eastAsia="仿宋"/>
          <w:i/>
          <w:sz w:val="28"/>
          <w:szCs w:val="28"/>
          <w:highlight w:val="none"/>
          <w:u w:val="single"/>
          <w:lang w:eastAsia="zh-CN"/>
        </w:rPr>
        <w:t xml:space="preserve">（</w:t>
      </w:r>
      <w:r>
        <w:rPr>
          <w:rFonts w:hint="eastAsia" w:ascii="仿宋" w:hAnsi="仿宋" w:eastAsia="仿宋"/>
          <w:b/>
          <w:bCs/>
          <w:i/>
          <w:sz w:val="28"/>
          <w:szCs w:val="28"/>
          <w:highlight w:val="none"/>
          <w:u w:val="single"/>
        </w:rPr>
        <w:t xml:space="preserve">请投标人做出书面承诺，</w:t>
      </w:r>
      <w:r>
        <w:rPr>
          <w:rFonts w:hint="eastAsia" w:ascii="仿宋" w:hAnsi="仿宋" w:eastAsia="仿宋"/>
          <w:b/>
          <w:bCs/>
          <w:i/>
          <w:sz w:val="28"/>
          <w:szCs w:val="28"/>
          <w:highlight w:val="none"/>
          <w:u w:val="single"/>
          <w:lang w:val="en-US" w:eastAsia="zh-CN"/>
        </w:rPr>
        <w:t xml:space="preserve">格式自拟，</w:t>
      </w:r>
      <w:r>
        <w:rPr>
          <w:rFonts w:hint="eastAsia" w:ascii="仿宋" w:hAnsi="仿宋" w:eastAsia="仿宋"/>
          <w:b/>
          <w:bCs/>
          <w:i/>
          <w:sz w:val="28"/>
          <w:szCs w:val="28"/>
          <w:highlight w:val="none"/>
          <w:u w:val="single"/>
        </w:rPr>
        <w:t xml:space="preserve">承诺文件放在符合性审查文件中</w:t>
      </w:r>
      <w:r>
        <w:rPr>
          <w:rFonts w:hint="eastAsia" w:ascii="仿宋" w:hAnsi="仿宋" w:eastAsia="仿宋"/>
          <w:b/>
          <w:bCs/>
          <w:i/>
          <w:sz w:val="28"/>
          <w:szCs w:val="28"/>
          <w:highlight w:val="none"/>
          <w:u w:val="single"/>
          <w:lang w:eastAsia="zh-CN"/>
        </w:rPr>
        <w:t xml:space="preserve">）</w:t>
      </w:r>
      <w:r>
        <w:rPr>
          <w:rFonts w:hint="eastAsia" w:ascii="仿宋" w:hAnsi="仿宋" w:eastAsia="仿宋"/>
          <w:b/>
          <w:bCs/>
          <w:i/>
          <w:sz w:val="28"/>
          <w:szCs w:val="28"/>
          <w:highlight w:val="none"/>
          <w:u w:val="single"/>
        </w:rPr>
        <w:t xml:space="preserve">。</w:t>
      </w:r>
      <w:r>
        <w:rPr>
          <w:rFonts w:hint="eastAsia" w:ascii="黑体" w:eastAsia="黑体"/>
          <w:bCs/>
          <w:color w:val="000000" w:themeColor="text1"/>
          <w:sz w:val="44"/>
          <w:szCs w:val="28"/>
          <w:highlight w:val="none"/>
          <w14:textFill>
            <w14:solidFill>
              <w14:schemeClr w14:val="tx1"/>
            </w14:solidFill>
          </w14:textFill>
        </w:rPr>
        <w:br w:type="page" w:clear="all"/>
      </w:r>
      <w:r>
        <w:rPr>
          <w:highlight w:val="none"/>
        </w:rPr>
      </w:r>
    </w:p>
    <w:p>
      <w:pPr>
        <w:pStyle w:val="997"/>
        <w:ind w:firstLine="600"/>
        <w:jc w:val="center"/>
        <w:rPr>
          <w:rFonts w:hint="eastAsia" w:ascii="黑体" w:eastAsia="黑体"/>
          <w:bCs/>
          <w:color w:val="000000" w:themeColor="text1"/>
          <w:sz w:val="44"/>
          <w:szCs w:val="28"/>
          <w:highlight w:val="none"/>
          <w14:textFill>
            <w14:solidFill>
              <w14:schemeClr w14:val="tx1"/>
            </w14:solidFill>
          </w14:textFill>
        </w:rPr>
        <w:outlineLvl w:val="0"/>
      </w:pPr>
      <w:r>
        <w:rPr>
          <w:highlight w:val="none"/>
        </w:rPr>
      </w:r>
      <w:bookmarkStart w:id="193" w:name="_Toc2258"/>
      <w:r>
        <w:rPr>
          <w:rFonts w:hint="eastAsia" w:ascii="黑体" w:eastAsia="黑体"/>
          <w:bCs/>
          <w:color w:val="000000" w:themeColor="text1"/>
          <w:sz w:val="44"/>
          <w:szCs w:val="28"/>
          <w:highlight w:val="none"/>
          <w14:textFill>
            <w14:solidFill>
              <w14:schemeClr w14:val="tx1"/>
            </w14:solidFill>
          </w14:textFill>
        </w:rPr>
        <w:t xml:space="preserve">第五章  </w:t>
      </w:r>
      <w:r>
        <w:rPr>
          <w:rFonts w:hint="eastAsia" w:ascii="黑体" w:eastAsia="黑体"/>
          <w:b/>
          <w:bCs/>
          <w:color w:val="000000" w:themeColor="text1"/>
          <w:sz w:val="44"/>
          <w:szCs w:val="28"/>
          <w:highlight w:val="none"/>
          <w14:textFill>
            <w14:solidFill>
              <w14:schemeClr w14:val="tx1"/>
            </w14:solidFill>
          </w14:textFill>
        </w:rPr>
        <w:t xml:space="preserve">评标方法与评标标准</w:t>
      </w:r>
      <w:bookmarkEnd w:id="193"/>
      <w:r>
        <w:rPr>
          <w:highlight w:val="none"/>
        </w:rPr>
      </w:r>
      <w:r>
        <w:rPr>
          <w:highlight w:val="none"/>
        </w:rPr>
      </w:r>
    </w:p>
    <w:p>
      <w:pPr>
        <w:ind w:firstLine="512"/>
        <w:jc w:val="left"/>
        <w:spacing w:before="120" w:after="120" w:line="480" w:lineRule="exact"/>
        <w:rPr>
          <w:rFonts w:hint="eastAsia" w:ascii="仿宋" w:hAnsi="仿宋" w:eastAsia="仿宋" w:cs="Arial"/>
          <w:color w:val="000000" w:themeColor="text1"/>
          <w:sz w:val="28"/>
          <w:szCs w:val="28"/>
          <w:highlight w:val="none"/>
          <w14:textFill>
            <w14:solidFill>
              <w14:schemeClr w14:val="tx1"/>
            </w14:solidFill>
          </w14:textFill>
        </w:rPr>
      </w:pPr>
      <w:r>
        <w:rPr>
          <w:rFonts w:ascii="仿宋" w:hAnsi="仿宋" w:eastAsia="仿宋" w:cs="Arial"/>
          <w:color w:val="000000" w:themeColor="text1"/>
          <w:sz w:val="28"/>
          <w:szCs w:val="28"/>
          <w:highlight w:val="none"/>
          <w14:textFill>
            <w14:solidFill>
              <w14:schemeClr w14:val="tx1"/>
            </w14:solidFill>
          </w14:textFil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000000" w:themeColor="text1"/>
          <w:sz w:val="28"/>
          <w:szCs w:val="28"/>
          <w:highlight w:val="none"/>
          <w14:textFill>
            <w14:solidFill>
              <w14:schemeClr w14:val="tx1"/>
            </w14:solidFill>
          </w14:textFill>
        </w:rPr>
        <w:t xml:space="preserve">。本项目选取1名中标候选人。</w:t>
      </w:r>
      <w:r>
        <w:rPr>
          <w:highlight w:val="none"/>
        </w:rPr>
      </w:r>
    </w:p>
    <w:p>
      <w:pPr>
        <w:ind w:firstLine="514"/>
        <w:jc w:val="left"/>
        <w:spacing w:before="120" w:after="120"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政府采购政策功能落实</w:t>
      </w:r>
      <w:r>
        <w:rPr>
          <w:rFonts w:hint="eastAsia" w:ascii="仿宋" w:hAnsi="仿宋" w:eastAsia="仿宋"/>
          <w:color w:val="000000" w:themeColor="text1"/>
          <w:sz w:val="28"/>
          <w:szCs w:val="28"/>
          <w:highlight w:val="none"/>
          <w14:textFill>
            <w14:solidFill>
              <w14:schemeClr w14:val="tx1"/>
            </w14:solidFill>
          </w14:textFill>
        </w:rPr>
        <w:t xml:space="preserve">（</w:t>
      </w:r>
      <w:r>
        <w:rPr>
          <w:rFonts w:ascii="仿宋" w:hAnsi="仿宋" w:eastAsia="仿宋"/>
          <w:color w:val="000000" w:themeColor="text1"/>
          <w:sz w:val="28"/>
          <w:szCs w:val="28"/>
          <w:highlight w:val="none"/>
          <w14:textFill>
            <w14:solidFill>
              <w14:schemeClr w14:val="tx1"/>
            </w14:solidFill>
          </w14:textFill>
        </w:rPr>
        <w:t xml:space="preserve">如果</w:t>
      </w:r>
      <w:r>
        <w:rPr>
          <w:rFonts w:hint="eastAsia" w:ascii="仿宋" w:hAnsi="仿宋" w:eastAsia="仿宋"/>
          <w:color w:val="000000" w:themeColor="text1"/>
          <w:sz w:val="28"/>
          <w:szCs w:val="28"/>
          <w:highlight w:val="none"/>
          <w14:textFill>
            <w14:solidFill>
              <w14:schemeClr w14:val="tx1"/>
            </w14:solidFill>
          </w14:textFill>
        </w:rPr>
        <w:t xml:space="preserve">该项目专门</w:t>
      </w:r>
      <w:r>
        <w:rPr>
          <w:rFonts w:ascii="仿宋" w:hAnsi="仿宋" w:eastAsia="仿宋"/>
          <w:color w:val="000000" w:themeColor="text1"/>
          <w:sz w:val="28"/>
          <w:szCs w:val="28"/>
          <w:highlight w:val="none"/>
          <w14:textFill>
            <w14:solidFill>
              <w14:schemeClr w14:val="tx1"/>
            </w14:solidFill>
          </w14:textFill>
        </w:rPr>
        <w:t xml:space="preserve">面向中小微</w:t>
      </w:r>
      <w:r>
        <w:rPr>
          <w:rFonts w:hint="eastAsia" w:ascii="仿宋" w:hAnsi="仿宋" w:eastAsia="仿宋"/>
          <w:color w:val="000000" w:themeColor="text1"/>
          <w:sz w:val="28"/>
          <w:szCs w:val="28"/>
          <w:highlight w:val="none"/>
          <w14:textFill>
            <w14:solidFill>
              <w14:schemeClr w14:val="tx1"/>
            </w14:solidFill>
          </w14:textFill>
        </w:rPr>
        <w:t xml:space="preserve">型企业</w:t>
      </w:r>
      <w:r>
        <w:rPr>
          <w:rFonts w:ascii="仿宋" w:hAnsi="仿宋" w:eastAsia="仿宋"/>
          <w:color w:val="000000" w:themeColor="text1"/>
          <w:sz w:val="28"/>
          <w:szCs w:val="28"/>
          <w:highlight w:val="none"/>
          <w14:textFill>
            <w14:solidFill>
              <w14:schemeClr w14:val="tx1"/>
            </w14:solidFill>
          </w14:textFill>
        </w:rPr>
        <w:t xml:space="preserve">采购，则</w:t>
      </w:r>
      <w:r>
        <w:rPr>
          <w:rFonts w:hint="eastAsia" w:ascii="仿宋" w:hAnsi="仿宋" w:eastAsia="仿宋"/>
          <w:color w:val="000000" w:themeColor="text1"/>
          <w:sz w:val="28"/>
          <w:szCs w:val="28"/>
          <w:highlight w:val="none"/>
          <w14:textFill>
            <w14:solidFill>
              <w14:schemeClr w14:val="tx1"/>
            </w14:solidFill>
          </w14:textFill>
        </w:rPr>
        <w:t xml:space="preserve">供应商不再</w:t>
      </w:r>
      <w:r>
        <w:rPr>
          <w:rFonts w:ascii="仿宋" w:hAnsi="仿宋" w:eastAsia="仿宋"/>
          <w:color w:val="000000" w:themeColor="text1"/>
          <w:sz w:val="28"/>
          <w:szCs w:val="28"/>
          <w:highlight w:val="none"/>
          <w14:textFill>
            <w14:solidFill>
              <w14:schemeClr w14:val="tx1"/>
            </w14:solidFill>
          </w14:textFill>
        </w:rPr>
        <w:t xml:space="preserve">享受任何价格扣除</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p>
    <w:p>
      <w:pPr>
        <w:ind w:firstLine="560"/>
        <w:jc w:val="left"/>
        <w:spacing w:before="120" w:after="120"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小微型企业价格扣除</w:t>
      </w:r>
      <w:r>
        <w:rPr>
          <w:highlight w:val="none"/>
        </w:rPr>
      </w:r>
    </w:p>
    <w:p>
      <w:pPr>
        <w:ind w:firstLine="42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（1）本项目对小型和微型企业产品给予20%的扣除价格，用扣除后的价格参与评审。</w:t>
      </w:r>
      <w:r>
        <w:rPr>
          <w:highlight w:val="none"/>
        </w:rPr>
      </w:r>
    </w:p>
    <w:p>
      <w:pPr>
        <w:ind w:firstLine="42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（2）供应商需按照采购文件的要求提供相应的《小微企业声明函》。</w:t>
      </w:r>
      <w:r>
        <w:rPr>
          <w:highlight w:val="none"/>
        </w:rPr>
      </w:r>
    </w:p>
    <w:p>
      <w:pPr>
        <w:ind w:firstLine="42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（3）企业标准请参照《关于印发中小企业划型标准规定的通知》（工信部联企业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）文件规定自行填写。</w:t>
      </w:r>
      <w:r>
        <w:rPr>
          <w:highlight w:val="none"/>
        </w:rP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残疾人福利单位价格扣除</w:t>
      </w:r>
      <w:r>
        <w:rPr>
          <w:highlight w:val="none"/>
        </w:rPr>
      </w:r>
    </w:p>
    <w:p>
      <w:pPr>
        <w:ind w:left="120" w:firstLine="42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（1）本项目对残疾人福利性单位视同小型、微型企业，给予20%的价格扣除，用扣除后的价格参与评审。</w:t>
      </w:r>
      <w:r>
        <w:rPr>
          <w:highlight w:val="none"/>
        </w:rPr>
      </w:r>
    </w:p>
    <w:p>
      <w:pPr>
        <w:ind w:left="120" w:firstLine="42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（2）残疾人福利单位需按照采购文件的要求提供《残疾人</w:t>
      </w:r>
      <w:r>
        <w:rPr>
          <w:rFonts w:hint="eastAsia" w:ascii="仿宋" w:hAnsi="仿宋" w:eastAsia="仿宋"/>
          <w:color w:val="000000" w:themeColor="text1"/>
          <w:sz w:val="28"/>
          <w:szCs w:val="28"/>
          <w:highlight w:val="none"/>
          <w:lang w:eastAsia="zh-CN"/>
          <w14:textFill>
            <w14:solidFill>
              <w14:schemeClr w14:val="tx1"/>
            </w14:solidFill>
          </w14:textFill>
        </w:rPr>
        <w:t xml:space="preserve">福利</w:t>
      </w:r>
      <w:r>
        <w:rPr>
          <w:rFonts w:hint="eastAsia" w:ascii="仿宋" w:hAnsi="仿宋" w:eastAsia="仿宋"/>
          <w:color w:val="000000" w:themeColor="text1"/>
          <w:sz w:val="28"/>
          <w:szCs w:val="28"/>
          <w:highlight w:val="none"/>
          <w14:textFill>
            <w14:solidFill>
              <w14:schemeClr w14:val="tx1"/>
            </w14:solidFill>
          </w14:textFill>
        </w:rPr>
        <w:t xml:space="preserve">单位声明函》。</w:t>
      </w:r>
      <w:r>
        <w:rPr>
          <w:highlight w:val="none"/>
        </w:rPr>
      </w:r>
    </w:p>
    <w:p>
      <w:pPr>
        <w:ind w:left="120" w:firstLine="42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（3）残疾人福利单位标准请参照《关于促进残疾人就业政府采购政策的通知》（财库〔2017〕141号）。</w:t>
      </w:r>
      <w:r>
        <w:rPr>
          <w:highlight w:val="none"/>
        </w:rP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监狱和戒毒企业价格扣除</w:t>
      </w:r>
      <w:r>
        <w:rPr>
          <w:highlight w:val="none"/>
        </w:rP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（1）本项目对监狱和戒毒企业（简称监狱企业）视同小型、微型企业，给予20%的价格扣除，用扣除后的价格参与评审。</w:t>
      </w:r>
      <w:r>
        <w:rPr>
          <w:highlight w:val="none"/>
        </w:rP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（2）监狱企业参加政府采购活动时，需提供由省级以上监狱管理局、戒毒管理局</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含新疆生产建设兵团</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出具的属于监狱企业的证明文件。供应商如不提供上述证明文件，价格将不做相应扣除。</w:t>
      </w:r>
      <w:r>
        <w:rPr>
          <w:highlight w:val="none"/>
        </w:rP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（3）监狱企业标准请参照《关于政府采购支持监狱企业发展有关问题的通知》（</w:t>
      </w:r>
      <w:r>
        <w:rPr>
          <w:rFonts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〔2014〕68号</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残疾人福利单位、监狱企业属于小型、微型企业的，不重复享受政策。</w:t>
      </w:r>
      <w:r>
        <w:rPr>
          <w:highlight w:val="none"/>
        </w:rP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5.</w:t>
      </w:r>
      <w:r>
        <w:rPr>
          <w:rFonts w:hint="eastAsia" w:ascii="仿宋" w:hAnsi="仿宋" w:eastAsia="仿宋"/>
          <w:color w:val="000000" w:themeColor="text1"/>
          <w:sz w:val="28"/>
          <w:szCs w:val="28"/>
          <w:highlight w:val="none"/>
          <w14:textFill>
            <w14:solidFill>
              <w14:schemeClr w14:val="tx1"/>
            </w14:solidFill>
          </w14:textFill>
        </w:rPr>
        <w:t xml:space="preserve">如本项目同意联合体投标或同意分包履行合同的</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highlight w:val="none"/>
        </w:rPr>
      </w:r>
    </w:p>
    <w:p>
      <w:pPr>
        <w:ind w:firstLine="560"/>
        <w:jc w:val="left"/>
        <w:spacing w:before="120" w:after="120"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eastAsia="zh-CN"/>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联合体各方均为小型、微型企业（残疾人福利单位、监狱企业）的，联合体享受20%价格扣除，用扣除后的价格参与评审。</w:t>
      </w:r>
      <w:bookmarkEnd w:id="190"/>
      <w:r>
        <w:rPr>
          <w:highlight w:val="none"/>
        </w:rPr>
      </w:r>
      <w:bookmarkEnd w:id="191"/>
      <w:r>
        <w:rPr>
          <w:highlight w:val="none"/>
        </w:rPr>
      </w:r>
      <w:bookmarkEnd w:id="192"/>
      <w:r>
        <w:rPr>
          <w:highlight w:val="none"/>
        </w:rPr>
      </w:r>
      <w:r>
        <w:rPr>
          <w:highlight w:val="none"/>
        </w:rPr>
      </w:r>
    </w:p>
    <w:p>
      <w:pPr>
        <w:ind w:firstLine="562"/>
        <w:jc w:val="left"/>
        <w:spacing w:before="120" w:after="120" w:line="480" w:lineRule="exact"/>
        <w:rPr>
          <w:rFonts w:hint="eastAsia" w:ascii="仿宋" w:hAnsi="仿宋" w:eastAsia="仿宋"/>
          <w:b/>
          <w:color w:val="000000" w:themeColor="text1"/>
          <w:sz w:val="28"/>
          <w:szCs w:val="28"/>
          <w:highlight w:val="none"/>
          <w14:textFill>
            <w14:solidFill>
              <w14:schemeClr w14:val="tx1"/>
            </w14:solidFill>
          </w14:textFill>
        </w:rPr>
      </w:pPr>
      <w:r>
        <w:rPr>
          <w:highlight w:val="none"/>
        </w:rPr>
      </w:r>
      <w:bookmarkStart w:id="194" w:name="_Hlt26955039"/>
      <w:r>
        <w:rPr>
          <w:highlight w:val="none"/>
        </w:rPr>
      </w:r>
      <w:bookmarkEnd w:id="194"/>
      <w:r>
        <w:rPr>
          <w:highlight w:val="none"/>
        </w:rPr>
      </w:r>
      <w:bookmarkStart w:id="195" w:name="_Hlt26671244"/>
      <w:r>
        <w:rPr>
          <w:highlight w:val="none"/>
        </w:rPr>
      </w:r>
      <w:bookmarkEnd w:id="195"/>
      <w:r>
        <w:rPr>
          <w:highlight w:val="none"/>
        </w:rPr>
      </w:r>
      <w:bookmarkStart w:id="196" w:name="_Toc120614282"/>
      <w:r>
        <w:rPr>
          <w:highlight w:val="none"/>
        </w:rPr>
      </w:r>
      <w:bookmarkStart w:id="197" w:name="_Toc26554094"/>
      <w:r>
        <w:rPr>
          <w:highlight w:val="none"/>
        </w:rPr>
      </w:r>
      <w:bookmarkStart w:id="198" w:name="_Toc49090576"/>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政府采购中实施本国产品标准及相关政策</w:t>
      </w:r>
      <w:r>
        <w:rPr>
          <w:highlight w:val="none"/>
        </w:rPr>
      </w:r>
    </w:p>
    <w:p>
      <w:pPr>
        <w:ind w:firstLine="562"/>
        <w:jc w:val="left"/>
        <w:spacing w:before="120" w:after="120" w:line="480" w:lineRule="exac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1.本项目对采购本国产品给予政策支持：</w:t>
      </w:r>
      <w:r>
        <w:rPr>
          <w:highlight w:val="none"/>
        </w:rPr>
      </w:r>
    </w:p>
    <w:p>
      <w:pPr>
        <w:ind w:firstLine="562"/>
        <w:jc w:val="left"/>
        <w:spacing w:before="120" w:after="120" w:line="480" w:lineRule="exac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1.1 本项目政府采购活动中既有本国产品又有非本国产品参与竞争的，依法对本国产品给予价格评审优惠，对本国产品的报价给予20%的价格扣除，用扣除后的价格参与评审。</w:t>
      </w:r>
      <w:r>
        <w:rPr>
          <w:highlight w:val="none"/>
        </w:rPr>
      </w:r>
    </w:p>
    <w:p>
      <w:pPr>
        <w:ind w:firstLine="562"/>
        <w:jc w:val="left"/>
        <w:spacing w:before="120" w:after="120" w:line="480" w:lineRule="exac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1.2 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none"/>
        </w:rPr>
      </w:r>
    </w:p>
    <w:p>
      <w:pPr>
        <w:ind w:firstLine="562"/>
        <w:jc w:val="left"/>
        <w:spacing w:before="120" w:after="120" w:line="480" w:lineRule="exac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1.3 供应商需按照招标文件的要求提供《关于符合本国产品标准的声明函》（以下简称《声明函》），如不提供将不享受本国产品价格评审优惠。</w:t>
      </w:r>
      <w:r>
        <w:rPr>
          <w:highlight w:val="none"/>
        </w:rPr>
      </w:r>
    </w:p>
    <w:p>
      <w:pPr>
        <w:ind w:firstLine="562"/>
        <w:jc w:val="left"/>
        <w:spacing w:before="120" w:after="120" w:line="480" w:lineRule="exac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rPr>
          <w:highlight w:val="none"/>
        </w:rPr>
      </w:r>
    </w:p>
    <w:p>
      <w:pPr>
        <w:ind w:firstLine="562"/>
        <w:jc w:val="left"/>
        <w:spacing w:before="120" w:after="120" w:line="480" w:lineRule="exac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2026〕34号）和招标文件规定的，供应商提供的相关产品视为不符合本国产品标准。</w:t>
      </w:r>
      <w:r>
        <w:rPr>
          <w:highlight w:val="none"/>
        </w:rPr>
      </w:r>
    </w:p>
    <w:p>
      <w:pPr>
        <w:ind w:firstLine="562"/>
        <w:jc w:val="left"/>
        <w:spacing w:before="120" w:after="120" w:line="480" w:lineRule="exac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none"/>
        </w:rPr>
      </w:r>
    </w:p>
    <w:p>
      <w:pPr>
        <w:ind w:firstLine="562"/>
        <w:jc w:val="left"/>
        <w:spacing w:before="120" w:after="120" w:line="480" w:lineRule="exact"/>
        <w:rPr>
          <w:rFonts w:hint="eastAsia" w:ascii="仿宋" w:hAnsi="仿宋" w:eastAsia="仿宋"/>
          <w:b w:val="0"/>
          <w:bCs/>
          <w:color w:val="000000" w:themeColor="text1"/>
          <w:sz w:val="28"/>
          <w:szCs w:val="28"/>
          <w:highlight w:val="none"/>
          <w14:textFill>
            <w14:solidFill>
              <w14:schemeClr w14:val="tx1"/>
            </w14:solidFill>
          </w14:textFill>
        </w:rPr>
      </w:pPr>
      <w:r>
        <w:rPr>
          <w:rFonts w:hint="eastAsia" w:ascii="仿宋" w:hAnsi="仿宋" w:eastAsia="仿宋"/>
          <w:b w:val="0"/>
          <w:bCs/>
          <w:color w:val="000000" w:themeColor="text1"/>
          <w:sz w:val="28"/>
          <w:szCs w:val="28"/>
          <w:highlight w:val="none"/>
          <w:lang w:val="en-US" w:eastAsia="zh-CN"/>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none"/>
        </w:rPr>
      </w:r>
    </w:p>
    <w:p>
      <w:pPr>
        <w:ind w:firstLine="562"/>
        <w:jc w:val="left"/>
        <w:spacing w:before="120" w:after="120"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评标方法与评标标准</w:t>
      </w:r>
      <w:r>
        <w:rPr>
          <w:highlight w:val="none"/>
        </w:rPr>
      </w:r>
    </w:p>
    <w:p>
      <w:pPr>
        <w:ind w:left="562"/>
        <w:jc w:val="left"/>
        <w:spacing w:before="120" w:after="120"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1.价格分：</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50</w:t>
      </w:r>
      <w:r>
        <w:rPr>
          <w:rFonts w:hint="eastAsia" w:ascii="仿宋" w:hAnsi="仿宋" w:eastAsia="仿宋"/>
          <w:b/>
          <w:color w:val="000000" w:themeColor="text1"/>
          <w:sz w:val="28"/>
          <w:szCs w:val="28"/>
          <w:highlight w:val="none"/>
          <w14:textFill>
            <w14:solidFill>
              <w14:schemeClr w14:val="tx1"/>
            </w14:solidFill>
          </w14:textFill>
        </w:rPr>
        <w:t xml:space="preserve">分</w:t>
      </w:r>
      <w:r>
        <w:rPr>
          <w:highlight w:val="none"/>
        </w:rPr>
      </w:r>
    </w:p>
    <w:p>
      <w:pPr>
        <w:ind w:firstLine="560"/>
        <w:jc w:val="left"/>
        <w:spacing w:before="120" w:after="120"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rPr>
          <w:highlight w:val="none"/>
        </w:rPr>
      </w:r>
    </w:p>
    <w:p>
      <w:pPr>
        <w:ind w:left="562"/>
        <w:jc w:val="left"/>
        <w:spacing w:before="120" w:after="62" w:line="480" w:lineRule="exact"/>
        <w:rPr>
          <w:rFonts w:hint="eastAsia" w:ascii="Times New Roman" w:hAnsi="Times New Roman" w:eastAsia="仿宋" w:cs="Times New Roman"/>
          <w:b/>
          <w:color w:val="000000"/>
          <w:sz w:val="28"/>
          <w:szCs w:val="28"/>
          <w:highlight w:val="none"/>
        </w:rPr>
      </w:pPr>
      <w:r>
        <w:rPr>
          <w:rFonts w:hint="eastAsia" w:ascii="Times New Roman" w:hAnsi="Times New Roman" w:eastAsia="仿宋" w:cs="Times New Roman"/>
          <w:b/>
          <w:color w:val="000000"/>
          <w:sz w:val="28"/>
          <w:szCs w:val="28"/>
          <w:highlight w:val="none"/>
          <w:lang w:val="en-US" w:eastAsia="zh-CN"/>
        </w:rPr>
        <w:t xml:space="preserve">2.</w:t>
      </w:r>
      <w:r>
        <w:rPr>
          <w:rFonts w:hint="eastAsia" w:ascii="Times New Roman" w:hAnsi="Times New Roman" w:eastAsia="仿宋" w:cs="Times New Roman"/>
          <w:b/>
          <w:color w:val="000000"/>
          <w:sz w:val="28"/>
          <w:szCs w:val="28"/>
          <w:highlight w:val="none"/>
        </w:rPr>
        <w:t xml:space="preserve">技术分：</w:t>
      </w:r>
      <w:r>
        <w:rPr>
          <w:rFonts w:hint="eastAsia" w:ascii="Times New Roman" w:hAnsi="Times New Roman" w:eastAsia="仿宋" w:cs="Times New Roman"/>
          <w:b/>
          <w:color w:val="000000"/>
          <w:sz w:val="28"/>
          <w:szCs w:val="28"/>
          <w:highlight w:val="none"/>
          <w:lang w:val="en-US" w:eastAsia="zh-CN"/>
        </w:rPr>
        <w:t xml:space="preserve">20</w:t>
      </w:r>
      <w:r>
        <w:rPr>
          <w:rFonts w:hint="eastAsia" w:ascii="Times New Roman" w:hAnsi="Times New Roman" w:eastAsia="仿宋" w:cs="Times New Roman"/>
          <w:b/>
          <w:color w:val="000000"/>
          <w:sz w:val="28"/>
          <w:szCs w:val="28"/>
          <w:highlight w:val="none"/>
        </w:rPr>
        <w:t xml:space="preserve">分</w:t>
      </w:r>
      <w:r>
        <w:rPr>
          <w:highlight w:val="none"/>
        </w:rPr>
      </w:r>
    </w:p>
    <w:p>
      <w:pPr>
        <w:ind w:firstLine="560"/>
        <w:jc w:val="left"/>
        <w:spacing w:before="120" w:after="62" w:line="480" w:lineRule="exact"/>
        <w:rPr>
          <w:rFonts w:hint="eastAsia" w:ascii="Times New Roman" w:hAnsi="Times New Roman" w:eastAsia="仿宋" w:cs="Times New Roman"/>
          <w:color w:val="000000"/>
          <w:sz w:val="28"/>
          <w:szCs w:val="28"/>
          <w:highlight w:val="none"/>
        </w:rPr>
      </w:pPr>
      <w:r>
        <w:rPr>
          <w:rFonts w:hint="eastAsia" w:ascii="Times New Roman" w:hAnsi="Times New Roman" w:eastAsia="仿宋" w:cs="Times New Roman"/>
          <w:color w:val="000000"/>
          <w:sz w:val="28"/>
          <w:szCs w:val="28"/>
          <w:highlight w:val="none"/>
        </w:rPr>
        <w:t xml:space="preserve">各投标人得分为评委会成员评分的算术平均分，分值保留小数点后两位。</w:t>
      </w:r>
      <w:r>
        <w:rPr>
          <w:highlight w:val="none"/>
        </w:rPr>
      </w:r>
    </w:p>
    <w:tbl>
      <w:tblPr>
        <w:tblStyle w:val="1018"/>
        <w:tblW w:w="94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2"/>
        <w:gridCol w:w="1776"/>
        <w:gridCol w:w="611"/>
        <w:gridCol w:w="5481"/>
        <w:gridCol w:w="1036"/>
      </w:tblGrid>
      <w:tr>
        <w:trPr>
          <w:jc w:val="center"/>
        </w:trPr>
        <w:tc>
          <w:tcPr>
            <w:tcW w:w="502" w:type="dxa"/>
            <w:vAlign w:val="center"/>
            <w:textDirection w:val="lrTb"/>
            <w:noWrap w:val="false"/>
          </w:tcPr>
          <w:p>
            <w:pP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序号</w:t>
            </w:r>
            <w:r>
              <w:rPr>
                <w:highlight w:val="none"/>
              </w:rPr>
            </w:r>
          </w:p>
        </w:tc>
        <w:tc>
          <w:tcPr>
            <w:tcW w:w="1776" w:type="dxa"/>
            <w:vAlign w:val="center"/>
            <w:textDirection w:val="lrTb"/>
            <w:noWrap w:val="false"/>
          </w:tcPr>
          <w:p>
            <w:pP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评分点名称</w:t>
            </w:r>
            <w:r>
              <w:rPr>
                <w:highlight w:val="none"/>
              </w:rPr>
            </w:r>
          </w:p>
        </w:tc>
        <w:tc>
          <w:tcPr>
            <w:tcW w:w="611" w:type="dxa"/>
            <w:vAlign w:val="center"/>
            <w:textDirection w:val="lrTb"/>
            <w:noWrap w:val="false"/>
          </w:tcPr>
          <w:p>
            <w:pP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分值</w:t>
            </w:r>
            <w:r>
              <w:rPr>
                <w:highlight w:val="none"/>
              </w:rPr>
            </w:r>
          </w:p>
        </w:tc>
        <w:tc>
          <w:tcPr>
            <w:tcW w:w="5481" w:type="dxa"/>
            <w:vAlign w:val="center"/>
            <w:textDirection w:val="lrTb"/>
            <w:noWrap w:val="false"/>
          </w:tcPr>
          <w:p>
            <w:pPr>
              <w:ind w:firstLine="1680"/>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评审标准</w:t>
            </w:r>
            <w:r>
              <w:rPr>
                <w:highlight w:val="none"/>
              </w:rPr>
            </w:r>
          </w:p>
        </w:tc>
        <w:tc>
          <w:tcPr>
            <w:tcW w:w="1036" w:type="dxa"/>
            <w:vAlign w:val="center"/>
            <w:textDirection w:val="lrTb"/>
            <w:noWrap w:val="false"/>
          </w:tcPr>
          <w:p>
            <w:pPr>
              <w:ind w:firstLine="1680"/>
              <w:jc w:val="cente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r>
            <w:r>
              <w:rPr>
                <w:highlight w:val="none"/>
              </w:rPr>
            </w:r>
          </w:p>
        </w:tc>
      </w:tr>
      <w:tr>
        <w:trPr>
          <w:jc w:val="center"/>
        </w:trPr>
        <w:tc>
          <w:tcPr>
            <w:tcW w:w="502" w:type="dxa"/>
            <w:vAlign w:val="center"/>
            <w:textDirection w:val="lrTb"/>
            <w:noWrap w:val="false"/>
          </w:tcPr>
          <w:p>
            <w:pPr>
              <w:jc w:val="cente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1</w:t>
            </w:r>
            <w:r>
              <w:rPr>
                <w:highlight w:val="none"/>
              </w:rPr>
            </w:r>
          </w:p>
        </w:tc>
        <w:tc>
          <w:tcPr>
            <w:tcW w:w="1776" w:type="dxa"/>
            <w:vAlign w:val="center"/>
            <w:textDirection w:val="lrTb"/>
            <w:noWrap w:val="false"/>
          </w:tcPr>
          <w:p>
            <w:pPr>
              <w:jc w:val="cente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产品认证证书及检测报告</w:t>
            </w:r>
            <w:r>
              <w:rPr>
                <w:highlight w:val="none"/>
              </w:rPr>
            </w:r>
          </w:p>
        </w:tc>
        <w:tc>
          <w:tcPr>
            <w:tcW w:w="611" w:type="dxa"/>
            <w:vAlign w:val="center"/>
            <w:textDirection w:val="lrTb"/>
            <w:noWrap w:val="false"/>
          </w:tcPr>
          <w:p>
            <w:pPr>
              <w:jc w:val="center"/>
              <w:spacing w:after="62" w:line="460" w:lineRule="exact"/>
              <w:rPr>
                <w:rFonts w:hint="default" w:ascii="Times New Roman" w:hAnsi="Times New Roman" w:eastAsia="方正公文仿宋" w:cs="Times New Roman"/>
                <w:color w:val="auto"/>
                <w:sz w:val="24"/>
                <w:highlight w:val="none"/>
              </w:rPr>
            </w:pPr>
            <w:r>
              <w:rPr>
                <w:rFonts w:hint="eastAsia" w:ascii="Times New Roman" w:hAnsi="Times New Roman" w:eastAsia="方正公文仿宋" w:cs="Times New Roman"/>
                <w:b/>
                <w:bCs/>
                <w:color w:val="auto"/>
                <w:sz w:val="24"/>
                <w:highlight w:val="none"/>
                <w:lang w:val="en-US" w:eastAsia="zh-CN"/>
              </w:rPr>
              <w:t xml:space="preserve">17</w:t>
            </w:r>
            <w:r>
              <w:rPr>
                <w:highlight w:val="none"/>
              </w:rPr>
            </w:r>
          </w:p>
        </w:tc>
        <w:tc>
          <w:tcPr>
            <w:tcW w:w="5481" w:type="dxa"/>
            <w:vAlign w:val="center"/>
            <w:textDirection w:val="lrTb"/>
            <w:noWrap w:val="false"/>
          </w:tcPr>
          <w:p>
            <w:pPr>
              <w:ind w:firstLine="241"/>
              <w:keepLines w:val="0"/>
              <w:keepNext w:val="0"/>
              <w:pageBreakBefore w:val="0"/>
              <w:spacing w:after="0" w:line="360" w:lineRule="exact"/>
              <w:widowControl w:val="off"/>
              <w:rPr>
                <w:rFonts w:hint="default" w:ascii="Times New Roman" w:hAnsi="Times New Roman" w:eastAsia="方正公文仿宋" w:cs="Times New Roman"/>
                <w:b/>
                <w:bCs/>
                <w:color w:val="auto"/>
                <w:sz w:val="24"/>
                <w:highlight w:val="none"/>
              </w:rPr>
            </w:pPr>
            <w:r>
              <w:rPr>
                <w:rFonts w:hint="eastAsia" w:ascii="Times New Roman" w:hAnsi="Times New Roman" w:eastAsia="方正公文仿宋" w:cs="Times New Roman"/>
                <w:b/>
                <w:bCs/>
                <w:color w:val="auto"/>
                <w:sz w:val="24"/>
                <w:highlight w:val="none"/>
              </w:rPr>
              <w:t xml:space="preserve">技术参数中所有带</w:t>
            </w:r>
            <w:r>
              <w:rPr>
                <w:rFonts w:hint="eastAsia" w:ascii="仿宋" w:hAnsi="仿宋" w:eastAsia="仿宋" w:cs="仿宋"/>
                <w:b/>
                <w:bCs/>
                <w:color w:val="auto"/>
                <w:sz w:val="24"/>
                <w:szCs w:val="24"/>
                <w:highlight w:val="none"/>
                <w:lang w:bidi="ar"/>
              </w:rPr>
              <w:t xml:space="preserve">▲</w:t>
            </w:r>
            <w:r>
              <w:rPr>
                <w:rFonts w:hint="eastAsia" w:ascii="Times New Roman" w:hAnsi="Times New Roman" w:eastAsia="方正公文仿宋" w:cs="Times New Roman"/>
                <w:b/>
                <w:bCs/>
                <w:color w:val="auto"/>
                <w:sz w:val="24"/>
                <w:highlight w:val="none"/>
              </w:rPr>
              <w:t xml:space="preserve">的条款，投标时</w:t>
            </w:r>
            <w:r>
              <w:rPr>
                <w:rFonts w:hint="eastAsia" w:ascii="Times New Roman" w:hAnsi="Times New Roman" w:eastAsia="方正公文仿宋" w:cs="Times New Roman"/>
                <w:b/>
                <w:bCs/>
                <w:color w:val="auto"/>
                <w:sz w:val="24"/>
                <w:highlight w:val="none"/>
                <w:lang w:val="en-US" w:eastAsia="zh-CN"/>
              </w:rPr>
              <w:t xml:space="preserve">按技术参数中的要求提供对应材料：</w:t>
            </w:r>
            <w:r>
              <w:rPr>
                <w:highlight w:val="none"/>
              </w:rPr>
            </w:r>
          </w:p>
          <w:p>
            <w:pPr>
              <w:numPr>
                <w:ilvl w:val="0"/>
                <w:numId w:val="0"/>
              </w:numPr>
              <w:ind w:firstLine="240"/>
              <w:keepLines w:val="0"/>
              <w:keepNext w:val="0"/>
              <w:pageBreakBefore w:val="0"/>
              <w:spacing w:before="157"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1.</w:t>
            </w:r>
            <w:r>
              <w:rPr>
                <w:rFonts w:hint="eastAsia" w:ascii="Times New Roman" w:hAnsi="Times New Roman" w:eastAsia="方正公文仿宋" w:cs="Times New Roman"/>
                <w:b/>
                <w:bCs/>
                <w:color w:val="auto"/>
                <w:sz w:val="24"/>
                <w:highlight w:val="none"/>
              </w:rPr>
              <w:t xml:space="preserve">燃气大锅灶（1000大锅）</w:t>
            </w:r>
            <w:r>
              <w:rPr>
                <w:rFonts w:hint="eastAsia" w:ascii="Times New Roman" w:hAnsi="Times New Roman" w:eastAsia="方正公文仿宋" w:cs="Times New Roman"/>
                <w:color w:val="auto"/>
                <w:sz w:val="24"/>
                <w:highlight w:val="none"/>
              </w:rPr>
              <w:t xml:space="preserve">：在满足热效率参数要求（≥65%）的前提下，具备CMA或CNAS认证检测报告且满足更高指标的</w:t>
            </w:r>
            <w:r>
              <w:rPr>
                <w:rFonts w:hint="eastAsia" w:ascii="Times New Roman" w:hAnsi="Times New Roman" w:eastAsia="方正公文仿宋" w:cs="Times New Roman"/>
                <w:color w:val="auto"/>
                <w:sz w:val="24"/>
                <w:highlight w:val="none"/>
                <w:lang w:eastAsia="zh-CN"/>
              </w:rPr>
              <w:t xml:space="preserve">。</w:t>
            </w:r>
            <w:r>
              <w:rPr>
                <w:highlight w:val="none"/>
              </w:rPr>
            </w:r>
          </w:p>
          <w:p>
            <w:pPr>
              <w:numPr>
                <w:ilvl w:val="0"/>
                <w:numId w:val="0"/>
              </w:numPr>
              <w:ind w:firstLine="480"/>
              <w:keepLines w:val="0"/>
              <w:keepNext w:val="0"/>
              <w:pageBreakBefore w:val="0"/>
              <w:spacing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 xml:space="preserve">①热效率≥74%，得2分；热效率≥65%，得1分，否则得0分；</w:t>
            </w:r>
            <w:r>
              <w:rPr>
                <w:highlight w:val="none"/>
              </w:rPr>
            </w:r>
          </w:p>
          <w:p>
            <w:pPr>
              <w:ind w:firstLine="480"/>
              <w:keepLines w:val="0"/>
              <w:keepNext w:val="0"/>
              <w:pageBreakBefore w:val="0"/>
              <w:spacing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 xml:space="preserve">②报告中有设备有故障代码提示功能（出现故障时候，会报警并且显示屏提示不同代码）的，得1分，否则得0分；</w:t>
            </w:r>
            <w:r>
              <w:rPr>
                <w:highlight w:val="none"/>
              </w:rPr>
            </w:r>
          </w:p>
          <w:p>
            <w:pPr>
              <w:ind w:firstLine="480"/>
              <w:keepLines w:val="0"/>
              <w:keepNext w:val="0"/>
              <w:pageBreakBefore w:val="0"/>
              <w:spacing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 xml:space="preserve">③报告中有设备有火焰检测（熄火保护功能），自动检测火焰，遇到意外熄火时，会自动关闭电磁阀并报警的，得1分，否则得0分；</w:t>
            </w:r>
            <w:r>
              <w:rPr>
                <w:highlight w:val="none"/>
              </w:rPr>
            </w:r>
          </w:p>
          <w:p>
            <w:pPr>
              <w:ind w:firstLine="480"/>
              <w:keepLines w:val="0"/>
              <w:keepNext w:val="0"/>
              <w:pageBreakBefore w:val="0"/>
              <w:spacing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 xml:space="preserve">本项最高4分</w:t>
            </w:r>
            <w:r>
              <w:rPr>
                <w:rFonts w:hint="eastAsia" w:ascii="Times New Roman" w:hAnsi="Times New Roman" w:eastAsia="方正公文仿宋" w:cs="Times New Roman"/>
                <w:color w:val="auto"/>
                <w:sz w:val="24"/>
                <w:highlight w:val="none"/>
                <w:lang w:eastAsia="zh-CN"/>
              </w:rPr>
              <w:t xml:space="preserve">。</w:t>
            </w:r>
            <w:r>
              <w:rPr>
                <w:highlight w:val="none"/>
              </w:rPr>
            </w:r>
          </w:p>
          <w:p>
            <w:pPr>
              <w:numPr>
                <w:ilvl w:val="0"/>
                <w:numId w:val="0"/>
              </w:numPr>
              <w:ind w:firstLine="240"/>
              <w:keepLines w:val="0"/>
              <w:keepNext w:val="0"/>
              <w:pageBreakBefore w:val="0"/>
              <w:spacing w:before="157"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2.</w:t>
            </w:r>
            <w:r>
              <w:rPr>
                <w:rFonts w:hint="eastAsia" w:ascii="Times New Roman" w:hAnsi="Times New Roman" w:eastAsia="方正公文仿宋" w:cs="Times New Roman"/>
                <w:b/>
                <w:bCs/>
                <w:color w:val="auto"/>
                <w:sz w:val="24"/>
                <w:highlight w:val="none"/>
              </w:rPr>
              <w:t xml:space="preserve">燃气炒灶：</w:t>
            </w:r>
            <w:r>
              <w:rPr>
                <w:rFonts w:hint="eastAsia" w:ascii="Times New Roman" w:hAnsi="Times New Roman" w:eastAsia="方正公文仿宋" w:cs="Times New Roman"/>
                <w:color w:val="auto"/>
                <w:sz w:val="24"/>
                <w:highlight w:val="none"/>
              </w:rPr>
              <w:t xml:space="preserve">有CMA或CNAS认证资质的检测报告</w:t>
            </w:r>
            <w:r>
              <w:rPr>
                <w:rFonts w:hint="eastAsia" w:ascii="Times New Roman" w:hAnsi="Times New Roman" w:eastAsia="方正公文仿宋" w:cs="Times New Roman"/>
                <w:color w:val="auto"/>
                <w:sz w:val="24"/>
                <w:highlight w:val="none"/>
                <w:lang w:eastAsia="zh-CN"/>
              </w:rPr>
              <w:t xml:space="preserve">。</w:t>
            </w:r>
            <w:r>
              <w:rPr>
                <w:highlight w:val="none"/>
              </w:rPr>
            </w:r>
          </w:p>
          <w:p>
            <w:pPr>
              <w:numPr>
                <w:ilvl w:val="0"/>
                <w:numId w:val="0"/>
              </w:numPr>
              <w:ind w:firstLine="240"/>
              <w:keepLines w:val="0"/>
              <w:keepNext w:val="0"/>
              <w:pageBreakBefore w:val="0"/>
              <w:spacing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 xml:space="preserve">①有满足热效率≥55%的得2分、满足热效率≥45%的，得1分，否则得0分；</w:t>
            </w:r>
            <w:r>
              <w:rPr>
                <w:highlight w:val="none"/>
              </w:rPr>
            </w:r>
          </w:p>
          <w:p>
            <w:pPr>
              <w:ind w:firstLine="240"/>
              <w:keepLines w:val="0"/>
              <w:keepNext w:val="0"/>
              <w:pageBreakBefore w:val="0"/>
              <w:spacing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 xml:space="preserve">②报告中有设备有故障代码提示功能（出现故障时候，会报警并且显示屏提示不同代码）的，得1分，否则得0分；</w:t>
            </w:r>
            <w:r>
              <w:rPr>
                <w:highlight w:val="none"/>
              </w:rPr>
            </w:r>
          </w:p>
          <w:p>
            <w:pPr>
              <w:ind w:firstLine="240"/>
              <w:keepLines w:val="0"/>
              <w:keepNext w:val="0"/>
              <w:pageBreakBefore w:val="0"/>
              <w:spacing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 xml:space="preserve">③报告中有设备有火焰检测（熄火保护功能），自动检测火焰，遇到意外熄火时，会自动关闭电磁阀并报警的，得1分，否则得0分；</w:t>
            </w:r>
            <w:r>
              <w:rPr>
                <w:highlight w:val="none"/>
              </w:rPr>
            </w:r>
          </w:p>
          <w:p>
            <w:pPr>
              <w:ind w:firstLine="480"/>
              <w:keepLines w:val="0"/>
              <w:keepNext w:val="0"/>
              <w:pageBreakBefore w:val="0"/>
              <w:spacing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 xml:space="preserve">本项最高4分。</w:t>
            </w:r>
            <w:r>
              <w:rPr>
                <w:highlight w:val="none"/>
              </w:rPr>
            </w:r>
          </w:p>
          <w:p>
            <w:pPr>
              <w:ind w:firstLine="482"/>
              <w:keepLines w:val="0"/>
              <w:keepNext w:val="0"/>
              <w:pageBreakBefore w:val="0"/>
              <w:spacing w:before="157"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b/>
                <w:bCs/>
                <w:color w:val="auto"/>
                <w:sz w:val="24"/>
                <w:highlight w:val="none"/>
              </w:rPr>
              <w:t xml:space="preserve">3.厨房灭火系统：</w:t>
            </w:r>
            <w:r>
              <w:rPr>
                <w:highlight w:val="none"/>
              </w:rPr>
            </w:r>
          </w:p>
          <w:p>
            <w:pPr>
              <w:ind w:firstLine="480"/>
              <w:keepLines w:val="0"/>
              <w:keepNext w:val="0"/>
              <w:pageBreakBefore w:val="0"/>
              <w:spacing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 xml:space="preserve">①提供CMA或CNAS标识的型式试验报告中有厨房灭火装置，有压力观察口描述的，得</w:t>
            </w:r>
            <w:r>
              <w:rPr>
                <w:rFonts w:hint="eastAsia" w:ascii="Times New Roman" w:hAnsi="Times New Roman" w:eastAsia="方正公文仿宋" w:cs="Times New Roman"/>
                <w:color w:val="auto"/>
                <w:sz w:val="24"/>
                <w:highlight w:val="none"/>
                <w:lang w:val="en-US" w:eastAsia="zh-CN"/>
              </w:rPr>
              <w:t xml:space="preserve">1</w:t>
            </w:r>
            <w:r>
              <w:rPr>
                <w:rFonts w:hint="eastAsia" w:ascii="Times New Roman" w:hAnsi="Times New Roman" w:eastAsia="方正公文仿宋" w:cs="Times New Roman"/>
                <w:color w:val="auto"/>
                <w:sz w:val="24"/>
                <w:highlight w:val="none"/>
              </w:rPr>
              <w:t xml:space="preserve">分，否则得0分；</w:t>
            </w:r>
            <w:r>
              <w:rPr>
                <w:highlight w:val="none"/>
              </w:rPr>
            </w:r>
          </w:p>
          <w:p>
            <w:pPr>
              <w:ind w:firstLine="480"/>
              <w:keepLines w:val="0"/>
              <w:keepNext w:val="0"/>
              <w:pageBreakBefore w:val="0"/>
              <w:spacing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 xml:space="preserve">②提供CMA或CNAS标识的检测报告中有提供双瓶组的，且灭火时间≤3秒， 得1分</w:t>
            </w:r>
            <w:r>
              <w:rPr>
                <w:rFonts w:hint="eastAsia" w:ascii="Times New Roman" w:hAnsi="Times New Roman" w:eastAsia="方正公文仿宋" w:cs="Times New Roman"/>
                <w:color w:val="auto"/>
                <w:sz w:val="24"/>
                <w:highlight w:val="none"/>
                <w:lang w:eastAsia="zh-CN"/>
              </w:rPr>
              <w:t xml:space="preserve">；</w:t>
            </w:r>
            <w:r>
              <w:rPr>
                <w:rFonts w:hint="eastAsia" w:ascii="Times New Roman" w:hAnsi="Times New Roman" w:eastAsia="方正公文仿宋" w:cs="Times New Roman"/>
                <w:color w:val="auto"/>
                <w:sz w:val="24"/>
                <w:highlight w:val="none"/>
              </w:rPr>
              <w:t xml:space="preserve">灭火时间≤2秒的，得2分</w:t>
            </w:r>
            <w:r>
              <w:rPr>
                <w:rFonts w:hint="eastAsia" w:ascii="Times New Roman" w:hAnsi="Times New Roman" w:eastAsia="方正公文仿宋" w:cs="Times New Roman"/>
                <w:color w:val="auto"/>
                <w:sz w:val="24"/>
                <w:highlight w:val="none"/>
                <w:lang w:eastAsia="zh-CN"/>
              </w:rPr>
              <w:t xml:space="preserve">；</w:t>
            </w:r>
            <w:r>
              <w:rPr>
                <w:rFonts w:hint="eastAsia" w:ascii="Times New Roman" w:hAnsi="Times New Roman" w:eastAsia="方正公文仿宋" w:cs="Times New Roman"/>
                <w:color w:val="auto"/>
                <w:sz w:val="24"/>
                <w:highlight w:val="none"/>
              </w:rPr>
              <w:t xml:space="preserve">灭火时间≤1秒的，得3分，否则得0分；</w:t>
            </w:r>
            <w:r>
              <w:rPr>
                <w:highlight w:val="none"/>
              </w:rPr>
            </w:r>
          </w:p>
          <w:p>
            <w:pPr>
              <w:ind w:firstLine="480"/>
              <w:keepLines w:val="0"/>
              <w:keepNext w:val="0"/>
              <w:pageBreakBefore w:val="0"/>
              <w:spacing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 xml:space="preserve">本项最高</w:t>
            </w:r>
            <w:r>
              <w:rPr>
                <w:rFonts w:hint="eastAsia" w:ascii="Times New Roman" w:hAnsi="Times New Roman" w:eastAsia="方正公文仿宋" w:cs="Times New Roman"/>
                <w:color w:val="auto"/>
                <w:sz w:val="24"/>
                <w:highlight w:val="none"/>
                <w:lang w:val="en-US" w:eastAsia="zh-CN"/>
              </w:rPr>
              <w:t xml:space="preserve">4</w:t>
            </w:r>
            <w:r>
              <w:rPr>
                <w:rFonts w:hint="eastAsia" w:ascii="Times New Roman" w:hAnsi="Times New Roman" w:eastAsia="方正公文仿宋" w:cs="Times New Roman"/>
                <w:color w:val="auto"/>
                <w:sz w:val="24"/>
                <w:highlight w:val="none"/>
              </w:rPr>
              <w:t xml:space="preserve">分。</w:t>
            </w:r>
            <w:r>
              <w:rPr>
                <w:highlight w:val="none"/>
              </w:rPr>
            </w:r>
          </w:p>
          <w:p>
            <w:pPr>
              <w:ind w:firstLine="482"/>
              <w:keepLines w:val="0"/>
              <w:keepNext w:val="0"/>
              <w:pageBreakBefore w:val="0"/>
              <w:spacing w:before="157"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b/>
                <w:bCs/>
                <w:color w:val="auto"/>
                <w:sz w:val="24"/>
                <w:highlight w:val="none"/>
              </w:rPr>
              <w:t xml:space="preserve">4.全自动长龙式洗碗机：</w:t>
            </w:r>
            <w:r>
              <w:rPr>
                <w:rFonts w:hint="eastAsia" w:ascii="Times New Roman" w:hAnsi="Times New Roman" w:eastAsia="方正公文仿宋" w:cs="Times New Roman"/>
                <w:color w:val="auto"/>
                <w:sz w:val="24"/>
                <w:highlight w:val="none"/>
              </w:rPr>
              <w:t xml:space="preserve">有商用洗碗机洗净性能认证证书扫描件证明，提供“全国认证认可信息公共服务平台”查询截图的，得</w:t>
            </w:r>
            <w:r>
              <w:rPr>
                <w:rFonts w:hint="eastAsia" w:ascii="Times New Roman" w:hAnsi="Times New Roman" w:eastAsia="方正公文仿宋" w:cs="Times New Roman"/>
                <w:color w:val="auto"/>
                <w:sz w:val="24"/>
                <w:highlight w:val="none"/>
                <w:lang w:val="en-US" w:eastAsia="zh-CN"/>
              </w:rPr>
              <w:t xml:space="preserve">1</w:t>
            </w:r>
            <w:r>
              <w:rPr>
                <w:rFonts w:hint="eastAsia" w:ascii="Times New Roman" w:hAnsi="Times New Roman" w:eastAsia="方正公文仿宋" w:cs="Times New Roman"/>
                <w:color w:val="auto"/>
                <w:sz w:val="24"/>
                <w:highlight w:val="none"/>
              </w:rPr>
              <w:t xml:space="preserve">分，否则得0分。本项最高</w:t>
            </w:r>
            <w:r>
              <w:rPr>
                <w:rFonts w:hint="eastAsia" w:ascii="Times New Roman" w:hAnsi="Times New Roman" w:eastAsia="方正公文仿宋" w:cs="Times New Roman"/>
                <w:color w:val="auto"/>
                <w:sz w:val="24"/>
                <w:highlight w:val="none"/>
                <w:lang w:val="en-US" w:eastAsia="zh-CN"/>
              </w:rPr>
              <w:t xml:space="preserve">1</w:t>
            </w:r>
            <w:r>
              <w:rPr>
                <w:rFonts w:hint="eastAsia" w:ascii="Times New Roman" w:hAnsi="Times New Roman" w:eastAsia="方正公文仿宋" w:cs="Times New Roman"/>
                <w:color w:val="auto"/>
                <w:sz w:val="24"/>
                <w:highlight w:val="none"/>
              </w:rPr>
              <w:t xml:space="preserve">分。</w:t>
            </w:r>
            <w:r>
              <w:rPr>
                <w:highlight w:val="none"/>
              </w:rPr>
            </w:r>
          </w:p>
          <w:p>
            <w:pPr>
              <w:ind w:firstLine="482"/>
              <w:keepLines w:val="0"/>
              <w:keepNext w:val="0"/>
              <w:pageBreakBefore w:val="0"/>
              <w:spacing w:before="157"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b/>
                <w:bCs/>
                <w:color w:val="auto"/>
                <w:sz w:val="24"/>
                <w:highlight w:val="none"/>
              </w:rPr>
              <w:t xml:space="preserve">5.机械静电光解复合式集烟罩</w:t>
            </w:r>
            <w:r>
              <w:rPr>
                <w:rFonts w:hint="eastAsia" w:ascii="Times New Roman" w:hAnsi="Times New Roman" w:eastAsia="方正公文仿宋" w:cs="Times New Roman"/>
                <w:color w:val="auto"/>
                <w:sz w:val="24"/>
                <w:highlight w:val="none"/>
              </w:rPr>
              <w:t xml:space="preserve">（油烟净化一体设备）：</w:t>
            </w:r>
            <w:r>
              <w:rPr>
                <w:highlight w:val="none"/>
              </w:rPr>
            </w:r>
          </w:p>
          <w:p>
            <w:pPr>
              <w:ind w:firstLine="480"/>
              <w:keepLines w:val="0"/>
              <w:keepNext w:val="0"/>
              <w:pageBreakBefore w:val="0"/>
              <w:spacing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 xml:space="preserve">①有节能产品认证扫描件，并提供“全国认证认可信息公共服务平台”查询截图的，得</w:t>
            </w:r>
            <w:r>
              <w:rPr>
                <w:rFonts w:hint="eastAsia" w:ascii="Times New Roman" w:hAnsi="Times New Roman" w:eastAsia="方正公文仿宋" w:cs="Times New Roman"/>
                <w:color w:val="auto"/>
                <w:sz w:val="24"/>
                <w:highlight w:val="none"/>
                <w:lang w:val="en-US" w:eastAsia="zh-CN"/>
              </w:rPr>
              <w:t xml:space="preserve">1</w:t>
            </w:r>
            <w:r>
              <w:rPr>
                <w:rFonts w:hint="eastAsia" w:ascii="Times New Roman" w:hAnsi="Times New Roman" w:eastAsia="方正公文仿宋" w:cs="Times New Roman"/>
                <w:color w:val="auto"/>
                <w:sz w:val="24"/>
                <w:highlight w:val="none"/>
              </w:rPr>
              <w:t xml:space="preserve">分，否则得0分；</w:t>
            </w:r>
            <w:r>
              <w:rPr>
                <w:highlight w:val="none"/>
              </w:rPr>
            </w:r>
          </w:p>
          <w:p>
            <w:pPr>
              <w:ind w:firstLine="480"/>
              <w:keepLines w:val="0"/>
              <w:keepNext w:val="0"/>
              <w:pageBreakBefore w:val="0"/>
              <w:spacing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 xml:space="preserve">②有中国环境保护产品认证扫描件，并提供“全国认证认可信息公共服务平台”查询截图的，得</w:t>
            </w:r>
            <w:r>
              <w:rPr>
                <w:rFonts w:hint="eastAsia" w:ascii="Times New Roman" w:hAnsi="Times New Roman" w:eastAsia="方正公文仿宋" w:cs="Times New Roman"/>
                <w:color w:val="auto"/>
                <w:sz w:val="24"/>
                <w:highlight w:val="none"/>
                <w:lang w:val="en-US" w:eastAsia="zh-CN"/>
              </w:rPr>
              <w:t xml:space="preserve">1</w:t>
            </w:r>
            <w:r>
              <w:rPr>
                <w:rFonts w:hint="eastAsia" w:ascii="Times New Roman" w:hAnsi="Times New Roman" w:eastAsia="方正公文仿宋" w:cs="Times New Roman"/>
                <w:color w:val="auto"/>
                <w:sz w:val="24"/>
                <w:highlight w:val="none"/>
              </w:rPr>
              <w:t xml:space="preserve">分，否则得0分；</w:t>
            </w:r>
            <w:r>
              <w:rPr>
                <w:highlight w:val="none"/>
              </w:rPr>
            </w:r>
          </w:p>
          <w:p>
            <w:pPr>
              <w:ind w:firstLine="480"/>
              <w:keepLines w:val="0"/>
              <w:keepNext w:val="0"/>
              <w:pageBreakBefore w:val="0"/>
              <w:spacing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 xml:space="preserve">本项最高得</w:t>
            </w:r>
            <w:r>
              <w:rPr>
                <w:rFonts w:hint="eastAsia" w:ascii="Times New Roman" w:hAnsi="Times New Roman" w:eastAsia="方正公文仿宋" w:cs="Times New Roman"/>
                <w:color w:val="auto"/>
                <w:sz w:val="24"/>
                <w:highlight w:val="none"/>
                <w:lang w:val="en-US" w:eastAsia="zh-CN"/>
              </w:rPr>
              <w:t xml:space="preserve">2</w:t>
            </w:r>
            <w:r>
              <w:rPr>
                <w:rFonts w:hint="eastAsia" w:ascii="Times New Roman" w:hAnsi="Times New Roman" w:eastAsia="方正公文仿宋" w:cs="Times New Roman"/>
                <w:color w:val="auto"/>
                <w:sz w:val="24"/>
                <w:highlight w:val="none"/>
              </w:rPr>
              <w:t xml:space="preserve">分。</w:t>
            </w:r>
            <w:r>
              <w:rPr>
                <w:highlight w:val="none"/>
              </w:rPr>
            </w:r>
          </w:p>
          <w:p>
            <w:pPr>
              <w:ind w:firstLine="482"/>
              <w:keepLines w:val="0"/>
              <w:keepNext w:val="0"/>
              <w:pageBreakBefore w:val="0"/>
              <w:spacing w:before="157"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b/>
                <w:bCs/>
                <w:color w:val="auto"/>
                <w:sz w:val="24"/>
                <w:highlight w:val="none"/>
              </w:rPr>
              <w:t xml:space="preserve">6.低噪音厢式风机：</w:t>
            </w:r>
            <w:r>
              <w:rPr>
                <w:rFonts w:hint="eastAsia" w:ascii="Times New Roman" w:hAnsi="Times New Roman" w:eastAsia="方正公文仿宋" w:cs="Times New Roman"/>
                <w:color w:val="auto"/>
                <w:sz w:val="24"/>
                <w:highlight w:val="none"/>
              </w:rPr>
              <w:t xml:space="preserve">①提供CNAS或CMA标志的检测报告，所投产品外壳依据GB/T20854-2025标准，采用48h循环盐雾腐蚀试验，结果定为合格，得1分，否则得0分。</w:t>
            </w:r>
            <w:r>
              <w:rPr>
                <w:highlight w:val="none"/>
              </w:rPr>
            </w:r>
          </w:p>
          <w:p>
            <w:pPr>
              <w:ind w:firstLine="480"/>
              <w:keepLines w:val="0"/>
              <w:keepNext w:val="0"/>
              <w:pageBreakBefore w:val="0"/>
              <w:spacing w:after="0" w:line="360" w:lineRule="exact"/>
              <w:widowControl w:val="off"/>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 xml:space="preserve">②提供具有低噪音产品认证证书，得1分，否则得0分。</w:t>
            </w:r>
            <w:r>
              <w:rPr>
                <w:highlight w:val="none"/>
              </w:rPr>
            </w:r>
          </w:p>
          <w:p>
            <w:pPr>
              <w:ind w:firstLine="480"/>
              <w:keepLines w:val="0"/>
              <w:keepNext w:val="0"/>
              <w:pageBreakBefore w:val="0"/>
              <w:spacing w:after="0" w:line="360" w:lineRule="exact"/>
              <w:widowControl w:val="off"/>
              <w:rPr>
                <w:rFonts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 xml:space="preserve">本项最高2分。</w:t>
            </w:r>
            <w:r>
              <w:rPr>
                <w:highlight w:val="none"/>
              </w:rPr>
            </w:r>
          </w:p>
        </w:tc>
        <w:tc>
          <w:tcPr>
            <w:tcW w:w="1036" w:type="dxa"/>
            <w:vAlign w:val="center"/>
            <w:textDirection w:val="lrTb"/>
            <w:noWrap w:val="false"/>
          </w:tcPr>
          <w:p>
            <w:pPr>
              <w:pStyle w:val="1071"/>
              <w:jc w:val="center"/>
              <w:spacing w:after="62" w:line="460" w:lineRule="exact"/>
              <w:rPr>
                <w:rFonts w:ascii="Times New Roman" w:hAnsi="Times New Roman" w:eastAsia="方正公文仿宋" w:cs="Times New Roman"/>
                <w:color w:val="auto"/>
                <w:sz w:val="24"/>
                <w:szCs w:val="24"/>
                <w:highlight w:val="none"/>
              </w:rPr>
            </w:pPr>
            <w:r>
              <w:rPr>
                <w:rFonts w:ascii="Times New Roman" w:hAnsi="Times New Roman" w:eastAsia="方正公文仿宋" w:cs="Times New Roman"/>
                <w:color w:val="auto"/>
                <w:sz w:val="24"/>
                <w:szCs w:val="24"/>
                <w:highlight w:val="none"/>
              </w:rPr>
              <w:t xml:space="preserve">客观分</w:t>
            </w:r>
            <w:r>
              <w:rPr>
                <w:highlight w:val="none"/>
              </w:rPr>
            </w:r>
          </w:p>
        </w:tc>
      </w:tr>
      <w:tr>
        <w:trPr>
          <w:jc w:val="center"/>
        </w:trPr>
        <w:tc>
          <w:tcPr>
            <w:tcW w:w="502" w:type="dxa"/>
            <w:vAlign w:val="center"/>
            <w:textDirection w:val="lrTb"/>
            <w:noWrap w:val="false"/>
          </w:tcPr>
          <w:p>
            <w:pPr>
              <w:jc w:val="center"/>
              <w:spacing w:after="62" w:line="460" w:lineRule="exact"/>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2</w:t>
            </w:r>
            <w:r>
              <w:rPr>
                <w:highlight w:val="none"/>
              </w:rPr>
            </w:r>
          </w:p>
        </w:tc>
        <w:tc>
          <w:tcPr>
            <w:shd w:val="clear" w:color="auto" w:fill="auto"/>
            <w:tcW w:w="1776" w:type="dxa"/>
            <w:vAlign w:val="center"/>
            <w:textDirection w:val="lrTb"/>
            <w:noWrap w:val="false"/>
          </w:tcPr>
          <w:p>
            <w:pPr>
              <w:jc w:val="center"/>
              <w:spacing w:after="62" w:line="460" w:lineRule="exact"/>
              <w:widowControl/>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消防认证</w:t>
            </w:r>
            <w:r>
              <w:rPr>
                <w:highlight w:val="none"/>
              </w:rPr>
            </w:r>
          </w:p>
        </w:tc>
        <w:tc>
          <w:tcPr>
            <w:shd w:val="clear" w:color="auto" w:fill="auto"/>
            <w:tcW w:w="611" w:type="dxa"/>
            <w:vAlign w:val="center"/>
            <w:textDirection w:val="lrTb"/>
            <w:noWrap w:val="false"/>
          </w:tcPr>
          <w:p>
            <w:pPr>
              <w:jc w:val="center"/>
              <w:spacing w:after="62" w:line="460" w:lineRule="exact"/>
              <w:widowControl/>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1</w:t>
            </w:r>
            <w:r>
              <w:rPr>
                <w:highlight w:val="none"/>
              </w:rPr>
            </w:r>
          </w:p>
        </w:tc>
        <w:tc>
          <w:tcPr>
            <w:shd w:val="clear" w:color="auto" w:fill="auto"/>
            <w:tcW w:w="5481" w:type="dxa"/>
            <w:vAlign w:val="center"/>
            <w:textDirection w:val="lrTb"/>
            <w:noWrap w:val="false"/>
          </w:tcPr>
          <w:p>
            <w:pPr>
              <w:pStyle w:val="997"/>
              <w:ind w:firstLine="0"/>
              <w:keepLines w:val="0"/>
              <w:keepNext w:val="0"/>
              <w:pageBreakBefore w:val="0"/>
              <w:spacing w:before="157" w:after="0" w:line="360" w:lineRule="exact"/>
              <w:widowControl w:val="off"/>
              <w:rPr>
                <w:rFonts w:hint="eastAsia" w:ascii="Times New Roman" w:eastAsia="方正公文仿宋" w:cs="Times New Roman"/>
                <w:color w:val="auto"/>
                <w:sz w:val="24"/>
                <w:szCs w:val="24"/>
                <w:highlight w:val="none"/>
              </w:rPr>
            </w:pPr>
            <w:r>
              <w:rPr>
                <w:rFonts w:hint="eastAsia" w:ascii="Times New Roman" w:eastAsia="方正公文仿宋" w:cs="Times New Roman"/>
                <w:color w:val="auto"/>
                <w:sz w:val="24"/>
                <w:szCs w:val="24"/>
                <w:highlight w:val="none"/>
                <w:lang w:eastAsia="zh-CN"/>
              </w:rPr>
              <w:t xml:space="preserve">厨房灭火系统须具有有效消防产品认证证书，提供证书扫描件加盖投标人公章的，得1分，否则得0分</w:t>
            </w:r>
            <w:r>
              <w:rPr>
                <w:highlight w:val="none"/>
              </w:rPr>
            </w:r>
          </w:p>
        </w:tc>
        <w:tc>
          <w:tcPr>
            <w:shd w:val="clear" w:color="auto" w:fill="auto"/>
            <w:tcW w:w="1036" w:type="dxa"/>
            <w:vAlign w:val="center"/>
            <w:textDirection w:val="lrTb"/>
            <w:noWrap w:val="false"/>
          </w:tcPr>
          <w:p>
            <w:pPr>
              <w:jc w:val="cente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szCs w:val="24"/>
                <w:highlight w:val="none"/>
              </w:rPr>
              <w:t xml:space="preserve">客观分</w:t>
            </w:r>
            <w:r>
              <w:rPr>
                <w:highlight w:val="none"/>
              </w:rPr>
            </w:r>
          </w:p>
        </w:tc>
      </w:tr>
      <w:tr>
        <w:trPr>
          <w:jc w:val="center"/>
          <w:trHeight w:val="2584"/>
        </w:trPr>
        <w:tc>
          <w:tcPr>
            <w:shd w:val="clear" w:color="auto" w:fill="auto"/>
            <w:tcW w:w="502" w:type="dxa"/>
            <w:vAlign w:val="center"/>
            <w:textDirection w:val="lrTb"/>
            <w:noWrap w:val="false"/>
          </w:tcPr>
          <w:p>
            <w:pPr>
              <w:jc w:val="center"/>
              <w:spacing w:after="62" w:line="460" w:lineRule="exact"/>
              <w:rPr>
                <w:rFonts w:hint="default"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3</w:t>
            </w:r>
            <w:r>
              <w:rPr>
                <w:highlight w:val="none"/>
              </w:rPr>
            </w:r>
          </w:p>
        </w:tc>
        <w:tc>
          <w:tcPr>
            <w:shd w:val="clear" w:color="auto" w:fill="auto"/>
            <w:tcW w:w="1776" w:type="dxa"/>
            <w:vAlign w:val="center"/>
            <w:textDirection w:val="lrTb"/>
            <w:noWrap w:val="false"/>
          </w:tcPr>
          <w:p>
            <w:pPr>
              <w:jc w:val="center"/>
              <w:spacing w:after="62" w:line="460" w:lineRule="exact"/>
              <w:rPr>
                <w:rFonts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rPr>
              <w:t xml:space="preserve">节能环保</w:t>
            </w:r>
            <w:r>
              <w:rPr>
                <w:highlight w:val="none"/>
              </w:rPr>
            </w:r>
          </w:p>
        </w:tc>
        <w:tc>
          <w:tcPr>
            <w:shd w:val="clear" w:color="auto" w:fill="auto"/>
            <w:tcW w:w="611" w:type="dxa"/>
            <w:vAlign w:val="center"/>
            <w:textDirection w:val="lrTb"/>
            <w:noWrap w:val="false"/>
          </w:tcPr>
          <w:p>
            <w:pPr>
              <w:jc w:val="center"/>
              <w:spacing w:after="62" w:line="460" w:lineRule="exact"/>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2</w:t>
            </w:r>
            <w:r>
              <w:rPr>
                <w:highlight w:val="none"/>
              </w:rPr>
            </w:r>
          </w:p>
        </w:tc>
        <w:tc>
          <w:tcPr>
            <w:shd w:val="clear" w:color="auto" w:fill="auto"/>
            <w:tcW w:w="5481" w:type="dxa"/>
            <w:textDirection w:val="lrTb"/>
            <w:noWrap w:val="false"/>
          </w:tcPr>
          <w:p>
            <w:pPr>
              <w:pStyle w:val="1001"/>
              <w:ind w:firstLine="461"/>
              <w:keepLines w:val="0"/>
              <w:keepNext w:val="0"/>
              <w:pageBreakBefore w:val="0"/>
              <w:spacing w:after="62" w:line="360" w:lineRule="exact"/>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投标产品属于财政部</w:t>
            </w:r>
            <w:r>
              <w:rPr>
                <w:rFonts w:hint="eastAsia" w:ascii="Times New Roman" w:hAnsi="Times New Roman" w:eastAsia="方正公文仿宋" w:cs="Times New Roman"/>
                <w:color w:val="auto"/>
                <w:sz w:val="24"/>
                <w:szCs w:val="24"/>
                <w:highlight w:val="none"/>
                <w:lang w:eastAsia="zh-CN"/>
              </w:rPr>
              <w:t xml:space="preserve">国家发展改革委</w:t>
            </w:r>
            <w:r>
              <w:rPr>
                <w:rFonts w:hint="eastAsia" w:ascii="Times New Roman" w:hAnsi="Times New Roman" w:eastAsia="方正公文仿宋" w:cs="Times New Roman"/>
                <w:color w:val="auto"/>
                <w:sz w:val="24"/>
                <w:szCs w:val="24"/>
                <w:highlight w:val="none"/>
              </w:rPr>
              <w:t xml:space="preserve">公布的“节能产品品目清单”范围内的（强制采购产品除外），供应商提供国家确定的认证机构出具的、处于有效期之内的该节能产品认证证书复印件，有1个得1分，最多得1分。</w:t>
            </w:r>
            <w:r>
              <w:rPr>
                <w:highlight w:val="none"/>
              </w:rPr>
            </w:r>
          </w:p>
          <w:p>
            <w:pPr>
              <w:pStyle w:val="1001"/>
              <w:ind w:firstLine="461"/>
              <w:keepLines w:val="0"/>
              <w:keepNext w:val="0"/>
              <w:pageBreakBefore w:val="0"/>
              <w:spacing w:after="62" w:line="360" w:lineRule="exact"/>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投标产品属于财政部、生态环境部公布的“环境标志产品品目清单”范围内提供的，供应商提供国家确定的认证机构出具的、处于有效期内的该环保产品认证证书复印件，有1个得1分，最多得1分。</w:t>
            </w:r>
            <w:r>
              <w:rPr>
                <w:highlight w:val="none"/>
              </w:rPr>
            </w:r>
          </w:p>
        </w:tc>
        <w:tc>
          <w:tcPr>
            <w:shd w:val="clear" w:color="auto" w:fill="auto"/>
            <w:tcW w:w="1036" w:type="dxa"/>
            <w:vAlign w:val="center"/>
            <w:textDirection w:val="lrTb"/>
            <w:noWrap w:val="false"/>
          </w:tcPr>
          <w:p>
            <w:pPr>
              <w:jc w:val="left"/>
              <w:spacing w:after="62" w:line="460" w:lineRule="exact"/>
              <w:widowControl/>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客观分</w:t>
            </w:r>
            <w:r>
              <w:rPr>
                <w:highlight w:val="none"/>
              </w:rPr>
            </w:r>
          </w:p>
        </w:tc>
      </w:tr>
    </w:tbl>
    <w:p>
      <w:pPr>
        <w:ind w:left="562"/>
        <w:jc w:val="left"/>
        <w:spacing w:before="120" w:after="62" w:line="480" w:lineRule="exact"/>
        <w:rPr>
          <w:rFonts w:hint="eastAsia" w:ascii="Times New Roman" w:hAnsi="Times New Roman" w:eastAsia="仿宋" w:cs="Times New Roman"/>
          <w:b/>
          <w:color w:val="000000"/>
          <w:sz w:val="28"/>
          <w:szCs w:val="28"/>
          <w:highlight w:val="none"/>
        </w:rPr>
      </w:pPr>
      <w:r>
        <w:rPr>
          <w:rFonts w:hint="eastAsia" w:ascii="Times New Roman" w:hAnsi="Times New Roman" w:eastAsia="仿宋" w:cs="Times New Roman"/>
          <w:b/>
          <w:color w:val="000000"/>
          <w:sz w:val="28"/>
          <w:szCs w:val="28"/>
          <w:highlight w:val="none"/>
          <w:lang w:val="en-US" w:eastAsia="zh-CN"/>
        </w:rPr>
        <w:t xml:space="preserve">3.</w:t>
      </w:r>
      <w:r>
        <w:rPr>
          <w:rFonts w:hint="eastAsia" w:ascii="Times New Roman" w:hAnsi="Times New Roman" w:eastAsia="仿宋" w:cs="Times New Roman"/>
          <w:b/>
          <w:color w:val="000000"/>
          <w:sz w:val="28"/>
          <w:szCs w:val="28"/>
          <w:highlight w:val="none"/>
        </w:rPr>
        <w:t xml:space="preserve">商务分：</w:t>
      </w:r>
      <w:r>
        <w:rPr>
          <w:rFonts w:hint="eastAsia" w:ascii="Times New Roman" w:hAnsi="Times New Roman" w:eastAsia="仿宋" w:cs="Times New Roman"/>
          <w:b/>
          <w:color w:val="000000"/>
          <w:sz w:val="28"/>
          <w:szCs w:val="28"/>
          <w:highlight w:val="none"/>
          <w:lang w:val="en-US" w:eastAsia="zh-CN"/>
        </w:rPr>
        <w:t xml:space="preserve">30</w:t>
      </w:r>
      <w:r>
        <w:rPr>
          <w:rFonts w:hint="eastAsia" w:ascii="Times New Roman" w:hAnsi="Times New Roman" w:eastAsia="仿宋" w:cs="Times New Roman"/>
          <w:b/>
          <w:color w:val="000000"/>
          <w:sz w:val="28"/>
          <w:szCs w:val="28"/>
          <w:highlight w:val="none"/>
        </w:rPr>
        <w:t xml:space="preserve">分</w:t>
      </w:r>
      <w:r>
        <w:rPr>
          <w:highlight w:val="none"/>
        </w:rPr>
      </w:r>
    </w:p>
    <w:p>
      <w:pPr>
        <w:ind w:firstLine="700"/>
        <w:jc w:val="left"/>
        <w:spacing w:line="500" w:lineRule="exact"/>
        <w:rPr>
          <w:rFonts w:eastAsia="方正仿宋_GBK"/>
          <w:sz w:val="28"/>
          <w:szCs w:val="28"/>
          <w:highlight w:val="none"/>
        </w:rPr>
      </w:pPr>
      <w:r>
        <w:rPr>
          <w:rFonts w:eastAsia="方正仿宋_GBK"/>
          <w:sz w:val="28"/>
          <w:szCs w:val="28"/>
          <w:highlight w:val="none"/>
        </w:rPr>
        <w:t xml:space="preserve">各投标人得分为评委会成员评分的算术平均分，分值保留小数点后两位。</w:t>
      </w:r>
      <w:r>
        <w:rPr>
          <w:highlight w:val="none"/>
        </w:rPr>
      </w:r>
    </w:p>
    <w:tbl>
      <w:tblPr>
        <w:tblStyle w:val="1018"/>
        <w:tblW w:w="94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2"/>
        <w:gridCol w:w="1776"/>
        <w:gridCol w:w="611"/>
        <w:gridCol w:w="5481"/>
        <w:gridCol w:w="1036"/>
      </w:tblGrid>
      <w:tr>
        <w:trPr>
          <w:jc w:val="center"/>
        </w:trPr>
        <w:tc>
          <w:tcPr>
            <w:tcW w:w="502" w:type="dxa"/>
            <w:vAlign w:val="center"/>
            <w:textDirection w:val="lrTb"/>
            <w:noWrap w:val="false"/>
          </w:tcPr>
          <w:p>
            <w:pP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序号</w:t>
            </w:r>
            <w:r>
              <w:rPr>
                <w:highlight w:val="none"/>
              </w:rPr>
            </w:r>
          </w:p>
        </w:tc>
        <w:tc>
          <w:tcPr>
            <w:tcW w:w="1776" w:type="dxa"/>
            <w:vAlign w:val="center"/>
            <w:textDirection w:val="lrTb"/>
            <w:noWrap w:val="false"/>
          </w:tcPr>
          <w:p>
            <w:pP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评分点名称</w:t>
            </w:r>
            <w:r>
              <w:rPr>
                <w:highlight w:val="none"/>
              </w:rPr>
            </w:r>
          </w:p>
        </w:tc>
        <w:tc>
          <w:tcPr>
            <w:tcW w:w="611" w:type="dxa"/>
            <w:vAlign w:val="center"/>
            <w:textDirection w:val="lrTb"/>
            <w:noWrap w:val="false"/>
          </w:tcPr>
          <w:p>
            <w:pP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分值</w:t>
            </w:r>
            <w:r>
              <w:rPr>
                <w:highlight w:val="none"/>
              </w:rPr>
            </w:r>
          </w:p>
        </w:tc>
        <w:tc>
          <w:tcPr>
            <w:tcW w:w="5481" w:type="dxa"/>
            <w:vAlign w:val="center"/>
            <w:textDirection w:val="lrTb"/>
            <w:noWrap w:val="false"/>
          </w:tcPr>
          <w:p>
            <w:pPr>
              <w:ind w:firstLine="1680"/>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评审标准</w:t>
            </w:r>
            <w:r>
              <w:rPr>
                <w:highlight w:val="none"/>
              </w:rPr>
            </w:r>
          </w:p>
        </w:tc>
        <w:tc>
          <w:tcPr>
            <w:tcW w:w="1036" w:type="dxa"/>
            <w:vAlign w:val="center"/>
            <w:textDirection w:val="lrTb"/>
            <w:noWrap w:val="false"/>
          </w:tcPr>
          <w:p>
            <w:pPr>
              <w:ind w:firstLine="1680"/>
              <w:jc w:val="cente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r>
            <w:r>
              <w:rPr>
                <w:highlight w:val="none"/>
              </w:rPr>
            </w:r>
          </w:p>
        </w:tc>
      </w:tr>
      <w:tr>
        <w:trPr>
          <w:jc w:val="center"/>
        </w:trPr>
        <w:tc>
          <w:tcPr>
            <w:tcW w:w="502" w:type="dxa"/>
            <w:vAlign w:val="center"/>
            <w:textDirection w:val="lrTb"/>
            <w:noWrap w:val="false"/>
          </w:tcPr>
          <w:p>
            <w:pPr>
              <w:jc w:val="center"/>
              <w:spacing w:after="62" w:line="460" w:lineRule="exact"/>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3</w:t>
            </w:r>
            <w:r>
              <w:rPr>
                <w:highlight w:val="none"/>
              </w:rPr>
            </w:r>
          </w:p>
        </w:tc>
        <w:tc>
          <w:tcPr>
            <w:shd w:val="clear" w:color="auto" w:fill="auto"/>
            <w:tcW w:w="1776" w:type="dxa"/>
            <w:vAlign w:val="center"/>
            <w:textDirection w:val="lrTb"/>
            <w:noWrap w:val="false"/>
          </w:tcPr>
          <w:p>
            <w:pPr>
              <w:jc w:val="center"/>
              <w:spacing w:after="62" w:line="460" w:lineRule="exact"/>
              <w:widowControl/>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安装调试方案</w:t>
            </w:r>
            <w:r>
              <w:rPr>
                <w:highlight w:val="none"/>
              </w:rPr>
            </w:r>
          </w:p>
        </w:tc>
        <w:tc>
          <w:tcPr>
            <w:shd w:val="clear" w:color="auto" w:fill="auto"/>
            <w:tcW w:w="611" w:type="dxa"/>
            <w:vAlign w:val="center"/>
            <w:textDirection w:val="lrTb"/>
            <w:noWrap w:val="false"/>
          </w:tcPr>
          <w:p>
            <w:pPr>
              <w:jc w:val="center"/>
              <w:spacing w:after="62" w:line="460" w:lineRule="exact"/>
              <w:widowControl/>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6</w:t>
            </w:r>
            <w:r>
              <w:rPr>
                <w:highlight w:val="none"/>
              </w:rPr>
            </w:r>
          </w:p>
        </w:tc>
        <w:tc>
          <w:tcPr>
            <w:shd w:val="clear" w:color="auto" w:fill="auto"/>
            <w:tcW w:w="5481" w:type="dxa"/>
            <w:vAlign w:val="center"/>
            <w:textDirection w:val="lrTb"/>
            <w:noWrap w:val="false"/>
          </w:tcPr>
          <w:p>
            <w:pPr>
              <w:keepLines w:val="0"/>
              <w:keepNext w:val="0"/>
              <w:pageBreakBefore w:val="0"/>
              <w:spacing w:after="0" w:line="360" w:lineRule="exact"/>
              <w:widowControl w:val="off"/>
              <w:rPr>
                <w:rFonts w:hint="eastAsia"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1.作业人员持证（电工、焊工等）：齐全得</w:t>
            </w:r>
            <w:r>
              <w:rPr>
                <w:rFonts w:hint="eastAsia" w:ascii="Times New Roman" w:hAnsi="Times New Roman" w:eastAsia="方正公文仿宋" w:cs="Times New Roman"/>
                <w:color w:val="auto"/>
                <w:sz w:val="24"/>
                <w:highlight w:val="none"/>
              </w:rPr>
              <w:t xml:space="preserve">1</w:t>
            </w:r>
            <w:r>
              <w:rPr>
                <w:rFonts w:ascii="Times New Roman" w:hAnsi="Times New Roman" w:eastAsia="方正公文仿宋" w:cs="Times New Roman"/>
                <w:color w:val="auto"/>
                <w:sz w:val="24"/>
                <w:highlight w:val="none"/>
              </w:rPr>
              <w:t xml:space="preserve">分，缺1类扣0.5分，扣完为止</w:t>
            </w:r>
            <w:r>
              <w:rPr>
                <w:rFonts w:hint="eastAsia" w:ascii="Times New Roman" w:hAnsi="Times New Roman" w:eastAsia="方正公文仿宋" w:cs="Times New Roman"/>
                <w:color w:val="auto"/>
                <w:sz w:val="24"/>
                <w:highlight w:val="none"/>
                <w:lang w:eastAsia="zh-CN"/>
              </w:rPr>
              <w:t xml:space="preserve">。</w:t>
            </w:r>
            <w:r>
              <w:rPr>
                <w:highlight w:val="none"/>
              </w:rPr>
            </w:r>
          </w:p>
          <w:p>
            <w:pPr>
              <w:keepLines w:val="0"/>
              <w:keepNext w:val="0"/>
              <w:pageBreakBefore w:val="0"/>
              <w:spacing w:before="157" w:after="0" w:line="360" w:lineRule="exact"/>
              <w:widowControl w:val="off"/>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2.机械与机具配置：满足施工得</w:t>
            </w:r>
            <w:r>
              <w:rPr>
                <w:rFonts w:hint="eastAsia" w:ascii="Times New Roman" w:hAnsi="Times New Roman" w:eastAsia="方正公文仿宋" w:cs="Times New Roman"/>
                <w:color w:val="auto"/>
                <w:sz w:val="24"/>
                <w:highlight w:val="none"/>
              </w:rPr>
              <w:t xml:space="preserve">1</w:t>
            </w:r>
            <w:r>
              <w:rPr>
                <w:rFonts w:ascii="Times New Roman" w:hAnsi="Times New Roman" w:eastAsia="方正公文仿宋" w:cs="Times New Roman"/>
                <w:color w:val="auto"/>
                <w:sz w:val="24"/>
                <w:highlight w:val="none"/>
              </w:rPr>
              <w:t xml:space="preserve">分，</w:t>
            </w:r>
            <w:r>
              <w:rPr>
                <w:rFonts w:hint="eastAsia" w:ascii="Times New Roman" w:hAnsi="Times New Roman" w:eastAsia="方正公文仿宋" w:cs="Times New Roman"/>
                <w:color w:val="auto"/>
                <w:sz w:val="24"/>
                <w:highlight w:val="none"/>
                <w:lang w:val="en-US" w:eastAsia="zh-CN"/>
              </w:rPr>
              <w:t xml:space="preserve">基本</w:t>
            </w:r>
            <w:r>
              <w:rPr>
                <w:rFonts w:ascii="Times New Roman" w:hAnsi="Times New Roman" w:eastAsia="方正公文仿宋" w:cs="Times New Roman"/>
                <w:color w:val="auto"/>
                <w:sz w:val="24"/>
                <w:highlight w:val="none"/>
              </w:rPr>
              <w:t xml:space="preserve">满足施工</w:t>
            </w:r>
            <w:r>
              <w:rPr>
                <w:rFonts w:hint="eastAsia" w:ascii="Times New Roman" w:hAnsi="Times New Roman" w:eastAsia="方正公文仿宋" w:cs="Times New Roman"/>
                <w:color w:val="auto"/>
                <w:sz w:val="24"/>
                <w:highlight w:val="none"/>
                <w:lang w:val="en-US" w:eastAsia="zh-CN"/>
              </w:rPr>
              <w:t xml:space="preserve">得</w:t>
            </w:r>
            <w:r>
              <w:rPr>
                <w:rFonts w:ascii="Times New Roman" w:hAnsi="Times New Roman" w:eastAsia="方正公文仿宋" w:cs="Times New Roman"/>
                <w:color w:val="auto"/>
                <w:sz w:val="24"/>
                <w:highlight w:val="none"/>
              </w:rPr>
              <w:t xml:space="preserve">0.5分，否则得0分。</w:t>
            </w:r>
            <w:r>
              <w:rPr>
                <w:highlight w:val="none"/>
              </w:rPr>
            </w:r>
          </w:p>
          <w:p>
            <w:pPr>
              <w:keepLines w:val="0"/>
              <w:keepNext w:val="0"/>
              <w:pageBreakBefore w:val="0"/>
              <w:spacing w:before="157" w:after="0" w:line="360" w:lineRule="exact"/>
              <w:widowControl w:val="off"/>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3.安全文明施工措施：完整可行得</w:t>
            </w:r>
            <w:r>
              <w:rPr>
                <w:rFonts w:hint="eastAsia" w:ascii="Times New Roman" w:hAnsi="Times New Roman" w:eastAsia="方正公文仿宋" w:cs="Times New Roman"/>
                <w:color w:val="auto"/>
                <w:sz w:val="24"/>
                <w:highlight w:val="none"/>
              </w:rPr>
              <w:t xml:space="preserve">1</w:t>
            </w:r>
            <w:r>
              <w:rPr>
                <w:rFonts w:ascii="Times New Roman" w:hAnsi="Times New Roman" w:eastAsia="方正公文仿宋" w:cs="Times New Roman"/>
                <w:color w:val="auto"/>
                <w:sz w:val="24"/>
                <w:highlight w:val="none"/>
              </w:rPr>
              <w:t xml:space="preserve">分，</w:t>
            </w:r>
            <w:r>
              <w:rPr>
                <w:rFonts w:hint="eastAsia" w:ascii="Times New Roman" w:hAnsi="Times New Roman" w:eastAsia="方正公文仿宋" w:cs="Times New Roman"/>
                <w:color w:val="auto"/>
                <w:sz w:val="24"/>
                <w:highlight w:val="none"/>
                <w:lang w:val="en-US" w:eastAsia="zh-CN"/>
              </w:rPr>
              <w:t xml:space="preserve">基本</w:t>
            </w:r>
            <w:r>
              <w:rPr>
                <w:rFonts w:hint="eastAsia" w:ascii="Times New Roman" w:hAnsi="Times New Roman" w:eastAsia="方正公文仿宋" w:cs="Times New Roman"/>
                <w:color w:val="auto"/>
                <w:sz w:val="24"/>
                <w:highlight w:val="none"/>
              </w:rPr>
              <w:t xml:space="preserve">完整可行</w:t>
            </w:r>
            <w:r>
              <w:rPr>
                <w:rFonts w:hint="eastAsia" w:ascii="Times New Roman" w:hAnsi="Times New Roman" w:eastAsia="方正公文仿宋" w:cs="Times New Roman"/>
                <w:color w:val="auto"/>
                <w:sz w:val="24"/>
                <w:highlight w:val="none"/>
                <w:lang w:val="en-US" w:eastAsia="zh-CN"/>
              </w:rPr>
              <w:t xml:space="preserve">得</w:t>
            </w:r>
            <w:r>
              <w:rPr>
                <w:rFonts w:ascii="Times New Roman" w:hAnsi="Times New Roman" w:eastAsia="方正公文仿宋" w:cs="Times New Roman"/>
                <w:color w:val="auto"/>
                <w:sz w:val="24"/>
                <w:highlight w:val="none"/>
              </w:rPr>
              <w:t xml:space="preserve">0.5分，否则得0分。</w:t>
            </w:r>
            <w:r>
              <w:rPr>
                <w:highlight w:val="none"/>
              </w:rPr>
            </w:r>
          </w:p>
          <w:p>
            <w:pPr>
              <w:keepLines w:val="0"/>
              <w:keepNext w:val="0"/>
              <w:pageBreakBefore w:val="0"/>
              <w:spacing w:before="157" w:after="0" w:line="360" w:lineRule="exact"/>
              <w:widowControl w:val="off"/>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4.调试计划与流程：清晰</w:t>
            </w:r>
            <w:r>
              <w:rPr>
                <w:rFonts w:hint="eastAsia" w:ascii="Times New Roman" w:hAnsi="Times New Roman" w:eastAsia="方正公文仿宋" w:cs="Times New Roman"/>
                <w:color w:val="auto"/>
                <w:sz w:val="24"/>
                <w:highlight w:val="none"/>
                <w:lang w:val="en-US" w:eastAsia="zh-CN"/>
              </w:rPr>
              <w:t xml:space="preserve">完整</w:t>
            </w:r>
            <w:r>
              <w:rPr>
                <w:rFonts w:ascii="Times New Roman" w:hAnsi="Times New Roman" w:eastAsia="方正公文仿宋" w:cs="Times New Roman"/>
                <w:color w:val="auto"/>
                <w:sz w:val="24"/>
                <w:highlight w:val="none"/>
              </w:rPr>
              <w:t xml:space="preserve">得</w:t>
            </w:r>
            <w:r>
              <w:rPr>
                <w:rFonts w:hint="eastAsia" w:ascii="Times New Roman" w:hAnsi="Times New Roman" w:eastAsia="方正公文仿宋" w:cs="Times New Roman"/>
                <w:color w:val="auto"/>
                <w:sz w:val="24"/>
                <w:highlight w:val="none"/>
              </w:rPr>
              <w:t xml:space="preserve">1</w:t>
            </w:r>
            <w:r>
              <w:rPr>
                <w:rFonts w:ascii="Times New Roman" w:hAnsi="Times New Roman" w:eastAsia="方正公文仿宋" w:cs="Times New Roman"/>
                <w:color w:val="auto"/>
                <w:sz w:val="24"/>
                <w:highlight w:val="none"/>
              </w:rPr>
              <w:t xml:space="preserve">分，</w:t>
            </w:r>
            <w:r>
              <w:rPr>
                <w:rFonts w:hint="eastAsia" w:ascii="Times New Roman" w:hAnsi="Times New Roman" w:eastAsia="方正公文仿宋" w:cs="Times New Roman"/>
                <w:color w:val="auto"/>
                <w:sz w:val="24"/>
                <w:highlight w:val="none"/>
                <w:lang w:val="en-US" w:eastAsia="zh-CN"/>
              </w:rPr>
              <w:t xml:space="preserve">基本</w:t>
            </w:r>
            <w:r>
              <w:rPr>
                <w:rFonts w:ascii="Times New Roman" w:hAnsi="Times New Roman" w:eastAsia="方正公文仿宋" w:cs="Times New Roman"/>
                <w:color w:val="auto"/>
                <w:sz w:val="24"/>
                <w:highlight w:val="none"/>
              </w:rPr>
              <w:t xml:space="preserve">清晰</w:t>
            </w:r>
            <w:r>
              <w:rPr>
                <w:rFonts w:hint="eastAsia" w:ascii="Times New Roman" w:hAnsi="Times New Roman" w:eastAsia="方正公文仿宋" w:cs="Times New Roman"/>
                <w:color w:val="auto"/>
                <w:sz w:val="24"/>
                <w:highlight w:val="none"/>
                <w:lang w:val="en-US" w:eastAsia="zh-CN"/>
              </w:rPr>
              <w:t xml:space="preserve">完整</w:t>
            </w:r>
            <w:r>
              <w:rPr>
                <w:rFonts w:ascii="Times New Roman" w:hAnsi="Times New Roman" w:eastAsia="方正公文仿宋" w:cs="Times New Roman"/>
                <w:color w:val="auto"/>
                <w:sz w:val="24"/>
                <w:highlight w:val="none"/>
              </w:rPr>
              <w:t xml:space="preserve">得</w:t>
            </w:r>
            <w:r>
              <w:rPr>
                <w:rFonts w:hint="eastAsia" w:ascii="Times New Roman" w:hAnsi="Times New Roman" w:eastAsia="方正公文仿宋" w:cs="Times New Roman"/>
                <w:color w:val="auto"/>
                <w:sz w:val="24"/>
                <w:highlight w:val="none"/>
                <w:lang w:val="en-US" w:eastAsia="zh-CN"/>
              </w:rPr>
              <w:t xml:space="preserve">0.5</w:t>
            </w:r>
            <w:r>
              <w:rPr>
                <w:rFonts w:ascii="Times New Roman" w:hAnsi="Times New Roman" w:eastAsia="方正公文仿宋" w:cs="Times New Roman"/>
                <w:color w:val="auto"/>
                <w:sz w:val="24"/>
                <w:highlight w:val="none"/>
              </w:rPr>
              <w:t xml:space="preserve">分，模糊笼统不得分。</w:t>
            </w:r>
            <w:r>
              <w:rPr>
                <w:highlight w:val="none"/>
              </w:rPr>
            </w:r>
          </w:p>
          <w:p>
            <w:pPr>
              <w:pStyle w:val="997"/>
              <w:ind w:firstLine="0"/>
              <w:keepLines w:val="0"/>
              <w:keepNext w:val="0"/>
              <w:pageBreakBefore w:val="0"/>
              <w:spacing w:before="157" w:after="0" w:line="360" w:lineRule="exact"/>
              <w:widowControl w:val="off"/>
              <w:rPr>
                <w:rFonts w:eastAsia="方正公文仿宋"/>
                <w:color w:val="auto"/>
                <w:highlight w:val="none"/>
              </w:rPr>
            </w:pPr>
            <w:r>
              <w:rPr>
                <w:rFonts w:hint="eastAsia" w:ascii="Times New Roman" w:eastAsia="方正公文仿宋" w:cs="Times New Roman"/>
                <w:color w:val="auto"/>
                <w:sz w:val="24"/>
                <w:szCs w:val="24"/>
                <w:highlight w:val="none"/>
                <w:lang w:eastAsia="zh-CN"/>
              </w:rPr>
              <w:t xml:space="preserve">5.食堂功能区域清单中利旧的产品，须提供免费搬运、送货、安装、调试服务至甲方指定地点，提供</w:t>
            </w:r>
            <w:r>
              <w:rPr>
                <w:rFonts w:ascii="Times New Roman" w:eastAsia="方正公文仿宋" w:cs="Times New Roman"/>
                <w:color w:val="auto"/>
                <w:sz w:val="24"/>
                <w:szCs w:val="24"/>
                <w:highlight w:val="none"/>
                <w:lang w:eastAsia="zh-CN"/>
              </w:rPr>
              <w:t xml:space="preserve">承诺</w:t>
            </w:r>
            <w:r>
              <w:rPr>
                <w:rFonts w:hint="eastAsia" w:ascii="Times New Roman" w:eastAsia="方正公文仿宋" w:cs="Times New Roman"/>
                <w:color w:val="auto"/>
                <w:sz w:val="24"/>
                <w:szCs w:val="24"/>
                <w:highlight w:val="none"/>
                <w:lang w:eastAsia="zh-CN"/>
              </w:rPr>
              <w:t xml:space="preserve">函，格式自拟。有</w:t>
            </w:r>
            <w:r>
              <w:rPr>
                <w:rFonts w:ascii="Times New Roman" w:eastAsia="方正公文仿宋" w:cs="Times New Roman"/>
                <w:color w:val="auto"/>
                <w:sz w:val="24"/>
                <w:szCs w:val="24"/>
                <w:highlight w:val="none"/>
                <w:lang w:eastAsia="zh-CN"/>
              </w:rPr>
              <w:t xml:space="preserve">承诺</w:t>
            </w:r>
            <w:r>
              <w:rPr>
                <w:rFonts w:hint="eastAsia" w:ascii="Times New Roman" w:eastAsia="方正公文仿宋" w:cs="Times New Roman"/>
                <w:color w:val="auto"/>
                <w:sz w:val="24"/>
                <w:szCs w:val="24"/>
                <w:highlight w:val="none"/>
                <w:lang w:eastAsia="zh-CN"/>
              </w:rPr>
              <w:t xml:space="preserve">函的，得</w:t>
            </w:r>
            <w:r>
              <w:rPr>
                <w:rFonts w:hint="eastAsia" w:ascii="Times New Roman" w:eastAsia="方正公文仿宋" w:cs="Times New Roman"/>
                <w:color w:val="auto"/>
                <w:sz w:val="24"/>
                <w:szCs w:val="24"/>
                <w:highlight w:val="none"/>
                <w:lang w:val="en-US" w:eastAsia="zh-CN"/>
              </w:rPr>
              <w:t xml:space="preserve">2</w:t>
            </w:r>
            <w:r>
              <w:rPr>
                <w:rFonts w:hint="eastAsia" w:ascii="Times New Roman" w:eastAsia="方正公文仿宋" w:cs="Times New Roman"/>
                <w:color w:val="auto"/>
                <w:sz w:val="24"/>
                <w:szCs w:val="24"/>
                <w:highlight w:val="none"/>
                <w:lang w:eastAsia="zh-CN"/>
              </w:rPr>
              <w:t xml:space="preserve">分，</w:t>
            </w:r>
            <w:r>
              <w:rPr>
                <w:rFonts w:ascii="Times New Roman" w:eastAsia="方正公文仿宋" w:cs="Times New Roman"/>
                <w:color w:val="auto"/>
                <w:sz w:val="24"/>
                <w:szCs w:val="24"/>
                <w:highlight w:val="none"/>
                <w:lang w:eastAsia="zh-CN"/>
              </w:rPr>
              <w:t xml:space="preserve">未承诺0分</w:t>
            </w:r>
            <w:r>
              <w:rPr>
                <w:rFonts w:hint="eastAsia" w:ascii="Times New Roman" w:eastAsia="方正公文仿宋" w:cs="Times New Roman"/>
                <w:color w:val="auto"/>
                <w:sz w:val="24"/>
                <w:szCs w:val="24"/>
                <w:highlight w:val="none"/>
                <w:lang w:eastAsia="zh-CN"/>
              </w:rPr>
              <w:t xml:space="preserve">。</w:t>
            </w:r>
            <w:r>
              <w:rPr>
                <w:highlight w:val="none"/>
              </w:rPr>
            </w:r>
          </w:p>
        </w:tc>
        <w:tc>
          <w:tcPr>
            <w:shd w:val="clear" w:color="auto" w:fill="auto"/>
            <w:tcW w:w="1036" w:type="dxa"/>
            <w:vAlign w:val="center"/>
            <w:textDirection w:val="lrTb"/>
            <w:noWrap w:val="false"/>
          </w:tcPr>
          <w:p>
            <w:pPr>
              <w:jc w:val="cente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主观分</w:t>
            </w:r>
            <w:r>
              <w:rPr>
                <w:highlight w:val="none"/>
              </w:rPr>
            </w:r>
          </w:p>
        </w:tc>
      </w:tr>
      <w:tr>
        <w:trPr>
          <w:jc w:val="center"/>
          <w:trHeight w:val="1701"/>
        </w:trPr>
        <w:tc>
          <w:tcPr>
            <w:shd w:val="clear" w:color="auto" w:fill="auto"/>
            <w:tcW w:w="502" w:type="dxa"/>
            <w:vAlign w:val="center"/>
            <w:textDirection w:val="lrTb"/>
            <w:noWrap w:val="false"/>
          </w:tcPr>
          <w:p>
            <w:pPr>
              <w:jc w:val="center"/>
              <w:spacing w:after="62" w:line="460" w:lineRule="exact"/>
              <w:widowControl/>
              <w:rPr>
                <w:rFonts w:hint="default"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4</w:t>
            </w:r>
            <w:r>
              <w:rPr>
                <w:highlight w:val="none"/>
              </w:rPr>
            </w:r>
          </w:p>
        </w:tc>
        <w:tc>
          <w:tcPr>
            <w:shd w:val="clear" w:color="auto" w:fill="auto"/>
            <w:tcW w:w="1776" w:type="dxa"/>
            <w:vAlign w:val="center"/>
            <w:textDirection w:val="lrTb"/>
            <w:noWrap w:val="false"/>
          </w:tcPr>
          <w:p>
            <w:pPr>
              <w:jc w:val="center"/>
              <w:spacing w:after="62" w:line="460" w:lineRule="exact"/>
              <w:widowControl/>
              <w:rPr>
                <w:rFonts w:ascii="Times New Roman" w:hAnsi="Times New Roman" w:eastAsia="方正公文仿宋" w:cs="Times New Roman"/>
                <w:color w:val="auto"/>
                <w:sz w:val="24"/>
                <w:highlight w:val="none"/>
              </w:rPr>
            </w:pPr>
            <w:r>
              <w:rPr>
                <w:rFonts w:hint="eastAsia" w:ascii="方正公文仿宋" w:hAnsi="方正公文仿宋" w:eastAsia="方正公文仿宋" w:cs="方正公文仿宋"/>
                <w:b w:val="0"/>
                <w:bCs/>
                <w:color w:val="auto"/>
                <w:sz w:val="24"/>
                <w:szCs w:val="24"/>
                <w:highlight w:val="none"/>
                <w:lang w:bidi="ar"/>
              </w:rPr>
              <w:t xml:space="preserve">配合措施及</w:t>
            </w:r>
            <w:r>
              <w:rPr>
                <w:rFonts w:hint="eastAsia" w:ascii="方正公文仿宋" w:hAnsi="方正公文仿宋" w:eastAsia="方正公文仿宋" w:cs="方正公文仿宋"/>
                <w:b w:val="0"/>
                <w:bCs/>
                <w:color w:val="auto"/>
                <w:sz w:val="24"/>
                <w:szCs w:val="24"/>
                <w:highlight w:val="none"/>
                <w:lang w:val="en-US" w:eastAsia="zh-CN" w:bidi="ar"/>
              </w:rPr>
              <w:t xml:space="preserve">确保项目实施</w:t>
            </w:r>
            <w:r>
              <w:rPr>
                <w:rFonts w:hint="eastAsia" w:ascii="方正公文仿宋" w:hAnsi="方正公文仿宋" w:eastAsia="方正公文仿宋" w:cs="方正公文仿宋"/>
                <w:b w:val="0"/>
                <w:bCs/>
                <w:color w:val="auto"/>
                <w:sz w:val="24"/>
                <w:szCs w:val="24"/>
                <w:highlight w:val="none"/>
                <w:lang w:bidi="ar"/>
              </w:rPr>
              <w:t xml:space="preserve">方案</w:t>
            </w:r>
            <w:r>
              <w:rPr>
                <w:highlight w:val="none"/>
              </w:rPr>
            </w:r>
          </w:p>
        </w:tc>
        <w:tc>
          <w:tcPr>
            <w:shd w:val="clear" w:color="auto" w:fill="auto"/>
            <w:tcW w:w="611" w:type="dxa"/>
            <w:vAlign w:val="center"/>
            <w:textDirection w:val="lrTb"/>
            <w:noWrap w:val="false"/>
          </w:tcPr>
          <w:p>
            <w:pPr>
              <w:jc w:val="center"/>
              <w:spacing w:after="62" w:line="460" w:lineRule="exact"/>
              <w:widowControl/>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6</w:t>
            </w:r>
            <w:r>
              <w:rPr>
                <w:highlight w:val="none"/>
              </w:rPr>
            </w:r>
          </w:p>
        </w:tc>
        <w:tc>
          <w:tcPr>
            <w:shd w:val="clear" w:color="auto" w:fill="auto"/>
            <w:tcW w:w="5481" w:type="dxa"/>
            <w:vAlign w:val="center"/>
            <w:textDirection w:val="lrTb"/>
            <w:noWrap w:val="false"/>
          </w:tcPr>
          <w:p>
            <w:pPr>
              <w:pStyle w:val="1001"/>
              <w:ind w:firstLine="482"/>
              <w:keepLines w:val="0"/>
              <w:keepNext w:val="0"/>
              <w:pageBreakBefore w:val="0"/>
              <w:spacing w:after="0" w:line="360" w:lineRule="exact"/>
              <w:widowControl w:val="off"/>
              <w:rPr>
                <w:rFonts w:hint="eastAsia" w:ascii="Times New Roman" w:hAnsi="Times New Roman" w:eastAsia="方正公文仿宋" w:cs="Times New Roman"/>
                <w:color w:val="auto"/>
                <w:sz w:val="24"/>
                <w:szCs w:val="24"/>
                <w:highlight w:val="none"/>
              </w:rPr>
            </w:pPr>
            <w:r>
              <w:rPr>
                <w:rFonts w:hint="eastAsia" w:ascii="方正公文仿宋" w:hAnsi="方正公文仿宋" w:eastAsia="方正公文仿宋" w:cs="方正公文仿宋"/>
                <w:bCs/>
                <w:color w:val="auto"/>
                <w:sz w:val="24"/>
                <w:szCs w:val="24"/>
                <w:highlight w:val="none"/>
                <w:lang w:val="en-US" w:eastAsia="zh-CN" w:bidi="ar"/>
              </w:rPr>
              <w:t xml:space="preserve">①</w:t>
            </w:r>
            <w:r>
              <w:rPr>
                <w:rFonts w:hint="eastAsia" w:ascii="方正公文仿宋" w:hAnsi="方正公文仿宋" w:eastAsia="方正公文仿宋" w:cs="方正公文仿宋"/>
                <w:bCs/>
                <w:color w:val="auto"/>
                <w:sz w:val="24"/>
                <w:szCs w:val="24"/>
                <w:highlight w:val="none"/>
                <w:lang w:bidi="ar"/>
              </w:rPr>
              <w:t xml:space="preserve">产品生产或</w:t>
            </w:r>
            <w:r>
              <w:rPr>
                <w:rFonts w:hint="eastAsia" w:ascii="Times New Roman" w:hAnsi="Times New Roman" w:eastAsia="方正公文仿宋" w:cs="Times New Roman"/>
                <w:color w:val="auto"/>
                <w:sz w:val="24"/>
                <w:szCs w:val="24"/>
                <w:highlight w:val="none"/>
              </w:rPr>
              <w:t xml:space="preserve">供货</w:t>
            </w:r>
            <w:r>
              <w:rPr>
                <w:rFonts w:hint="eastAsia" w:ascii="方正公文仿宋" w:hAnsi="方正公文仿宋" w:eastAsia="方正公文仿宋" w:cs="方正公文仿宋"/>
                <w:bCs/>
                <w:color w:val="auto"/>
                <w:sz w:val="24"/>
                <w:szCs w:val="24"/>
                <w:highlight w:val="none"/>
                <w:lang w:bidi="ar"/>
              </w:rPr>
              <w:t xml:space="preserve">渠道落实</w:t>
            </w:r>
            <w:r>
              <w:rPr>
                <w:rFonts w:hint="eastAsia" w:ascii="方正公文仿宋" w:hAnsi="方正公文仿宋" w:eastAsia="方正公文仿宋" w:cs="方正公文仿宋"/>
                <w:bCs/>
                <w:color w:val="auto"/>
                <w:sz w:val="24"/>
                <w:szCs w:val="24"/>
                <w:highlight w:val="none"/>
                <w:lang w:eastAsia="zh-CN" w:bidi="ar"/>
              </w:rPr>
              <w:t xml:space="preserve">；</w:t>
            </w:r>
            <w:r>
              <w:rPr>
                <w:rFonts w:hint="eastAsia" w:ascii="方正公文仿宋" w:hAnsi="方正公文仿宋" w:eastAsia="方正公文仿宋" w:cs="方正公文仿宋"/>
                <w:bCs/>
                <w:color w:val="auto"/>
                <w:sz w:val="24"/>
                <w:szCs w:val="24"/>
                <w:highlight w:val="none"/>
                <w:lang w:val="en-US" w:eastAsia="zh-CN" w:bidi="ar"/>
              </w:rPr>
              <w:t xml:space="preserve">②</w:t>
            </w:r>
            <w:r>
              <w:rPr>
                <w:rFonts w:hint="eastAsia" w:ascii="方正公文仿宋" w:hAnsi="方正公文仿宋" w:eastAsia="方正公文仿宋" w:cs="方正公文仿宋"/>
                <w:bCs/>
                <w:color w:val="auto"/>
                <w:sz w:val="24"/>
                <w:szCs w:val="24"/>
                <w:highlight w:val="none"/>
                <w:lang w:bidi="ar"/>
              </w:rPr>
              <w:t xml:space="preserve">质量保障措施到位</w:t>
            </w:r>
            <w:r>
              <w:rPr>
                <w:rFonts w:hint="eastAsia" w:ascii="方正公文仿宋" w:hAnsi="方正公文仿宋" w:eastAsia="方正公文仿宋" w:cs="方正公文仿宋"/>
                <w:bCs/>
                <w:color w:val="auto"/>
                <w:sz w:val="24"/>
                <w:szCs w:val="24"/>
                <w:highlight w:val="none"/>
                <w:lang w:eastAsia="zh-CN" w:bidi="ar"/>
              </w:rPr>
              <w:t xml:space="preserve">；</w:t>
            </w:r>
            <w:r>
              <w:rPr>
                <w:rFonts w:hint="eastAsia" w:ascii="方正公文仿宋" w:hAnsi="方正公文仿宋" w:eastAsia="方正公文仿宋" w:cs="方正公文仿宋"/>
                <w:bCs/>
                <w:color w:val="auto"/>
                <w:sz w:val="24"/>
                <w:szCs w:val="24"/>
                <w:highlight w:val="none"/>
                <w:lang w:val="en-US" w:eastAsia="zh-CN" w:bidi="ar"/>
              </w:rPr>
              <w:t xml:space="preserve">③</w:t>
            </w:r>
            <w:r>
              <w:rPr>
                <w:rFonts w:hint="eastAsia" w:ascii="方正公文仿宋" w:hAnsi="方正公文仿宋" w:eastAsia="方正公文仿宋" w:cs="方正公文仿宋"/>
                <w:bCs/>
                <w:color w:val="auto"/>
                <w:sz w:val="24"/>
                <w:szCs w:val="24"/>
                <w:highlight w:val="none"/>
                <w:lang w:bidi="ar"/>
              </w:rPr>
              <w:t xml:space="preserve">时间安排合理</w:t>
            </w:r>
            <w:r>
              <w:rPr>
                <w:rFonts w:hint="eastAsia" w:ascii="方正公文仿宋" w:hAnsi="方正公文仿宋" w:eastAsia="方正公文仿宋" w:cs="方正公文仿宋"/>
                <w:bCs/>
                <w:color w:val="auto"/>
                <w:sz w:val="24"/>
                <w:szCs w:val="24"/>
                <w:highlight w:val="none"/>
                <w:lang w:eastAsia="zh-CN" w:bidi="ar"/>
              </w:rPr>
              <w:t xml:space="preserve">；</w:t>
            </w:r>
            <w:r>
              <w:rPr>
                <w:rFonts w:hint="eastAsia" w:ascii="方正公文仿宋" w:hAnsi="方正公文仿宋" w:eastAsia="方正公文仿宋" w:cs="方正公文仿宋"/>
                <w:bCs/>
                <w:color w:val="auto"/>
                <w:sz w:val="24"/>
                <w:szCs w:val="24"/>
                <w:highlight w:val="none"/>
                <w:lang w:val="en-US" w:eastAsia="zh-CN" w:bidi="ar"/>
              </w:rPr>
              <w:t xml:space="preserve">④</w:t>
            </w:r>
            <w:r>
              <w:rPr>
                <w:rFonts w:hint="eastAsia" w:ascii="方正公文仿宋" w:hAnsi="方正公文仿宋" w:eastAsia="方正公文仿宋" w:cs="方正公文仿宋"/>
                <w:bCs/>
                <w:color w:val="auto"/>
                <w:sz w:val="24"/>
                <w:szCs w:val="24"/>
                <w:highlight w:val="none"/>
                <w:lang w:bidi="ar"/>
              </w:rPr>
              <w:t xml:space="preserve">包装牢固可靠，配送运输方案</w:t>
            </w:r>
            <w:r>
              <w:rPr>
                <w:rFonts w:hint="eastAsia" w:ascii="方正公文仿宋" w:hAnsi="方正公文仿宋" w:eastAsia="方正公文仿宋" w:cs="方正公文仿宋"/>
                <w:bCs/>
                <w:color w:val="auto"/>
                <w:sz w:val="24"/>
                <w:szCs w:val="24"/>
                <w:highlight w:val="none"/>
                <w:lang w:eastAsia="zh-CN" w:bidi="ar"/>
              </w:rPr>
              <w:t xml:space="preserve">翔实</w:t>
            </w:r>
            <w:r>
              <w:rPr>
                <w:rFonts w:hint="eastAsia" w:ascii="方正公文仿宋" w:hAnsi="方正公文仿宋" w:eastAsia="方正公文仿宋" w:cs="方正公文仿宋"/>
                <w:bCs/>
                <w:color w:val="auto"/>
                <w:sz w:val="24"/>
                <w:szCs w:val="24"/>
                <w:highlight w:val="none"/>
                <w:lang w:bidi="ar"/>
              </w:rPr>
              <w:t xml:space="preserve">有效的，与项目实施相关配合措施及验收方案</w:t>
            </w:r>
            <w:r>
              <w:rPr>
                <w:rFonts w:hint="eastAsia" w:ascii="方正公文仿宋" w:hAnsi="方正公文仿宋" w:eastAsia="方正公文仿宋" w:cs="方正公文仿宋"/>
                <w:bCs/>
                <w:color w:val="auto"/>
                <w:sz w:val="24"/>
                <w:szCs w:val="24"/>
                <w:highlight w:val="none"/>
                <w:lang w:eastAsia="zh-CN" w:bidi="ar"/>
              </w:rPr>
              <w:t xml:space="preserve">。</w:t>
            </w:r>
            <w:r>
              <w:rPr>
                <w:rFonts w:hint="eastAsia" w:ascii="方正公文仿宋" w:hAnsi="方正公文仿宋" w:eastAsia="方正公文仿宋" w:cs="方正公文仿宋"/>
                <w:bCs/>
                <w:color w:val="auto"/>
                <w:sz w:val="24"/>
                <w:szCs w:val="24"/>
                <w:highlight w:val="none"/>
                <w:lang w:bidi="ar"/>
              </w:rPr>
              <w:t xml:space="preserve">合理可行、实用性高的得</w:t>
            </w:r>
            <w:r>
              <w:rPr>
                <w:rFonts w:hint="eastAsia" w:ascii="方正公文仿宋" w:hAnsi="方正公文仿宋" w:eastAsia="方正公文仿宋" w:cs="方正公文仿宋"/>
                <w:bCs/>
                <w:color w:val="auto"/>
                <w:sz w:val="24"/>
                <w:szCs w:val="24"/>
                <w:highlight w:val="none"/>
                <w:lang w:val="en-US" w:eastAsia="zh-CN" w:bidi="ar"/>
              </w:rPr>
              <w:t xml:space="preserve">6</w:t>
            </w:r>
            <w:r>
              <w:rPr>
                <w:rFonts w:hint="eastAsia" w:ascii="方正公文仿宋" w:hAnsi="方正公文仿宋" w:eastAsia="方正公文仿宋" w:cs="方正公文仿宋"/>
                <w:bCs/>
                <w:color w:val="auto"/>
                <w:sz w:val="24"/>
                <w:szCs w:val="24"/>
                <w:highlight w:val="none"/>
                <w:lang w:bidi="ar"/>
              </w:rPr>
              <w:t xml:space="preserve">分</w:t>
            </w:r>
            <w:r>
              <w:rPr>
                <w:rFonts w:hint="eastAsia" w:ascii="方正公文仿宋" w:hAnsi="方正公文仿宋" w:eastAsia="方正公文仿宋" w:cs="方正公文仿宋"/>
                <w:bCs/>
                <w:color w:val="auto"/>
                <w:sz w:val="24"/>
                <w:szCs w:val="24"/>
                <w:highlight w:val="none"/>
                <w:lang w:eastAsia="zh-CN" w:bidi="ar"/>
              </w:rPr>
              <w:t xml:space="preserve">；</w:t>
            </w:r>
            <w:r>
              <w:rPr>
                <w:rFonts w:hint="eastAsia" w:ascii="方正公文仿宋" w:hAnsi="方正公文仿宋" w:eastAsia="方正公文仿宋" w:cs="方正公文仿宋"/>
                <w:bCs/>
                <w:color w:val="auto"/>
                <w:sz w:val="24"/>
                <w:szCs w:val="24"/>
                <w:highlight w:val="none"/>
                <w:lang w:bidi="ar"/>
              </w:rPr>
              <w:t xml:space="preserve">配合措施及验收方案较合理可行、实用性较高的得</w:t>
            </w:r>
            <w:r>
              <w:rPr>
                <w:rFonts w:hint="eastAsia" w:ascii="方正公文仿宋" w:hAnsi="方正公文仿宋" w:eastAsia="方正公文仿宋" w:cs="方正公文仿宋"/>
                <w:bCs/>
                <w:color w:val="auto"/>
                <w:sz w:val="24"/>
                <w:szCs w:val="24"/>
                <w:highlight w:val="none"/>
                <w:lang w:val="en-US" w:eastAsia="zh-CN" w:bidi="ar"/>
              </w:rPr>
              <w:t xml:space="preserve">4</w:t>
            </w:r>
            <w:r>
              <w:rPr>
                <w:rStyle w:val="1327"/>
                <w:rFonts w:hint="eastAsia" w:ascii="方正公文仿宋" w:hAnsi="方正公文仿宋" w:eastAsia="方正公文仿宋" w:cs="方正公文仿宋"/>
                <w:bCs/>
                <w:color w:val="auto"/>
                <w:highlight w:val="none"/>
                <w:lang w:bidi="ar"/>
              </w:rPr>
              <w:t xml:space="preserve">分；配合措施及验收方案有所欠缺的得</w:t>
            </w:r>
            <w:r>
              <w:rPr>
                <w:rStyle w:val="1327"/>
                <w:rFonts w:hint="eastAsia" w:ascii="方正公文仿宋" w:hAnsi="方正公文仿宋" w:eastAsia="方正公文仿宋" w:cs="方正公文仿宋"/>
                <w:bCs/>
                <w:color w:val="auto"/>
                <w:highlight w:val="none"/>
                <w:lang w:val="en-US" w:eastAsia="zh-CN" w:bidi="ar"/>
              </w:rPr>
              <w:t xml:space="preserve">2</w:t>
            </w:r>
            <w:r>
              <w:rPr>
                <w:rStyle w:val="1327"/>
                <w:rFonts w:hint="eastAsia" w:ascii="方正公文仿宋" w:hAnsi="方正公文仿宋" w:eastAsia="方正公文仿宋" w:cs="方正公文仿宋"/>
                <w:bCs/>
                <w:color w:val="auto"/>
                <w:highlight w:val="none"/>
                <w:lang w:bidi="ar"/>
              </w:rPr>
              <w:t xml:space="preserve">分；未提供得</w:t>
            </w:r>
            <w:r>
              <w:rPr>
                <w:rStyle w:val="1327"/>
                <w:rFonts w:hint="eastAsia" w:ascii="方正公文仿宋" w:hAnsi="方正公文仿宋" w:eastAsia="方正公文仿宋" w:cs="方正公文仿宋"/>
                <w:bCs/>
                <w:color w:val="auto"/>
                <w:highlight w:val="none"/>
                <w:lang w:val="en-US" w:eastAsia="zh-CN" w:bidi="ar"/>
              </w:rPr>
              <w:t xml:space="preserve">0</w:t>
            </w:r>
            <w:r>
              <w:rPr>
                <w:rStyle w:val="1327"/>
                <w:rFonts w:hint="eastAsia" w:ascii="方正公文仿宋" w:hAnsi="方正公文仿宋" w:eastAsia="方正公文仿宋" w:cs="方正公文仿宋"/>
                <w:bCs/>
                <w:color w:val="auto"/>
                <w:highlight w:val="none"/>
                <w:lang w:bidi="ar"/>
              </w:rPr>
              <w:t xml:space="preserve">分。</w:t>
            </w:r>
            <w:r>
              <w:rPr>
                <w:highlight w:val="none"/>
              </w:rPr>
            </w:r>
          </w:p>
        </w:tc>
        <w:tc>
          <w:tcPr>
            <w:shd w:val="clear" w:color="auto" w:fill="auto"/>
            <w:tcW w:w="1036" w:type="dxa"/>
            <w:vAlign w:val="center"/>
            <w:textDirection w:val="lrTb"/>
            <w:noWrap w:val="false"/>
          </w:tcPr>
          <w:p>
            <w:pPr>
              <w:pStyle w:val="1001"/>
              <w:ind w:firstLine="0"/>
              <w:spacing w:after="62" w:line="460" w:lineRule="exact"/>
              <w:rPr>
                <w:rFonts w:ascii="Times New Roman" w:hAnsi="Times New Roman" w:eastAsia="方正公文仿宋" w:cs="Times New Roman"/>
                <w:color w:val="auto"/>
                <w:sz w:val="24"/>
                <w:szCs w:val="24"/>
                <w:highlight w:val="none"/>
              </w:rPr>
            </w:pPr>
            <w:r>
              <w:rPr>
                <w:rFonts w:hint="eastAsia" w:ascii="方正公文仿宋" w:hAnsi="方正公文仿宋" w:eastAsia="方正公文仿宋" w:cs="方正公文仿宋"/>
                <w:color w:val="auto"/>
                <w:sz w:val="24"/>
                <w:highlight w:val="none"/>
                <w:lang w:val="en-US" w:eastAsia="zh-CN"/>
              </w:rPr>
              <w:t xml:space="preserve">主观分</w:t>
            </w:r>
            <w:r>
              <w:rPr>
                <w:highlight w:val="none"/>
              </w:rPr>
            </w:r>
          </w:p>
        </w:tc>
      </w:tr>
      <w:tr>
        <w:trPr>
          <w:jc w:val="center"/>
          <w:trHeight w:val="2866"/>
        </w:trPr>
        <w:tc>
          <w:tcPr>
            <w:shd w:val="clear" w:color="auto" w:fill="auto"/>
            <w:tcW w:w="502" w:type="dxa"/>
            <w:vAlign w:val="center"/>
            <w:textDirection w:val="lrTb"/>
            <w:noWrap w:val="false"/>
          </w:tcPr>
          <w:p>
            <w:pPr>
              <w:jc w:val="center"/>
              <w:spacing w:after="62" w:line="460" w:lineRule="exact"/>
              <w:widowControl/>
              <w:rPr>
                <w:rFonts w:hint="default"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5</w:t>
            </w:r>
            <w:r>
              <w:rPr>
                <w:highlight w:val="none"/>
              </w:rPr>
            </w:r>
          </w:p>
        </w:tc>
        <w:tc>
          <w:tcPr>
            <w:shd w:val="clear" w:color="auto" w:fill="auto"/>
            <w:tcW w:w="1776" w:type="dxa"/>
            <w:vAlign w:val="center"/>
            <w:textDirection w:val="lrTb"/>
            <w:noWrap w:val="false"/>
          </w:tcPr>
          <w:p>
            <w:pPr>
              <w:jc w:val="center"/>
              <w:spacing w:after="62" w:line="460" w:lineRule="exact"/>
              <w:widowControl/>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培训、售后服务方案</w:t>
            </w:r>
            <w:r>
              <w:rPr>
                <w:highlight w:val="none"/>
              </w:rPr>
            </w:r>
          </w:p>
        </w:tc>
        <w:tc>
          <w:tcPr>
            <w:shd w:val="clear" w:color="auto" w:fill="auto"/>
            <w:tcW w:w="611" w:type="dxa"/>
            <w:vAlign w:val="center"/>
            <w:textDirection w:val="lrTb"/>
            <w:noWrap w:val="false"/>
          </w:tcPr>
          <w:p>
            <w:pPr>
              <w:jc w:val="center"/>
              <w:spacing w:after="62" w:line="460" w:lineRule="exact"/>
              <w:widowControl/>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b/>
                <w:bCs/>
                <w:color w:val="auto"/>
                <w:sz w:val="24"/>
                <w:highlight w:val="none"/>
                <w:lang w:val="en-US" w:eastAsia="zh-CN"/>
              </w:rPr>
              <w:t xml:space="preserve">6</w:t>
            </w:r>
            <w:r>
              <w:rPr>
                <w:highlight w:val="none"/>
              </w:rPr>
            </w:r>
          </w:p>
        </w:tc>
        <w:tc>
          <w:tcPr>
            <w:shd w:val="clear" w:color="auto" w:fill="auto"/>
            <w:tcW w:w="5481" w:type="dxa"/>
            <w:vAlign w:val="center"/>
            <w:textDirection w:val="lrTb"/>
            <w:noWrap w:val="false"/>
          </w:tcPr>
          <w:p>
            <w:pPr>
              <w:pStyle w:val="1001"/>
              <w:ind w:firstLine="482"/>
              <w:keepLines w:val="0"/>
              <w:keepNext w:val="0"/>
              <w:pageBreakBefore w:val="0"/>
              <w:spacing w:after="0" w:line="360" w:lineRule="exact"/>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评审委员会根据投标人承诺的①服务响应时间、②服务措施、③人员培训、④专业服务团队、⑤应急方案、⑥备品备件这6个方面对比打分；</w:t>
            </w:r>
            <w:r>
              <w:rPr>
                <w:highlight w:val="none"/>
              </w:rPr>
            </w:r>
          </w:p>
          <w:p>
            <w:pPr>
              <w:pStyle w:val="1001"/>
              <w:ind w:firstLine="482"/>
              <w:keepLines w:val="0"/>
              <w:keepNext w:val="0"/>
              <w:pageBreakBefore w:val="0"/>
              <w:spacing w:after="0" w:line="360" w:lineRule="exact"/>
              <w:widowControl w:val="off"/>
              <w:rPr>
                <w:rFonts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①承诺能按照采购人要求对相关人员提供技术培训服务，售后服务方案内容完整、措施到位，技术支持能够满足采购人需求、服务响应、售后响应及时的，得6分；承诺能按照采购人要求对相关人员提供技术培训服务，售后服务方案内容比较完整、措施比较到位，技术支持</w:t>
            </w:r>
            <w:r>
              <w:rPr>
                <w:rFonts w:hint="eastAsia" w:ascii="Times New Roman" w:hAnsi="Times New Roman" w:eastAsia="方正公文仿宋" w:cs="Times New Roman"/>
                <w:color w:val="auto"/>
                <w:sz w:val="24"/>
                <w:szCs w:val="24"/>
                <w:highlight w:val="none"/>
                <w:lang w:eastAsia="zh-CN"/>
              </w:rPr>
              <w:t xml:space="preserve">能够较好地满足</w:t>
            </w:r>
            <w:r>
              <w:rPr>
                <w:rFonts w:hint="eastAsia" w:ascii="Times New Roman" w:hAnsi="Times New Roman" w:eastAsia="方正公文仿宋" w:cs="Times New Roman"/>
                <w:color w:val="auto"/>
                <w:sz w:val="24"/>
                <w:szCs w:val="24"/>
                <w:highlight w:val="none"/>
              </w:rPr>
              <w:t xml:space="preserve">采购人需求、服务响应、售后响应及时的，得4分；承诺能按照采购人要求对相关人员提供技术培训服务，售后服务方案内容不够完整，技术支持能够基本满足采购人需求、服务响应、售后响应相对及时的，得2分，否则得0分。</w:t>
            </w:r>
            <w:r>
              <w:rPr>
                <w:highlight w:val="none"/>
              </w:rPr>
            </w:r>
          </w:p>
        </w:tc>
        <w:tc>
          <w:tcPr>
            <w:shd w:val="clear" w:color="auto" w:fill="auto"/>
            <w:tcW w:w="1036" w:type="dxa"/>
            <w:vAlign w:val="center"/>
            <w:textDirection w:val="lrTb"/>
            <w:noWrap w:val="false"/>
          </w:tcPr>
          <w:p>
            <w:pPr>
              <w:pStyle w:val="1001"/>
              <w:ind w:firstLine="0"/>
              <w:spacing w:after="62" w:line="460" w:lineRule="exact"/>
              <w:rPr>
                <w:rFonts w:ascii="Times New Roman" w:hAnsi="Times New Roman" w:eastAsia="方正公文仿宋" w:cs="Times New Roman"/>
                <w:color w:val="auto"/>
                <w:sz w:val="24"/>
                <w:szCs w:val="24"/>
                <w:highlight w:val="none"/>
              </w:rPr>
            </w:pPr>
            <w:r>
              <w:rPr>
                <w:rFonts w:ascii="Times New Roman" w:hAnsi="Times New Roman" w:eastAsia="方正公文仿宋" w:cs="Times New Roman"/>
                <w:color w:val="auto"/>
                <w:sz w:val="24"/>
                <w:szCs w:val="24"/>
                <w:highlight w:val="none"/>
              </w:rPr>
              <w:t xml:space="preserve">主观分</w:t>
            </w:r>
            <w:r>
              <w:rPr>
                <w:highlight w:val="none"/>
              </w:rPr>
            </w:r>
          </w:p>
        </w:tc>
      </w:tr>
      <w:tr>
        <w:trPr>
          <w:jc w:val="center"/>
          <w:trHeight w:val="356"/>
        </w:trPr>
        <w:tc>
          <w:tcPr>
            <w:shd w:val="clear" w:color="auto" w:fill="auto"/>
            <w:tcW w:w="502" w:type="dxa"/>
            <w:vAlign w:val="center"/>
            <w:textDirection w:val="lrTb"/>
            <w:noWrap w:val="false"/>
          </w:tcPr>
          <w:p>
            <w:pPr>
              <w:jc w:val="center"/>
              <w:spacing w:after="62" w:line="460" w:lineRule="exact"/>
              <w:widowControl/>
              <w:rPr>
                <w:rFonts w:hint="default"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6</w:t>
            </w:r>
            <w:r>
              <w:rPr>
                <w:highlight w:val="none"/>
              </w:rPr>
            </w:r>
          </w:p>
        </w:tc>
        <w:tc>
          <w:tcPr>
            <w:shd w:val="clear" w:color="auto" w:fill="auto"/>
            <w:tcW w:w="1776" w:type="dxa"/>
            <w:vAlign w:val="center"/>
            <w:textDirection w:val="lrTb"/>
            <w:noWrap w:val="false"/>
          </w:tcPr>
          <w:p>
            <w:pPr>
              <w:jc w:val="center"/>
              <w:spacing w:after="62" w:line="460" w:lineRule="exact"/>
              <w:widowControl/>
              <w:rPr>
                <w:rFonts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szCs w:val="24"/>
                <w:highlight w:val="none"/>
              </w:rPr>
              <w:t xml:space="preserve">质量延保</w:t>
            </w:r>
            <w:r>
              <w:rPr>
                <w:highlight w:val="none"/>
              </w:rPr>
            </w:r>
          </w:p>
        </w:tc>
        <w:tc>
          <w:tcPr>
            <w:shd w:val="clear" w:color="auto" w:fill="auto"/>
            <w:tcW w:w="611" w:type="dxa"/>
            <w:vAlign w:val="center"/>
            <w:textDirection w:val="lrTb"/>
            <w:noWrap w:val="false"/>
          </w:tcPr>
          <w:p>
            <w:pPr>
              <w:jc w:val="center"/>
              <w:spacing w:after="62" w:line="460" w:lineRule="exact"/>
              <w:widowControl/>
              <w:rPr>
                <w:rFonts w:hint="eastAsia" w:ascii="Times New Roman" w:hAnsi="Times New Roman" w:eastAsia="方正公文仿宋" w:cs="Times New Roman"/>
                <w:b/>
                <w:bCs/>
                <w:color w:val="auto"/>
                <w:sz w:val="24"/>
                <w:highlight w:val="none"/>
              </w:rPr>
            </w:pPr>
            <w:r>
              <w:rPr>
                <w:rFonts w:hint="eastAsia" w:ascii="Times New Roman" w:hAnsi="Times New Roman" w:eastAsia="方正公文仿宋" w:cs="Times New Roman"/>
                <w:b/>
                <w:bCs/>
                <w:color w:val="auto"/>
                <w:sz w:val="24"/>
                <w:highlight w:val="none"/>
                <w:lang w:val="en-US" w:eastAsia="zh-CN"/>
              </w:rPr>
              <w:t xml:space="preserve">6</w:t>
            </w:r>
            <w:r>
              <w:rPr>
                <w:highlight w:val="none"/>
              </w:rPr>
            </w:r>
          </w:p>
        </w:tc>
        <w:tc>
          <w:tcPr>
            <w:shd w:val="clear" w:color="auto" w:fill="auto"/>
            <w:tcW w:w="5481" w:type="dxa"/>
            <w:vAlign w:val="center"/>
            <w:textDirection w:val="lrTb"/>
            <w:noWrap w:val="false"/>
          </w:tcPr>
          <w:p>
            <w:pPr>
              <w:pStyle w:val="1001"/>
              <w:ind w:left="0" w:firstLine="0"/>
              <w:keepLines w:val="0"/>
              <w:keepNext w:val="0"/>
              <w:pageBreakBefore w:val="0"/>
              <w:spacing w:before="157" w:after="0" w:line="360" w:lineRule="exact"/>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在满足质保期的前提下，对本项目提供整体质量延保服务，提供承诺函，格式自拟，每延长1年，得3分，最高6分</w:t>
            </w:r>
            <w:r>
              <w:rPr>
                <w:rFonts w:hint="eastAsia" w:ascii="Times New Roman" w:hAnsi="Times New Roman" w:eastAsia="方正公文仿宋" w:cs="Times New Roman"/>
                <w:color w:val="auto"/>
                <w:sz w:val="24"/>
                <w:szCs w:val="24"/>
                <w:highlight w:val="none"/>
                <w:lang w:eastAsia="zh-CN"/>
              </w:rPr>
              <w:t xml:space="preserve">。</w:t>
            </w:r>
            <w:r>
              <w:rPr>
                <w:highlight w:val="none"/>
              </w:rPr>
            </w:r>
          </w:p>
        </w:tc>
        <w:tc>
          <w:tcPr>
            <w:shd w:val="clear" w:color="auto" w:fill="auto"/>
            <w:tcW w:w="1036" w:type="dxa"/>
            <w:vAlign w:val="center"/>
            <w:textDirection w:val="lrTb"/>
            <w:noWrap w:val="false"/>
          </w:tcPr>
          <w:p>
            <w:pPr>
              <w:pStyle w:val="1001"/>
              <w:ind w:firstLine="0"/>
              <w:spacing w:after="62" w:line="460" w:lineRule="exact"/>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lang w:val="en-US" w:eastAsia="zh-CN"/>
              </w:rPr>
              <w:t xml:space="preserve">客观分</w:t>
            </w:r>
            <w:r>
              <w:rPr>
                <w:highlight w:val="none"/>
              </w:rPr>
            </w:r>
          </w:p>
        </w:tc>
      </w:tr>
      <w:tr>
        <w:trPr>
          <w:jc w:val="center"/>
          <w:trHeight w:val="932"/>
        </w:trPr>
        <w:tc>
          <w:tcPr>
            <w:shd w:val="clear" w:color="auto" w:fill="auto"/>
            <w:tcW w:w="502" w:type="dxa"/>
            <w:vAlign w:val="center"/>
            <w:textDirection w:val="lrTb"/>
            <w:noWrap w:val="false"/>
          </w:tcPr>
          <w:p>
            <w:pPr>
              <w:jc w:val="center"/>
              <w:spacing w:after="62" w:line="460" w:lineRule="exact"/>
              <w:rPr>
                <w:rFonts w:hint="default"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7</w:t>
            </w:r>
            <w:r>
              <w:rPr>
                <w:highlight w:val="none"/>
              </w:rPr>
            </w:r>
          </w:p>
        </w:tc>
        <w:tc>
          <w:tcPr>
            <w:shd w:val="clear" w:color="auto" w:fill="auto"/>
            <w:tcW w:w="1776" w:type="dxa"/>
            <w:vAlign w:val="center"/>
            <w:textDirection w:val="lrTb"/>
            <w:noWrap w:val="false"/>
          </w:tcPr>
          <w:p>
            <w:pPr>
              <w:jc w:val="center"/>
              <w:spacing w:after="62" w:line="460" w:lineRule="exact"/>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业绩</w:t>
            </w:r>
            <w:r>
              <w:rPr>
                <w:highlight w:val="none"/>
              </w:rPr>
            </w:r>
          </w:p>
        </w:tc>
        <w:tc>
          <w:tcPr>
            <w:shd w:val="clear" w:color="auto" w:fill="auto"/>
            <w:tcW w:w="611" w:type="dxa"/>
            <w:vAlign w:val="center"/>
            <w:textDirection w:val="lrTb"/>
            <w:noWrap w:val="false"/>
          </w:tcPr>
          <w:p>
            <w:pPr>
              <w:jc w:val="center"/>
              <w:spacing w:after="62" w:line="460" w:lineRule="exact"/>
              <w:rPr>
                <w:rFonts w:hint="eastAsia" w:ascii="Times New Roman" w:hAnsi="Times New Roman" w:eastAsia="方正公文仿宋" w:cs="Times New Roman"/>
                <w:color w:val="auto"/>
                <w:sz w:val="24"/>
                <w:highlight w:val="none"/>
              </w:rPr>
            </w:pPr>
            <w:r>
              <w:rPr>
                <w:rFonts w:hint="eastAsia" w:ascii="Times New Roman" w:hAnsi="Times New Roman" w:eastAsia="方正公文仿宋" w:cs="Times New Roman"/>
                <w:color w:val="auto"/>
                <w:sz w:val="24"/>
                <w:highlight w:val="none"/>
                <w:lang w:val="en-US" w:eastAsia="zh-CN"/>
              </w:rPr>
              <w:t xml:space="preserve">6</w:t>
            </w:r>
            <w:r>
              <w:rPr>
                <w:highlight w:val="none"/>
              </w:rPr>
            </w:r>
          </w:p>
        </w:tc>
        <w:tc>
          <w:tcPr>
            <w:shd w:val="clear" w:color="auto" w:fill="auto"/>
            <w:tcW w:w="5481" w:type="dxa"/>
            <w:textDirection w:val="lrTb"/>
            <w:noWrap w:val="false"/>
          </w:tcPr>
          <w:p>
            <w:pPr>
              <w:pStyle w:val="1001"/>
              <w:ind w:firstLine="461"/>
              <w:keepLines w:val="0"/>
              <w:keepNext w:val="0"/>
              <w:pageBreakBefore w:val="0"/>
              <w:spacing w:after="62" w:line="360" w:lineRule="exact"/>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投标人2022 年1月1日（以合同签订时间为准）以来与本次采购类似项目业绩，每提供1个业绩得</w:t>
            </w:r>
            <w:r>
              <w:rPr>
                <w:rFonts w:hint="eastAsia" w:ascii="Times New Roman" w:hAnsi="Times New Roman" w:eastAsia="方正公文仿宋" w:cs="Times New Roman"/>
                <w:color w:val="auto"/>
                <w:sz w:val="24"/>
                <w:szCs w:val="24"/>
                <w:highlight w:val="none"/>
                <w:lang w:val="en-US" w:eastAsia="zh-CN"/>
              </w:rPr>
              <w:t xml:space="preserve">2</w:t>
            </w:r>
            <w:r>
              <w:rPr>
                <w:rFonts w:hint="eastAsia" w:ascii="Times New Roman" w:hAnsi="Times New Roman" w:eastAsia="方正公文仿宋" w:cs="Times New Roman"/>
                <w:color w:val="auto"/>
                <w:sz w:val="24"/>
                <w:szCs w:val="24"/>
                <w:highlight w:val="none"/>
              </w:rPr>
              <w:t xml:space="preserve">分，最多</w:t>
            </w:r>
            <w:r>
              <w:rPr>
                <w:rFonts w:hint="eastAsia" w:ascii="Times New Roman" w:hAnsi="Times New Roman" w:eastAsia="方正公文仿宋" w:cs="Times New Roman"/>
                <w:color w:val="auto"/>
                <w:sz w:val="24"/>
                <w:szCs w:val="24"/>
                <w:highlight w:val="none"/>
                <w:lang w:val="en-US" w:eastAsia="zh-CN"/>
              </w:rPr>
              <w:t xml:space="preserve">6</w:t>
            </w:r>
            <w:r>
              <w:rPr>
                <w:rFonts w:hint="eastAsia" w:ascii="Times New Roman" w:hAnsi="Times New Roman" w:eastAsia="方正公文仿宋" w:cs="Times New Roman"/>
                <w:color w:val="auto"/>
                <w:sz w:val="24"/>
                <w:szCs w:val="24"/>
                <w:highlight w:val="none"/>
              </w:rPr>
              <w:t xml:space="preserve">分。</w:t>
            </w:r>
            <w:r>
              <w:rPr>
                <w:highlight w:val="none"/>
              </w:rPr>
            </w:r>
          </w:p>
          <w:p>
            <w:pPr>
              <w:pStyle w:val="1001"/>
              <w:ind w:firstLine="461"/>
              <w:keepLines w:val="0"/>
              <w:keepNext w:val="0"/>
              <w:pageBreakBefore w:val="0"/>
              <w:spacing w:after="62" w:line="360" w:lineRule="exact"/>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每个业绩须同时提供：</w:t>
            </w:r>
            <w:r>
              <w:rPr>
                <w:highlight w:val="none"/>
              </w:rPr>
            </w:r>
          </w:p>
          <w:p>
            <w:pPr>
              <w:pStyle w:val="1001"/>
              <w:ind w:firstLine="461"/>
              <w:keepLines w:val="0"/>
              <w:keepNext w:val="0"/>
              <w:pageBreakBefore w:val="0"/>
              <w:spacing w:after="62" w:line="360" w:lineRule="exact"/>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①有效销售合同扫描件（如合同无法体现类似采购内容，则需另外提供采购单位盖章的采购清单或证明材料），</w:t>
            </w:r>
            <w:r>
              <w:rPr>
                <w:highlight w:val="none"/>
              </w:rPr>
            </w:r>
          </w:p>
          <w:p>
            <w:pPr>
              <w:pStyle w:val="1001"/>
              <w:ind w:firstLine="461"/>
              <w:keepLines w:val="0"/>
              <w:keepNext w:val="0"/>
              <w:pageBreakBefore w:val="0"/>
              <w:spacing w:after="62" w:line="360" w:lineRule="exact"/>
              <w:widowControl w:val="off"/>
              <w:rPr>
                <w:rFonts w:hint="eastAsia"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②不少于合同价60%的结算发票复印件加盖公章</w:t>
            </w:r>
            <w:r>
              <w:rPr>
                <w:rFonts w:hint="eastAsia" w:ascii="Times New Roman" w:hAnsi="Times New Roman" w:eastAsia="方正公文仿宋" w:cs="Times New Roman"/>
                <w:color w:val="auto"/>
                <w:sz w:val="24"/>
                <w:szCs w:val="24"/>
                <w:highlight w:val="none"/>
                <w:lang w:eastAsia="zh-CN"/>
              </w:rPr>
              <w:t xml:space="preserve">。</w:t>
            </w:r>
            <w:r>
              <w:rPr>
                <w:highlight w:val="none"/>
              </w:rPr>
            </w:r>
          </w:p>
          <w:p>
            <w:pPr>
              <w:pStyle w:val="1001"/>
              <w:ind w:firstLine="461"/>
              <w:keepLines w:val="0"/>
              <w:keepNext w:val="0"/>
              <w:pageBreakBefore w:val="0"/>
              <w:spacing w:after="62" w:line="360" w:lineRule="exact"/>
              <w:widowControl w:val="off"/>
              <w:rPr>
                <w:rFonts w:ascii="Times New Roman" w:hAnsi="Times New Roman" w:eastAsia="方正公文仿宋" w:cs="Times New Roman"/>
                <w:color w:val="auto"/>
                <w:sz w:val="24"/>
                <w:szCs w:val="24"/>
                <w:highlight w:val="none"/>
              </w:rPr>
            </w:pPr>
            <w:r>
              <w:rPr>
                <w:rFonts w:hint="eastAsia" w:ascii="Times New Roman" w:hAnsi="Times New Roman" w:eastAsia="方正公文仿宋" w:cs="Times New Roman"/>
                <w:color w:val="auto"/>
                <w:sz w:val="24"/>
                <w:szCs w:val="24"/>
                <w:highlight w:val="none"/>
              </w:rPr>
              <w:t xml:space="preserve">注：中标后三日内提供原件核查，核查后发现虚假提供的，依照相关法律法规规定处理。</w:t>
            </w:r>
            <w:r>
              <w:rPr>
                <w:highlight w:val="none"/>
              </w:rPr>
            </w:r>
          </w:p>
        </w:tc>
        <w:tc>
          <w:tcPr>
            <w:shd w:val="clear" w:color="auto" w:fill="auto"/>
            <w:tcW w:w="1036" w:type="dxa"/>
            <w:vAlign w:val="center"/>
            <w:textDirection w:val="lrTb"/>
            <w:noWrap w:val="false"/>
          </w:tcPr>
          <w:p>
            <w:pPr>
              <w:jc w:val="left"/>
              <w:spacing w:after="62" w:line="460" w:lineRule="exact"/>
              <w:widowControl/>
              <w:rPr>
                <w:rFonts w:ascii="Times New Roman" w:hAnsi="Times New Roman" w:eastAsia="方正公文仿宋" w:cs="Times New Roman"/>
                <w:color w:val="auto"/>
                <w:sz w:val="24"/>
                <w:highlight w:val="none"/>
              </w:rPr>
            </w:pPr>
            <w:r>
              <w:rPr>
                <w:rFonts w:ascii="Times New Roman" w:hAnsi="Times New Roman" w:eastAsia="方正公文仿宋" w:cs="Times New Roman"/>
                <w:color w:val="auto"/>
                <w:sz w:val="24"/>
                <w:highlight w:val="none"/>
              </w:rPr>
              <w:t xml:space="preserve">客观分</w:t>
            </w:r>
            <w:r>
              <w:rPr>
                <w:highlight w:val="none"/>
              </w:rPr>
            </w:r>
          </w:p>
        </w:tc>
      </w:tr>
    </w:tbl>
    <w:p>
      <w:pPr>
        <w:ind w:firstLine="482"/>
        <w:spacing w:after="62" w:line="460" w:lineRule="exact"/>
        <w:rPr>
          <w:rFonts w:ascii="Times New Roman" w:eastAsia="方正公文仿宋" w:cs="Times New Roman"/>
          <w:sz w:val="28"/>
          <w:szCs w:val="28"/>
          <w:highlight w:val="none"/>
        </w:rPr>
      </w:pPr>
      <w:r>
        <w:rPr>
          <w:rFonts w:ascii="Times New Roman" w:eastAsia="方正公文仿宋" w:cs="Times New Roman"/>
          <w:sz w:val="28"/>
          <w:szCs w:val="28"/>
          <w:highlight w:val="none"/>
          <w:lang w:eastAsia="zh-CN"/>
        </w:rPr>
      </w:r>
      <w:r>
        <w:rPr>
          <w:highlight w:val="none"/>
        </w:rPr>
      </w:r>
    </w:p>
    <w:p>
      <w:pPr>
        <w:rPr>
          <w:rFonts w:hint="eastAsia" w:ascii="黑体" w:eastAsia="黑体"/>
          <w:bCs/>
          <w:color w:val="000000" w:themeColor="text1"/>
          <w:sz w:val="44"/>
          <w:szCs w:val="28"/>
          <w:highlight w:val="none"/>
          <w14:textFill>
            <w14:solidFill>
              <w14:schemeClr w14:val="tx1"/>
            </w14:solidFill>
          </w14:textFill>
        </w:rPr>
      </w:pPr>
      <w:r>
        <w:rPr>
          <w:rFonts w:hint="eastAsia" w:ascii="黑体" w:eastAsia="黑体"/>
          <w:bCs/>
          <w:color w:val="000000" w:themeColor="text1"/>
          <w:sz w:val="44"/>
          <w:szCs w:val="28"/>
          <w:highlight w:val="none"/>
          <w14:textFill>
            <w14:solidFill>
              <w14:schemeClr w14:val="tx1"/>
            </w14:solidFill>
          </w14:textFill>
        </w:rPr>
        <w:br w:type="page" w:clear="all"/>
      </w:r>
      <w:r>
        <w:rPr>
          <w:highlight w:val="none"/>
        </w:rPr>
      </w:r>
    </w:p>
    <w:p>
      <w:pPr>
        <w:pStyle w:val="997"/>
        <w:ind w:firstLine="0"/>
        <w:jc w:val="center"/>
        <w:rPr>
          <w:rFonts w:hint="eastAsia" w:ascii="黑体" w:eastAsia="黑体"/>
          <w:bCs/>
          <w:color w:val="000000" w:themeColor="text1"/>
          <w:sz w:val="44"/>
          <w:szCs w:val="28"/>
          <w:highlight w:val="none"/>
          <w14:textFill>
            <w14:solidFill>
              <w14:schemeClr w14:val="tx1"/>
            </w14:solidFill>
          </w14:textFill>
        </w:rPr>
        <w:outlineLvl w:val="0"/>
      </w:pPr>
      <w:r>
        <w:rPr>
          <w:highlight w:val="none"/>
        </w:rPr>
      </w:r>
      <w:bookmarkStart w:id="199" w:name="_Toc2329"/>
      <w:r>
        <w:rPr>
          <w:rFonts w:hint="eastAsia" w:ascii="黑体" w:eastAsia="黑体"/>
          <w:bCs/>
          <w:color w:val="000000" w:themeColor="text1"/>
          <w:sz w:val="44"/>
          <w:szCs w:val="28"/>
          <w:highlight w:val="none"/>
          <w14:textFill>
            <w14:solidFill>
              <w14:schemeClr w14:val="tx1"/>
            </w14:solidFill>
          </w14:textFill>
        </w:rPr>
        <w:t xml:space="preserve">第六章  投标文件格式</w:t>
      </w:r>
      <w:bookmarkEnd w:id="199"/>
      <w:r>
        <w:rPr>
          <w:highlight w:val="none"/>
        </w:rPr>
      </w:r>
      <w:r>
        <w:rPr>
          <w:highlight w:val="none"/>
        </w:rP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rPr>
          <w:highlight w:val="none"/>
        </w:rP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t xml:space="preserve">投  标  文  件</w:t>
      </w:r>
      <w:r>
        <w:rPr>
          <w:highlight w:val="none"/>
        </w:rP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rPr>
          <w:highlight w:val="none"/>
        </w:rP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rPr>
          <w:highlight w:val="none"/>
        </w:rP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rPr>
          <w:highlight w:val="none"/>
        </w:rP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rPr>
          <w:highlight w:val="none"/>
        </w:rP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rPr>
          <w:highlight w:val="none"/>
        </w:rPr>
      </w:r>
    </w:p>
    <w:p>
      <w:pPr>
        <w:ind w:firstLine="1084"/>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名 称：</w:t>
      </w:r>
      <w:r>
        <w:rPr>
          <w:rFonts w:hint="eastAsia" w:ascii="宋体" w:hAnsi="宋体"/>
          <w:b/>
          <w:color w:val="000000" w:themeColor="text1"/>
          <w:sz w:val="36"/>
          <w:szCs w:val="21"/>
          <w:highlight w:val="none"/>
          <w:u w:val="single"/>
          <w14:textFill>
            <w14:solidFill>
              <w14:schemeClr w14:val="tx1"/>
            </w14:solidFill>
          </w14:textFill>
        </w:rPr>
        <w:t xml:space="preserve">                   </w:t>
      </w:r>
      <w:r>
        <w:rPr>
          <w:highlight w:val="none"/>
        </w:rPr>
      </w:r>
    </w:p>
    <w:p>
      <w:pPr>
        <w:ind w:firstLine="1084"/>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项 目 编 号：</w:t>
      </w:r>
      <w:r>
        <w:rPr>
          <w:rFonts w:hint="eastAsia" w:ascii="宋体" w:hAnsi="宋体"/>
          <w:b/>
          <w:color w:val="000000" w:themeColor="text1"/>
          <w:sz w:val="36"/>
          <w:szCs w:val="21"/>
          <w:highlight w:val="none"/>
          <w:u w:val="single"/>
          <w14:textFill>
            <w14:solidFill>
              <w14:schemeClr w14:val="tx1"/>
            </w14:solidFill>
          </w14:textFill>
        </w:rPr>
        <w:t xml:space="preserve">                   </w:t>
      </w:r>
      <w:r>
        <w:rPr>
          <w:highlight w:val="none"/>
        </w:rP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投标人名称 ：</w:t>
      </w:r>
      <w:r>
        <w:rPr>
          <w:rFonts w:hint="eastAsia" w:ascii="宋体" w:hAnsi="宋体"/>
          <w:b/>
          <w:color w:val="000000" w:themeColor="text1"/>
          <w:sz w:val="36"/>
          <w:szCs w:val="21"/>
          <w:highlight w:val="none"/>
          <w:u w:val="single"/>
          <w14:textFill>
            <w14:solidFill>
              <w14:schemeClr w14:val="tx1"/>
            </w14:solidFill>
          </w14:textFill>
        </w:rPr>
        <w:t xml:space="preserve">（加盖CA电子公章）</w:t>
      </w:r>
      <w:r>
        <w:rPr>
          <w:highlight w:val="none"/>
        </w:rP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t xml:space="preserve">      日      期 ：</w:t>
      </w:r>
      <w:r>
        <w:rPr>
          <w:rFonts w:hint="eastAsia" w:ascii="宋体" w:hAnsi="宋体"/>
          <w:b/>
          <w:color w:val="000000" w:themeColor="text1"/>
          <w:sz w:val="36"/>
          <w:szCs w:val="21"/>
          <w:highlight w:val="none"/>
          <w:u w:val="single"/>
          <w14:textFill>
            <w14:solidFill>
              <w14:schemeClr w14:val="tx1"/>
            </w14:solidFill>
          </w14:textFill>
        </w:rPr>
        <w:t xml:space="preserve">                   </w:t>
      </w:r>
      <w:r>
        <w:rPr>
          <w:highlight w:val="none"/>
        </w:rP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rPr>
          <w:highlight w:val="none"/>
        </w:rPr>
      </w:r>
    </w:p>
    <w:p>
      <w:pPr>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u w:val="single"/>
          <w14:textFill>
            <w14:solidFill>
              <w14:schemeClr w14:val="tx1"/>
            </w14:solidFill>
          </w14:textFill>
        </w:rPr>
      </w:r>
      <w:r>
        <w:rPr>
          <w:highlight w:val="none"/>
        </w:rPr>
      </w:r>
    </w:p>
    <w:p>
      <w:pPr>
        <w:pStyle w:val="997"/>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p>
    <w:p>
      <w:pPr>
        <w:pStyle w:val="997"/>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p>
    <w:p>
      <w:pPr>
        <w:pStyle w:val="997"/>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p>
    <w:p>
      <w:pPr>
        <w:pStyle w:val="997"/>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p>
    <w:p>
      <w:pPr>
        <w:pStyle w:val="997"/>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p>
      <w:pPr>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br w:type="page" w:clear="all"/>
      </w:r>
      <w:r>
        <w:rPr>
          <w:highlight w:val="none"/>
        </w:rP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投标文件目录</w:t>
      </w:r>
      <w:r>
        <w:rPr>
          <w:highlight w:val="none"/>
        </w:rPr>
      </w:r>
    </w:p>
    <w:p>
      <w:pPr>
        <w:jc w:val="center"/>
        <w:keepLines w:val="0"/>
        <w:keepNext w:val="0"/>
        <w:pageBreakBefore w:val="0"/>
        <w:spacing w:line="560" w:lineRule="exact"/>
        <w:widowControl w:val="off"/>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rPr>
          <w:highlight w:val="none"/>
        </w:rPr>
      </w:r>
    </w:p>
    <w:p>
      <w:pPr>
        <w:ind w:left="480"/>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一、基本目录</w:t>
      </w:r>
      <w:r>
        <w:rPr>
          <w:highlight w:val="none"/>
        </w:rPr>
      </w:r>
    </w:p>
    <w:p>
      <w:pPr>
        <w:ind w:left="480"/>
        <w:keepLines w:val="0"/>
        <w:keepNext w:val="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开标一览表（格式见附件</w:t>
      </w: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p>
    <w:p>
      <w:pPr>
        <w:ind w:left="480"/>
        <w:keepLines w:val="0"/>
        <w:keepNext w:val="0"/>
        <w:pageBreakBefore w:val="0"/>
        <w:spacing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投标分项报价表（格式见</w:t>
      </w:r>
      <w:r>
        <w:rPr>
          <w:rFonts w:ascii="仿宋" w:hAnsi="仿宋" w:eastAsia="仿宋"/>
          <w:color w:val="000000" w:themeColor="text1"/>
          <w:sz w:val="28"/>
          <w:szCs w:val="28"/>
          <w:highlight w:val="none"/>
          <w14:textFill>
            <w14:solidFill>
              <w14:schemeClr w14:val="tx1"/>
            </w14:solidFill>
          </w14:textFill>
        </w:rPr>
        <w:t xml:space="preserve">附件2</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p>
    <w:p>
      <w:pPr>
        <w:ind w:left="480"/>
        <w:keepLines w:val="0"/>
        <w:keepNext w:val="0"/>
        <w:pageBreakBefore w:val="0"/>
        <w:spacing w:line="5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二</w:t>
      </w:r>
      <w:r>
        <w:rPr>
          <w:rFonts w:ascii="仿宋" w:hAnsi="仿宋" w:eastAsia="仿宋"/>
          <w:b/>
          <w:color w:val="000000" w:themeColor="text1"/>
          <w:sz w:val="28"/>
          <w:szCs w:val="28"/>
          <w:highlight w:val="none"/>
          <w14:textFill>
            <w14:solidFill>
              <w14:schemeClr w14:val="tx1"/>
            </w14:solidFill>
          </w14:textFill>
        </w:rPr>
        <w:t xml:space="preserve">、资格审查内容</w:t>
      </w:r>
      <w:r>
        <w:rPr>
          <w:highlight w:val="none"/>
        </w:rPr>
      </w:r>
    </w:p>
    <w:p>
      <w:pPr>
        <w:ind w:firstLine="560"/>
        <w:keepLines w:val="0"/>
        <w:keepNext w:val="0"/>
        <w:pageBreakBefore w:val="0"/>
        <w:spacing w:line="560" w:lineRule="exact"/>
        <w:widowControl w:val="off"/>
        <w:rPr>
          <w:rFonts w:ascii="宋体" w:hAnsi="宋体" w:eastAsia="仿宋"/>
          <w:b/>
          <w:color w:val="000000" w:themeColor="text1"/>
          <w:sz w:val="30"/>
          <w:szCs w:val="30"/>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投标人符合《政府采购法》第二十二条规定条件的声明函（格式见附件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p>
    <w:p>
      <w:pPr>
        <w:pStyle w:val="1263"/>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特定资格要求的证明文件（如果本项目对投标人</w:t>
      </w:r>
      <w:r>
        <w:rPr>
          <w:rFonts w:ascii="仿宋" w:hAnsi="仿宋" w:eastAsia="仿宋"/>
          <w:color w:val="000000" w:themeColor="text1"/>
          <w:sz w:val="28"/>
          <w:szCs w:val="28"/>
          <w:highlight w:val="none"/>
          <w14:textFill>
            <w14:solidFill>
              <w14:schemeClr w14:val="tx1"/>
            </w14:solidFill>
          </w14:textFill>
        </w:rPr>
        <w:t xml:space="preserve">做出特定资格要求的</w:t>
      </w:r>
      <w:r>
        <w:rPr>
          <w:rFonts w:hint="eastAsia" w:ascii="仿宋" w:hAnsi="仿宋" w:eastAsia="仿宋"/>
          <w:color w:val="000000" w:themeColor="text1"/>
          <w:sz w:val="28"/>
          <w:szCs w:val="28"/>
          <w:highlight w:val="none"/>
          <w14:textFill>
            <w14:solidFill>
              <w14:schemeClr w14:val="tx1"/>
            </w14:solidFill>
          </w14:textFill>
        </w:rPr>
        <w:t xml:space="preserve">，必须提供）</w:t>
      </w:r>
      <w:r>
        <w:rPr>
          <w:highlight w:val="none"/>
        </w:rPr>
      </w:r>
    </w:p>
    <w:p>
      <w:pPr>
        <w:pStyle w:val="1263"/>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3.法定代表人身份证明</w:t>
      </w:r>
      <w:r>
        <w:rPr>
          <w:rFonts w:ascii="仿宋" w:hAnsi="仿宋" w:eastAsia="仿宋"/>
          <w:color w:val="000000" w:themeColor="text1"/>
          <w:sz w:val="28"/>
          <w:szCs w:val="28"/>
          <w:highlight w:val="none"/>
          <w14:textFill>
            <w14:solidFill>
              <w14:schemeClr w14:val="tx1"/>
            </w14:solidFill>
          </w14:textFill>
        </w:rPr>
        <w:t xml:space="preserve">（格式</w:t>
      </w:r>
      <w:r>
        <w:rPr>
          <w:rFonts w:hint="eastAsia" w:ascii="仿宋" w:hAnsi="仿宋" w:eastAsia="仿宋"/>
          <w:color w:val="000000" w:themeColor="text1"/>
          <w:sz w:val="28"/>
          <w:szCs w:val="28"/>
          <w:highlight w:val="none"/>
          <w14:textFill>
            <w14:solidFill>
              <w14:schemeClr w14:val="tx1"/>
            </w14:solidFill>
          </w14:textFill>
        </w:rPr>
        <w:t xml:space="preserve">见附件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ascii="仿宋" w:hAnsi="仿宋" w:eastAsia="仿宋"/>
          <w:color w:val="000000" w:themeColor="text1"/>
          <w:sz w:val="28"/>
          <w:szCs w:val="28"/>
          <w:highlight w:val="none"/>
          <w14:textFill>
            <w14:solidFill>
              <w14:schemeClr w14:val="tx1"/>
            </w14:solidFill>
          </w14:textFill>
        </w:rPr>
        <w:t xml:space="preserve">）</w:t>
      </w:r>
      <w:r>
        <w:rPr>
          <w:highlight w:val="none"/>
        </w:rPr>
      </w:r>
    </w:p>
    <w:p>
      <w:pPr>
        <w:pStyle w:val="1263"/>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4.提供有效的营业执照复印件加盖公章</w:t>
      </w:r>
      <w:r>
        <w:rPr>
          <w:highlight w:val="none"/>
        </w:rPr>
      </w:r>
    </w:p>
    <w:p>
      <w:pPr>
        <w:pStyle w:val="1263"/>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w:t>
      </w:r>
      <w:r>
        <w:rPr>
          <w:rFonts w:eastAsia="方正仿宋_GBK"/>
          <w:color w:val="000000" w:themeColor="text1"/>
          <w:sz w:val="28"/>
          <w:szCs w:val="28"/>
          <w:highlight w:val="none"/>
          <w:lang w:val="zh-CN"/>
          <w14:textFill>
            <w14:solidFill>
              <w14:schemeClr w14:val="tx1"/>
            </w14:solidFill>
          </w14:textFill>
        </w:rPr>
        <w:t xml:space="preserve">法定代表人授权委托书</w:t>
      </w:r>
      <w:r>
        <w:rPr>
          <w:rFonts w:hint="eastAsia" w:ascii="仿宋" w:hAnsi="仿宋" w:eastAsia="仿宋"/>
          <w:color w:val="000000" w:themeColor="text1"/>
          <w:sz w:val="28"/>
          <w:szCs w:val="28"/>
          <w:highlight w:val="none"/>
          <w14:textFill>
            <w14:solidFill>
              <w14:schemeClr w14:val="tx1"/>
            </w14:solidFill>
          </w14:textFill>
        </w:rPr>
        <w:t xml:space="preserve">（格式见附件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p>
    <w:p>
      <w:pPr>
        <w:ind w:left="0" w:right="0" w:firstLine="560"/>
        <w:jc w:val="both"/>
        <w:keepLines w:val="0"/>
        <w:keepNext w:val="0"/>
        <w:pageBreakBefore w:val="0"/>
        <w:spacing w:before="0" w:after="0" w:line="560" w:lineRule="exact"/>
        <w:widowControl w:val="off"/>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themeColor="text1"/>
          <w:sz w:val="28"/>
          <w:szCs w:val="28"/>
          <w:highlight w:val="none"/>
          <w14:textFill>
            <w14:solidFill>
              <w14:schemeClr w14:val="tx1"/>
            </w14:solidFill>
          </w14:textFill>
        </w:rPr>
        <w:t xml:space="preserve">6.投标函（格式见附件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p>
    <w:p>
      <w:pPr>
        <w:ind w:left="0" w:right="0" w:firstLine="560"/>
        <w:jc w:val="both"/>
        <w:keepLines w:val="0"/>
        <w:keepNext w:val="0"/>
        <w:pageBreakBefore w:val="0"/>
        <w:spacing w:before="0" w:after="0" w:line="560" w:lineRule="exact"/>
        <w:widowControl w:val="off"/>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7.中小微企业声明函（如果本项目专门面向中小微型企业采购，则必须提供。格式见附件10）</w:t>
      </w:r>
      <w:r>
        <w:rPr>
          <w:highlight w:val="none"/>
        </w:rPr>
      </w:r>
    </w:p>
    <w:p>
      <w:pPr>
        <w:ind w:left="0" w:right="0" w:firstLine="560"/>
        <w:jc w:val="both"/>
        <w:keepLines w:val="0"/>
        <w:keepNext w:val="0"/>
        <w:pageBreakBefore w:val="0"/>
        <w:spacing w:before="0" w:after="0" w:line="56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8.残疾人福利性单位声明函（如果本项目专门面向中小微型企业采购，供应商为残疾人福利性单位并提供本单位制造的货物，或者提供其他残疾人福利性单位制造的货物，则必须提供。格式见附件11）</w:t>
      </w:r>
      <w:r>
        <w:rPr>
          <w:highlight w:val="none"/>
        </w:rPr>
      </w:r>
    </w:p>
    <w:p>
      <w:pPr>
        <w:ind w:left="0" w:right="0" w:firstLine="0"/>
        <w:jc w:val="both"/>
        <w:keepLines w:val="0"/>
        <w:keepNext w:val="0"/>
        <w:pageBreakBefore w:val="0"/>
        <w:spacing w:before="0" w:after="0" w:line="56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备注：上述“资格审查内容”中1、3、4、6条投标人必须在投标文件中提供相关材料，否则作无效投标处理；2、5、7、8条如招标文件要求必须提供相关材料而未提供的，作无效投标处理。</w:t>
      </w:r>
      <w:r>
        <w:rPr>
          <w:highlight w:val="none"/>
        </w:rPr>
      </w:r>
    </w:p>
    <w:p>
      <w:pPr>
        <w:pStyle w:val="1263"/>
        <w:ind w:firstLine="560"/>
        <w:jc w:val="both"/>
        <w:keepLines w:val="0"/>
        <w:keepNext w:val="0"/>
        <w:pageBreakBefore w:val="0"/>
        <w:spacing w:before="0" w:beforeAutospacing="0" w:after="0" w:afterAutospacing="0" w:line="56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r>
      <w:r>
        <w:rPr>
          <w:highlight w:val="none"/>
        </w:rPr>
      </w:r>
    </w:p>
    <w:p>
      <w:pPr>
        <w:ind w:left="480"/>
        <w:keepLines w:val="0"/>
        <w:keepNext w:val="0"/>
        <w:pageBreakBefore w:val="0"/>
        <w:spacing w:line="5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rPr>
          <w:highlight w:val="none"/>
        </w:rPr>
      </w:r>
    </w:p>
    <w:p>
      <w:pPr>
        <w:ind w:left="480"/>
        <w:keepLines w:val="0"/>
        <w:keepNext w:val="0"/>
        <w:pageBreakBefore w:val="0"/>
        <w:spacing w:line="560" w:lineRule="exact"/>
        <w:widowControl w:val="off"/>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r>
      <w:r>
        <w:rPr>
          <w:highlight w:val="none"/>
        </w:rPr>
      </w:r>
    </w:p>
    <w:p>
      <w:pPr>
        <w:ind w:left="480"/>
        <w:keepLines w:val="0"/>
        <w:keepNext w:val="0"/>
        <w:pageBreakBefore w:val="0"/>
        <w:spacing w:line="560" w:lineRule="exact"/>
        <w:widowControl w:val="off"/>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三</w:t>
      </w:r>
      <w:r>
        <w:rPr>
          <w:rFonts w:ascii="仿宋" w:hAnsi="仿宋" w:eastAsia="仿宋"/>
          <w:b/>
          <w:color w:val="000000" w:themeColor="text1"/>
          <w:sz w:val="28"/>
          <w:szCs w:val="28"/>
          <w:highlight w:val="none"/>
          <w14:textFill>
            <w14:solidFill>
              <w14:schemeClr w14:val="tx1"/>
            </w14:solidFill>
          </w14:textFill>
        </w:rPr>
        <w:t xml:space="preserve">、</w:t>
      </w:r>
      <w:r>
        <w:rPr>
          <w:rFonts w:hint="eastAsia" w:ascii="仿宋" w:hAnsi="仿宋" w:eastAsia="仿宋"/>
          <w:b/>
          <w:color w:val="000000" w:themeColor="text1"/>
          <w:sz w:val="28"/>
          <w:szCs w:val="28"/>
          <w:highlight w:val="none"/>
          <w14:textFill>
            <w14:solidFill>
              <w14:schemeClr w14:val="tx1"/>
            </w14:solidFill>
          </w14:textFill>
        </w:rPr>
        <w:t xml:space="preserve">符合性</w:t>
      </w:r>
      <w:r>
        <w:rPr>
          <w:rFonts w:ascii="仿宋" w:hAnsi="仿宋" w:eastAsia="仿宋"/>
          <w:b/>
          <w:color w:val="000000" w:themeColor="text1"/>
          <w:sz w:val="28"/>
          <w:szCs w:val="28"/>
          <w:highlight w:val="none"/>
          <w14:textFill>
            <w14:solidFill>
              <w14:schemeClr w14:val="tx1"/>
            </w14:solidFill>
          </w14:textFill>
        </w:rPr>
        <w:t xml:space="preserve">审查内容</w:t>
      </w:r>
      <w:r>
        <w:rPr>
          <w:highlight w:val="none"/>
        </w:rP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投标人必须</w:t>
      </w:r>
      <w:r>
        <w:rPr>
          <w:rFonts w:ascii="仿宋" w:hAnsi="仿宋" w:eastAsia="仿宋"/>
          <w:color w:val="000000" w:themeColor="text1"/>
          <w:sz w:val="28"/>
          <w:szCs w:val="28"/>
          <w:highlight w:val="none"/>
          <w14:textFill>
            <w14:solidFill>
              <w14:schemeClr w14:val="tx1"/>
            </w14:solidFill>
          </w14:textFill>
        </w:rPr>
        <w:t xml:space="preserve">对</w:t>
      </w:r>
      <w:r>
        <w:rPr>
          <w:rFonts w:hint="eastAsia" w:ascii="仿宋" w:hAnsi="仿宋" w:eastAsia="仿宋"/>
          <w:color w:val="000000" w:themeColor="text1"/>
          <w:sz w:val="28"/>
          <w:szCs w:val="28"/>
          <w:highlight w:val="none"/>
          <w14:textFill>
            <w14:solidFill>
              <w14:schemeClr w14:val="tx1"/>
            </w14:solidFill>
          </w14:textFill>
        </w:rPr>
        <w:t xml:space="preserve">采购需求中</w:t>
      </w:r>
      <w:r>
        <w:rPr>
          <w:rFonts w:ascii="仿宋" w:hAnsi="仿宋" w:eastAsia="仿宋"/>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color w:val="000000" w:themeColor="text1"/>
          <w:sz w:val="28"/>
          <w:szCs w:val="28"/>
          <w:highlight w:val="none"/>
          <w14:textFill>
            <w14:solidFill>
              <w14:schemeClr w14:val="tx1"/>
            </w14:solidFill>
          </w14:textFill>
        </w:rPr>
        <w:t xml:space="preserve">逐条</w:t>
      </w:r>
      <w:r>
        <w:rPr>
          <w:rFonts w:ascii="仿宋" w:hAnsi="仿宋" w:eastAsia="仿宋"/>
          <w:color w:val="000000" w:themeColor="text1"/>
          <w:sz w:val="28"/>
          <w:szCs w:val="28"/>
          <w:highlight w:val="none"/>
          <w14:textFill>
            <w14:solidFill>
              <w14:schemeClr w14:val="tx1"/>
            </w14:solidFill>
          </w14:textFill>
        </w:rPr>
        <w:t xml:space="preserve">做出响应，并按照招标</w:t>
      </w:r>
      <w:r>
        <w:rPr>
          <w:rFonts w:hint="eastAsia" w:ascii="仿宋" w:hAnsi="仿宋" w:eastAsia="仿宋"/>
          <w:color w:val="000000" w:themeColor="text1"/>
          <w:sz w:val="28"/>
          <w:szCs w:val="28"/>
          <w:highlight w:val="none"/>
          <w14:textFill>
            <w14:solidFill>
              <w14:schemeClr w14:val="tx1"/>
            </w14:solidFill>
          </w14:textFill>
        </w:rPr>
        <w:t xml:space="preserve">文件</w:t>
      </w:r>
      <w:r>
        <w:rPr>
          <w:rFonts w:ascii="仿宋" w:hAnsi="仿宋" w:eastAsia="仿宋"/>
          <w:color w:val="000000" w:themeColor="text1"/>
          <w:sz w:val="28"/>
          <w:szCs w:val="28"/>
          <w:highlight w:val="none"/>
          <w14:textFill>
            <w14:solidFill>
              <w14:schemeClr w14:val="tx1"/>
            </w14:solidFill>
          </w14:textFill>
        </w:rPr>
        <w:t xml:space="preserve">要求提供</w:t>
      </w:r>
      <w:r>
        <w:rPr>
          <w:rFonts w:hint="eastAsia" w:ascii="仿宋" w:hAnsi="仿宋" w:eastAsia="仿宋"/>
          <w:color w:val="000000" w:themeColor="text1"/>
          <w:sz w:val="28"/>
          <w:szCs w:val="28"/>
          <w:highlight w:val="none"/>
          <w14:textFill>
            <w14:solidFill>
              <w14:schemeClr w14:val="tx1"/>
            </w14:solidFill>
          </w14:textFill>
        </w:rPr>
        <w:t xml:space="preserve">证明</w:t>
      </w:r>
      <w:r>
        <w:rPr>
          <w:rFonts w:ascii="仿宋" w:hAnsi="仿宋" w:eastAsia="仿宋"/>
          <w:color w:val="000000" w:themeColor="text1"/>
          <w:sz w:val="28"/>
          <w:szCs w:val="28"/>
          <w:highlight w:val="none"/>
          <w14:textFill>
            <w14:solidFill>
              <w14:schemeClr w14:val="tx1"/>
            </w14:solidFill>
          </w14:textFill>
        </w:rPr>
        <w:t xml:space="preserve">材料</w:t>
      </w:r>
      <w:r>
        <w:rPr>
          <w:rFonts w:hint="eastAsia" w:ascii="仿宋" w:hAnsi="仿宋" w:eastAsia="仿宋"/>
          <w:color w:val="000000" w:themeColor="text1"/>
          <w:sz w:val="28"/>
          <w:szCs w:val="28"/>
          <w:highlight w:val="none"/>
          <w14:textFill>
            <w14:solidFill>
              <w14:schemeClr w14:val="tx1"/>
            </w14:solidFill>
          </w14:textFill>
        </w:rPr>
        <w:t xml:space="preserve">，否则</w:t>
      </w:r>
      <w:r>
        <w:rPr>
          <w:rFonts w:hint="eastAsia" w:ascii="仿宋" w:hAnsi="仿宋" w:eastAsia="仿宋"/>
          <w:color w:val="000000" w:themeColor="text1"/>
          <w:sz w:val="28"/>
          <w:szCs w:val="28"/>
          <w:highlight w:val="none"/>
          <w:lang w:eastAsia="zh-CN"/>
          <w14:textFill>
            <w14:solidFill>
              <w14:schemeClr w14:val="tx1"/>
            </w14:solidFill>
          </w14:textFill>
        </w:rPr>
        <w:t xml:space="preserve">作</w:t>
      </w:r>
      <w:r>
        <w:rPr>
          <w:rFonts w:hint="eastAsia" w:ascii="仿宋" w:hAnsi="仿宋" w:eastAsia="仿宋"/>
          <w:color w:val="000000" w:themeColor="text1"/>
          <w:sz w:val="28"/>
          <w:szCs w:val="28"/>
          <w:highlight w:val="none"/>
          <w14:textFill>
            <w14:solidFill>
              <w14:schemeClr w14:val="tx1"/>
            </w14:solidFill>
          </w14:textFill>
        </w:rPr>
        <w:t xml:space="preserve">无效投标处理。</w:t>
      </w:r>
      <w:r>
        <w:rPr>
          <w:highlight w:val="none"/>
        </w:rP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color w:val="000000" w:themeColor="text1"/>
          <w:sz w:val="28"/>
          <w:szCs w:val="28"/>
          <w:highlight w:val="none"/>
          <w14:textFill>
            <w14:solidFill>
              <w14:schemeClr w14:val="tx1"/>
            </w14:solidFill>
          </w14:textFill>
        </w:rPr>
        <w:t xml:space="preserve">技术要求响应及偏离表（如有，格式见</w:t>
      </w:r>
      <w:r>
        <w:rPr>
          <w:rFonts w:ascii="仿宋" w:hAnsi="仿宋" w:eastAsia="仿宋"/>
          <w:color w:val="000000" w:themeColor="text1"/>
          <w:sz w:val="28"/>
          <w:szCs w:val="28"/>
          <w:highlight w:val="none"/>
          <w14:textFill>
            <w14:solidFill>
              <w14:schemeClr w14:val="tx1"/>
            </w14:solidFill>
          </w14:textFill>
        </w:rPr>
        <w:t xml:space="preserve">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color w:val="000000" w:themeColor="text1"/>
          <w:sz w:val="28"/>
          <w:szCs w:val="28"/>
          <w:highlight w:val="none"/>
          <w14:textFill>
            <w14:solidFill>
              <w14:schemeClr w14:val="tx1"/>
            </w14:solidFill>
          </w14:textFill>
        </w:rPr>
        <w:t xml:space="preserve">商务要求响应及偏离表（如有，格式见</w:t>
      </w:r>
      <w:r>
        <w:rPr>
          <w:rFonts w:ascii="仿宋" w:hAnsi="仿宋" w:eastAsia="仿宋"/>
          <w:color w:val="000000" w:themeColor="text1"/>
          <w:sz w:val="28"/>
          <w:szCs w:val="28"/>
          <w:highlight w:val="none"/>
          <w14:textFill>
            <w14:solidFill>
              <w14:schemeClr w14:val="tx1"/>
            </w14:solidFill>
          </w14:textFill>
        </w:rPr>
        <w:t xml:space="preserve">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olor w:val="000000" w:themeColor="text1"/>
          <w:sz w:val="28"/>
          <w:szCs w:val="28"/>
          <w:highlight w:val="none"/>
          <w14:textFill>
            <w14:solidFill>
              <w14:schemeClr w14:val="tx1"/>
            </w14:solidFill>
          </w14:textFill>
        </w:rPr>
        <w:t xml:space="preserve">）</w:t>
      </w:r>
      <w:r>
        <w:rPr>
          <w:highlight w:val="none"/>
        </w:rPr>
      </w:r>
    </w:p>
    <w:p>
      <w:pPr>
        <w:ind w:firstLine="560"/>
        <w:keepLines w:val="0"/>
        <w:keepNext w:val="0"/>
        <w:pageBreakBefore w:val="0"/>
        <w:spacing w:line="560" w:lineRule="exact"/>
        <w:widowControl w:val="off"/>
        <w:rPr>
          <w:color w:val="000000" w:themeColor="text1"/>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t xml:space="preserve">3.投</w:t>
      </w:r>
      <w:r>
        <w:rPr>
          <w:rFonts w:hint="eastAsia" w:ascii="仿宋" w:hAnsi="仿宋" w:eastAsia="仿宋"/>
          <w:color w:val="000000" w:themeColor="text1"/>
          <w:sz w:val="28"/>
          <w:szCs w:val="28"/>
          <w:highlight w:val="none"/>
          <w14:textFill>
            <w14:solidFill>
              <w14:schemeClr w14:val="tx1"/>
            </w14:solidFill>
          </w14:textFill>
        </w:rPr>
        <w:t xml:space="preserve">标人必须</w:t>
      </w:r>
      <w:r>
        <w:rPr>
          <w:rFonts w:ascii="仿宋" w:hAnsi="仿宋" w:eastAsia="仿宋"/>
          <w:color w:val="000000" w:themeColor="text1"/>
          <w:sz w:val="28"/>
          <w:szCs w:val="28"/>
          <w:highlight w:val="none"/>
          <w14:textFill>
            <w14:solidFill>
              <w14:schemeClr w14:val="tx1"/>
            </w14:solidFill>
          </w14:textFill>
        </w:rPr>
        <w:t xml:space="preserve">对</w:t>
      </w:r>
      <w:r>
        <w:rPr>
          <w:rFonts w:hint="eastAsia" w:ascii="仿宋" w:hAnsi="仿宋" w:eastAsia="仿宋"/>
          <w:color w:val="000000" w:themeColor="text1"/>
          <w:sz w:val="28"/>
          <w:szCs w:val="28"/>
          <w:highlight w:val="none"/>
          <w14:textFill>
            <w14:solidFill>
              <w14:schemeClr w14:val="tx1"/>
            </w14:solidFill>
          </w14:textFill>
        </w:rPr>
        <w:t xml:space="preserve">采购需求中</w:t>
      </w:r>
      <w:r>
        <w:rPr>
          <w:rFonts w:ascii="仿宋" w:hAnsi="仿宋" w:eastAsia="仿宋"/>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color w:val="000000" w:themeColor="text1"/>
          <w:sz w:val="28"/>
          <w:szCs w:val="28"/>
          <w:highlight w:val="none"/>
          <w14:textFill>
            <w14:solidFill>
              <w14:schemeClr w14:val="tx1"/>
            </w14:solidFill>
          </w14:textFill>
        </w:rPr>
        <w:t xml:space="preserve">逐条</w:t>
      </w:r>
      <w:r>
        <w:rPr>
          <w:rFonts w:ascii="仿宋" w:hAnsi="仿宋" w:eastAsia="仿宋"/>
          <w:color w:val="000000" w:themeColor="text1"/>
          <w:sz w:val="28"/>
          <w:szCs w:val="28"/>
          <w:highlight w:val="none"/>
          <w14:textFill>
            <w14:solidFill>
              <w14:schemeClr w14:val="tx1"/>
            </w14:solidFill>
          </w14:textFill>
        </w:rPr>
        <w:t xml:space="preserve">做出响</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    </w:t>
      </w:r>
      <w:r>
        <w:rPr>
          <w:rFonts w:ascii="仿宋" w:hAnsi="仿宋" w:eastAsia="仿宋"/>
          <w:color w:val="000000" w:themeColor="text1"/>
          <w:sz w:val="28"/>
          <w:szCs w:val="28"/>
          <w:highlight w:val="none"/>
          <w14:textFill>
            <w14:solidFill>
              <w14:schemeClr w14:val="tx1"/>
            </w14:solidFill>
          </w14:textFill>
        </w:rPr>
        <w:t xml:space="preserve">应，并按照招标</w:t>
      </w:r>
      <w:r>
        <w:rPr>
          <w:rFonts w:hint="eastAsia" w:ascii="仿宋" w:hAnsi="仿宋" w:eastAsia="仿宋"/>
          <w:color w:val="000000" w:themeColor="text1"/>
          <w:sz w:val="28"/>
          <w:szCs w:val="28"/>
          <w:highlight w:val="none"/>
          <w14:textFill>
            <w14:solidFill>
              <w14:schemeClr w14:val="tx1"/>
            </w14:solidFill>
          </w14:textFill>
        </w:rPr>
        <w:t xml:space="preserve">文件</w:t>
      </w:r>
      <w:r>
        <w:rPr>
          <w:rFonts w:ascii="仿宋" w:hAnsi="仿宋" w:eastAsia="仿宋"/>
          <w:color w:val="000000" w:themeColor="text1"/>
          <w:sz w:val="28"/>
          <w:szCs w:val="28"/>
          <w:highlight w:val="none"/>
          <w14:textFill>
            <w14:solidFill>
              <w14:schemeClr w14:val="tx1"/>
            </w14:solidFill>
          </w14:textFill>
        </w:rPr>
        <w:t xml:space="preserve">要求提供</w:t>
      </w:r>
      <w:r>
        <w:rPr>
          <w:rFonts w:hint="eastAsia" w:ascii="仿宋" w:hAnsi="仿宋" w:eastAsia="仿宋"/>
          <w:color w:val="000000" w:themeColor="text1"/>
          <w:sz w:val="28"/>
          <w:szCs w:val="28"/>
          <w:highlight w:val="none"/>
          <w14:textFill>
            <w14:solidFill>
              <w14:schemeClr w14:val="tx1"/>
            </w14:solidFill>
          </w14:textFill>
        </w:rPr>
        <w:t xml:space="preserve">证明</w:t>
      </w:r>
      <w:r>
        <w:rPr>
          <w:rFonts w:ascii="仿宋" w:hAnsi="仿宋" w:eastAsia="仿宋"/>
          <w:color w:val="000000" w:themeColor="text1"/>
          <w:sz w:val="28"/>
          <w:szCs w:val="28"/>
          <w:highlight w:val="none"/>
          <w14:textFill>
            <w14:solidFill>
              <w14:schemeClr w14:val="tx1"/>
            </w14:solidFill>
          </w14:textFill>
        </w:rPr>
        <w:t xml:space="preserve">材料</w:t>
      </w:r>
      <w:r>
        <w:rPr>
          <w:rFonts w:hint="eastAsia" w:ascii="仿宋" w:hAnsi="仿宋" w:eastAsia="仿宋"/>
          <w:color w:val="000000" w:themeColor="text1"/>
          <w:sz w:val="28"/>
          <w:szCs w:val="28"/>
          <w:highlight w:val="none"/>
          <w14:textFill>
            <w14:solidFill>
              <w14:schemeClr w14:val="tx1"/>
            </w14:solidFill>
          </w14:textFill>
        </w:rPr>
        <w:t xml:space="preserve">，否则</w:t>
      </w:r>
      <w:r>
        <w:rPr>
          <w:rFonts w:hint="eastAsia" w:ascii="仿宋" w:hAnsi="仿宋" w:eastAsia="仿宋"/>
          <w:color w:val="000000" w:themeColor="text1"/>
          <w:sz w:val="28"/>
          <w:szCs w:val="28"/>
          <w:highlight w:val="none"/>
          <w:lang w:eastAsia="zh-CN"/>
          <w14:textFill>
            <w14:solidFill>
              <w14:schemeClr w14:val="tx1"/>
            </w14:solidFill>
          </w14:textFill>
        </w:rPr>
        <w:t xml:space="preserve">作</w:t>
      </w:r>
      <w:r>
        <w:rPr>
          <w:rFonts w:hint="eastAsia" w:ascii="仿宋" w:hAnsi="仿宋" w:eastAsia="仿宋"/>
          <w:color w:val="000000" w:themeColor="text1"/>
          <w:sz w:val="28"/>
          <w:szCs w:val="28"/>
          <w:highlight w:val="none"/>
          <w14:textFill>
            <w14:solidFill>
              <w14:schemeClr w14:val="tx1"/>
            </w14:solidFill>
          </w14:textFill>
        </w:rPr>
        <w:t xml:space="preserve">无效投标处理。（格式见</w:t>
      </w:r>
      <w:r>
        <w:rPr>
          <w:rFonts w:ascii="仿宋" w:hAnsi="仿宋" w:eastAsia="仿宋"/>
          <w:color w:val="000000" w:themeColor="text1"/>
          <w:sz w:val="28"/>
          <w:szCs w:val="28"/>
          <w:highlight w:val="none"/>
          <w14:textFill>
            <w14:solidFill>
              <w14:schemeClr w14:val="tx1"/>
            </w14:solidFill>
          </w14:textFill>
        </w:rPr>
        <w:t xml:space="preserve">附件</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9</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highlight w:val="none"/>
        </w:rPr>
      </w:r>
    </w:p>
    <w:p>
      <w:pPr>
        <w:ind w:left="0" w:right="0" w:firstLine="480"/>
        <w:jc w:val="both"/>
        <w:keepLines w:val="0"/>
        <w:keepNext w:val="0"/>
        <w:pageBreakBefore w:val="0"/>
        <w:spacing w:before="0" w:after="0" w:line="56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14:textFill>
            <w14:solidFill>
              <w14:schemeClr w14:val="tx1"/>
            </w14:solidFill>
          </w14:textFill>
        </w:rPr>
        <w:t xml:space="preserve">四、价格扣除证明文件</w:t>
      </w:r>
      <w:r>
        <w:rPr>
          <w:highlight w:val="none"/>
        </w:rPr>
      </w:r>
    </w:p>
    <w:p>
      <w:pPr>
        <w:ind w:left="0" w:right="0" w:firstLine="560"/>
        <w:jc w:val="both"/>
        <w:keepLines w:val="0"/>
        <w:keepNext w:val="0"/>
        <w:pageBreakBefore w:val="0"/>
        <w:spacing w:before="0" w:after="0" w:line="560" w:lineRule="exact"/>
        <w:widowControl w:val="off"/>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1.中小微企业声明函（格式见附件10）</w:t>
      </w:r>
      <w:r>
        <w:rPr>
          <w:highlight w:val="none"/>
        </w:rPr>
      </w:r>
    </w:p>
    <w:p>
      <w:pPr>
        <w:ind w:left="0" w:right="0" w:firstLine="560"/>
        <w:jc w:val="both"/>
        <w:keepLines w:val="0"/>
        <w:keepNext w:val="0"/>
        <w:pageBreakBefore w:val="0"/>
        <w:spacing w:before="0" w:after="0" w:line="560" w:lineRule="exact"/>
        <w:widowControl w:val="off"/>
        <w:rPr>
          <w:rFonts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8"/>
          <w:highlight w:val="none"/>
          <w14:textFill>
            <w14:solidFill>
              <w14:schemeClr w14:val="tx1"/>
            </w14:solidFill>
          </w14:textFill>
        </w:rPr>
        <w:t xml:space="preserve">2.残疾人福利性单位声明函（格式见附件11）</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或</w:t>
      </w:r>
      <w:r>
        <w:rPr>
          <w:rFonts w:hint="eastAsia" w:ascii="仿宋" w:hAnsi="仿宋" w:eastAsia="仿宋"/>
          <w:b w:val="0"/>
          <w:bCs w:val="0"/>
          <w:color w:val="000000" w:themeColor="text1"/>
          <w:sz w:val="28"/>
          <w:szCs w:val="28"/>
          <w:highlight w:val="none"/>
          <w:lang w:val="en-US" w:eastAsia="zh-CN"/>
          <w14:textFill>
            <w14:solidFill>
              <w14:schemeClr w14:val="tx1"/>
            </w14:solidFill>
          </w14:textFill>
        </w:rPr>
        <w:t xml:space="preserve">属于监狱企业的证明文件</w:t>
      </w:r>
      <w:r>
        <w:rPr>
          <w:highlight w:val="none"/>
        </w:rPr>
      </w:r>
    </w:p>
    <w:p>
      <w:pPr>
        <w:ind w:left="0" w:right="0" w:firstLine="560"/>
        <w:jc w:val="both"/>
        <w:keepLines w:val="0"/>
        <w:keepNext w:val="0"/>
        <w:pageBreakBefore w:val="0"/>
        <w:spacing w:before="0" w:after="0" w:line="560" w:lineRule="exact"/>
        <w:widowControl w:val="off"/>
        <w:rPr>
          <w:rFonts w:hint="eastAsia"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val="en-US" w:eastAsia="zh-CN"/>
          <w14:textFill>
            <w14:solidFill>
              <w14:schemeClr w14:val="tx1"/>
            </w14:solidFill>
          </w14:textFill>
        </w:rPr>
        <w:t xml:space="preserve">3.</w:t>
      </w:r>
      <w:r>
        <w:rPr>
          <w:rFonts w:hint="eastAsia" w:ascii="仿宋" w:hAnsi="仿宋" w:eastAsia="仿宋" w:cs="仿宋"/>
          <w:color w:val="000000" w:themeColor="text1"/>
          <w:sz w:val="28"/>
          <w:highlight w:val="none"/>
          <w14:textFill>
            <w14:solidFill>
              <w14:schemeClr w14:val="tx1"/>
            </w14:solidFill>
          </w14:textFill>
        </w:rPr>
        <w:t xml:space="preserve">关于符合本国产品标准的声明函</w:t>
      </w:r>
      <w:r>
        <w:rPr>
          <w:rFonts w:hint="eastAsia" w:ascii="仿宋" w:hAnsi="仿宋" w:eastAsia="仿宋" w:cs="仿宋"/>
          <w:color w:val="000000" w:themeColor="text1"/>
          <w:sz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格式见</w:t>
      </w:r>
      <w:r>
        <w:rPr>
          <w:rFonts w:hint="eastAsia" w:ascii="仿宋" w:hAnsi="仿宋" w:eastAsia="仿宋" w:cs="仿宋"/>
          <w:color w:val="000000" w:themeColor="text1"/>
          <w:sz w:val="28"/>
          <w:highlight w:val="none"/>
          <w14:textFill>
            <w14:solidFill>
              <w14:schemeClr w14:val="tx1"/>
            </w14:solidFill>
          </w14:textFill>
        </w:rPr>
        <w:t xml:space="preserve">附件</w:t>
      </w:r>
      <w:r>
        <w:rPr>
          <w:rFonts w:ascii="仿宋" w:hAnsi="仿宋" w:eastAsia="仿宋" w:cs="仿宋"/>
          <w:color w:val="000000" w:themeColor="text1"/>
          <w:sz w:val="28"/>
          <w:highlight w:val="none"/>
          <w14:textFill>
            <w14:solidFill>
              <w14:schemeClr w14:val="tx1"/>
            </w14:solidFill>
          </w14:textFill>
        </w:rPr>
        <w:t xml:space="preserve">1</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8"/>
          <w:highlight w:val="none"/>
          <w:lang w:eastAsia="zh-CN"/>
          <w14:textFill>
            <w14:solidFill>
              <w14:schemeClr w14:val="tx1"/>
            </w14:solidFill>
          </w14:textFill>
        </w:rPr>
        <w:t xml:space="preserve">）</w:t>
      </w:r>
      <w:r>
        <w:rPr>
          <w:highlight w:val="none"/>
        </w:rPr>
      </w:r>
    </w:p>
    <w:p>
      <w:pPr>
        <w:ind w:left="0" w:right="0" w:firstLine="560"/>
        <w:jc w:val="both"/>
        <w:keepLines w:val="0"/>
        <w:keepNext w:val="0"/>
        <w:pageBreakBefore w:val="0"/>
        <w:spacing w:before="0" w:after="0" w:line="560" w:lineRule="exact"/>
        <w:widowControl w:val="off"/>
        <w:rPr>
          <w:rFonts w:hint="eastAsia" w:ascii="仿宋" w:hAnsi="仿宋" w:eastAsia="仿宋" w:cs="仿宋"/>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14:textFill>
            <w14:solidFill>
              <w14:schemeClr w14:val="tx1"/>
            </w14:solidFill>
          </w14:textFill>
        </w:rPr>
      </w:r>
      <w:r>
        <w:rPr>
          <w:highlight w:val="none"/>
        </w:rP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b/>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 </w:t>
      </w:r>
      <w:r>
        <w:rPr>
          <w:highlight w:val="none"/>
        </w:rPr>
      </w:r>
    </w:p>
    <w:p>
      <w:pPr>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开标一览表</w:t>
      </w:r>
      <w:r>
        <w:rPr>
          <w:highlight w:val="none"/>
        </w:rPr>
      </w:r>
    </w:p>
    <w:p>
      <w:pPr>
        <w:ind w:firstLine="482"/>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投标人全称（加盖CA电子签章）：</w:t>
      </w:r>
      <w:r>
        <w:rPr>
          <w:highlight w:val="none"/>
        </w:rPr>
      </w:r>
    </w:p>
    <w:p>
      <w:pPr>
        <w:ind w:firstLine="482"/>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项目名称：</w:t>
      </w:r>
      <w:r>
        <w:rPr>
          <w:highlight w:val="none"/>
        </w:rPr>
      </w:r>
    </w:p>
    <w:p>
      <w:pPr>
        <w:ind w:firstLine="482"/>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项目编号：</w:t>
      </w:r>
      <w:r>
        <w:rPr>
          <w:highlight w:val="none"/>
        </w:rPr>
      </w:r>
    </w:p>
    <w:p>
      <w:pPr>
        <w:ind w:firstLine="482"/>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分包号：</w:t>
      </w:r>
      <w:r>
        <w:rPr>
          <w:highlight w:val="none"/>
        </w:rPr>
      </w:r>
    </w:p>
    <w:tbl>
      <w:tblPr>
        <w:tblStyle w:val="99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投标总报价</w:t>
            </w:r>
            <w:r>
              <w:rPr>
                <w:highlight w:val="none"/>
              </w:rPr>
            </w:r>
          </w:p>
        </w:tc>
      </w:tr>
      <w:tr>
        <w:trPr>
          <w:cantSplit/>
          <w:trHeight w:val="612"/>
        </w:trPr>
        <w:tc>
          <w:tcPr>
            <w:gridSpan w:val="2"/>
            <w:tcW w:w="8886" w:type="dxa"/>
            <w:vAlign w:val="center"/>
            <w:textDirection w:val="lrTb"/>
            <w:noWrap w:val="false"/>
          </w:tcPr>
          <w:p>
            <w:pPr>
              <w:jc w:val="left"/>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bidi="ar-SA"/>
                <w14:textFill>
                  <w14:solidFill>
                    <w14:schemeClr w14:val="tx1"/>
                  </w14:solidFill>
                </w14:textFill>
              </w:rPr>
              <w:t xml:space="preserve">小写：                             （人民币：元）</w:t>
            </w:r>
            <w:r>
              <w:rPr>
                <w:highlight w:val="none"/>
              </w:rPr>
            </w:r>
          </w:p>
        </w:tc>
      </w:tr>
      <w:tr>
        <w:trPr>
          <w:cantSplit/>
          <w:trHeight w:val="612"/>
        </w:trPr>
        <w:tc>
          <w:tcPr>
            <w:tcW w:w="2481" w:type="dxa"/>
            <w:vAlign w:val="center"/>
            <w:textDirection w:val="lrTb"/>
            <w:noWrap w:val="false"/>
          </w:tcPr>
          <w:p>
            <w:pPr>
              <w:jc w:val="center"/>
              <w:spacing w:line="480" w:lineRule="exact"/>
              <w:widowControl w:val="off"/>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lang w:val="en-US" w:eastAsia="zh-CN" w:bidi="ar-SA"/>
                <w14:textFill>
                  <w14:solidFill>
                    <w14:schemeClr w14:val="tx1"/>
                  </w14:solidFill>
                </w14:textFill>
              </w:rPr>
              <w:t xml:space="preserve">核心产品品牌</w:t>
            </w:r>
            <w:r>
              <w:rPr>
                <w:highlight w:val="none"/>
              </w:rPr>
            </w:r>
          </w:p>
        </w:tc>
        <w:tc>
          <w:tcPr>
            <w:tcW w:w="6405" w:type="dxa"/>
            <w:vAlign w:val="center"/>
            <w:textDirection w:val="lrTb"/>
            <w:noWrap w:val="false"/>
          </w:tcPr>
          <w:p>
            <w:pPr>
              <w:jc w:val="left"/>
              <w:spacing w:line="480" w:lineRule="exact"/>
              <w:widowControl w:val="off"/>
              <w:rPr>
                <w:rFonts w:ascii="仿宋" w:hAnsi="仿宋" w:eastAsia="仿宋" w:cs="宋体"/>
                <w:color w:val="000000" w:themeColor="text1"/>
                <w:sz w:val="28"/>
                <w:szCs w:val="28"/>
                <w:highlight w:val="none"/>
                <w14:textFill>
                  <w14:solidFill>
                    <w14:schemeClr w14:val="tx1"/>
                  </w14:solidFill>
                </w14:textFill>
              </w:rPr>
            </w:pPr>
            <w:r>
              <w:rPr>
                <w:rFonts w:ascii="仿宋" w:hAnsi="仿宋" w:eastAsia="仿宋" w:cs="宋体"/>
                <w:color w:val="000000" w:themeColor="text1"/>
                <w:sz w:val="28"/>
                <w:szCs w:val="28"/>
                <w:highlight w:val="none"/>
                <w14:textFill>
                  <w14:solidFill>
                    <w14:schemeClr w14:val="tx1"/>
                  </w14:solidFill>
                </w14:textFill>
              </w:rPr>
            </w:r>
            <w:r>
              <w:rPr>
                <w:highlight w:val="none"/>
              </w:rPr>
            </w:r>
          </w:p>
        </w:tc>
      </w:tr>
    </w:tbl>
    <w:p>
      <w:pPr>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rPr>
          <w:highlight w:val="none"/>
        </w:rP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rPr>
          <w:highlight w:val="none"/>
        </w:rPr>
      </w:r>
    </w:p>
    <w:p>
      <w:pPr>
        <w:pStyle w:val="1050"/>
        <w:ind w:firstLine="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本附件格式仅作参考，投标人以苏采云平台实际情况进行填报。</w:t>
      </w:r>
      <w:r>
        <w:rPr>
          <w:highlight w:val="none"/>
        </w:rPr>
      </w:r>
    </w:p>
    <w:p>
      <w:pPr>
        <w:spacing w:line="480" w:lineRule="exact"/>
        <w:rPr>
          <w:rFonts w:ascii="仿宋" w:hAnsi="仿宋" w:eastAsia="仿宋"/>
          <w:b/>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2</w:t>
      </w:r>
      <w:r>
        <w:rPr>
          <w:rFonts w:hint="eastAsia" w:ascii="仿宋" w:hAnsi="仿宋" w:eastAsia="仿宋"/>
          <w:b/>
          <w:color w:val="000000" w:themeColor="text1"/>
          <w:sz w:val="28"/>
          <w:szCs w:val="28"/>
          <w:highlight w:val="none"/>
          <w14:textFill>
            <w14:solidFill>
              <w14:schemeClr w14:val="tx1"/>
            </w14:solidFill>
          </w14:textFill>
        </w:rPr>
        <w:t xml:space="preserve"> </w:t>
      </w:r>
      <w:r>
        <w:rPr>
          <w:highlight w:val="none"/>
        </w:rP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投标分项报价表</w:t>
      </w:r>
      <w:r>
        <w:rPr>
          <w:highlight w:val="none"/>
        </w:rPr>
      </w:r>
    </w:p>
    <w:tbl>
      <w:tblPr>
        <w:tblStyle w:val="996"/>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rPr>
                <w:highlight w:val="none"/>
              </w:rP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rPr>
                <w:highlight w:val="none"/>
              </w:rP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rPr>
                <w:highlight w:val="none"/>
              </w:rP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5</w:t>
            </w:r>
            <w:r>
              <w:rPr>
                <w:highlight w:val="none"/>
              </w:rP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6</w:t>
            </w:r>
            <w:r>
              <w:rPr>
                <w:highlight w:val="none"/>
              </w:rP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7</w:t>
            </w:r>
            <w:r>
              <w:rPr>
                <w:highlight w:val="none"/>
              </w:rP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8</w:t>
            </w:r>
            <w:r>
              <w:rPr>
                <w:highlight w:val="none"/>
              </w:rP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9</w:t>
            </w:r>
            <w:r>
              <w:rPr>
                <w:highlight w:val="none"/>
              </w:rP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产品</w:t>
            </w:r>
            <w:r>
              <w:rPr>
                <w:highlight w:val="none"/>
              </w:rP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名称</w:t>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品牌</w:t>
            </w:r>
            <w:r>
              <w:rPr>
                <w:highlight w:val="none"/>
              </w:rP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规格</w:t>
            </w:r>
            <w:r>
              <w:rPr>
                <w:highlight w:val="none"/>
              </w:rP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型号</w:t>
            </w:r>
            <w:r>
              <w:rPr>
                <w:highlight w:val="none"/>
              </w:rP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制造商名称</w:t>
            </w:r>
            <w:r>
              <w:rPr>
                <w:highlight w:val="none"/>
              </w:rP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产地</w:t>
            </w:r>
            <w:r>
              <w:rPr>
                <w:highlight w:val="none"/>
              </w:rP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交付期</w:t>
            </w:r>
            <w:r>
              <w:rPr>
                <w:highlight w:val="none"/>
              </w:rP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数量</w:t>
            </w:r>
            <w:r>
              <w:rPr>
                <w:highlight w:val="none"/>
              </w:rP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rPr>
                <w:highlight w:val="none"/>
              </w:rP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单价</w:t>
            </w:r>
            <w:r>
              <w:rPr>
                <w:highlight w:val="none"/>
              </w:rP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rPr>
                <w:highlight w:val="none"/>
              </w:rP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总价</w:t>
            </w:r>
            <w:r>
              <w:rPr>
                <w:highlight w:val="none"/>
              </w:rP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u w:val="singl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8"/>
                <w:szCs w:val="28"/>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日</w:t>
            </w:r>
            <w:r>
              <w:rPr>
                <w:highlight w:val="none"/>
              </w:rP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r>
      <w:tr>
        <w:trPr>
          <w:cantSplit/>
          <w:trHeight w:val="72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r>
      <w:tr>
        <w:trPr>
          <w:cantSplit/>
          <w:trHeight w:val="64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rPr>
                <w:highlight w:val="none"/>
              </w:rP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r>
      <w:tr>
        <w:trPr>
          <w:cantSplit/>
          <w:trHeight w:val="249"/>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gridSpan w:val="8"/>
            <w:tcW w:w="7797"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投标总报价（人民币：元）</w:t>
            </w:r>
            <w:r>
              <w:rPr>
                <w:highlight w:val="none"/>
              </w:rPr>
            </w:r>
          </w:p>
        </w:tc>
        <w:tc>
          <w:tcPr>
            <w:tcW w:w="966" w:type="dxa"/>
            <w:vAlign w:val="top"/>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r>
    </w:tbl>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rPr>
          <w:highlight w:val="none"/>
        </w:rP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1.投标报价采用总承包方式，“投标总报价”应包括所投货物（包含与货物相关的服务）费用、安装调试费、测试验收费、培训费、运行维护费用、税金、国际（如果</w:t>
      </w:r>
      <w:r>
        <w:rPr>
          <w:rFonts w:ascii="仿宋" w:hAnsi="仿宋" w:eastAsia="仿宋"/>
          <w:b/>
          <w:bCs/>
          <w:color w:val="000000" w:themeColor="text1"/>
          <w:sz w:val="28"/>
          <w:szCs w:val="28"/>
          <w:highlight w:val="none"/>
          <w14:textFill>
            <w14:solidFill>
              <w14:schemeClr w14:val="tx1"/>
            </w14:solidFill>
          </w14:textFill>
        </w:rPr>
        <w:t xml:space="preserve">有</w:t>
      </w:r>
      <w:r>
        <w:rPr>
          <w:rFonts w:hint="eastAsia" w:ascii="仿宋" w:hAnsi="仿宋" w:eastAsia="仿宋"/>
          <w:b/>
          <w:bCs/>
          <w:color w:val="000000" w:themeColor="text1"/>
          <w:sz w:val="28"/>
          <w:szCs w:val="28"/>
          <w:highlight w:val="none"/>
          <w14:textFill>
            <w14:solidFill>
              <w14:schemeClr w14:val="tx1"/>
            </w14:solidFill>
          </w14:textFill>
        </w:rPr>
        <w:t xml:space="preserve">）国内运输保险、报关清关（如果</w:t>
      </w:r>
      <w:r>
        <w:rPr>
          <w:rFonts w:ascii="仿宋" w:hAnsi="仿宋" w:eastAsia="仿宋"/>
          <w:b/>
          <w:bCs/>
          <w:color w:val="000000" w:themeColor="text1"/>
          <w:sz w:val="28"/>
          <w:szCs w:val="28"/>
          <w:highlight w:val="none"/>
          <w14:textFill>
            <w14:solidFill>
              <w14:schemeClr w14:val="tx1"/>
            </w14:solidFill>
          </w14:textFill>
        </w:rPr>
        <w:t xml:space="preserve">有</w:t>
      </w:r>
      <w:r>
        <w:rPr>
          <w:rFonts w:hint="eastAsia" w:ascii="仿宋" w:hAnsi="仿宋" w:eastAsia="仿宋"/>
          <w:b/>
          <w:bCs/>
          <w:color w:val="000000" w:themeColor="text1"/>
          <w:sz w:val="28"/>
          <w:szCs w:val="28"/>
          <w:highlight w:val="none"/>
          <w14:textFill>
            <w14:solidFill>
              <w14:schemeClr w14:val="tx1"/>
            </w14:solidFill>
          </w14:textFill>
        </w:rPr>
        <w:t xml:space="preserve">）、开证（如果</w:t>
      </w:r>
      <w:r>
        <w:rPr>
          <w:rFonts w:ascii="仿宋" w:hAnsi="仿宋" w:eastAsia="仿宋"/>
          <w:b/>
          <w:bCs/>
          <w:color w:val="000000" w:themeColor="text1"/>
          <w:sz w:val="28"/>
          <w:szCs w:val="28"/>
          <w:highlight w:val="none"/>
          <w14:textFill>
            <w14:solidFill>
              <w14:schemeClr w14:val="tx1"/>
            </w14:solidFill>
          </w14:textFill>
        </w:rPr>
        <w:t xml:space="preserve">有</w:t>
      </w:r>
      <w:r>
        <w:rPr>
          <w:rFonts w:hint="eastAsia" w:ascii="仿宋" w:hAnsi="仿宋" w:eastAsia="仿宋"/>
          <w:b/>
          <w:bCs/>
          <w:color w:val="000000" w:themeColor="text1"/>
          <w:sz w:val="28"/>
          <w:szCs w:val="28"/>
          <w:highlight w:val="none"/>
          <w14:textFill>
            <w14:solidFill>
              <w14:schemeClr w14:val="tx1"/>
            </w14:solidFill>
          </w14:textFill>
        </w:rPr>
        <w:t xml:space="preserve">）、办理全套免税手续费用（如果</w:t>
      </w:r>
      <w:r>
        <w:rPr>
          <w:rFonts w:ascii="仿宋" w:hAnsi="仿宋" w:eastAsia="仿宋"/>
          <w:b/>
          <w:bCs/>
          <w:color w:val="000000" w:themeColor="text1"/>
          <w:sz w:val="28"/>
          <w:szCs w:val="28"/>
          <w:highlight w:val="none"/>
          <w14:textFill>
            <w14:solidFill>
              <w14:schemeClr w14:val="tx1"/>
            </w14:solidFill>
          </w14:textFill>
        </w:rPr>
        <w:t xml:space="preserve">有</w:t>
      </w:r>
      <w:r>
        <w:rPr>
          <w:rFonts w:hint="eastAsia" w:ascii="仿宋" w:hAnsi="仿宋" w:eastAsia="仿宋"/>
          <w:b/>
          <w:bCs/>
          <w:color w:val="000000" w:themeColor="text1"/>
          <w:sz w:val="28"/>
          <w:szCs w:val="28"/>
          <w:highlight w:val="none"/>
          <w14:textFill>
            <w14:solidFill>
              <w14:schemeClr w14:val="tx1"/>
            </w14:solidFill>
          </w14:textFill>
        </w:rPr>
        <w:t xml:space="preserve">）及其他有关的为完成本项目发生的所有费用，招标文件中另有规定的除外。</w:t>
      </w:r>
      <w:r>
        <w:rPr>
          <w:highlight w:val="none"/>
        </w:rP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2.“投标分项报价表”中“投标总报价”数额应当与“开标一览表”中“投标总报价”数额一致。</w:t>
      </w:r>
      <w:r>
        <w:rPr>
          <w:highlight w:val="none"/>
        </w:rP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3.投标人需认真填写本报价表，尤其注意规格型号的准确填写。</w:t>
      </w:r>
      <w:r>
        <w:rPr>
          <w:highlight w:val="none"/>
        </w:rP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rPr>
          <w:highlight w:val="none"/>
        </w:rPr>
      </w:r>
    </w:p>
    <w:p>
      <w:pPr>
        <w:pStyle w:val="997"/>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p>
    <w:p>
      <w:pPr>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r>
      <w:r>
        <w:rPr>
          <w:highlight w:val="none"/>
        </w:rPr>
      </w:r>
    </w:p>
    <w:p>
      <w:pPr>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3</w:t>
      </w:r>
      <w:r>
        <w:rPr>
          <w:highlight w:val="none"/>
        </w:rPr>
      </w:r>
    </w:p>
    <w:p>
      <w:pPr>
        <w:jc w:val="center"/>
        <w:rPr>
          <w:rFonts w:hint="eastAsia" w:ascii="仿宋" w:hAnsi="仿宋" w:eastAsia="仿宋"/>
          <w:b/>
          <w:color w:val="000000" w:themeColor="text1"/>
          <w:sz w:val="30"/>
          <w:szCs w:val="30"/>
          <w:highlight w:val="none"/>
          <w14:textFill>
            <w14:solidFill>
              <w14:schemeClr w14:val="tx1"/>
            </w14:solidFill>
          </w14:textFill>
        </w:rPr>
      </w:pPr>
      <w:r>
        <w:rPr>
          <w:rFonts w:hint="eastAsia" w:ascii="仿宋" w:hAnsi="仿宋" w:eastAsia="仿宋"/>
          <w:b/>
          <w:color w:val="000000" w:themeColor="text1"/>
          <w:sz w:val="30"/>
          <w:szCs w:val="30"/>
          <w:highlight w:val="none"/>
          <w14:textFill>
            <w14:solidFill>
              <w14:schemeClr w14:val="tx1"/>
            </w14:solidFill>
          </w14:textFill>
        </w:rPr>
        <w:t xml:space="preserve">投标人符合《政府采购法》第二十二条规定条件的声明函</w:t>
      </w:r>
      <w:r>
        <w:rPr>
          <w:highlight w:val="none"/>
        </w:rPr>
      </w:r>
    </w:p>
    <w:p>
      <w:pPr>
        <w:spacing w:line="460" w:lineRule="exact"/>
        <w:rPr>
          <w:rFonts w:hint="eastAsia" w:ascii="仿宋" w:hAnsi="仿宋" w:eastAsia="仿宋"/>
          <w:b/>
          <w:bCs/>
          <w:color w:val="000000" w:themeColor="text1"/>
          <w:sz w:val="44"/>
          <w:szCs w:val="44"/>
          <w:highlight w:val="none"/>
          <w14:textFill>
            <w14:solidFill>
              <w14:schemeClr w14:val="tx1"/>
            </w14:solidFill>
          </w14:textFill>
        </w:rPr>
      </w:pPr>
      <w:r>
        <w:rPr>
          <w:rFonts w:hint="eastAsia" w:ascii="仿宋" w:hAnsi="仿宋" w:eastAsia="仿宋"/>
          <w:b/>
          <w:bCs/>
          <w:color w:val="000000" w:themeColor="text1"/>
          <w:sz w:val="24"/>
          <w:szCs w:val="21"/>
          <w:highlight w:val="none"/>
          <w14:textFill>
            <w14:solidFill>
              <w14:schemeClr w14:val="tx1"/>
            </w14:solidFill>
          </w14:textFill>
        </w:rPr>
        <w:t xml:space="preserve">                       </w:t>
      </w:r>
      <w:r>
        <w:rPr>
          <w:rFonts w:hint="eastAsia" w:ascii="仿宋" w:hAnsi="仿宋" w:eastAsia="仿宋"/>
          <w:b/>
          <w:bCs/>
          <w:color w:val="000000" w:themeColor="text1"/>
          <w:sz w:val="44"/>
          <w:szCs w:val="44"/>
          <w:highlight w:val="none"/>
          <w14:textFill>
            <w14:solidFill>
              <w14:schemeClr w14:val="tx1"/>
            </w14:solidFill>
          </w14:textFill>
        </w:rPr>
        <w:t xml:space="preserve">   </w:t>
      </w:r>
      <w:r>
        <w:rPr>
          <w:highlight w:val="none"/>
        </w:rPr>
      </w:r>
    </w:p>
    <w:p>
      <w:pPr>
        <w:ind w:firstLine="560"/>
        <w:spacing w:line="520" w:lineRule="exact"/>
        <w:rPr>
          <w:rFonts w:hint="eastAsia" w:ascii="仿宋" w:hAnsi="仿宋" w:eastAsia="仿宋"/>
          <w:b/>
          <w:bCs/>
          <w:color w:val="000000" w:themeColor="text1"/>
          <w:sz w:val="28"/>
          <w:highlight w:val="none"/>
          <w14:textFill>
            <w14:solidFill>
              <w14:schemeClr w14:val="tx1"/>
            </w14:solidFill>
          </w14:textFill>
        </w:rPr>
      </w:pPr>
      <w:r>
        <w:rPr>
          <w:rFonts w:hint="eastAsia" w:ascii="仿宋" w:hAnsi="仿宋" w:eastAsia="仿宋"/>
          <w:bCs/>
          <w:color w:val="000000" w:themeColor="text1"/>
          <w:sz w:val="28"/>
          <w:highlight w:val="none"/>
          <w14:textFill>
            <w14:solidFill>
              <w14:schemeClr w14:val="tx1"/>
            </w14:solidFill>
          </w14:textFill>
        </w:rPr>
        <w:t xml:space="preserve">我单位参加</w:t>
      </w:r>
      <w:r>
        <w:rPr>
          <w:rFonts w:hint="eastAsia" w:ascii="仿宋" w:hAnsi="仿宋" w:eastAsia="仿宋"/>
          <w:bCs/>
          <w:color w:val="000000" w:themeColor="text1"/>
          <w:sz w:val="28"/>
          <w:szCs w:val="21"/>
          <w:highlight w:val="none"/>
          <w:u w:val="single"/>
          <w14:textFill>
            <w14:solidFill>
              <w14:schemeClr w14:val="tx1"/>
            </w14:solidFill>
          </w14:textFill>
        </w:rPr>
        <w:t xml:space="preserve">________________ _</w:t>
      </w:r>
      <w:r>
        <w:rPr>
          <w:rFonts w:hint="eastAsia" w:ascii="仿宋" w:hAnsi="仿宋" w:eastAsia="仿宋"/>
          <w:bCs/>
          <w:color w:val="000000" w:themeColor="text1"/>
          <w:sz w:val="28"/>
          <w:szCs w:val="21"/>
          <w:highlight w:val="none"/>
          <w14:textFill>
            <w14:solidFill>
              <w14:schemeClr w14:val="tx1"/>
            </w14:solidFill>
          </w14:textFill>
        </w:rPr>
        <w:t xml:space="preserve">（项目名称），</w:t>
      </w:r>
      <w:r>
        <w:rPr>
          <w:rFonts w:hint="eastAsia" w:ascii="仿宋" w:hAnsi="仿宋" w:eastAsia="仿宋"/>
          <w:bCs/>
          <w:color w:val="000000" w:themeColor="text1"/>
          <w:sz w:val="28"/>
          <w:szCs w:val="21"/>
          <w:highlight w:val="none"/>
          <w:u w:val="single"/>
          <w14:textFill>
            <w14:solidFill>
              <w14:schemeClr w14:val="tx1"/>
            </w14:solidFill>
          </w14:textFill>
        </w:rPr>
        <w:t xml:space="preserve">_______ __________</w:t>
      </w:r>
      <w:r>
        <w:rPr>
          <w:rFonts w:hint="eastAsia" w:ascii="仿宋" w:hAnsi="仿宋" w:eastAsia="仿宋"/>
          <w:bCs/>
          <w:color w:val="000000" w:themeColor="text1"/>
          <w:sz w:val="28"/>
          <w:szCs w:val="21"/>
          <w:highlight w:val="none"/>
          <w14:textFill>
            <w14:solidFill>
              <w14:schemeClr w14:val="tx1"/>
            </w14:solidFill>
          </w14:textFill>
        </w:rPr>
        <w:t xml:space="preserve">（项目编号）投标活动。针对《中华人民共和国政府采购法》第二十二条规定做出如下声明：</w:t>
      </w:r>
      <w:r>
        <w:rPr>
          <w:highlight w:val="none"/>
        </w:rPr>
      </w:r>
    </w:p>
    <w:p>
      <w:pPr>
        <w:ind w:firstLine="482"/>
        <w:spacing w:line="520" w:lineRule="exact"/>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bCs/>
          <w:color w:val="000000" w:themeColor="text1"/>
          <w:sz w:val="28"/>
          <w:szCs w:val="21"/>
          <w:highlight w:val="none"/>
          <w14:textFill>
            <w14:solidFill>
              <w14:schemeClr w14:val="tx1"/>
            </w14:solidFill>
          </w14:textFill>
        </w:rPr>
        <w:t xml:space="preserve">1.我单位具有独立承担民事责任的能力；</w:t>
      </w:r>
      <w:r>
        <w:rPr>
          <w:highlight w:val="none"/>
        </w:rPr>
      </w:r>
    </w:p>
    <w:p>
      <w:pPr>
        <w:ind w:firstLine="482"/>
        <w:spacing w:line="520" w:lineRule="exact"/>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2.我单位具有良好的商业信誉和健全的财务会计制度；</w:t>
      </w:r>
      <w:r>
        <w:rPr>
          <w:highlight w:val="none"/>
        </w:rPr>
      </w:r>
    </w:p>
    <w:p>
      <w:pPr>
        <w:ind w:firstLine="482"/>
        <w:spacing w:line="520" w:lineRule="exact"/>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3.我单位具有履行合同所必需的设备和专业技术能力；</w:t>
      </w:r>
      <w:r>
        <w:rPr>
          <w:highlight w:val="none"/>
        </w:rPr>
      </w:r>
    </w:p>
    <w:p>
      <w:pPr>
        <w:ind w:firstLine="482"/>
        <w:spacing w:line="520" w:lineRule="exact"/>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4.我单位有依法缴纳税收和社会保障资金的良好记录；</w:t>
      </w:r>
      <w:r>
        <w:rPr>
          <w:highlight w:val="none"/>
        </w:rPr>
      </w:r>
    </w:p>
    <w:p>
      <w:pPr>
        <w:ind w:firstLine="482"/>
        <w:spacing w:line="520" w:lineRule="exact"/>
        <w:rPr>
          <w:rFonts w:hint="eastAsia"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highlight w:val="none"/>
        </w:rPr>
      </w:r>
    </w:p>
    <w:p>
      <w:pPr>
        <w:ind w:firstLine="482"/>
        <w:spacing w:line="520" w:lineRule="exact"/>
        <w:rPr>
          <w:rFonts w:ascii="仿宋" w:hAnsi="仿宋" w:eastAsia="仿宋"/>
          <w:color w:val="000000" w:themeColor="text1"/>
          <w:sz w:val="28"/>
          <w:highlight w:val="non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6.我单位满足法律、行政法规规定的其他条件。</w:t>
      </w:r>
      <w:r>
        <w:rPr>
          <w:highlight w:val="none"/>
        </w:rPr>
      </w:r>
    </w:p>
    <w:p>
      <w:pPr>
        <w:pStyle w:val="997"/>
        <w:ind w:firstLine="640"/>
        <w:rPr>
          <w:rFonts w:hint="eastAsia" w:ascii="仿宋" w:hAnsi="仿宋" w:eastAsia="仿宋"/>
          <w:color w:val="000000" w:themeColor="text1"/>
          <w:sz w:val="32"/>
          <w:highlight w:val="none"/>
          <w14:textFill>
            <w14:solidFill>
              <w14:schemeClr w14:val="tx1"/>
            </w14:solidFill>
          </w14:textFill>
        </w:rPr>
      </w:pPr>
      <w:r>
        <w:rPr>
          <w:rFonts w:hint="eastAsia" w:ascii="仿宋" w:hAnsi="仿宋" w:eastAsia="仿宋"/>
          <w:color w:val="000000" w:themeColor="text1"/>
          <w:sz w:val="32"/>
          <w:highlight w:val="none"/>
          <w14:textFill>
            <w14:solidFill>
              <w14:schemeClr w14:val="tx1"/>
            </w14:solidFill>
          </w14:textFill>
        </w:rPr>
      </w:r>
      <w:r>
        <w:rPr>
          <w:highlight w:val="none"/>
        </w:rPr>
      </w:r>
    </w:p>
    <w:p>
      <w:pPr>
        <w:jc w:val="center"/>
        <w:spacing w:line="460" w:lineRule="exact"/>
        <w:rPr>
          <w:rFonts w:hint="eastAsia" w:ascii="仿宋" w:hAnsi="仿宋" w:eastAsia="仿宋"/>
          <w:bCs/>
          <w:color w:val="000000" w:themeColor="text1"/>
          <w:sz w:val="28"/>
          <w:szCs w:val="21"/>
          <w:highlight w:val="none"/>
          <w14:textFill>
            <w14:solidFill>
              <w14:schemeClr w14:val="tx1"/>
            </w14:solidFill>
          </w14:textFill>
        </w:rPr>
      </w:pPr>
      <w:r>
        <w:rPr>
          <w:rFonts w:hint="eastAsia" w:ascii="仿宋" w:hAnsi="仿宋" w:eastAsia="仿宋"/>
          <w:bCs/>
          <w:color w:val="000000" w:themeColor="text1"/>
          <w:sz w:val="28"/>
          <w:szCs w:val="21"/>
          <w:highlight w:val="none"/>
          <w14:textFill>
            <w14:solidFill>
              <w14:schemeClr w14:val="tx1"/>
            </w14:solidFill>
          </w14:textFill>
        </w:rPr>
        <w:t xml:space="preserve">              承诺人名称（公章）：</w:t>
      </w:r>
      <w:r>
        <w:rPr>
          <w:highlight w:val="none"/>
        </w:rPr>
      </w:r>
    </w:p>
    <w:p>
      <w:pPr>
        <w:jc w:val="right"/>
        <w:spacing w:line="460" w:lineRule="exact"/>
        <w:rPr>
          <w:rFonts w:hint="eastAsia" w:ascii="仿宋" w:hAnsi="仿宋" w:eastAsia="仿宋"/>
          <w:bCs/>
          <w:color w:val="000000" w:themeColor="text1"/>
          <w:sz w:val="28"/>
          <w:szCs w:val="21"/>
          <w:highlight w:val="none"/>
          <w14:textFill>
            <w14:solidFill>
              <w14:schemeClr w14:val="tx1"/>
            </w14:solidFill>
          </w14:textFill>
        </w:rPr>
      </w:pPr>
      <w:r>
        <w:rPr>
          <w:rFonts w:hint="eastAsia" w:ascii="仿宋" w:hAnsi="仿宋" w:eastAsia="仿宋"/>
          <w:bCs/>
          <w:color w:val="000000" w:themeColor="text1"/>
          <w:sz w:val="28"/>
          <w:szCs w:val="21"/>
          <w:highlight w:val="none"/>
          <w14:textFill>
            <w14:solidFill>
              <w14:schemeClr w14:val="tx1"/>
            </w14:solidFill>
          </w14:textFill>
        </w:rPr>
        <w:t xml:space="preserve">    </w:t>
      </w:r>
      <w:r>
        <w:rPr>
          <w:highlight w:val="none"/>
        </w:rPr>
      </w:r>
    </w:p>
    <w:p>
      <w:pPr>
        <w:jc w:val="right"/>
        <w:spacing w:line="460" w:lineRule="exact"/>
        <w:rPr>
          <w:rFonts w:hint="eastAsia" w:ascii="仿宋" w:hAnsi="仿宋" w:eastAsia="仿宋"/>
          <w:bCs/>
          <w:color w:val="000000" w:themeColor="text1"/>
          <w:sz w:val="28"/>
          <w:szCs w:val="21"/>
          <w:highlight w:val="none"/>
          <w14:textFill>
            <w14:solidFill>
              <w14:schemeClr w14:val="tx1"/>
            </w14:solidFill>
          </w14:textFill>
        </w:rPr>
      </w:pPr>
      <w:r>
        <w:rPr>
          <w:rFonts w:hint="eastAsia" w:ascii="仿宋" w:hAnsi="仿宋" w:eastAsia="仿宋"/>
          <w:bCs/>
          <w:color w:val="000000" w:themeColor="text1"/>
          <w:sz w:val="28"/>
          <w:szCs w:val="21"/>
          <w:highlight w:val="none"/>
          <w14:textFill>
            <w14:solidFill>
              <w14:schemeClr w14:val="tx1"/>
            </w14:solidFill>
          </w14:textFill>
        </w:rPr>
        <w:t xml:space="preserve">                                 日期：</w:t>
      </w:r>
      <w:r>
        <w:rPr>
          <w:rFonts w:hint="eastAsia" w:ascii="仿宋" w:hAnsi="仿宋" w:eastAsia="仿宋"/>
          <w:bCs/>
          <w:color w:val="000000" w:themeColor="text1"/>
          <w:sz w:val="28"/>
          <w:szCs w:val="21"/>
          <w:highlight w:val="none"/>
          <w:u w:val="single"/>
          <w14:textFill>
            <w14:solidFill>
              <w14:schemeClr w14:val="tx1"/>
            </w14:solidFill>
          </w14:textFill>
        </w:rPr>
        <w:t xml:space="preserve">______</w:t>
      </w:r>
      <w:r>
        <w:rPr>
          <w:rFonts w:hint="eastAsia" w:ascii="仿宋" w:hAnsi="仿宋" w:eastAsia="仿宋"/>
          <w:bCs/>
          <w:color w:val="000000" w:themeColor="text1"/>
          <w:sz w:val="28"/>
          <w:szCs w:val="21"/>
          <w:highlight w:val="none"/>
          <w14:textFill>
            <w14:solidFill>
              <w14:schemeClr w14:val="tx1"/>
            </w14:solidFill>
          </w14:textFill>
        </w:rPr>
        <w:t xml:space="preserve">年</w:t>
      </w:r>
      <w:r>
        <w:rPr>
          <w:rFonts w:hint="eastAsia" w:ascii="仿宋" w:hAnsi="仿宋" w:eastAsia="仿宋"/>
          <w:bCs/>
          <w:color w:val="000000" w:themeColor="text1"/>
          <w:sz w:val="28"/>
          <w:szCs w:val="21"/>
          <w:highlight w:val="none"/>
          <w:u w:val="single"/>
          <w14:textFill>
            <w14:solidFill>
              <w14:schemeClr w14:val="tx1"/>
            </w14:solidFill>
          </w14:textFill>
        </w:rPr>
        <w:t xml:space="preserve">    </w:t>
      </w:r>
      <w:r>
        <w:rPr>
          <w:rFonts w:hint="eastAsia" w:ascii="仿宋" w:hAnsi="仿宋" w:eastAsia="仿宋"/>
          <w:bCs/>
          <w:color w:val="000000" w:themeColor="text1"/>
          <w:sz w:val="28"/>
          <w:szCs w:val="21"/>
          <w:highlight w:val="none"/>
          <w14:textFill>
            <w14:solidFill>
              <w14:schemeClr w14:val="tx1"/>
            </w14:solidFill>
          </w14:textFill>
        </w:rPr>
        <w:t xml:space="preserve">月</w:t>
      </w:r>
      <w:r>
        <w:rPr>
          <w:rFonts w:hint="eastAsia" w:ascii="仿宋" w:hAnsi="仿宋" w:eastAsia="仿宋"/>
          <w:bCs/>
          <w:color w:val="000000" w:themeColor="text1"/>
          <w:sz w:val="28"/>
          <w:szCs w:val="21"/>
          <w:highlight w:val="none"/>
          <w:u w:val="single"/>
          <w14:textFill>
            <w14:solidFill>
              <w14:schemeClr w14:val="tx1"/>
            </w14:solidFill>
          </w14:textFill>
        </w:rPr>
        <w:t xml:space="preserve">    </w:t>
      </w:r>
      <w:r>
        <w:rPr>
          <w:rFonts w:hint="eastAsia" w:ascii="仿宋" w:hAnsi="仿宋" w:eastAsia="仿宋"/>
          <w:bCs/>
          <w:color w:val="000000" w:themeColor="text1"/>
          <w:sz w:val="28"/>
          <w:szCs w:val="21"/>
          <w:highlight w:val="none"/>
          <w14:textFill>
            <w14:solidFill>
              <w14:schemeClr w14:val="tx1"/>
            </w14:solidFill>
          </w14:textFill>
        </w:rPr>
        <w:t xml:space="preserve">日</w:t>
      </w:r>
      <w:r>
        <w:rPr>
          <w:highlight w:val="none"/>
        </w:rP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rPr>
          <w:highlight w:val="none"/>
        </w:rP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rPr>
          <w:highlight w:val="none"/>
        </w:rP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b/>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4</w:t>
      </w:r>
      <w:r>
        <w:rPr>
          <w:highlight w:val="none"/>
        </w:rPr>
      </w:r>
    </w:p>
    <w:p>
      <w:pPr>
        <w:pStyle w:val="997"/>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rPr>
          <w:highlight w:val="none"/>
        </w:rP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rPr>
          <w:highlight w:val="none"/>
        </w:rP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rPr>
          <w:highlight w:val="none"/>
        </w:rP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rPr>
          <w:highlight w:val="none"/>
        </w:rP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rPr>
          <w:highlight w:val="none"/>
        </w:rPr>
      </w:r>
    </w:p>
    <w:p>
      <w:pPr>
        <w:pStyle w:val="997"/>
        <w:ind w:firstLine="602"/>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注：提供法定代表人有效期内的身份证复印件</w:t>
      </w:r>
      <w:r>
        <w:rPr>
          <w:highlight w:val="none"/>
        </w:rPr>
      </w:r>
    </w:p>
    <w:p>
      <w:pPr>
        <w:pStyle w:val="997"/>
        <w:ind w:firstLine="6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rPr>
          <w:highlight w:val="none"/>
        </w:rP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rPr>
          <w:highlight w:val="none"/>
        </w:rP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rPr>
          <w:highlight w:val="none"/>
        </w:rP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本授权书声明：____________（投标人名称）授权________________（被授权人的姓名）为我方就JSZC-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rPr>
          <w:highlight w:val="none"/>
        </w:rP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rPr>
          <w:highlight w:val="none"/>
        </w:rP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highlight w:val="none"/>
        </w:rP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color w:val="000000" w:themeColor="text1"/>
          <w:sz w:val="28"/>
          <w:szCs w:val="28"/>
          <w:highlight w:val="none"/>
          <w:u w:val="single"/>
          <w14:textFill>
            <w14:solidFill>
              <w14:schemeClr w14:val="tx1"/>
            </w14:solidFill>
          </w14:textFill>
        </w:rPr>
        <w:t xml:space="preserve">（加盖CA电子公章）</w:t>
      </w:r>
      <w:r>
        <w:rPr>
          <w:highlight w:val="none"/>
        </w:rP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highlight w:val="none"/>
        </w:rP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rPr>
          <w:highlight w:val="none"/>
        </w:rPr>
      </w:r>
    </w:p>
    <w:p>
      <w:pPr>
        <w:pStyle w:val="997"/>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p>
      <w:pPr>
        <w:pStyle w:val="997"/>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注：提供代理人有效期内的身份证复印件</w:t>
      </w:r>
      <w:r>
        <w:rPr>
          <w:highlight w:val="none"/>
        </w:rPr>
      </w:r>
    </w:p>
    <w:p>
      <w:pPr>
        <w:spacing w:line="480" w:lineRule="exact"/>
        <w:tabs>
          <w:tab w:val="left" w:pos="360" w:leader="none"/>
        </w:tabs>
        <w:rPr>
          <w:rFonts w:ascii="仿宋" w:hAnsi="仿宋" w:eastAsia="仿宋"/>
          <w:b/>
          <w:color w:val="000000" w:themeColor="text1"/>
          <w:sz w:val="28"/>
          <w:szCs w:val="28"/>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rPr>
          <w:rFonts w:ascii="仿宋" w:hAnsi="仿宋" w:eastAsia="仿宋"/>
          <w:b/>
          <w:color w:val="000000" w:themeColor="text1"/>
          <w:sz w:val="28"/>
          <w:szCs w:val="28"/>
          <w:highlight w:val="none"/>
          <w14:textFill>
            <w14:solidFill>
              <w14:schemeClr w14:val="tx1"/>
            </w14:solidFill>
          </w14:textFill>
        </w:rPr>
        <w:t xml:space="preserve">                      </w:t>
      </w:r>
      <w:r>
        <w:rPr>
          <w:highlight w:val="none"/>
        </w:rPr>
      </w:r>
    </w:p>
    <w:p>
      <w:pPr>
        <w:jc w:val="center"/>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投标函</w:t>
      </w:r>
      <w:r>
        <w:rPr>
          <w:highlight w:val="none"/>
        </w:rPr>
      </w:r>
    </w:p>
    <w:p>
      <w:pPr>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致：南通市教育技术中心</w:t>
      </w:r>
      <w:r>
        <w:rPr>
          <w:highlight w:val="none"/>
        </w:rPr>
      </w:r>
    </w:p>
    <w:p>
      <w:pPr>
        <w:ind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根据贵方的JSZC-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号招标文件，正式授权下述签字人_____</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姓名</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代表我方_______（投标人的名称），全权处理本次项目投标的有关事宜。</w:t>
      </w:r>
      <w:r>
        <w:rPr>
          <w:highlight w:val="none"/>
        </w:rPr>
      </w:r>
    </w:p>
    <w:p>
      <w:pPr>
        <w:ind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据此函，__________签字人兹宣布同意如下：</w:t>
      </w:r>
      <w:r>
        <w:rPr>
          <w:highlight w:val="none"/>
        </w:rPr>
      </w:r>
    </w:p>
    <w:p>
      <w:pPr>
        <w:ind w:firstLine="48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1.按招标文件规定的各项要求，向买方提供所需货物（包含与货物相关的服务）。</w:t>
      </w:r>
      <w:r>
        <w:rPr>
          <w:highlight w:val="none"/>
        </w:rPr>
      </w:r>
    </w:p>
    <w:p>
      <w:pPr>
        <w:ind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2.我们完全理解贵方不一定将合同授予最低报价的投标人。</w:t>
      </w:r>
      <w:r>
        <w:rPr>
          <w:highlight w:val="none"/>
        </w:rPr>
      </w:r>
    </w:p>
    <w:p>
      <w:pPr>
        <w:ind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3.我们已详细审核全部招标文件及其有效补充文件，我们知道必须放弃提出含糊不清或误解问题的权利。</w:t>
      </w:r>
      <w:r>
        <w:rPr>
          <w:highlight w:val="none"/>
        </w:rPr>
      </w:r>
    </w:p>
    <w:p>
      <w:pPr>
        <w:ind w:firstLine="48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4.我们同意从规定的开标日期起遵循本投标文件，并在规定的投标有效期期满之前均具有约束力。</w:t>
      </w:r>
      <w:r>
        <w:rPr>
          <w:highlight w:val="none"/>
        </w:rPr>
      </w:r>
    </w:p>
    <w:p>
      <w:pPr>
        <w:ind w:firstLine="48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5</w:t>
      </w:r>
      <w:r>
        <w:rPr>
          <w:rFonts w:hint="eastAsia" w:ascii="仿宋" w:hAnsi="仿宋" w:eastAsia="仿宋"/>
          <w:color w:val="000000" w:themeColor="text1"/>
          <w:sz w:val="28"/>
          <w:szCs w:val="28"/>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rPr>
          <w:highlight w:val="none"/>
        </w:rPr>
      </w:r>
    </w:p>
    <w:p>
      <w:pPr>
        <w:ind w:firstLine="48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6</w:t>
      </w:r>
      <w:r>
        <w:rPr>
          <w:rFonts w:hint="eastAsia" w:ascii="仿宋" w:hAnsi="仿宋" w:eastAsia="仿宋"/>
          <w:color w:val="000000" w:themeColor="text1"/>
          <w:sz w:val="28"/>
          <w:szCs w:val="28"/>
          <w:highlight w:val="none"/>
          <w14:textFill>
            <w14:solidFill>
              <w14:schemeClr w14:val="tx1"/>
            </w14:solidFill>
          </w14:textFill>
        </w:rPr>
        <w:t xml:space="preserve">.一旦我方中标</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我方将根据招标文件的规定，严格履行合同的责任和义务</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并保证在招标文件规定的时</w:t>
      </w:r>
      <w:r>
        <w:rPr>
          <w:rFonts w:hint="eastAsia" w:ascii="仿宋" w:hAnsi="仿宋" w:eastAsia="仿宋"/>
          <w:color w:val="000000" w:themeColor="text1"/>
          <w:sz w:val="28"/>
          <w:szCs w:val="28"/>
          <w:highlight w:val="none"/>
          <w:lang w:eastAsia="zh-CN"/>
          <w14:textFill>
            <w14:solidFill>
              <w14:schemeClr w14:val="tx1"/>
            </w14:solidFill>
          </w14:textFill>
        </w:rPr>
        <w:t xml:space="preserve">间内</w:t>
      </w:r>
      <w:r>
        <w:rPr>
          <w:rFonts w:hint="eastAsia" w:ascii="仿宋" w:hAnsi="仿宋" w:eastAsia="仿宋"/>
          <w:color w:val="000000" w:themeColor="text1"/>
          <w:sz w:val="28"/>
          <w:szCs w:val="28"/>
          <w:highlight w:val="none"/>
          <w14:textFill>
            <w14:solidFill>
              <w14:schemeClr w14:val="tx1"/>
            </w14:solidFill>
          </w14:textFill>
        </w:rPr>
        <w:t xml:space="preserve">完成项目，交付买方验收、使用。</w:t>
      </w:r>
      <w:r>
        <w:rPr>
          <w:highlight w:val="none"/>
        </w:rPr>
      </w:r>
    </w:p>
    <w:p>
      <w:pPr>
        <w:ind w:left="425"/>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t xml:space="preserve">7</w:t>
      </w:r>
      <w:r>
        <w:rPr>
          <w:rFonts w:hint="eastAsia" w:ascii="仿宋" w:hAnsi="仿宋" w:eastAsia="仿宋"/>
          <w:color w:val="000000" w:themeColor="text1"/>
          <w:sz w:val="28"/>
          <w:szCs w:val="28"/>
          <w:highlight w:val="none"/>
          <w14:textFill>
            <w14:solidFill>
              <w14:schemeClr w14:val="tx1"/>
            </w14:solidFill>
          </w14:textFill>
        </w:rPr>
        <w:t xml:space="preserve">.与本投标有关的正式通讯地址为：</w:t>
      </w:r>
      <w:r>
        <w:rPr>
          <w:highlight w:val="none"/>
        </w:rP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地          址：</w:t>
      </w:r>
      <w:r>
        <w:rPr>
          <w:highlight w:val="none"/>
        </w:rP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邮          编：</w:t>
      </w:r>
      <w:r>
        <w:rPr>
          <w:highlight w:val="none"/>
        </w:rP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电          话：</w:t>
      </w:r>
      <w:r>
        <w:rPr>
          <w:highlight w:val="none"/>
        </w:rP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传          真：</w:t>
      </w:r>
      <w:r>
        <w:rPr>
          <w:highlight w:val="none"/>
        </w:rP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投标人开户行：</w:t>
      </w:r>
      <w:r>
        <w:rPr>
          <w:highlight w:val="none"/>
        </w:rP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账          号： </w:t>
      </w:r>
      <w:r>
        <w:rPr>
          <w:highlight w:val="none"/>
        </w:rPr>
      </w:r>
    </w:p>
    <w:p>
      <w:pPr>
        <w:ind w:left="420" w:firstLine="560"/>
        <w:jc w:val="left"/>
        <w:spacing w:line="480" w:lineRule="exact"/>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期：________年____月____日</w:t>
      </w:r>
      <w:r>
        <w:rPr>
          <w:highlight w:val="none"/>
        </w:rPr>
      </w:r>
    </w:p>
    <w:p>
      <w:pPr>
        <w:jc w:val="left"/>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r>
      <w:r>
        <w:rPr>
          <w:highlight w:val="none"/>
        </w:rPr>
      </w:r>
    </w:p>
    <w:p>
      <w:pPr>
        <w:jc w:val="left"/>
        <w:spacing w:line="480" w:lineRule="exact"/>
        <w:rPr>
          <w:rFonts w:hint="eastAsia" w:ascii="仿宋" w:hAnsi="仿宋" w:eastAsia="仿宋"/>
          <w:bCs/>
          <w:color w:val="000000" w:themeColor="text1"/>
          <w:sz w:val="28"/>
          <w:szCs w:val="28"/>
          <w:highlight w:val="none"/>
          <w14:textFill>
            <w14:solidFill>
              <w14:schemeClr w14:val="tx1"/>
            </w14:solidFill>
          </w14:textFill>
        </w:rPr>
      </w:pPr>
      <w:r>
        <w:rPr>
          <w:rFonts w:hint="eastAsia" w:ascii="仿宋" w:hAnsi="仿宋" w:eastAsia="仿宋"/>
          <w:bCs/>
          <w:color w:val="000000" w:themeColor="text1"/>
          <w:sz w:val="28"/>
          <w:szCs w:val="28"/>
          <w:highlight w:val="none"/>
          <w14:textFill>
            <w14:solidFill>
              <w14:schemeClr w14:val="tx1"/>
            </w14:solidFill>
          </w14:textFill>
        </w:rPr>
      </w:r>
      <w:r>
        <w:rPr>
          <w:highlight w:val="none"/>
        </w:rP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rPr>
          <w:highlight w:val="none"/>
        </w:rPr>
      </w:r>
    </w:p>
    <w:p>
      <w:pPr>
        <w:jc w:val="cente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技术要求响应及偏离表（分包号：**）</w:t>
      </w:r>
      <w:r>
        <w:rPr>
          <w:highlight w:val="none"/>
        </w:rPr>
      </w:r>
    </w:p>
    <w:tbl>
      <w:tblPr>
        <w:tblStyle w:val="99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rPr>
                <w:highlight w:val="none"/>
              </w:rPr>
            </w:r>
          </w:p>
        </w:tc>
        <w:tc>
          <w:tcPr>
            <w:tcW w:w="3063"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技术要求</w:t>
            </w:r>
            <w:r>
              <w:rPr>
                <w:highlight w:val="none"/>
              </w:rPr>
            </w:r>
          </w:p>
        </w:tc>
        <w:tc>
          <w:tcPr>
            <w:tcW w:w="3191"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投标响应情况</w:t>
            </w:r>
            <w:r>
              <w:rPr>
                <w:highlight w:val="none"/>
              </w:rPr>
            </w:r>
          </w:p>
        </w:tc>
        <w:tc>
          <w:tcPr>
            <w:tcW w:w="2128"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超出、符合或偏离</w:t>
            </w:r>
            <w:r>
              <w:rPr>
                <w:highlight w:val="none"/>
              </w:rP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rPr>
                <w:highlight w:val="none"/>
              </w:rP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rPr>
                <w:highlight w:val="none"/>
              </w:rP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p>
        </w:tc>
      </w:tr>
    </w:tbl>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rPr>
          <w:rFonts w:ascii="仿宋" w:hAnsi="仿宋" w:eastAsia="仿宋"/>
          <w:b/>
          <w:bCs/>
          <w:color w:val="000000" w:themeColor="text1"/>
          <w:sz w:val="28"/>
          <w:szCs w:val="28"/>
          <w:highlight w:val="none"/>
          <w14:textFill>
            <w14:solidFill>
              <w14:schemeClr w14:val="tx1"/>
            </w14:solidFill>
          </w14:textFill>
        </w:rPr>
        <w:t xml:space="preserve">：</w:t>
      </w:r>
      <w:r>
        <w:rPr>
          <w:highlight w:val="none"/>
        </w:rP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1.投标人需</w:t>
      </w:r>
      <w:r>
        <w:rPr>
          <w:rFonts w:ascii="仿宋" w:hAnsi="仿宋" w:eastAsia="仿宋"/>
          <w:b/>
          <w:bCs/>
          <w:color w:val="000000" w:themeColor="text1"/>
          <w:sz w:val="28"/>
          <w:szCs w:val="28"/>
          <w:highlight w:val="none"/>
          <w14:textFill>
            <w14:solidFill>
              <w14:schemeClr w14:val="tx1"/>
            </w14:solidFill>
          </w14:textFill>
        </w:rPr>
        <w:t xml:space="preserve">对技术</w:t>
      </w:r>
      <w:r>
        <w:rPr>
          <w:rFonts w:hint="eastAsia" w:ascii="仿宋" w:hAnsi="仿宋" w:eastAsia="仿宋"/>
          <w:b/>
          <w:bCs/>
          <w:color w:val="000000" w:themeColor="text1"/>
          <w:sz w:val="28"/>
          <w:szCs w:val="28"/>
          <w:highlight w:val="none"/>
          <w14:textFill>
            <w14:solidFill>
              <w14:schemeClr w14:val="tx1"/>
            </w14:solidFill>
          </w14:textFill>
        </w:rPr>
        <w:t xml:space="preserve">要求（未加斜体</w:t>
      </w:r>
      <w:r>
        <w:rPr>
          <w:rFonts w:ascii="仿宋" w:hAnsi="仿宋" w:eastAsia="仿宋"/>
          <w:b/>
          <w:bCs/>
          <w:color w:val="000000" w:themeColor="text1"/>
          <w:sz w:val="28"/>
          <w:szCs w:val="28"/>
          <w:highlight w:val="none"/>
          <w14:textFill>
            <w14:solidFill>
              <w14:schemeClr w14:val="tx1"/>
            </w14:solidFill>
          </w14:textFill>
        </w:rPr>
        <w:t xml:space="preserve">下划线的</w:t>
      </w:r>
      <w:r>
        <w:rPr>
          <w:rFonts w:hint="eastAsia" w:ascii="仿宋" w:hAnsi="仿宋" w:eastAsia="仿宋"/>
          <w:b/>
          <w:bCs/>
          <w:color w:val="000000" w:themeColor="text1"/>
          <w:sz w:val="28"/>
          <w:szCs w:val="28"/>
          <w:highlight w:val="none"/>
          <w14:textFill>
            <w14:solidFill>
              <w14:schemeClr w14:val="tx1"/>
            </w14:solidFill>
          </w14:textFill>
        </w:rPr>
        <w:t xml:space="preserve">非</w:t>
      </w:r>
      <w:r>
        <w:rPr>
          <w:rFonts w:ascii="仿宋" w:hAnsi="仿宋" w:eastAsia="仿宋"/>
          <w:b/>
          <w:bCs/>
          <w:color w:val="000000" w:themeColor="text1"/>
          <w:sz w:val="28"/>
          <w:szCs w:val="28"/>
          <w:highlight w:val="none"/>
          <w14:textFill>
            <w14:solidFill>
              <w14:schemeClr w14:val="tx1"/>
            </w14:solidFill>
          </w14:textFill>
        </w:rPr>
        <w:t xml:space="preserve">实质性</w:t>
      </w:r>
      <w:r>
        <w:rPr>
          <w:rFonts w:hint="eastAsia" w:ascii="仿宋" w:hAnsi="仿宋" w:eastAsia="仿宋"/>
          <w:b/>
          <w:bCs/>
          <w:color w:val="000000" w:themeColor="text1"/>
          <w:sz w:val="28"/>
          <w:szCs w:val="28"/>
          <w:highlight w:val="none"/>
          <w14:textFill>
            <w14:solidFill>
              <w14:schemeClr w14:val="tx1"/>
            </w14:solidFill>
          </w14:textFill>
        </w:rPr>
        <w:t xml:space="preserve">要求）</w:t>
      </w:r>
      <w:r>
        <w:rPr>
          <w:rFonts w:ascii="仿宋" w:hAnsi="仿宋" w:eastAsia="仿宋"/>
          <w:b/>
          <w:bCs/>
          <w:color w:val="000000" w:themeColor="text1"/>
          <w:sz w:val="28"/>
          <w:szCs w:val="28"/>
          <w:highlight w:val="none"/>
          <w14:textFill>
            <w14:solidFill>
              <w14:schemeClr w14:val="tx1"/>
            </w14:solidFill>
          </w14:textFill>
        </w:rPr>
        <w:t xml:space="preserve">逐条做出明确响应</w:t>
      </w:r>
      <w:r>
        <w:rPr>
          <w:rFonts w:hint="eastAsia" w:ascii="仿宋" w:hAnsi="仿宋" w:eastAsia="仿宋"/>
          <w:b/>
          <w:bCs/>
          <w:color w:val="000000" w:themeColor="text1"/>
          <w:sz w:val="28"/>
          <w:szCs w:val="28"/>
          <w:highlight w:val="none"/>
          <w14:textFill>
            <w14:solidFill>
              <w14:schemeClr w14:val="tx1"/>
            </w14:solidFill>
          </w14:textFill>
        </w:rPr>
        <w:t xml:space="preserve">。</w:t>
      </w:r>
      <w:r>
        <w:rPr>
          <w:highlight w:val="none"/>
        </w:rP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2.如果招标</w:t>
      </w:r>
      <w:r>
        <w:rPr>
          <w:rFonts w:ascii="仿宋" w:hAnsi="仿宋" w:eastAsia="仿宋"/>
          <w:b/>
          <w:bCs/>
          <w:color w:val="000000" w:themeColor="text1"/>
          <w:sz w:val="28"/>
          <w:szCs w:val="28"/>
          <w:highlight w:val="none"/>
          <w14:textFill>
            <w14:solidFill>
              <w14:schemeClr w14:val="tx1"/>
            </w14:solidFill>
          </w14:textFill>
        </w:rPr>
        <w:t xml:space="preserve">文件要求提供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材料，投标人</w:t>
      </w:r>
      <w:r>
        <w:rPr>
          <w:rFonts w:hint="eastAsia" w:ascii="仿宋" w:hAnsi="仿宋" w:eastAsia="仿宋"/>
          <w:b/>
          <w:bCs/>
          <w:color w:val="000000" w:themeColor="text1"/>
          <w:sz w:val="28"/>
          <w:szCs w:val="28"/>
          <w:highlight w:val="none"/>
          <w14:textFill>
            <w14:solidFill>
              <w14:schemeClr w14:val="tx1"/>
            </w14:solidFill>
          </w14:textFill>
        </w:rPr>
        <w:t xml:space="preserve">需</w:t>
      </w:r>
      <w:r>
        <w:rPr>
          <w:rFonts w:ascii="仿宋" w:hAnsi="仿宋" w:eastAsia="仿宋"/>
          <w:b/>
          <w:bCs/>
          <w:color w:val="000000" w:themeColor="text1"/>
          <w:sz w:val="28"/>
          <w:szCs w:val="28"/>
          <w:highlight w:val="none"/>
          <w14:textFill>
            <w14:solidFill>
              <w14:schemeClr w14:val="tx1"/>
            </w14:solidFill>
          </w14:textFill>
        </w:rPr>
        <w:t xml:space="preserve">将证明材料</w:t>
      </w:r>
      <w:r>
        <w:rPr>
          <w:rFonts w:hint="eastAsia" w:ascii="仿宋" w:hAnsi="仿宋" w:eastAsia="仿宋"/>
          <w:b/>
          <w:bCs/>
          <w:color w:val="000000" w:themeColor="text1"/>
          <w:sz w:val="28"/>
          <w:szCs w:val="28"/>
          <w:highlight w:val="none"/>
          <w14:textFill>
            <w14:solidFill>
              <w14:schemeClr w14:val="tx1"/>
            </w14:solidFill>
          </w14:textFill>
        </w:rPr>
        <w:t xml:space="preserve">列于</w:t>
      </w:r>
      <w:r>
        <w:rPr>
          <w:rFonts w:ascii="仿宋" w:hAnsi="仿宋" w:eastAsia="仿宋"/>
          <w:b/>
          <w:bCs/>
          <w:color w:val="000000" w:themeColor="text1"/>
          <w:sz w:val="28"/>
          <w:szCs w:val="28"/>
          <w:highlight w:val="none"/>
          <w14:textFill>
            <w14:solidFill>
              <w14:schemeClr w14:val="tx1"/>
            </w14:solidFill>
          </w14:textFill>
        </w:rPr>
        <w:t xml:space="preserve">该表之下。</w:t>
      </w:r>
      <w:r>
        <w:rPr>
          <w:highlight w:val="none"/>
        </w:rPr>
      </w:r>
    </w:p>
    <w:p>
      <w:pPr>
        <w:pStyle w:val="997"/>
        <w:ind w:firstLine="0"/>
        <w:rPr>
          <w:rFonts w:hint="eastAsia" w:ascii="仿宋" w:hAnsi="仿宋" w:eastAsia="仿宋"/>
          <w:b/>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8</w:t>
      </w:r>
      <w:r>
        <w:rPr>
          <w:highlight w:val="none"/>
        </w:rPr>
      </w:r>
    </w:p>
    <w:p>
      <w:pPr>
        <w:jc w:val="cente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商务要求响应及偏离表（分包号：**）</w:t>
      </w:r>
      <w:r>
        <w:rPr>
          <w:highlight w:val="none"/>
        </w:rPr>
      </w:r>
    </w:p>
    <w:tbl>
      <w:tblPr>
        <w:tblStyle w:val="99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rPr>
                <w:highlight w:val="none"/>
              </w:rPr>
            </w:r>
          </w:p>
        </w:tc>
        <w:tc>
          <w:tcPr>
            <w:tcW w:w="3063"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商务要求</w:t>
            </w:r>
            <w:r>
              <w:rPr>
                <w:highlight w:val="none"/>
              </w:rPr>
            </w:r>
          </w:p>
        </w:tc>
        <w:tc>
          <w:tcPr>
            <w:tcW w:w="3191"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投标响应情况</w:t>
            </w:r>
            <w:r>
              <w:rPr>
                <w:highlight w:val="none"/>
              </w:rPr>
            </w:r>
          </w:p>
        </w:tc>
        <w:tc>
          <w:tcPr>
            <w:tcW w:w="2128" w:type="dxa"/>
            <w:vAlign w:val="center"/>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超出、符合或偏离</w:t>
            </w:r>
            <w:r>
              <w:rPr>
                <w:highlight w:val="none"/>
              </w:rP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rPr>
                <w:highlight w:val="none"/>
              </w:rP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p>
        </w:tc>
      </w:tr>
      <w:tr>
        <w:trPr>
          <w:cantSplit/>
          <w:trHeight w:val="640"/>
        </w:trPr>
        <w:tc>
          <w:tcPr>
            <w:tcW w:w="545"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3063"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rPr>
                <w:highlight w:val="none"/>
              </w:rPr>
            </w:r>
          </w:p>
        </w:tc>
        <w:tc>
          <w:tcPr>
            <w:tcW w:w="3191"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2128" w:type="dxa"/>
            <w:vAlign w:val="top"/>
            <w:textDirection w:val="lrTb"/>
            <w:noWrap w:val="false"/>
          </w:tcPr>
          <w:p>
            <w:pPr>
              <w:jc w:val="center"/>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14:textFill>
                  <w14:solidFill>
                    <w14:schemeClr w14:val="tx1"/>
                  </w14:solidFill>
                </w14:textFill>
              </w:rPr>
            </w:r>
            <w:r>
              <w:rPr>
                <w:highlight w:val="none"/>
              </w:rPr>
            </w:r>
          </w:p>
        </w:tc>
      </w:tr>
    </w:tbl>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rPr>
          <w:rFonts w:ascii="仿宋" w:hAnsi="仿宋" w:eastAsia="仿宋"/>
          <w:b/>
          <w:bCs/>
          <w:color w:val="000000" w:themeColor="text1"/>
          <w:sz w:val="28"/>
          <w:szCs w:val="28"/>
          <w:highlight w:val="none"/>
          <w14:textFill>
            <w14:solidFill>
              <w14:schemeClr w14:val="tx1"/>
            </w14:solidFill>
          </w14:textFill>
        </w:rPr>
        <w:t xml:space="preserve">：</w:t>
      </w:r>
      <w:r>
        <w:rPr>
          <w:highlight w:val="none"/>
        </w:rP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1.投标人需</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商务要求（未加斜体</w:t>
      </w:r>
      <w:r>
        <w:rPr>
          <w:rFonts w:ascii="仿宋" w:hAnsi="仿宋" w:eastAsia="仿宋"/>
          <w:b/>
          <w:bCs/>
          <w:color w:val="000000" w:themeColor="text1"/>
          <w:sz w:val="28"/>
          <w:szCs w:val="28"/>
          <w:highlight w:val="none"/>
          <w14:textFill>
            <w14:solidFill>
              <w14:schemeClr w14:val="tx1"/>
            </w14:solidFill>
          </w14:textFill>
        </w:rPr>
        <w:t xml:space="preserve">下划线的</w:t>
      </w:r>
      <w:r>
        <w:rPr>
          <w:rFonts w:hint="eastAsia" w:ascii="仿宋" w:hAnsi="仿宋" w:eastAsia="仿宋"/>
          <w:b/>
          <w:bCs/>
          <w:color w:val="000000" w:themeColor="text1"/>
          <w:sz w:val="28"/>
          <w:szCs w:val="28"/>
          <w:highlight w:val="none"/>
          <w14:textFill>
            <w14:solidFill>
              <w14:schemeClr w14:val="tx1"/>
            </w14:solidFill>
          </w14:textFill>
        </w:rPr>
        <w:t xml:space="preserve">非</w:t>
      </w:r>
      <w:r>
        <w:rPr>
          <w:rFonts w:ascii="仿宋" w:hAnsi="仿宋" w:eastAsia="仿宋"/>
          <w:b/>
          <w:bCs/>
          <w:color w:val="000000" w:themeColor="text1"/>
          <w:sz w:val="28"/>
          <w:szCs w:val="28"/>
          <w:highlight w:val="none"/>
          <w14:textFill>
            <w14:solidFill>
              <w14:schemeClr w14:val="tx1"/>
            </w14:solidFill>
          </w14:textFill>
        </w:rPr>
        <w:t xml:space="preserve">实质性</w:t>
      </w:r>
      <w:r>
        <w:rPr>
          <w:rFonts w:hint="eastAsia" w:ascii="仿宋" w:hAnsi="仿宋" w:eastAsia="仿宋"/>
          <w:b/>
          <w:bCs/>
          <w:color w:val="000000" w:themeColor="text1"/>
          <w:sz w:val="28"/>
          <w:szCs w:val="28"/>
          <w:highlight w:val="none"/>
          <w14:textFill>
            <w14:solidFill>
              <w14:schemeClr w14:val="tx1"/>
            </w14:solidFill>
          </w14:textFill>
        </w:rPr>
        <w:t xml:space="preserve">要求）</w:t>
      </w:r>
      <w:r>
        <w:rPr>
          <w:rFonts w:ascii="仿宋" w:hAnsi="仿宋" w:eastAsia="仿宋"/>
          <w:b/>
          <w:bCs/>
          <w:color w:val="000000" w:themeColor="text1"/>
          <w:sz w:val="28"/>
          <w:szCs w:val="28"/>
          <w:highlight w:val="none"/>
          <w14:textFill>
            <w14:solidFill>
              <w14:schemeClr w14:val="tx1"/>
            </w14:solidFill>
          </w14:textFill>
        </w:rPr>
        <w:t xml:space="preserve">逐条做出明确响应</w:t>
      </w:r>
      <w:r>
        <w:rPr>
          <w:rFonts w:hint="eastAsia" w:ascii="仿宋" w:hAnsi="仿宋" w:eastAsia="仿宋"/>
          <w:b/>
          <w:bCs/>
          <w:color w:val="000000" w:themeColor="text1"/>
          <w:sz w:val="28"/>
          <w:szCs w:val="28"/>
          <w:highlight w:val="none"/>
          <w14:textFill>
            <w14:solidFill>
              <w14:schemeClr w14:val="tx1"/>
            </w14:solidFill>
          </w14:textFill>
        </w:rPr>
        <w:t xml:space="preserve">。</w:t>
      </w:r>
      <w:r>
        <w:rPr>
          <w:highlight w:val="none"/>
        </w:rPr>
      </w:r>
    </w:p>
    <w:p>
      <w:pPr>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2.如果招标</w:t>
      </w:r>
      <w:r>
        <w:rPr>
          <w:rFonts w:ascii="仿宋" w:hAnsi="仿宋" w:eastAsia="仿宋"/>
          <w:b/>
          <w:bCs/>
          <w:color w:val="000000" w:themeColor="text1"/>
          <w:sz w:val="28"/>
          <w:szCs w:val="28"/>
          <w:highlight w:val="none"/>
          <w14:textFill>
            <w14:solidFill>
              <w14:schemeClr w14:val="tx1"/>
            </w14:solidFill>
          </w14:textFill>
        </w:rPr>
        <w:t xml:space="preserve">文件要求提供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材料，投标人</w:t>
      </w:r>
      <w:r>
        <w:rPr>
          <w:rFonts w:hint="eastAsia" w:ascii="仿宋" w:hAnsi="仿宋" w:eastAsia="仿宋"/>
          <w:b/>
          <w:bCs/>
          <w:color w:val="000000" w:themeColor="text1"/>
          <w:sz w:val="28"/>
          <w:szCs w:val="28"/>
          <w:highlight w:val="none"/>
          <w14:textFill>
            <w14:solidFill>
              <w14:schemeClr w14:val="tx1"/>
            </w14:solidFill>
          </w14:textFill>
        </w:rPr>
        <w:t xml:space="preserve">需</w:t>
      </w:r>
      <w:r>
        <w:rPr>
          <w:rFonts w:ascii="仿宋" w:hAnsi="仿宋" w:eastAsia="仿宋"/>
          <w:b/>
          <w:bCs/>
          <w:color w:val="000000" w:themeColor="text1"/>
          <w:sz w:val="28"/>
          <w:szCs w:val="28"/>
          <w:highlight w:val="none"/>
          <w14:textFill>
            <w14:solidFill>
              <w14:schemeClr w14:val="tx1"/>
            </w14:solidFill>
          </w14:textFill>
        </w:rPr>
        <w:t xml:space="preserve">将证明材料</w:t>
      </w:r>
      <w:r>
        <w:rPr>
          <w:rFonts w:hint="eastAsia" w:ascii="仿宋" w:hAnsi="仿宋" w:eastAsia="仿宋"/>
          <w:b/>
          <w:bCs/>
          <w:color w:val="000000" w:themeColor="text1"/>
          <w:sz w:val="28"/>
          <w:szCs w:val="28"/>
          <w:highlight w:val="none"/>
          <w14:textFill>
            <w14:solidFill>
              <w14:schemeClr w14:val="tx1"/>
            </w14:solidFill>
          </w14:textFill>
        </w:rPr>
        <w:t xml:space="preserve">列于</w:t>
      </w:r>
      <w:r>
        <w:rPr>
          <w:rFonts w:ascii="仿宋" w:hAnsi="仿宋" w:eastAsia="仿宋"/>
          <w:b/>
          <w:bCs/>
          <w:color w:val="000000" w:themeColor="text1"/>
          <w:sz w:val="28"/>
          <w:szCs w:val="28"/>
          <w:highlight w:val="none"/>
          <w14:textFill>
            <w14:solidFill>
              <w14:schemeClr w14:val="tx1"/>
            </w14:solidFill>
          </w14:textFill>
        </w:rPr>
        <w:t xml:space="preserve">该表之下。</w:t>
      </w:r>
      <w:r>
        <w:rPr>
          <w:highlight w:val="none"/>
        </w:rPr>
      </w:r>
    </w:p>
    <w:p>
      <w:pPr>
        <w:jc w:val="left"/>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ascii="仿宋" w:hAnsi="仿宋" w:eastAsia="仿宋"/>
          <w:b/>
          <w:color w:val="000000" w:themeColor="text1"/>
          <w:sz w:val="28"/>
          <w:szCs w:val="28"/>
          <w:highlight w:val="none"/>
          <w14:textFill>
            <w14:solidFill>
              <w14:schemeClr w14:val="tx1"/>
            </w14:solidFill>
          </w14:textFill>
        </w:rPr>
        <w:br w:type="page" w:clear="all"/>
      </w: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rPr>
          <w:highlight w:val="none"/>
        </w:rP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实质性要求响应及偏离表（分包号：**）</w:t>
      </w:r>
      <w:r>
        <w:rPr>
          <w:highlight w:val="none"/>
        </w:rPr>
      </w:r>
    </w:p>
    <w:tbl>
      <w:tblPr>
        <w:tblStyle w:val="996"/>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rPr>
                <w:highlight w:val="none"/>
              </w:rPr>
            </w:r>
          </w:p>
        </w:tc>
        <w:tc>
          <w:tcPr>
            <w:tcW w:w="3609" w:type="dxa"/>
            <w:vAlign w:val="center"/>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技术要求和商务要求中的实质性要求（加斜体下划线内容）</w:t>
            </w:r>
            <w:r>
              <w:rPr>
                <w:highlight w:val="none"/>
              </w:rPr>
            </w:r>
          </w:p>
        </w:tc>
        <w:tc>
          <w:tcPr>
            <w:tcW w:w="3317" w:type="dxa"/>
            <w:vAlign w:val="center"/>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投标响应情况</w:t>
            </w:r>
            <w:r>
              <w:rPr>
                <w:highlight w:val="none"/>
              </w:rPr>
            </w:r>
          </w:p>
        </w:tc>
        <w:tc>
          <w:tcPr>
            <w:tcW w:w="1526" w:type="dxa"/>
            <w:vAlign w:val="center"/>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超出、符合或偏离</w:t>
            </w:r>
            <w:r>
              <w:rPr>
                <w:highlight w:val="none"/>
              </w:rPr>
            </w:r>
          </w:p>
        </w:tc>
      </w:tr>
      <w:tr>
        <w:trPr>
          <w:cantSplit/>
          <w:trHeight w:val="640"/>
        </w:trPr>
        <w:tc>
          <w:tcPr>
            <w:tcW w:w="545"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rPr>
                <w:highlight w:val="none"/>
              </w:rPr>
            </w:r>
          </w:p>
        </w:tc>
        <w:tc>
          <w:tcPr>
            <w:tcW w:w="3609"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3317"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1526"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r>
      <w:tr>
        <w:trPr>
          <w:cantSplit/>
          <w:trHeight w:val="640"/>
        </w:trPr>
        <w:tc>
          <w:tcPr>
            <w:tcW w:w="545"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rPr>
                <w:highlight w:val="none"/>
              </w:rPr>
            </w:r>
          </w:p>
        </w:tc>
        <w:tc>
          <w:tcPr>
            <w:tcW w:w="3609"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3317"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1526"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r>
      <w:tr>
        <w:trPr>
          <w:cantSplit/>
          <w:trHeight w:val="640"/>
        </w:trPr>
        <w:tc>
          <w:tcPr>
            <w:tcW w:w="545"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3609"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rPr>
                <w:highlight w:val="none"/>
              </w:rPr>
            </w:r>
          </w:p>
        </w:tc>
        <w:tc>
          <w:tcPr>
            <w:tcW w:w="3317"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c>
          <w:tcPr>
            <w:tcW w:w="1526" w:type="dxa"/>
            <w:vAlign w:val="top"/>
            <w:textDirection w:val="lrTb"/>
            <w:noWrap/>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rPr>
                <w:highlight w:val="none"/>
              </w:rPr>
            </w:r>
          </w:p>
        </w:tc>
      </w:tr>
    </w:tbl>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rPr>
          <w:highlight w:val="none"/>
        </w:rP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1.投标人必须对技术要求和商务要求中的实质性要求（加斜体下划线内容）逐条做出明确响应，否则作无效投标处理。</w:t>
      </w:r>
      <w:r>
        <w:rPr>
          <w:highlight w:val="none"/>
        </w:rP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2.如果招标文件要求提供证明材料，投标人必须将证明材料列于该表之下。</w:t>
      </w:r>
      <w:r>
        <w:rPr>
          <w:highlight w:val="none"/>
        </w:rPr>
      </w:r>
    </w:p>
    <w:p>
      <w:pPr>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3.投标人未对实质性要求逐条作出明确响应的，或未按招标文件要求提供证明材料的，该分包作无效投标处理。</w:t>
      </w:r>
      <w:r>
        <w:rPr>
          <w:highlight w:val="none"/>
        </w:rPr>
      </w:r>
    </w:p>
    <w:p>
      <w:pPr>
        <w:pStyle w:val="10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rPr>
          <w:highlight w:val="none"/>
        </w:rP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bookmarkEnd w:id="182"/>
      <w:r>
        <w:rPr>
          <w:highlight w:val="none"/>
        </w:rPr>
      </w:r>
      <w:bookmarkEnd w:id="183"/>
      <w:r>
        <w:rPr>
          <w:highlight w:val="none"/>
        </w:rPr>
      </w:r>
      <w:bookmarkEnd w:id="196"/>
      <w:r>
        <w:rPr>
          <w:highlight w:val="none"/>
        </w:rPr>
      </w:r>
      <w:bookmarkEnd w:id="197"/>
      <w:r>
        <w:rPr>
          <w:highlight w:val="none"/>
        </w:rPr>
      </w:r>
      <w:bookmarkEnd w:id="198"/>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10</w:t>
      </w:r>
      <w:r>
        <w:rPr>
          <w:highlight w:val="none"/>
        </w:rP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rPr>
          <w:highlight w:val="none"/>
        </w:rP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u w:val="single"/>
          <w14:textFill>
            <w14:solidFill>
              <w14:schemeClr w14:val="tx1"/>
            </w14:solidFill>
          </w14:textFill>
        </w:rPr>
        <w:t xml:space="preserve">（分包号：**）</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rPr>
          <w:highlight w:val="none"/>
        </w:rP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rPr>
          <w:highlight w:val="none"/>
        </w:rP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rPr>
          <w:highlight w:val="none"/>
        </w:rP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rPr>
          <w:highlight w:val="none"/>
        </w:rP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rPr>
          <w:highlight w:val="none"/>
        </w:rP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rPr>
          <w:highlight w:val="none"/>
        </w:rP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rPr>
          <w:highlight w:val="none"/>
        </w:rP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rPr>
          <w:highlight w:val="none"/>
        </w:rP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rPr>
          <w:highlight w:val="none"/>
        </w:rP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rPr>
          <w:highlight w:val="none"/>
        </w:rP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备注：</w:t>
      </w:r>
      <w:r>
        <w:rPr>
          <w:highlight w:val="none"/>
        </w:rP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1.从业人员、营业收入、资产总额填报上一年度数据，无上一年度数据的新成立企业可不填报。</w:t>
      </w:r>
      <w:r>
        <w:rPr>
          <w:highlight w:val="none"/>
        </w:rPr>
      </w:r>
    </w:p>
    <w:p>
      <w:pPr>
        <w:ind w:firstLine="562"/>
        <w:spacing w:line="360" w:lineRule="auto"/>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2.专门面向中小微型企业采购的项目，供应商如不提供此声明函，则不能通过资格审查；非专门面向中小微型企业采购的项目，供应商如不提供此声明函，价格将不做相应扣除。</w:t>
      </w:r>
      <w:r>
        <w:rPr>
          <w:highlight w:val="none"/>
        </w:rP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工信部联企业〔2011〕300号</w:t>
      </w:r>
      <w:r>
        <w:rPr>
          <w:rFonts w:hint="eastAsia" w:ascii="仿宋" w:hAnsi="仿宋" w:eastAsia="仿宋" w:cs="仿宋"/>
          <w:color w:val="000000"/>
          <w:sz w:val="28"/>
          <w:szCs w:val="28"/>
          <w:highlight w:val="none"/>
          <w:lang w:eastAsia="zh-CN"/>
        </w:rPr>
        <w:t xml:space="preserve">）和</w:t>
      </w:r>
      <w:r>
        <w:rPr>
          <w:rFonts w:hint="eastAsia" w:ascii="仿宋" w:hAnsi="仿宋" w:eastAsia="仿宋" w:cs="仿宋"/>
          <w:color w:val="000000"/>
          <w:sz w:val="28"/>
          <w:szCs w:val="28"/>
          <w:highlight w:val="none"/>
        </w:rPr>
        <w:t xml:space="preserve">《国家统计局关于印发〈统计上大中小微型企业划分办法（2017）〉的通知》（国统字〔2017〕213号）的规定，自行勾选制造商的企业规模类型。    </w:t>
      </w:r>
      <w:r>
        <w:rPr>
          <w:highlight w:val="none"/>
        </w:rP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附：中小企业划型标准规定</w:t>
      </w:r>
      <w:r>
        <w:rPr>
          <w:highlight w:val="none"/>
        </w:rP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（一）农、林、牧、渔业。营业收入20000万元以下的为中小微型企业。其中，营业收入500万元及以上的为中型企业，营业收入50万元及以上的为小型企业，营业收入50万元以下的为微型企业。</w:t>
      </w:r>
      <w:r>
        <w:rPr>
          <w:highlight w:val="none"/>
        </w:rPr>
      </w:r>
    </w:p>
    <w:p>
      <w:pPr>
        <w:ind w:firstLine="560"/>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none"/>
        </w:rP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none"/>
        </w:rP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none"/>
        </w:rP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highlight w:val="none"/>
        </w:rP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highlight w:val="none"/>
        </w:rP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highlight w:val="none"/>
        </w:rP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none"/>
        </w:rP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none"/>
        </w:rP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highlight w:val="none"/>
        </w:rP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（十四）物业管理。从业人员1000人以下或营业收入5000万元以下的为中小微型企业。其中，从业人员</w:t>
      </w:r>
      <w:r>
        <w:rPr>
          <w:highlight w:val="none"/>
        </w:rP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300人及以上，且营业收入1000万元及以上的为中型企业；从业人员100人及以上，且营业收入500万元及以上的为小型企业；从业人员100人以下或营业收入500万元以下的为微型企业。</w:t>
      </w:r>
      <w:r>
        <w:rPr>
          <w:highlight w:val="none"/>
        </w:rP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none"/>
        </w:rP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（十六）其他未列明行业。从业人员300人以下的为中小微型企业。其中，从业人员100人及以上的为中型企业；从业人员10人及以上的为小型企业；从业人员10人以下的为微型企业。</w:t>
      </w:r>
      <w:r>
        <w:rPr>
          <w:highlight w:val="none"/>
        </w:rP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rPr>
          <w:highlight w:val="none"/>
        </w:rP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rPr>
          <w:highlight w:val="none"/>
        </w:rP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rPr>
          <w:highlight w:val="none"/>
        </w:rP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项目（分包号：**）采购活动提供本单位制造的货物，或者提供其他残疾人福利性单位制造的货物（不包括使用非残疾人福利性单位注册商标的货物）。</w:t>
      </w:r>
      <w:r>
        <w:rPr>
          <w:highlight w:val="none"/>
        </w:rP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rPr>
          <w:highlight w:val="none"/>
        </w:rP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rPr>
          <w:highlight w:val="none"/>
        </w:rP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rPr>
          <w:highlight w:val="none"/>
        </w:rP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rPr>
          <w:highlight w:val="none"/>
        </w:rP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rPr>
          <w:highlight w:val="none"/>
        </w:rP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rPr>
          <w:highlight w:val="none"/>
        </w:rP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rPr>
          <w:highlight w:val="none"/>
        </w:rP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rPr>
          <w:highlight w:val="none"/>
        </w:rP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rPr>
          <w:highlight w:val="none"/>
        </w:rP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rPr>
          <w:highlight w:val="none"/>
        </w:rP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rPr>
          <w:highlight w:val="none"/>
        </w:rP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rPr>
          <w:highlight w:val="none"/>
        </w:rP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2</w:t>
      </w:r>
      <w:r>
        <w:rPr>
          <w:highlight w:val="none"/>
        </w:rP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关于符合本国产品标准的声明函（采购包号：**）</w:t>
      </w:r>
      <w:r>
        <w:rPr>
          <w:highlight w:val="none"/>
        </w:rPr>
      </w:r>
    </w:p>
    <w:p>
      <w:pPr>
        <w:pStyle w:val="1016"/>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rPr>
          <w:highlight w:val="none"/>
        </w:rPr>
      </w:r>
    </w:p>
    <w:p>
      <w:pPr>
        <w:pStyle w:val="1016"/>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rPr>
          <w:highlight w:val="none"/>
        </w:rPr>
      </w:r>
    </w:p>
    <w:p>
      <w:pPr>
        <w:pStyle w:val="1016"/>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1020"/>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1020"/>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1020"/>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1020"/>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1020"/>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102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1020"/>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102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1020"/>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102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102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1020"/>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102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102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1020"/>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rPr>
          <w:highlight w:val="none"/>
        </w:rPr>
      </w:r>
    </w:p>
    <w:p>
      <w:pPr>
        <w:pStyle w:val="1016"/>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1020"/>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1020"/>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1020"/>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102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102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102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102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102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1020"/>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rPr>
          <w:highlight w:val="none"/>
        </w:rPr>
      </w:r>
    </w:p>
    <w:p>
      <w:pPr>
        <w:pStyle w:val="1016"/>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highlight w:val="none"/>
        </w:rPr>
      </w:r>
    </w:p>
    <w:p>
      <w:pPr>
        <w:pStyle w:val="1016"/>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rPr>
          <w:highlight w:val="none"/>
        </w:rPr>
      </w:r>
    </w:p>
    <w:p>
      <w:pPr>
        <w:pStyle w:val="1016"/>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rPr>
          <w:highlight w:val="none"/>
        </w:rPr>
      </w:r>
    </w:p>
    <w:p>
      <w:pPr>
        <w:pStyle w:val="1016"/>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rPr>
          <w:highlight w:val="none"/>
        </w:rPr>
      </w:r>
    </w:p>
    <w:p>
      <w:pPr>
        <w:pStyle w:val="1016"/>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rPr>
          <w:highlight w:val="none"/>
        </w:rPr>
      </w:r>
    </w:p>
    <w:p>
      <w:pPr>
        <w:pStyle w:val="1016"/>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rPr>
          <w:highlight w:val="none"/>
        </w:rPr>
      </w:r>
    </w:p>
    <w:p>
      <w:pPr>
        <w:pStyle w:val="1016"/>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rPr>
          <w:highlight w:val="none"/>
        </w:rPr>
      </w:r>
    </w:p>
    <w:p>
      <w:pPr>
        <w:pStyle w:val="1016"/>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rPr>
          <w:highlight w:val="none"/>
        </w:rPr>
      </w:r>
    </w:p>
    <w:p>
      <w:pPr>
        <w:pStyle w:val="1016"/>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rPr>
          <w:highlight w:val="none"/>
        </w:rPr>
      </w:r>
    </w:p>
    <w:p>
      <w:pPr>
        <w:pStyle w:val="1016"/>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rPr>
          <w:highlight w:val="none"/>
        </w:rPr>
      </w:r>
    </w:p>
    <w:p>
      <w:pPr>
        <w:pStyle w:val="1016"/>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rPr>
          <w:highlight w:val="none"/>
        </w:rPr>
      </w:r>
    </w:p>
    <w:p>
      <w:pPr>
        <w:pStyle w:val="1016"/>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rPr>
          <w:highlight w:val="none"/>
        </w:rP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rPr>
          <w:highlight w:val="none"/>
        </w:rP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rPr>
          <w:highlight w:val="none"/>
        </w:rP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rPr>
          <w:highlight w:val="none"/>
        </w:rP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rPr>
          <w:highlight w:val="none"/>
        </w:rP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rPr>
          <w:highlight w:val="none"/>
        </w:rP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rPr>
          <w:highlight w:val="none"/>
        </w:rP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rPr>
          <w:highlight w:val="none"/>
        </w:rP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rPr>
          <w:highlight w:val="none"/>
        </w:rP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highlight w:val="none"/>
        </w:rP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rPr>
          <w:highlight w:val="none"/>
        </w:rP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rPr>
          <w:highlight w:val="none"/>
        </w:rP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rPr>
          <w:highlight w:val="none"/>
        </w:rP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rPr>
          <w:highlight w:val="none"/>
        </w:rP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rPr>
          <w:highlight w:val="none"/>
        </w:rP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rPr>
          <w:highlight w:val="none"/>
        </w:rP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rPr>
          <w:highlight w:val="none"/>
        </w:rP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rPr>
          <w:highlight w:val="none"/>
        </w:rP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rPr>
          <w:highlight w:val="none"/>
        </w:rP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rPr>
          <w:highlight w:val="none"/>
        </w:rP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rPr>
          <w:highlight w:val="none"/>
        </w:rPr>
      </w:r>
    </w:p>
    <w:sectPr>
      <w:footerReference w:type="default" r:id="rId19"/>
      <w:footerReference w:type="first" r:id="rId20"/>
      <w:footnotePr/>
      <w:endnotePr/>
      <w:type w:val="nextPage"/>
      <w:pgSz w:w="11906" w:h="16838" w:orient="portrait"/>
      <w:pgMar w:top="1418" w:right="1588" w:bottom="1418" w:left="1365" w:header="851" w:footer="907" w:gutter="0"/>
      <w:pgNumType w:start="7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汉仪书宋二S">
    <w:panose1 w:val="020B0503020202020204"/>
  </w:font>
  <w:font w:name="等线">
    <w:panose1 w:val="02010600030101010101"/>
  </w:font>
  <w:font w:name="仿宋">
    <w:panose1 w:val="0201060906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方正公文楷体">
    <w:panose1 w:val="020B0503020202020204"/>
  </w:font>
  <w:font w:name="幼圆">
    <w:panose1 w:val="02010509060101010101"/>
  </w:font>
  <w:font w:name="黑体">
    <w:panose1 w:val="02010609060101010101"/>
  </w:font>
  <w:font w:name="Arial Unicode MS">
    <w:panose1 w:val="020B0604020202020204"/>
  </w:font>
  <w:font w:name="方正公文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p>
    <w:pPr>
      <w:pStyle w:val="12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jc w:val="center"/>
    </w:pPr>
    <w:r>
      <w:rPr>
        <w:rFonts w:hint="eastAsia"/>
      </w:rPr>
      <w:t xml:space="preserve">19</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p>
    <w:pPr>
      <w:pStyle w:val="124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8"/>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8"/>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r/>
                    <w:r/>
                  </w:p>
                  <w:p>
                    <w:r/>
                    <w:r/>
                  </w:p>
                </w:txbxContent>
              </v:textbox>
            </v:shape>
          </w:pict>
        </mc:Fallback>
      </mc:AlternateContent>
    </w:r>
    <w:r/>
  </w:p>
  <w:p>
    <w:pPr>
      <w:pStyle w:val="124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rPr>
        <w:rStyle w:val="1270"/>
      </w:rPr>
      <w:framePr w:wrap="around" w:vAnchor="text" w:hAnchor="margin" w:xAlign="center" w:y="1"/>
    </w:pPr>
    <w:r>
      <w:fldChar w:fldCharType="begin"/>
    </w:r>
    <w:r>
      <w:rPr>
        <w:rStyle w:val="1270"/>
      </w:rPr>
      <w:instrText xml:space="preserve">PAGE  </w:instrText>
    </w:r>
    <w:r>
      <w:fldChar w:fldCharType="separate"/>
    </w:r>
    <w:r>
      <w:rPr>
        <w:rStyle w:val="1270"/>
      </w:rPr>
      <w:t xml:space="preserve">1</w:t>
    </w:r>
    <w:r>
      <w:fldChar w:fldCharType="end"/>
    </w:r>
    <w:r/>
  </w:p>
  <w:p>
    <w:pPr>
      <w:pStyle w:val="1248"/>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spacing w:after="48"/>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6"/>
                            <w:spacing w:after="4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6"/>
                      <w:spacing w:after="48"/>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8"/>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8"/>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jc w:val="center"/>
      <w:rPr>
        <w:rFonts w:hint="default"/>
        <w:lang w:val="en-US" w:eastAsia="zh-CN"/>
      </w:rPr>
    </w:pPr>
    <w:r>
      <w:rPr>
        <w:rFonts w:hint="eastAsia"/>
        <w:lang w:val="en-US" w:eastAsia="zh-CN"/>
      </w:rPr>
      <w:t xml:space="preserve">72</w: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8"/>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8"/>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8"/>
      <w:jc w:val="center"/>
      <w:rPr>
        <w:rFonts w:hint="default"/>
        <w:lang w:val="en-US" w:eastAsia="zh-CN"/>
      </w:rPr>
    </w:pPr>
    <w:r>
      <w:rPr>
        <w:rFonts w:hint="eastAsia"/>
        <w:lang w:val="en-US" w:eastAsia="zh-CN"/>
      </w:rPr>
      <w:t xml:space="preserve">73</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29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217"/>
      <w:isLgl w:val="false"/>
      <w:suff w:val="nothing"/>
      <w:lvlText w:val=""/>
      <w:lvlJc w:val="left"/>
      <w:pPr>
        <w:ind w:left="0" w:firstLine="0"/>
      </w:pPr>
      <w:rPr>
        <w:rFonts w:hint="eastAsia"/>
      </w:rPr>
    </w:lvl>
    <w:lvl w:ilvl="6">
      <w:start w:val="1"/>
      <w:numFmt w:val="decimal"/>
      <w:pStyle w:val="1219"/>
      <w:isLgl w:val="false"/>
      <w:suff w:val="nothing"/>
      <w:lvlText w:val=""/>
      <w:lvlJc w:val="left"/>
      <w:pPr>
        <w:ind w:left="0" w:firstLine="0"/>
      </w:pPr>
      <w:rPr>
        <w:rFonts w:hint="eastAsia"/>
      </w:rPr>
    </w:lvl>
    <w:lvl w:ilvl="7">
      <w:start w:val="1"/>
      <w:numFmt w:val="decimal"/>
      <w:pStyle w:val="1221"/>
      <w:isLgl w:val="false"/>
      <w:suff w:val="nothing"/>
      <w:lvlText w:val=""/>
      <w:lvlJc w:val="left"/>
      <w:pPr>
        <w:ind w:left="0" w:firstLine="0"/>
      </w:pPr>
      <w:rPr>
        <w:rFonts w:hint="eastAsia"/>
      </w:rPr>
    </w:lvl>
    <w:lvl w:ilvl="8">
      <w:start w:val="1"/>
      <w:numFmt w:val="decimal"/>
      <w:pStyle w:val="1223"/>
      <w:isLgl w:val="false"/>
      <w:suff w:val="nothing"/>
      <w:lvlText w:val=""/>
      <w:lvlJc w:val="left"/>
      <w:pPr>
        <w:ind w:left="0" w:firstLine="0"/>
      </w:pPr>
      <w:rPr>
        <w:rFonts w:hint="eastAsia"/>
      </w:rPr>
    </w:lvl>
  </w:abstractNum>
  <w:abstractNum w:abstractNumId="4">
    <w:multiLevelType w:val="hybridMultilevel"/>
    <w:lvl w:ilvl="0">
      <w:start w:val="1"/>
      <w:numFmt w:val="chineseCounting"/>
      <w:pStyle w:val="1025"/>
      <w:isLgl w:val="false"/>
      <w:suff w:val="nothing"/>
      <w:lvlText w:val="%1、"/>
      <w:lvlJc w:val="left"/>
      <w:pPr>
        <w:ind w:left="576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5">
    <w:multiLevelType w:val="hybridMultilevel"/>
    <w:lvl w:ilvl="0">
      <w:start w:val="6"/>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0">
    <w:multiLevelType w:val="hybridMultilevel"/>
    <w:lvl w:ilvl="0">
      <w:start w:val="23"/>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upperLetter"/>
      <w:pStyle w:val="127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2"/>
      <w:numFmt w:val="decimal"/>
      <w:isLgl w:val="false"/>
      <w:suff w:val="tab"/>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num w:numId="1">
    <w:abstractNumId w:val="4"/>
  </w:num>
  <w:num w:numId="2">
    <w:abstractNumId w:val="3"/>
  </w:num>
  <w:num w:numId="3">
    <w:abstractNumId w:val="13"/>
  </w:num>
  <w:num w:numId="4">
    <w:abstractNumId w:val="2"/>
  </w:num>
  <w:num w:numId="5">
    <w:abstractNumId w:val="8"/>
  </w:num>
  <w:num w:numId="6">
    <w:abstractNumId w:val="1"/>
  </w:num>
  <w:num w:numId="7">
    <w:abstractNumId w:val="6"/>
  </w:num>
  <w:num w:numId="8">
    <w:abstractNumId w:val="9"/>
  </w:num>
  <w:num w:numId="9">
    <w:abstractNumId w:val="14"/>
  </w:num>
  <w:num w:numId="10">
    <w:abstractNumId w:val="5"/>
  </w:num>
  <w:num w:numId="11">
    <w:abstractNumId w:val="0"/>
  </w:num>
  <w:num w:numId="12">
    <w:abstractNumId w:val="10"/>
  </w:num>
  <w:num w:numId="13">
    <w:abstractNumId w:val="12"/>
  </w:num>
  <w:num w:numId="14">
    <w:abstractNumId w:val="7"/>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5" w:default="1">
    <w:name w:val="Normal"/>
    <w:next w:val="997"/>
    <w:link w:val="1321"/>
    <w:uiPriority w:val="0"/>
    <w:qFormat/>
    <w:pPr>
      <w:jc w:val="both"/>
      <w:widowControl w:val="off"/>
    </w:pPr>
    <w:rPr>
      <w:rFonts w:hint="default" w:ascii="Times New Roman" w:hAnsi="Times New Roman" w:eastAsia="宋体" w:cs="Times New Roman"/>
      <w:sz w:val="21"/>
      <w:szCs w:val="22"/>
      <w:lang w:eastAsia="zh-CN"/>
    </w:rPr>
  </w:style>
  <w:style w:type="paragraph" w:styleId="986">
    <w:name w:val="Heading 1"/>
    <w:basedOn w:val="985"/>
    <w:next w:val="985"/>
    <w:link w:val="1056"/>
    <w:uiPriority w:val="9"/>
    <w:qFormat/>
    <w:pPr>
      <w:keepLines/>
      <w:keepNext/>
      <w:spacing w:before="480" w:after="200"/>
      <w:outlineLvl w:val="0"/>
    </w:pPr>
    <w:rPr>
      <w:rFonts w:ascii="Arial" w:hAnsi="Arial" w:eastAsia="Arial" w:cs="Arial"/>
      <w:sz w:val="40"/>
      <w:szCs w:val="40"/>
    </w:rPr>
  </w:style>
  <w:style w:type="paragraph" w:styleId="987">
    <w:name w:val="Heading 2"/>
    <w:basedOn w:val="985"/>
    <w:next w:val="985"/>
    <w:link w:val="1057"/>
    <w:uiPriority w:val="9"/>
    <w:unhideWhenUsed/>
    <w:qFormat/>
    <w:pPr>
      <w:keepLines/>
      <w:keepNext/>
      <w:spacing w:before="360" w:after="200"/>
      <w:outlineLvl w:val="1"/>
    </w:pPr>
    <w:rPr>
      <w:rFonts w:ascii="Arial" w:hAnsi="Arial" w:eastAsia="Arial" w:cs="Arial"/>
      <w:sz w:val="34"/>
    </w:rPr>
  </w:style>
  <w:style w:type="paragraph" w:styleId="988">
    <w:name w:val="Heading 3"/>
    <w:basedOn w:val="985"/>
    <w:next w:val="985"/>
    <w:link w:val="1058"/>
    <w:uiPriority w:val="9"/>
    <w:unhideWhenUsed/>
    <w:qFormat/>
    <w:pPr>
      <w:keepLines/>
      <w:keepNext/>
      <w:spacing w:before="320" w:after="200"/>
      <w:outlineLvl w:val="2"/>
    </w:pPr>
    <w:rPr>
      <w:rFonts w:ascii="Arial" w:hAnsi="Arial" w:eastAsia="Arial" w:cs="Arial"/>
      <w:sz w:val="30"/>
      <w:szCs w:val="30"/>
    </w:rPr>
  </w:style>
  <w:style w:type="paragraph" w:styleId="989">
    <w:name w:val="Heading 4"/>
    <w:basedOn w:val="985"/>
    <w:next w:val="985"/>
    <w:link w:val="1059"/>
    <w:uiPriority w:val="9"/>
    <w:unhideWhenUsed/>
    <w:qFormat/>
    <w:pPr>
      <w:keepLines/>
      <w:keepNext/>
      <w:spacing w:before="320" w:after="200"/>
      <w:outlineLvl w:val="3"/>
    </w:pPr>
    <w:rPr>
      <w:rFonts w:ascii="Arial" w:hAnsi="Arial" w:eastAsia="Arial" w:cs="Arial"/>
      <w:b/>
      <w:bCs/>
      <w:sz w:val="26"/>
      <w:szCs w:val="26"/>
    </w:rPr>
  </w:style>
  <w:style w:type="paragraph" w:styleId="990">
    <w:name w:val="Heading 5"/>
    <w:basedOn w:val="985"/>
    <w:next w:val="985"/>
    <w:link w:val="1060"/>
    <w:uiPriority w:val="9"/>
    <w:unhideWhenUsed/>
    <w:qFormat/>
    <w:pPr>
      <w:keepLines/>
      <w:keepNext/>
      <w:spacing w:before="320" w:after="200"/>
      <w:outlineLvl w:val="4"/>
    </w:pPr>
    <w:rPr>
      <w:rFonts w:ascii="Arial" w:hAnsi="Arial" w:eastAsia="Arial" w:cs="Arial"/>
      <w:b/>
      <w:bCs/>
      <w:sz w:val="24"/>
      <w:szCs w:val="24"/>
    </w:rPr>
  </w:style>
  <w:style w:type="paragraph" w:styleId="991">
    <w:name w:val="Heading 6"/>
    <w:basedOn w:val="985"/>
    <w:next w:val="985"/>
    <w:link w:val="1061"/>
    <w:uiPriority w:val="9"/>
    <w:unhideWhenUsed/>
    <w:qFormat/>
    <w:pPr>
      <w:keepLines/>
      <w:keepNext/>
      <w:spacing w:before="320" w:after="200"/>
      <w:outlineLvl w:val="5"/>
    </w:pPr>
    <w:rPr>
      <w:rFonts w:ascii="Arial" w:hAnsi="Arial" w:eastAsia="Arial" w:cs="Arial"/>
      <w:b/>
      <w:bCs/>
      <w:sz w:val="22"/>
      <w:szCs w:val="22"/>
    </w:rPr>
  </w:style>
  <w:style w:type="paragraph" w:styleId="992">
    <w:name w:val="Heading 7"/>
    <w:basedOn w:val="985"/>
    <w:next w:val="985"/>
    <w:link w:val="1062"/>
    <w:uiPriority w:val="9"/>
    <w:unhideWhenUsed/>
    <w:qFormat/>
    <w:pPr>
      <w:keepLines/>
      <w:keepNext/>
      <w:spacing w:before="320" w:after="200"/>
      <w:outlineLvl w:val="6"/>
    </w:pPr>
    <w:rPr>
      <w:rFonts w:ascii="Arial" w:hAnsi="Arial" w:eastAsia="Arial" w:cs="Arial"/>
      <w:b/>
      <w:bCs/>
      <w:i/>
      <w:iCs/>
      <w:sz w:val="22"/>
      <w:szCs w:val="22"/>
    </w:rPr>
  </w:style>
  <w:style w:type="paragraph" w:styleId="993">
    <w:name w:val="Heading 8"/>
    <w:basedOn w:val="985"/>
    <w:next w:val="985"/>
    <w:link w:val="1063"/>
    <w:uiPriority w:val="9"/>
    <w:unhideWhenUsed/>
    <w:qFormat/>
    <w:pPr>
      <w:keepLines/>
      <w:keepNext/>
      <w:spacing w:before="320" w:after="200"/>
      <w:outlineLvl w:val="7"/>
    </w:pPr>
    <w:rPr>
      <w:rFonts w:ascii="Arial" w:hAnsi="Arial" w:eastAsia="Arial" w:cs="Arial"/>
      <w:i/>
      <w:iCs/>
      <w:sz w:val="22"/>
      <w:szCs w:val="22"/>
    </w:rPr>
  </w:style>
  <w:style w:type="paragraph" w:styleId="994">
    <w:name w:val="Heading 9"/>
    <w:basedOn w:val="985"/>
    <w:next w:val="985"/>
    <w:link w:val="1064"/>
    <w:uiPriority w:val="9"/>
    <w:unhideWhenUsed/>
    <w:qFormat/>
    <w:pPr>
      <w:keepLines/>
      <w:keepNext/>
      <w:spacing w:before="320" w:after="200"/>
      <w:outlineLvl w:val="8"/>
    </w:pPr>
    <w:rPr>
      <w:rFonts w:ascii="Arial" w:hAnsi="Arial" w:eastAsia="Arial" w:cs="Arial"/>
      <w:i/>
      <w:iCs/>
      <w:sz w:val="21"/>
      <w:szCs w:val="21"/>
    </w:rPr>
  </w:style>
  <w:style w:type="character" w:styleId="995" w:default="1">
    <w:name w:val="Default Paragraph Font"/>
    <w:uiPriority w:val="1"/>
    <w:semiHidden/>
    <w:unhideWhenUsed/>
    <w:qFormat/>
  </w:style>
  <w:style w:type="table" w:styleId="996" w:default="1">
    <w:name w:val="Normal Table"/>
    <w:uiPriority w:val="99"/>
    <w:semiHidden/>
    <w:unhideWhenUsed/>
    <w:qFormat/>
    <w:tblPr>
      <w:tblCellMar>
        <w:left w:w="108" w:type="dxa"/>
        <w:top w:w="0" w:type="dxa"/>
        <w:right w:w="108" w:type="dxa"/>
        <w:bottom w:w="0" w:type="dxa"/>
      </w:tblCellMar>
    </w:tblPr>
  </w:style>
  <w:style w:type="paragraph" w:styleId="997" w:customStyle="1">
    <w:name w:val="正文首行缩进11"/>
    <w:basedOn w:val="998"/>
    <w:link w:val="1055"/>
    <w:uiPriority w:val="0"/>
    <w:qFormat/>
    <w:pPr>
      <w:ind w:firstLine="200"/>
      <w:spacing w:line="360" w:lineRule="auto"/>
    </w:pPr>
    <w:rPr>
      <w:rFonts w:ascii="仿宋_GB2312" w:hAnsi="Times New Roman" w:eastAsia="仿宋_GB2312"/>
      <w:sz w:val="30"/>
      <w:szCs w:val="30"/>
    </w:rPr>
  </w:style>
  <w:style w:type="paragraph" w:styleId="998" w:customStyle="1">
    <w:name w:val="正文文本1"/>
    <w:basedOn w:val="985"/>
    <w:next w:val="985"/>
    <w:uiPriority w:val="0"/>
    <w:qFormat/>
    <w:rPr>
      <w:rFonts w:ascii="楷体_GB2312" w:hAnsi="Arial" w:eastAsia="楷体_GB2312"/>
      <w:sz w:val="28"/>
      <w:szCs w:val="28"/>
      <w:lang w:eastAsia="en-US"/>
    </w:rPr>
  </w:style>
  <w:style w:type="paragraph" w:styleId="999">
    <w:name w:val="toc 7"/>
    <w:basedOn w:val="985"/>
    <w:next w:val="985"/>
    <w:uiPriority w:val="39"/>
    <w:unhideWhenUsed/>
    <w:qFormat/>
    <w:pPr>
      <w:ind w:left="1701" w:right="0" w:firstLine="0"/>
      <w:spacing w:after="57"/>
    </w:pPr>
  </w:style>
  <w:style w:type="paragraph" w:styleId="1000">
    <w:name w:val="Caption"/>
    <w:basedOn w:val="985"/>
    <w:next w:val="9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01">
    <w:name w:val="Body Text Indent"/>
    <w:basedOn w:val="985"/>
    <w:uiPriority w:val="0"/>
    <w:qFormat/>
    <w:pPr>
      <w:ind w:firstLine="403"/>
      <w:spacing w:line="440" w:lineRule="exact"/>
    </w:pPr>
    <w:rPr>
      <w:rFonts w:ascii="宋体" w:hAnsi="宋体"/>
      <w:sz w:val="20"/>
      <w:szCs w:val="21"/>
    </w:rPr>
  </w:style>
  <w:style w:type="paragraph" w:styleId="1002">
    <w:name w:val="toc 5"/>
    <w:basedOn w:val="985"/>
    <w:next w:val="985"/>
    <w:uiPriority w:val="39"/>
    <w:unhideWhenUsed/>
    <w:qFormat/>
    <w:pPr>
      <w:ind w:left="1134" w:right="0" w:firstLine="0"/>
      <w:spacing w:after="57"/>
    </w:pPr>
  </w:style>
  <w:style w:type="paragraph" w:styleId="1003">
    <w:name w:val="toc 3"/>
    <w:basedOn w:val="985"/>
    <w:next w:val="985"/>
    <w:uiPriority w:val="39"/>
    <w:unhideWhenUsed/>
    <w:qFormat/>
    <w:pPr>
      <w:ind w:left="567" w:right="0" w:firstLine="0"/>
      <w:spacing w:after="57"/>
    </w:pPr>
  </w:style>
  <w:style w:type="paragraph" w:styleId="1004">
    <w:name w:val="toc 8"/>
    <w:basedOn w:val="985"/>
    <w:next w:val="985"/>
    <w:uiPriority w:val="39"/>
    <w:unhideWhenUsed/>
    <w:qFormat/>
    <w:pPr>
      <w:ind w:left="1984" w:right="0" w:firstLine="0"/>
      <w:spacing w:after="57"/>
    </w:pPr>
  </w:style>
  <w:style w:type="paragraph" w:styleId="1005">
    <w:name w:val="endnote text"/>
    <w:basedOn w:val="985"/>
    <w:uiPriority w:val="99"/>
    <w:semiHidden/>
    <w:unhideWhenUsed/>
    <w:qFormat/>
    <w:pPr>
      <w:spacing w:after="0" w:line="240" w:lineRule="auto"/>
    </w:pPr>
    <w:rPr>
      <w:sz w:val="20"/>
    </w:rPr>
  </w:style>
  <w:style w:type="paragraph" w:styleId="1006">
    <w:name w:val="Footer"/>
    <w:basedOn w:val="985"/>
    <w:uiPriority w:val="99"/>
    <w:unhideWhenUsed/>
    <w:qFormat/>
    <w:pPr>
      <w:spacing w:after="0" w:line="240" w:lineRule="auto"/>
      <w:tabs>
        <w:tab w:val="center" w:pos="7143" w:leader="none"/>
        <w:tab w:val="right" w:pos="14287" w:leader="none"/>
      </w:tabs>
    </w:pPr>
  </w:style>
  <w:style w:type="paragraph" w:styleId="1007">
    <w:name w:val="Header"/>
    <w:basedOn w:val="985"/>
    <w:uiPriority w:val="99"/>
    <w:unhideWhenUsed/>
    <w:qFormat/>
    <w:pPr>
      <w:spacing w:after="0" w:line="240" w:lineRule="auto"/>
      <w:tabs>
        <w:tab w:val="center" w:pos="7143" w:leader="none"/>
        <w:tab w:val="right" w:pos="14287" w:leader="none"/>
      </w:tabs>
    </w:pPr>
  </w:style>
  <w:style w:type="paragraph" w:styleId="1008">
    <w:name w:val="toc 1"/>
    <w:basedOn w:val="985"/>
    <w:next w:val="985"/>
    <w:uiPriority w:val="39"/>
    <w:unhideWhenUsed/>
    <w:qFormat/>
    <w:pPr>
      <w:ind w:left="0" w:right="0" w:firstLine="0"/>
      <w:spacing w:after="57"/>
    </w:pPr>
  </w:style>
  <w:style w:type="paragraph" w:styleId="1009">
    <w:name w:val="toc 4"/>
    <w:basedOn w:val="985"/>
    <w:next w:val="985"/>
    <w:uiPriority w:val="39"/>
    <w:unhideWhenUsed/>
    <w:qFormat/>
    <w:pPr>
      <w:ind w:left="850" w:right="0" w:firstLine="0"/>
      <w:spacing w:after="57"/>
    </w:pPr>
  </w:style>
  <w:style w:type="paragraph" w:styleId="1010">
    <w:name w:val="Subtitle"/>
    <w:basedOn w:val="985"/>
    <w:next w:val="985"/>
    <w:uiPriority w:val="11"/>
    <w:qFormat/>
    <w:pPr>
      <w:spacing w:before="200" w:after="200"/>
    </w:pPr>
    <w:rPr>
      <w:sz w:val="24"/>
      <w:szCs w:val="24"/>
    </w:rPr>
  </w:style>
  <w:style w:type="paragraph" w:styleId="1011">
    <w:name w:val="footnote text"/>
    <w:basedOn w:val="985"/>
    <w:uiPriority w:val="99"/>
    <w:semiHidden/>
    <w:unhideWhenUsed/>
    <w:qFormat/>
    <w:pPr>
      <w:spacing w:after="40" w:line="240" w:lineRule="auto"/>
    </w:pPr>
    <w:rPr>
      <w:sz w:val="18"/>
    </w:rPr>
  </w:style>
  <w:style w:type="paragraph" w:styleId="1012">
    <w:name w:val="toc 6"/>
    <w:basedOn w:val="985"/>
    <w:next w:val="985"/>
    <w:uiPriority w:val="39"/>
    <w:unhideWhenUsed/>
    <w:qFormat/>
    <w:pPr>
      <w:ind w:left="1417" w:right="0" w:firstLine="0"/>
      <w:spacing w:after="57"/>
    </w:pPr>
  </w:style>
  <w:style w:type="paragraph" w:styleId="1013">
    <w:name w:val="table of figures"/>
    <w:basedOn w:val="985"/>
    <w:next w:val="985"/>
    <w:uiPriority w:val="99"/>
    <w:unhideWhenUsed/>
    <w:qFormat/>
    <w:pPr>
      <w:spacing w:after="0" w:afterAutospacing="0"/>
    </w:pPr>
  </w:style>
  <w:style w:type="paragraph" w:styleId="1014">
    <w:name w:val="toc 2"/>
    <w:basedOn w:val="985"/>
    <w:next w:val="985"/>
    <w:uiPriority w:val="39"/>
    <w:unhideWhenUsed/>
    <w:qFormat/>
    <w:pPr>
      <w:ind w:left="283" w:right="0" w:firstLine="0"/>
      <w:spacing w:after="57"/>
    </w:pPr>
  </w:style>
  <w:style w:type="paragraph" w:styleId="1015">
    <w:name w:val="toc 9"/>
    <w:basedOn w:val="985"/>
    <w:next w:val="985"/>
    <w:uiPriority w:val="39"/>
    <w:unhideWhenUsed/>
    <w:qFormat/>
    <w:pPr>
      <w:ind w:left="2268" w:right="0" w:firstLine="0"/>
      <w:spacing w:after="57"/>
    </w:pPr>
  </w:style>
  <w:style w:type="paragraph" w:styleId="1016">
    <w:name w:val="Normal (Web)"/>
    <w:basedOn w:val="985"/>
    <w:uiPriority w:val="0"/>
    <w:qFormat/>
    <w:pPr>
      <w:jc w:val="left"/>
      <w:spacing w:beforeAutospacing="1" w:afterAutospacing="1"/>
    </w:pPr>
    <w:rPr>
      <w:sz w:val="24"/>
    </w:rPr>
  </w:style>
  <w:style w:type="paragraph" w:styleId="1017">
    <w:name w:val="Title"/>
    <w:basedOn w:val="985"/>
    <w:next w:val="985"/>
    <w:uiPriority w:val="10"/>
    <w:qFormat/>
    <w:pPr>
      <w:contextualSpacing/>
      <w:spacing w:before="300" w:after="200"/>
    </w:pPr>
    <w:rPr>
      <w:sz w:val="48"/>
      <w:szCs w:val="48"/>
    </w:rPr>
  </w:style>
  <w:style w:type="table" w:styleId="101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9">
    <w:name w:val="endnote reference"/>
    <w:uiPriority w:val="99"/>
    <w:semiHidden/>
    <w:unhideWhenUsed/>
    <w:qFormat/>
    <w:rPr>
      <w:vertAlign w:val="superscript"/>
    </w:rPr>
  </w:style>
  <w:style w:type="character" w:styleId="1020">
    <w:name w:val="Emphasis"/>
    <w:uiPriority w:val="0"/>
    <w:qFormat/>
    <w:rPr>
      <w:i/>
    </w:rPr>
  </w:style>
  <w:style w:type="character" w:styleId="1021">
    <w:name w:val="Hyperlink"/>
    <w:uiPriority w:val="99"/>
    <w:unhideWhenUsed/>
    <w:qFormat/>
    <w:rPr>
      <w:color w:val="0000ff" w:themeColor="hyperlink"/>
      <w:u w:val="single"/>
      <w14:textFill>
        <w14:solidFill>
          <w14:schemeClr w14:val="hlink"/>
        </w14:solidFill>
      </w14:textFill>
    </w:rPr>
  </w:style>
  <w:style w:type="character" w:styleId="1022">
    <w:name w:val="footnote reference"/>
    <w:uiPriority w:val="99"/>
    <w:unhideWhenUsed/>
    <w:qFormat/>
    <w:rPr>
      <w:vertAlign w:val="superscript"/>
    </w:rPr>
  </w:style>
  <w:style w:type="paragraph" w:styleId="1023" w:customStyle="1">
    <w:name w:val="正文首行缩进 21"/>
    <w:basedOn w:val="1024"/>
    <w:link w:val="1267"/>
    <w:uiPriority w:val="0"/>
    <w:qFormat/>
    <w:pPr>
      <w:ind w:left="0" w:firstLine="420"/>
      <w:spacing w:after="0" w:line="360" w:lineRule="auto"/>
    </w:pPr>
    <w:rPr>
      <w:rFonts w:ascii="宋体" w:hAnsi="宋体"/>
      <w:sz w:val="20"/>
      <w:szCs w:val="20"/>
    </w:rPr>
  </w:style>
  <w:style w:type="paragraph" w:styleId="1024" w:customStyle="1">
    <w:name w:val="正文文本缩进1"/>
    <w:basedOn w:val="985"/>
    <w:next w:val="1023"/>
    <w:link w:val="1235"/>
    <w:uiPriority w:val="99"/>
    <w:unhideWhenUsed/>
    <w:qFormat/>
    <w:pPr>
      <w:ind w:left="420"/>
      <w:spacing w:after="120"/>
    </w:pPr>
  </w:style>
  <w:style w:type="paragraph" w:styleId="1025" w:customStyle="1">
    <w:name w:val="标题 111"/>
    <w:basedOn w:val="985"/>
    <w:next w:val="985"/>
    <w:uiPriority w:val="0"/>
    <w:qFormat/>
    <w:pPr>
      <w:numPr>
        <w:ilvl w:val="0"/>
        <w:numId w:val="1"/>
      </w:numPr>
      <w:jc w:val="left"/>
      <w:keepLines/>
      <w:keepNext/>
      <w:outlineLvl w:val="0"/>
    </w:pPr>
    <w:rPr>
      <w:b/>
      <w:bCs/>
      <w:sz w:val="32"/>
      <w:szCs w:val="32"/>
    </w:rPr>
  </w:style>
  <w:style w:type="character" w:styleId="1026" w:customStyle="1">
    <w:name w:val="默认段落字体11"/>
    <w:link w:val="985"/>
    <w:uiPriority w:val="1"/>
    <w:unhideWhenUsed/>
    <w:qFormat/>
  </w:style>
  <w:style w:type="table" w:styleId="1027" w:customStyle="1">
    <w:name w:val="普通表格11"/>
    <w:uiPriority w:val="99"/>
    <w:unhideWhenUsed/>
    <w:qFormat/>
    <w:tblPr/>
  </w:style>
  <w:style w:type="paragraph" w:styleId="1028" w:customStyle="1">
    <w:name w:val="目录 711"/>
    <w:basedOn w:val="985"/>
    <w:next w:val="985"/>
    <w:uiPriority w:val="39"/>
    <w:unhideWhenUsed/>
    <w:qFormat/>
    <w:pPr>
      <w:ind w:left="1701" w:right="0" w:firstLine="0"/>
      <w:spacing w:after="57"/>
    </w:pPr>
  </w:style>
  <w:style w:type="paragraph" w:styleId="1029" w:customStyle="1">
    <w:name w:val="正文文本1111"/>
    <w:basedOn w:val="985"/>
    <w:next w:val="985"/>
    <w:uiPriority w:val="0"/>
    <w:qFormat/>
    <w:rPr>
      <w:rFonts w:ascii="楷体_GB2312" w:hAnsi="Arial" w:eastAsia="楷体_GB2312"/>
      <w:sz w:val="28"/>
      <w:szCs w:val="28"/>
    </w:rPr>
  </w:style>
  <w:style w:type="paragraph" w:styleId="1030" w:customStyle="1">
    <w:name w:val="目录 511"/>
    <w:basedOn w:val="985"/>
    <w:next w:val="985"/>
    <w:uiPriority w:val="39"/>
    <w:unhideWhenUsed/>
    <w:qFormat/>
    <w:pPr>
      <w:ind w:left="1134" w:right="0" w:firstLine="0"/>
      <w:spacing w:after="57"/>
    </w:pPr>
  </w:style>
  <w:style w:type="paragraph" w:styleId="1031" w:customStyle="1">
    <w:name w:val="目录 311"/>
    <w:basedOn w:val="985"/>
    <w:next w:val="985"/>
    <w:uiPriority w:val="39"/>
    <w:unhideWhenUsed/>
    <w:qFormat/>
    <w:pPr>
      <w:ind w:left="567" w:right="0" w:firstLine="0"/>
      <w:spacing w:after="57"/>
    </w:pPr>
  </w:style>
  <w:style w:type="paragraph" w:styleId="1032" w:customStyle="1">
    <w:name w:val="纯文本11"/>
    <w:basedOn w:val="985"/>
    <w:uiPriority w:val="0"/>
    <w:qFormat/>
    <w:rPr>
      <w:rFonts w:ascii="宋体" w:hAnsi="Courier New"/>
    </w:rPr>
  </w:style>
  <w:style w:type="paragraph" w:styleId="1033" w:customStyle="1">
    <w:name w:val="目录 811"/>
    <w:basedOn w:val="985"/>
    <w:next w:val="985"/>
    <w:uiPriority w:val="39"/>
    <w:unhideWhenUsed/>
    <w:qFormat/>
    <w:pPr>
      <w:ind w:left="1984" w:right="0" w:firstLine="0"/>
      <w:spacing w:after="57"/>
    </w:pPr>
  </w:style>
  <w:style w:type="paragraph" w:styleId="1034" w:customStyle="1">
    <w:name w:val="正文文本缩进 211"/>
    <w:basedOn w:val="985"/>
    <w:uiPriority w:val="0"/>
    <w:qFormat/>
    <w:pPr>
      <w:ind w:firstLine="502"/>
      <w:spacing w:line="360" w:lineRule="auto"/>
      <w:tabs>
        <w:tab w:val="left" w:pos="0" w:leader="none"/>
      </w:tabs>
    </w:pPr>
    <w:rPr>
      <w:rFonts w:ascii="宋体" w:eastAsia="宋体"/>
      <w:b/>
      <w:bCs/>
      <w:sz w:val="24"/>
    </w:rPr>
  </w:style>
  <w:style w:type="paragraph" w:styleId="1035" w:customStyle="1">
    <w:name w:val="尾注文本1"/>
    <w:basedOn w:val="985"/>
    <w:link w:val="1036"/>
    <w:uiPriority w:val="99"/>
    <w:unhideWhenUsed/>
    <w:qFormat/>
    <w:pPr>
      <w:spacing w:after="0" w:line="240" w:lineRule="auto"/>
    </w:pPr>
    <w:rPr>
      <w:sz w:val="20"/>
    </w:rPr>
  </w:style>
  <w:style w:type="character" w:styleId="1036" w:customStyle="1">
    <w:name w:val="Endnote Text Char"/>
    <w:link w:val="1035"/>
    <w:uiPriority w:val="99"/>
    <w:qFormat/>
    <w:rPr>
      <w:sz w:val="20"/>
    </w:rPr>
  </w:style>
  <w:style w:type="paragraph" w:styleId="1037" w:customStyle="1">
    <w:name w:val="目录 111"/>
    <w:basedOn w:val="985"/>
    <w:next w:val="985"/>
    <w:uiPriority w:val="39"/>
    <w:unhideWhenUsed/>
    <w:qFormat/>
    <w:pPr>
      <w:ind w:left="0" w:right="0" w:firstLine="0"/>
      <w:spacing w:after="57"/>
    </w:pPr>
  </w:style>
  <w:style w:type="paragraph" w:styleId="1038" w:customStyle="1">
    <w:name w:val="目录 411"/>
    <w:basedOn w:val="985"/>
    <w:next w:val="985"/>
    <w:uiPriority w:val="39"/>
    <w:unhideWhenUsed/>
    <w:qFormat/>
    <w:pPr>
      <w:ind w:left="850" w:right="0" w:firstLine="0"/>
      <w:spacing w:after="57"/>
    </w:pPr>
  </w:style>
  <w:style w:type="paragraph" w:styleId="1039" w:customStyle="1">
    <w:name w:val="副标题1"/>
    <w:basedOn w:val="985"/>
    <w:next w:val="985"/>
    <w:link w:val="1040"/>
    <w:uiPriority w:val="11"/>
    <w:qFormat/>
    <w:pPr>
      <w:spacing w:before="200" w:after="200"/>
    </w:pPr>
    <w:rPr>
      <w:sz w:val="24"/>
      <w:szCs w:val="24"/>
    </w:rPr>
  </w:style>
  <w:style w:type="character" w:styleId="1040" w:customStyle="1">
    <w:name w:val="Subtitle Char"/>
    <w:link w:val="1039"/>
    <w:uiPriority w:val="11"/>
    <w:qFormat/>
    <w:rPr>
      <w:sz w:val="24"/>
      <w:szCs w:val="24"/>
    </w:rPr>
  </w:style>
  <w:style w:type="paragraph" w:styleId="1041" w:customStyle="1">
    <w:name w:val="脚注文本1"/>
    <w:basedOn w:val="985"/>
    <w:link w:val="1042"/>
    <w:uiPriority w:val="99"/>
    <w:unhideWhenUsed/>
    <w:qFormat/>
    <w:pPr>
      <w:spacing w:after="40" w:line="240" w:lineRule="auto"/>
    </w:pPr>
    <w:rPr>
      <w:sz w:val="18"/>
    </w:rPr>
  </w:style>
  <w:style w:type="character" w:styleId="1042" w:customStyle="1">
    <w:name w:val="Footnote Text Char"/>
    <w:link w:val="1041"/>
    <w:uiPriority w:val="99"/>
    <w:qFormat/>
    <w:rPr>
      <w:sz w:val="18"/>
    </w:rPr>
  </w:style>
  <w:style w:type="paragraph" w:styleId="1043" w:customStyle="1">
    <w:name w:val="目录 611"/>
    <w:basedOn w:val="985"/>
    <w:next w:val="985"/>
    <w:uiPriority w:val="39"/>
    <w:unhideWhenUsed/>
    <w:qFormat/>
    <w:pPr>
      <w:ind w:left="1417" w:right="0" w:firstLine="0"/>
      <w:spacing w:after="57"/>
    </w:pPr>
  </w:style>
  <w:style w:type="paragraph" w:styleId="1044" w:customStyle="1">
    <w:name w:val="图表目录11"/>
    <w:basedOn w:val="985"/>
    <w:next w:val="985"/>
    <w:uiPriority w:val="99"/>
    <w:unhideWhenUsed/>
    <w:qFormat/>
    <w:pPr>
      <w:spacing w:after="0" w:afterAutospacing="0"/>
    </w:pPr>
  </w:style>
  <w:style w:type="paragraph" w:styleId="1045" w:customStyle="1">
    <w:name w:val="目录 211"/>
    <w:basedOn w:val="985"/>
    <w:next w:val="985"/>
    <w:uiPriority w:val="39"/>
    <w:unhideWhenUsed/>
    <w:qFormat/>
    <w:pPr>
      <w:ind w:left="283" w:right="0" w:firstLine="0"/>
      <w:spacing w:after="57"/>
    </w:pPr>
  </w:style>
  <w:style w:type="paragraph" w:styleId="1046" w:customStyle="1">
    <w:name w:val="目录 911"/>
    <w:basedOn w:val="985"/>
    <w:next w:val="985"/>
    <w:uiPriority w:val="39"/>
    <w:unhideWhenUsed/>
    <w:qFormat/>
    <w:pPr>
      <w:ind w:left="2268" w:right="0" w:firstLine="0"/>
      <w:spacing w:after="57"/>
    </w:pPr>
  </w:style>
  <w:style w:type="paragraph" w:styleId="1047" w:customStyle="1">
    <w:name w:val="普通(网站)11"/>
    <w:basedOn w:val="985"/>
    <w:uiPriority w:val="0"/>
    <w:qFormat/>
    <w:pPr>
      <w:jc w:val="left"/>
      <w:spacing w:before="100" w:beforeAutospacing="1" w:after="100" w:afterAutospacing="1" w:line="360" w:lineRule="auto"/>
      <w:widowControl/>
    </w:pPr>
    <w:rPr>
      <w:rFonts w:hint="eastAsia" w:ascii="宋体" w:hAnsi="宋体"/>
      <w:sz w:val="18"/>
      <w:szCs w:val="18"/>
    </w:rPr>
  </w:style>
  <w:style w:type="paragraph" w:styleId="1048" w:customStyle="1">
    <w:name w:val="标题11"/>
    <w:basedOn w:val="985"/>
    <w:next w:val="985"/>
    <w:link w:val="1049"/>
    <w:uiPriority w:val="10"/>
    <w:qFormat/>
    <w:pPr>
      <w:contextualSpacing/>
      <w:spacing w:before="300" w:after="200"/>
    </w:pPr>
    <w:rPr>
      <w:sz w:val="48"/>
      <w:szCs w:val="48"/>
    </w:rPr>
  </w:style>
  <w:style w:type="character" w:styleId="1049" w:customStyle="1">
    <w:name w:val="Title Char"/>
    <w:link w:val="1048"/>
    <w:uiPriority w:val="10"/>
    <w:qFormat/>
    <w:rPr>
      <w:sz w:val="48"/>
      <w:szCs w:val="48"/>
    </w:rPr>
  </w:style>
  <w:style w:type="paragraph" w:styleId="1050" w:customStyle="1">
    <w:name w:val="正文首行缩进121"/>
    <w:basedOn w:val="1029"/>
    <w:uiPriority w:val="0"/>
    <w:qFormat/>
    <w:pPr>
      <w:ind w:firstLine="200"/>
      <w:spacing w:line="360" w:lineRule="auto"/>
    </w:pPr>
    <w:rPr>
      <w:rFonts w:ascii="仿宋_GB2312" w:hAnsi="Times New Roman" w:eastAsia="仿宋_GB2312"/>
      <w:sz w:val="30"/>
      <w:szCs w:val="30"/>
    </w:rPr>
  </w:style>
  <w:style w:type="table" w:styleId="1051" w:customStyle="1">
    <w:name w:val="网格型11"/>
    <w:uiPriority w:val="59"/>
    <w:qFormat/>
    <w:pPr>
      <w:spacing w:after="0" w:line="240" w:lineRule="auto"/>
    </w:pPr>
    <w:tblPr/>
  </w:style>
  <w:style w:type="character" w:styleId="1052" w:customStyle="1">
    <w:name w:val="尾注引用1"/>
    <w:link w:val="985"/>
    <w:uiPriority w:val="99"/>
    <w:unhideWhenUsed/>
    <w:qFormat/>
    <w:rPr>
      <w:vertAlign w:val="superscript"/>
    </w:rPr>
  </w:style>
  <w:style w:type="character" w:styleId="1053" w:customStyle="1">
    <w:name w:val="超链接12"/>
    <w:basedOn w:val="1026"/>
    <w:link w:val="985"/>
    <w:uiPriority w:val="99"/>
    <w:unhideWhenUsed/>
    <w:qFormat/>
    <w:rPr>
      <w:color w:val="0000ff"/>
      <w:u w:val="single"/>
    </w:rPr>
  </w:style>
  <w:style w:type="character" w:styleId="1054" w:customStyle="1">
    <w:name w:val="脚注引用1"/>
    <w:link w:val="985"/>
    <w:uiPriority w:val="99"/>
    <w:unhideWhenUsed/>
    <w:qFormat/>
    <w:rPr>
      <w:vertAlign w:val="superscript"/>
    </w:rPr>
  </w:style>
  <w:style w:type="character" w:styleId="1055" w:customStyle="1">
    <w:name w:val="正文首行缩进 字符"/>
    <w:link w:val="997"/>
    <w:uiPriority w:val="0"/>
    <w:qFormat/>
    <w:rPr>
      <w:rFonts w:ascii="仿宋_GB2312" w:hAnsi="Times New Roman" w:eastAsia="仿宋_GB2312" w:cs="Times New Roman"/>
      <w:sz w:val="30"/>
      <w:szCs w:val="30"/>
    </w:rPr>
  </w:style>
  <w:style w:type="character" w:styleId="1056" w:customStyle="1">
    <w:name w:val="Heading 1 Char"/>
    <w:link w:val="986"/>
    <w:uiPriority w:val="9"/>
    <w:qFormat/>
    <w:rPr>
      <w:rFonts w:ascii="Arial" w:hAnsi="Arial" w:eastAsia="Arial" w:cs="Arial"/>
      <w:sz w:val="40"/>
      <w:szCs w:val="40"/>
    </w:rPr>
  </w:style>
  <w:style w:type="character" w:styleId="1057" w:customStyle="1">
    <w:name w:val="Heading 2 Char"/>
    <w:link w:val="987"/>
    <w:uiPriority w:val="9"/>
    <w:qFormat/>
    <w:rPr>
      <w:rFonts w:ascii="Arial" w:hAnsi="Arial" w:eastAsia="Arial" w:cs="Arial"/>
      <w:sz w:val="34"/>
    </w:rPr>
  </w:style>
  <w:style w:type="character" w:styleId="1058" w:customStyle="1">
    <w:name w:val="Heading 3 Char"/>
    <w:link w:val="988"/>
    <w:uiPriority w:val="9"/>
    <w:qFormat/>
    <w:rPr>
      <w:rFonts w:ascii="Arial" w:hAnsi="Arial" w:eastAsia="Arial" w:cs="Arial"/>
      <w:sz w:val="30"/>
      <w:szCs w:val="30"/>
    </w:rPr>
  </w:style>
  <w:style w:type="character" w:styleId="1059" w:customStyle="1">
    <w:name w:val="Heading 4 Char"/>
    <w:link w:val="989"/>
    <w:uiPriority w:val="9"/>
    <w:qFormat/>
    <w:rPr>
      <w:rFonts w:ascii="Arial" w:hAnsi="Arial" w:eastAsia="Arial" w:cs="Arial"/>
      <w:b/>
      <w:bCs/>
      <w:sz w:val="26"/>
      <w:szCs w:val="26"/>
    </w:rPr>
  </w:style>
  <w:style w:type="character" w:styleId="1060" w:customStyle="1">
    <w:name w:val="Heading 5 Char"/>
    <w:link w:val="990"/>
    <w:uiPriority w:val="9"/>
    <w:qFormat/>
    <w:rPr>
      <w:rFonts w:ascii="Arial" w:hAnsi="Arial" w:eastAsia="Arial" w:cs="Arial"/>
      <w:b/>
      <w:bCs/>
      <w:sz w:val="24"/>
      <w:szCs w:val="24"/>
    </w:rPr>
  </w:style>
  <w:style w:type="character" w:styleId="1061" w:customStyle="1">
    <w:name w:val="Heading 6 Char"/>
    <w:link w:val="991"/>
    <w:uiPriority w:val="9"/>
    <w:qFormat/>
    <w:rPr>
      <w:rFonts w:ascii="Arial" w:hAnsi="Arial" w:eastAsia="Arial" w:cs="Arial"/>
      <w:b/>
      <w:bCs/>
      <w:sz w:val="22"/>
      <w:szCs w:val="22"/>
    </w:rPr>
  </w:style>
  <w:style w:type="character" w:styleId="1062" w:customStyle="1">
    <w:name w:val="Heading 7 Char"/>
    <w:link w:val="992"/>
    <w:uiPriority w:val="9"/>
    <w:qFormat/>
    <w:rPr>
      <w:rFonts w:ascii="Arial" w:hAnsi="Arial" w:eastAsia="Arial" w:cs="Arial"/>
      <w:b/>
      <w:bCs/>
      <w:i/>
      <w:iCs/>
      <w:sz w:val="22"/>
      <w:szCs w:val="22"/>
    </w:rPr>
  </w:style>
  <w:style w:type="character" w:styleId="1063" w:customStyle="1">
    <w:name w:val="Heading 8 Char"/>
    <w:link w:val="993"/>
    <w:uiPriority w:val="9"/>
    <w:qFormat/>
    <w:rPr>
      <w:rFonts w:ascii="Arial" w:hAnsi="Arial" w:eastAsia="Arial" w:cs="Arial"/>
      <w:i/>
      <w:iCs/>
      <w:sz w:val="22"/>
      <w:szCs w:val="22"/>
    </w:rPr>
  </w:style>
  <w:style w:type="character" w:styleId="1064" w:customStyle="1">
    <w:name w:val="Heading 9 Char"/>
    <w:link w:val="994"/>
    <w:uiPriority w:val="9"/>
    <w:qFormat/>
    <w:rPr>
      <w:rFonts w:ascii="Arial" w:hAnsi="Arial" w:eastAsia="Arial" w:cs="Arial"/>
      <w:i/>
      <w:iCs/>
      <w:sz w:val="21"/>
      <w:szCs w:val="21"/>
    </w:rPr>
  </w:style>
  <w:style w:type="paragraph" w:styleId="1065" w:customStyle="1">
    <w:name w:val="Caption1"/>
    <w:basedOn w:val="985"/>
    <w:next w:val="985"/>
    <w:uiPriority w:val="35"/>
    <w:unhideWhenUsed/>
    <w:qFormat/>
    <w:pPr>
      <w:spacing w:line="276" w:lineRule="auto"/>
    </w:pPr>
    <w:rPr>
      <w:b/>
      <w:bCs/>
      <w:color w:val="4f81bd"/>
      <w:sz w:val="18"/>
      <w:szCs w:val="18"/>
    </w:rPr>
  </w:style>
  <w:style w:type="paragraph" w:styleId="1066" w:customStyle="1">
    <w:name w:val="Footer1"/>
    <w:basedOn w:val="985"/>
    <w:link w:val="1068"/>
    <w:uiPriority w:val="99"/>
    <w:unhideWhenUsed/>
    <w:qFormat/>
    <w:pPr>
      <w:spacing w:after="0" w:line="240" w:lineRule="auto"/>
      <w:tabs>
        <w:tab w:val="center" w:pos="7143" w:leader="none"/>
        <w:tab w:val="right" w:pos="14287" w:leader="none"/>
      </w:tabs>
    </w:pPr>
  </w:style>
  <w:style w:type="character" w:styleId="1067" w:customStyle="1">
    <w:name w:val="Footer Char"/>
    <w:link w:val="1066"/>
    <w:uiPriority w:val="99"/>
    <w:qFormat/>
  </w:style>
  <w:style w:type="character" w:styleId="1068" w:customStyle="1">
    <w:name w:val="Caption Char"/>
    <w:link w:val="1066"/>
    <w:uiPriority w:val="99"/>
    <w:qFormat/>
  </w:style>
  <w:style w:type="paragraph" w:styleId="1069" w:customStyle="1">
    <w:name w:val="Header1"/>
    <w:basedOn w:val="985"/>
    <w:link w:val="1070"/>
    <w:uiPriority w:val="99"/>
    <w:unhideWhenUsed/>
    <w:qFormat/>
    <w:pPr>
      <w:spacing w:after="0" w:line="240" w:lineRule="auto"/>
      <w:tabs>
        <w:tab w:val="center" w:pos="7143" w:leader="none"/>
        <w:tab w:val="right" w:pos="14287" w:leader="none"/>
      </w:tabs>
    </w:pPr>
  </w:style>
  <w:style w:type="character" w:styleId="1070" w:customStyle="1">
    <w:name w:val="Header Char"/>
    <w:link w:val="1069"/>
    <w:uiPriority w:val="99"/>
    <w:qFormat/>
  </w:style>
  <w:style w:type="paragraph" w:styleId="1071" w:customStyle="1">
    <w:name w:val="正文文本11"/>
    <w:basedOn w:val="985"/>
    <w:next w:val="985"/>
    <w:link w:val="1072"/>
    <w:uiPriority w:val="0"/>
    <w:qFormat/>
    <w:rPr>
      <w:rFonts w:ascii="楷体_GB2312" w:hAnsi="Arial" w:eastAsia="楷体_GB2312"/>
      <w:sz w:val="28"/>
      <w:szCs w:val="28"/>
    </w:rPr>
  </w:style>
  <w:style w:type="character" w:styleId="1072" w:customStyle="1">
    <w:name w:val="正文文本 字符"/>
    <w:link w:val="1071"/>
    <w:uiPriority w:val="0"/>
    <w:qFormat/>
    <w:rPr>
      <w:rFonts w:ascii="楷体_GB2312" w:hAnsi="Arial" w:eastAsia="楷体_GB2312" w:cs="Times New Roman"/>
      <w:sz w:val="28"/>
      <w:szCs w:val="28"/>
    </w:rPr>
  </w:style>
  <w:style w:type="paragraph" w:styleId="1073">
    <w:name w:val="List Paragraph"/>
    <w:basedOn w:val="985"/>
    <w:uiPriority w:val="34"/>
    <w:qFormat/>
    <w:pPr>
      <w:contextualSpacing/>
      <w:ind w:left="720"/>
    </w:pPr>
  </w:style>
  <w:style w:type="paragraph" w:styleId="1074">
    <w:name w:val="No Spacing"/>
    <w:uiPriority w:val="1"/>
    <w:qFormat/>
    <w:pPr>
      <w:spacing w:before="0" w:after="0" w:line="240" w:lineRule="auto"/>
    </w:pPr>
    <w:rPr>
      <w:rFonts w:hint="default" w:ascii="Times New Roman" w:hAnsi="Times New Roman" w:eastAsia="宋体" w:cs="Times New Roman"/>
    </w:rPr>
  </w:style>
  <w:style w:type="paragraph" w:styleId="1075">
    <w:name w:val="Quote"/>
    <w:basedOn w:val="985"/>
    <w:next w:val="985"/>
    <w:link w:val="1076"/>
    <w:uiPriority w:val="29"/>
    <w:qFormat/>
    <w:pPr>
      <w:ind w:left="720" w:right="720"/>
    </w:pPr>
    <w:rPr>
      <w:i/>
    </w:rPr>
  </w:style>
  <w:style w:type="character" w:styleId="1076" w:customStyle="1">
    <w:name w:val="Quote Char"/>
    <w:link w:val="1075"/>
    <w:uiPriority w:val="29"/>
    <w:qFormat/>
    <w:rPr>
      <w:i/>
    </w:rPr>
  </w:style>
  <w:style w:type="paragraph" w:styleId="1077">
    <w:name w:val="Intense Quote"/>
    <w:basedOn w:val="985"/>
    <w:next w:val="985"/>
    <w:link w:val="10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8" w:customStyle="1">
    <w:name w:val="Intense Quote Char"/>
    <w:link w:val="1077"/>
    <w:uiPriority w:val="30"/>
    <w:qFormat/>
    <w:rPr>
      <w:i/>
    </w:rPr>
  </w:style>
  <w:style w:type="table" w:styleId="1079" w:customStyle="1">
    <w:name w:val="Table Grid Light"/>
    <w:uiPriority w:val="59"/>
    <w:qFormat/>
    <w:pPr>
      <w:spacing w:after="0" w:line="240" w:lineRule="auto"/>
    </w:pPr>
    <w:tblPr/>
  </w:style>
  <w:style w:type="table" w:styleId="1080" w:customStyle="1">
    <w:name w:val="Plain Table 1"/>
    <w:uiPriority w:val="59"/>
    <w:qFormat/>
    <w:pPr>
      <w:spacing w:after="0" w:line="240" w:lineRule="auto"/>
    </w:pPr>
    <w:tblPr/>
  </w:style>
  <w:style w:type="table" w:styleId="1081" w:customStyle="1">
    <w:name w:val="Plain Table 2"/>
    <w:uiPriority w:val="59"/>
    <w:qFormat/>
    <w:pPr>
      <w:spacing w:after="0" w:line="240" w:lineRule="auto"/>
    </w:pPr>
    <w:tblPr/>
  </w:style>
  <w:style w:type="table" w:styleId="1082" w:customStyle="1">
    <w:name w:val="Plain Table 3"/>
    <w:uiPriority w:val="99"/>
    <w:qFormat/>
    <w:pPr>
      <w:spacing w:after="0" w:line="240" w:lineRule="auto"/>
    </w:pPr>
    <w:tblPr/>
  </w:style>
  <w:style w:type="table" w:styleId="1083" w:customStyle="1">
    <w:name w:val="Plain Table 4"/>
    <w:uiPriority w:val="99"/>
    <w:qFormat/>
    <w:pPr>
      <w:spacing w:after="0" w:line="240" w:lineRule="auto"/>
    </w:pPr>
    <w:tblPr/>
  </w:style>
  <w:style w:type="table" w:styleId="1084" w:customStyle="1">
    <w:name w:val="Plain Table 5"/>
    <w:uiPriority w:val="99"/>
    <w:qFormat/>
    <w:pPr>
      <w:spacing w:after="0" w:line="240" w:lineRule="auto"/>
    </w:pPr>
    <w:tblPr/>
  </w:style>
  <w:style w:type="table" w:styleId="1085" w:customStyle="1">
    <w:name w:val="Grid Table 1 Light"/>
    <w:uiPriority w:val="99"/>
    <w:qFormat/>
    <w:pPr>
      <w:spacing w:after="0" w:line="240" w:lineRule="auto"/>
    </w:pPr>
    <w:tblPr/>
  </w:style>
  <w:style w:type="table" w:styleId="1086" w:customStyle="1">
    <w:name w:val="Grid Table 1 Light - Accent 1"/>
    <w:uiPriority w:val="99"/>
    <w:qFormat/>
    <w:pPr>
      <w:spacing w:after="0" w:line="240" w:lineRule="auto"/>
    </w:pPr>
    <w:tblPr/>
  </w:style>
  <w:style w:type="table" w:styleId="1087" w:customStyle="1">
    <w:name w:val="Grid Table 1 Light - Accent 2"/>
    <w:uiPriority w:val="99"/>
    <w:qFormat/>
    <w:pPr>
      <w:spacing w:after="0" w:line="240" w:lineRule="auto"/>
    </w:pPr>
    <w:tblPr/>
  </w:style>
  <w:style w:type="table" w:styleId="1088" w:customStyle="1">
    <w:name w:val="Grid Table 1 Light - Accent 3"/>
    <w:uiPriority w:val="99"/>
    <w:qFormat/>
    <w:pPr>
      <w:spacing w:after="0" w:line="240" w:lineRule="auto"/>
    </w:pPr>
    <w:tblPr/>
  </w:style>
  <w:style w:type="table" w:styleId="1089" w:customStyle="1">
    <w:name w:val="Grid Table 1 Light - Accent 4"/>
    <w:uiPriority w:val="99"/>
    <w:qFormat/>
    <w:pPr>
      <w:spacing w:after="0" w:line="240" w:lineRule="auto"/>
    </w:pPr>
    <w:tblPr/>
  </w:style>
  <w:style w:type="table" w:styleId="1090" w:customStyle="1">
    <w:name w:val="Grid Table 1 Light - Accent 5"/>
    <w:uiPriority w:val="99"/>
    <w:qFormat/>
    <w:pPr>
      <w:spacing w:after="0" w:line="240" w:lineRule="auto"/>
    </w:pPr>
    <w:tblPr/>
  </w:style>
  <w:style w:type="table" w:styleId="1091" w:customStyle="1">
    <w:name w:val="Grid Table 1 Light - Accent 6"/>
    <w:uiPriority w:val="99"/>
    <w:qFormat/>
    <w:pPr>
      <w:spacing w:after="0" w:line="240" w:lineRule="auto"/>
    </w:pPr>
    <w:tblPr/>
  </w:style>
  <w:style w:type="table" w:styleId="1092" w:customStyle="1">
    <w:name w:val="Grid Table 2"/>
    <w:uiPriority w:val="99"/>
    <w:qFormat/>
    <w:pPr>
      <w:spacing w:after="0" w:line="240" w:lineRule="auto"/>
    </w:pPr>
    <w:tblPr/>
  </w:style>
  <w:style w:type="table" w:styleId="1093" w:customStyle="1">
    <w:name w:val="Grid Table 2 - Accent 1"/>
    <w:uiPriority w:val="99"/>
    <w:qFormat/>
    <w:pPr>
      <w:spacing w:after="0" w:line="240" w:lineRule="auto"/>
    </w:pPr>
    <w:tblPr/>
  </w:style>
  <w:style w:type="table" w:styleId="1094" w:customStyle="1">
    <w:name w:val="Grid Table 2 - Accent 2"/>
    <w:uiPriority w:val="99"/>
    <w:qFormat/>
    <w:pPr>
      <w:spacing w:after="0" w:line="240" w:lineRule="auto"/>
    </w:pPr>
    <w:tblPr/>
  </w:style>
  <w:style w:type="table" w:styleId="1095" w:customStyle="1">
    <w:name w:val="Grid Table 2 - Accent 3"/>
    <w:uiPriority w:val="99"/>
    <w:qFormat/>
    <w:pPr>
      <w:spacing w:after="0" w:line="240" w:lineRule="auto"/>
    </w:pPr>
    <w:tblPr/>
  </w:style>
  <w:style w:type="table" w:styleId="1096" w:customStyle="1">
    <w:name w:val="Grid Table 2 - Accent 4"/>
    <w:uiPriority w:val="99"/>
    <w:qFormat/>
    <w:pPr>
      <w:spacing w:after="0" w:line="240" w:lineRule="auto"/>
    </w:pPr>
    <w:tblPr/>
  </w:style>
  <w:style w:type="table" w:styleId="1097" w:customStyle="1">
    <w:name w:val="Grid Table 2 - Accent 5"/>
    <w:uiPriority w:val="99"/>
    <w:qFormat/>
    <w:pPr>
      <w:spacing w:after="0" w:line="240" w:lineRule="auto"/>
    </w:pPr>
    <w:tblPr/>
  </w:style>
  <w:style w:type="table" w:styleId="1098" w:customStyle="1">
    <w:name w:val="Grid Table 2 - Accent 6"/>
    <w:uiPriority w:val="99"/>
    <w:qFormat/>
    <w:pPr>
      <w:spacing w:after="0" w:line="240" w:lineRule="auto"/>
    </w:pPr>
    <w:tblPr/>
  </w:style>
  <w:style w:type="table" w:styleId="1099" w:customStyle="1">
    <w:name w:val="Grid Table 3"/>
    <w:uiPriority w:val="99"/>
    <w:qFormat/>
    <w:pPr>
      <w:spacing w:after="0" w:line="240" w:lineRule="auto"/>
    </w:pPr>
    <w:tblPr/>
  </w:style>
  <w:style w:type="table" w:styleId="1100" w:customStyle="1">
    <w:name w:val="Grid Table 3 - Accent 1"/>
    <w:uiPriority w:val="99"/>
    <w:qFormat/>
    <w:pPr>
      <w:spacing w:after="0" w:line="240" w:lineRule="auto"/>
    </w:pPr>
    <w:tblPr/>
  </w:style>
  <w:style w:type="table" w:styleId="1101" w:customStyle="1">
    <w:name w:val="Grid Table 3 - Accent 2"/>
    <w:uiPriority w:val="99"/>
    <w:qFormat/>
    <w:pPr>
      <w:spacing w:after="0" w:line="240" w:lineRule="auto"/>
    </w:pPr>
    <w:tblPr/>
  </w:style>
  <w:style w:type="table" w:styleId="1102" w:customStyle="1">
    <w:name w:val="Grid Table 3 - Accent 3"/>
    <w:uiPriority w:val="99"/>
    <w:qFormat/>
    <w:pPr>
      <w:spacing w:after="0" w:line="240" w:lineRule="auto"/>
    </w:pPr>
    <w:tblPr/>
  </w:style>
  <w:style w:type="table" w:styleId="1103" w:customStyle="1">
    <w:name w:val="Grid Table 3 - Accent 4"/>
    <w:uiPriority w:val="99"/>
    <w:qFormat/>
    <w:pPr>
      <w:spacing w:after="0" w:line="240" w:lineRule="auto"/>
    </w:pPr>
    <w:tblPr/>
  </w:style>
  <w:style w:type="table" w:styleId="1104" w:customStyle="1">
    <w:name w:val="Grid Table 3 - Accent 5"/>
    <w:uiPriority w:val="99"/>
    <w:qFormat/>
    <w:pPr>
      <w:spacing w:after="0" w:line="240" w:lineRule="auto"/>
    </w:pPr>
    <w:tblPr/>
  </w:style>
  <w:style w:type="table" w:styleId="1105" w:customStyle="1">
    <w:name w:val="Grid Table 3 - Accent 6"/>
    <w:uiPriority w:val="99"/>
    <w:qFormat/>
    <w:pPr>
      <w:spacing w:after="0" w:line="240" w:lineRule="auto"/>
    </w:pPr>
    <w:tblPr/>
  </w:style>
  <w:style w:type="table" w:styleId="1106" w:customStyle="1">
    <w:name w:val="Grid Table 4"/>
    <w:uiPriority w:val="59"/>
    <w:qFormat/>
    <w:pPr>
      <w:spacing w:after="0" w:line="240" w:lineRule="auto"/>
    </w:pPr>
    <w:tblPr/>
  </w:style>
  <w:style w:type="table" w:styleId="1107" w:customStyle="1">
    <w:name w:val="Grid Table 4 - Accent 1"/>
    <w:uiPriority w:val="59"/>
    <w:qFormat/>
    <w:pPr>
      <w:spacing w:after="0" w:line="240" w:lineRule="auto"/>
    </w:pPr>
    <w:tblPr/>
  </w:style>
  <w:style w:type="table" w:styleId="1108" w:customStyle="1">
    <w:name w:val="Grid Table 4 - Accent 2"/>
    <w:uiPriority w:val="59"/>
    <w:qFormat/>
    <w:pPr>
      <w:spacing w:after="0" w:line="240" w:lineRule="auto"/>
    </w:pPr>
    <w:tblPr/>
  </w:style>
  <w:style w:type="table" w:styleId="1109" w:customStyle="1">
    <w:name w:val="Grid Table 4 - Accent 3"/>
    <w:uiPriority w:val="59"/>
    <w:qFormat/>
    <w:pPr>
      <w:spacing w:after="0" w:line="240" w:lineRule="auto"/>
    </w:pPr>
    <w:tblPr/>
  </w:style>
  <w:style w:type="table" w:styleId="1110" w:customStyle="1">
    <w:name w:val="Grid Table 4 - Accent 4"/>
    <w:uiPriority w:val="59"/>
    <w:qFormat/>
    <w:pPr>
      <w:spacing w:after="0" w:line="240" w:lineRule="auto"/>
    </w:pPr>
    <w:tblPr/>
  </w:style>
  <w:style w:type="table" w:styleId="1111" w:customStyle="1">
    <w:name w:val="Grid Table 4 - Accent 5"/>
    <w:uiPriority w:val="59"/>
    <w:qFormat/>
    <w:pPr>
      <w:spacing w:after="0" w:line="240" w:lineRule="auto"/>
    </w:pPr>
    <w:tblPr/>
  </w:style>
  <w:style w:type="table" w:styleId="1112" w:customStyle="1">
    <w:name w:val="Grid Table 4 - Accent 6"/>
    <w:uiPriority w:val="59"/>
    <w:qFormat/>
    <w:pPr>
      <w:spacing w:after="0" w:line="240" w:lineRule="auto"/>
    </w:pPr>
    <w:tblPr/>
  </w:style>
  <w:style w:type="table" w:styleId="1113" w:customStyle="1">
    <w:name w:val="Grid Table 5 Dark"/>
    <w:uiPriority w:val="99"/>
    <w:qFormat/>
    <w:pPr>
      <w:spacing w:after="0" w:line="240" w:lineRule="auto"/>
    </w:pPr>
    <w:tblPr/>
  </w:style>
  <w:style w:type="table" w:styleId="1114" w:customStyle="1">
    <w:name w:val="Grid Table 5 Dark- Accent 1"/>
    <w:uiPriority w:val="99"/>
    <w:qFormat/>
    <w:pPr>
      <w:spacing w:after="0" w:line="240" w:lineRule="auto"/>
    </w:pPr>
    <w:tblPr/>
  </w:style>
  <w:style w:type="table" w:styleId="1115" w:customStyle="1">
    <w:name w:val="Grid Table 5 Dark - Accent 2"/>
    <w:uiPriority w:val="99"/>
    <w:qFormat/>
    <w:pPr>
      <w:spacing w:after="0" w:line="240" w:lineRule="auto"/>
    </w:pPr>
    <w:tblPr/>
  </w:style>
  <w:style w:type="table" w:styleId="1116" w:customStyle="1">
    <w:name w:val="Grid Table 5 Dark - Accent 3"/>
    <w:uiPriority w:val="99"/>
    <w:qFormat/>
    <w:pPr>
      <w:spacing w:after="0" w:line="240" w:lineRule="auto"/>
    </w:pPr>
    <w:tblPr/>
  </w:style>
  <w:style w:type="table" w:styleId="1117" w:customStyle="1">
    <w:name w:val="Grid Table 5 Dark- Accent 4"/>
    <w:uiPriority w:val="99"/>
    <w:qFormat/>
    <w:pPr>
      <w:spacing w:after="0" w:line="240" w:lineRule="auto"/>
    </w:pPr>
    <w:tblPr/>
  </w:style>
  <w:style w:type="table" w:styleId="1118" w:customStyle="1">
    <w:name w:val="Grid Table 5 Dark - Accent 5"/>
    <w:uiPriority w:val="99"/>
    <w:qFormat/>
    <w:pPr>
      <w:spacing w:after="0" w:line="240" w:lineRule="auto"/>
    </w:pPr>
    <w:tblPr/>
  </w:style>
  <w:style w:type="table" w:styleId="1119" w:customStyle="1">
    <w:name w:val="Grid Table 5 Dark - Accent 6"/>
    <w:uiPriority w:val="99"/>
    <w:qFormat/>
    <w:pPr>
      <w:spacing w:after="0" w:line="240" w:lineRule="auto"/>
    </w:pPr>
    <w:tblPr/>
  </w:style>
  <w:style w:type="table" w:styleId="1120" w:customStyle="1">
    <w:name w:val="Grid Table 6 Colorful"/>
    <w:uiPriority w:val="99"/>
    <w:qFormat/>
    <w:pPr>
      <w:spacing w:after="0" w:line="240" w:lineRule="auto"/>
    </w:pPr>
    <w:tblPr/>
  </w:style>
  <w:style w:type="table" w:styleId="1121" w:customStyle="1">
    <w:name w:val="Grid Table 6 Colorful - Accent 1"/>
    <w:uiPriority w:val="99"/>
    <w:qFormat/>
    <w:pPr>
      <w:spacing w:after="0" w:line="240" w:lineRule="auto"/>
    </w:pPr>
    <w:tblPr/>
  </w:style>
  <w:style w:type="table" w:styleId="1122" w:customStyle="1">
    <w:name w:val="Grid Table 6 Colorful - Accent 2"/>
    <w:uiPriority w:val="99"/>
    <w:qFormat/>
    <w:pPr>
      <w:spacing w:after="0" w:line="240" w:lineRule="auto"/>
    </w:pPr>
    <w:tblPr/>
  </w:style>
  <w:style w:type="table" w:styleId="1123" w:customStyle="1">
    <w:name w:val="Grid Table 6 Colorful - Accent 3"/>
    <w:uiPriority w:val="99"/>
    <w:qFormat/>
    <w:pPr>
      <w:spacing w:after="0" w:line="240" w:lineRule="auto"/>
    </w:pPr>
    <w:tblPr/>
  </w:style>
  <w:style w:type="table" w:styleId="1124" w:customStyle="1">
    <w:name w:val="Grid Table 6 Colorful - Accent 4"/>
    <w:uiPriority w:val="99"/>
    <w:qFormat/>
    <w:pPr>
      <w:spacing w:after="0" w:line="240" w:lineRule="auto"/>
    </w:pPr>
    <w:tblPr/>
  </w:style>
  <w:style w:type="table" w:styleId="1125" w:customStyle="1">
    <w:name w:val="Grid Table 6 Colorful - Accent 5"/>
    <w:uiPriority w:val="99"/>
    <w:qFormat/>
    <w:pPr>
      <w:spacing w:after="0" w:line="240" w:lineRule="auto"/>
    </w:pPr>
    <w:tblPr/>
  </w:style>
  <w:style w:type="table" w:styleId="1126" w:customStyle="1">
    <w:name w:val="Grid Table 6 Colorful - Accent 6"/>
    <w:uiPriority w:val="99"/>
    <w:qFormat/>
    <w:pPr>
      <w:spacing w:after="0" w:line="240" w:lineRule="auto"/>
    </w:pPr>
    <w:tblPr/>
  </w:style>
  <w:style w:type="table" w:styleId="1127" w:customStyle="1">
    <w:name w:val="Grid Table 7 Colorful"/>
    <w:uiPriority w:val="99"/>
    <w:qFormat/>
    <w:pPr>
      <w:spacing w:after="0" w:line="240" w:lineRule="auto"/>
    </w:pPr>
    <w:tblPr/>
  </w:style>
  <w:style w:type="table" w:styleId="1128" w:customStyle="1">
    <w:name w:val="Grid Table 7 Colorful - Accent 1"/>
    <w:uiPriority w:val="99"/>
    <w:qFormat/>
    <w:pPr>
      <w:spacing w:after="0" w:line="240" w:lineRule="auto"/>
    </w:pPr>
    <w:tblPr/>
  </w:style>
  <w:style w:type="table" w:styleId="1129" w:customStyle="1">
    <w:name w:val="Grid Table 7 Colorful - Accent 2"/>
    <w:uiPriority w:val="99"/>
    <w:qFormat/>
    <w:pPr>
      <w:spacing w:after="0" w:line="240" w:lineRule="auto"/>
    </w:pPr>
    <w:tblPr/>
  </w:style>
  <w:style w:type="table" w:styleId="1130" w:customStyle="1">
    <w:name w:val="Grid Table 7 Colorful - Accent 3"/>
    <w:uiPriority w:val="99"/>
    <w:qFormat/>
    <w:pPr>
      <w:spacing w:after="0" w:line="240" w:lineRule="auto"/>
    </w:pPr>
    <w:tblPr/>
  </w:style>
  <w:style w:type="table" w:styleId="1131" w:customStyle="1">
    <w:name w:val="Grid Table 7 Colorful - Accent 4"/>
    <w:uiPriority w:val="99"/>
    <w:qFormat/>
    <w:pPr>
      <w:spacing w:after="0" w:line="240" w:lineRule="auto"/>
    </w:pPr>
    <w:tblPr/>
  </w:style>
  <w:style w:type="table" w:styleId="1132" w:customStyle="1">
    <w:name w:val="Grid Table 7 Colorful - Accent 5"/>
    <w:uiPriority w:val="99"/>
    <w:qFormat/>
    <w:pPr>
      <w:spacing w:after="0" w:line="240" w:lineRule="auto"/>
    </w:pPr>
    <w:tblPr/>
  </w:style>
  <w:style w:type="table" w:styleId="1133" w:customStyle="1">
    <w:name w:val="Grid Table 7 Colorful - Accent 6"/>
    <w:uiPriority w:val="99"/>
    <w:qFormat/>
    <w:pPr>
      <w:spacing w:after="0" w:line="240" w:lineRule="auto"/>
    </w:pPr>
    <w:tblPr/>
  </w:style>
  <w:style w:type="table" w:styleId="1134" w:customStyle="1">
    <w:name w:val="List Table 1 Light"/>
    <w:uiPriority w:val="99"/>
    <w:qFormat/>
    <w:pPr>
      <w:spacing w:after="0" w:line="240" w:lineRule="auto"/>
    </w:pPr>
    <w:tblPr/>
  </w:style>
  <w:style w:type="table" w:styleId="1135" w:customStyle="1">
    <w:name w:val="List Table 1 Light - Accent 1"/>
    <w:uiPriority w:val="99"/>
    <w:qFormat/>
    <w:pPr>
      <w:spacing w:after="0" w:line="240" w:lineRule="auto"/>
    </w:pPr>
    <w:tblPr/>
  </w:style>
  <w:style w:type="table" w:styleId="1136" w:customStyle="1">
    <w:name w:val="List Table 1 Light - Accent 2"/>
    <w:uiPriority w:val="99"/>
    <w:qFormat/>
    <w:pPr>
      <w:spacing w:after="0" w:line="240" w:lineRule="auto"/>
    </w:pPr>
    <w:tblPr/>
  </w:style>
  <w:style w:type="table" w:styleId="1137" w:customStyle="1">
    <w:name w:val="List Table 1 Light - Accent 3"/>
    <w:uiPriority w:val="99"/>
    <w:qFormat/>
    <w:pPr>
      <w:spacing w:after="0" w:line="240" w:lineRule="auto"/>
    </w:pPr>
    <w:tblPr/>
  </w:style>
  <w:style w:type="table" w:styleId="1138" w:customStyle="1">
    <w:name w:val="List Table 1 Light - Accent 4"/>
    <w:uiPriority w:val="99"/>
    <w:qFormat/>
    <w:pPr>
      <w:spacing w:after="0" w:line="240" w:lineRule="auto"/>
    </w:pPr>
    <w:tblPr/>
  </w:style>
  <w:style w:type="table" w:styleId="1139" w:customStyle="1">
    <w:name w:val="List Table 1 Light - Accent 5"/>
    <w:uiPriority w:val="99"/>
    <w:qFormat/>
    <w:pPr>
      <w:spacing w:after="0" w:line="240" w:lineRule="auto"/>
    </w:pPr>
    <w:tblPr/>
  </w:style>
  <w:style w:type="table" w:styleId="1140" w:customStyle="1">
    <w:name w:val="List Table 1 Light - Accent 6"/>
    <w:uiPriority w:val="99"/>
    <w:qFormat/>
    <w:pPr>
      <w:spacing w:after="0" w:line="240" w:lineRule="auto"/>
    </w:pPr>
    <w:tblPr/>
  </w:style>
  <w:style w:type="table" w:styleId="1141" w:customStyle="1">
    <w:name w:val="List Table 2"/>
    <w:uiPriority w:val="99"/>
    <w:qFormat/>
    <w:pPr>
      <w:spacing w:after="0" w:line="240" w:lineRule="auto"/>
    </w:pPr>
    <w:tblPr/>
  </w:style>
  <w:style w:type="table" w:styleId="1142" w:customStyle="1">
    <w:name w:val="List Table 2 - Accent 1"/>
    <w:uiPriority w:val="99"/>
    <w:qFormat/>
    <w:pPr>
      <w:spacing w:after="0" w:line="240" w:lineRule="auto"/>
    </w:pPr>
    <w:tblPr/>
  </w:style>
  <w:style w:type="table" w:styleId="1143" w:customStyle="1">
    <w:name w:val="List Table 2 - Accent 2"/>
    <w:uiPriority w:val="99"/>
    <w:qFormat/>
    <w:pPr>
      <w:spacing w:after="0" w:line="240" w:lineRule="auto"/>
    </w:pPr>
    <w:tblPr/>
  </w:style>
  <w:style w:type="table" w:styleId="1144" w:customStyle="1">
    <w:name w:val="List Table 2 - Accent 3"/>
    <w:uiPriority w:val="99"/>
    <w:qFormat/>
    <w:pPr>
      <w:spacing w:after="0" w:line="240" w:lineRule="auto"/>
    </w:pPr>
    <w:tblPr/>
  </w:style>
  <w:style w:type="table" w:styleId="1145" w:customStyle="1">
    <w:name w:val="List Table 2 - Accent 4"/>
    <w:uiPriority w:val="99"/>
    <w:qFormat/>
    <w:pPr>
      <w:spacing w:after="0" w:line="240" w:lineRule="auto"/>
    </w:pPr>
    <w:tblPr/>
  </w:style>
  <w:style w:type="table" w:styleId="1146" w:customStyle="1">
    <w:name w:val="List Table 2 - Accent 5"/>
    <w:uiPriority w:val="99"/>
    <w:qFormat/>
    <w:pPr>
      <w:spacing w:after="0" w:line="240" w:lineRule="auto"/>
    </w:pPr>
    <w:tblPr/>
  </w:style>
  <w:style w:type="table" w:styleId="1147" w:customStyle="1">
    <w:name w:val="List Table 2 - Accent 6"/>
    <w:uiPriority w:val="99"/>
    <w:qFormat/>
    <w:pPr>
      <w:spacing w:after="0" w:line="240" w:lineRule="auto"/>
    </w:pPr>
    <w:tblPr/>
  </w:style>
  <w:style w:type="table" w:styleId="1148" w:customStyle="1">
    <w:name w:val="List Table 3"/>
    <w:uiPriority w:val="99"/>
    <w:qFormat/>
    <w:pPr>
      <w:spacing w:after="0" w:line="240" w:lineRule="auto"/>
    </w:pPr>
    <w:tblPr/>
  </w:style>
  <w:style w:type="table" w:styleId="1149" w:customStyle="1">
    <w:name w:val="List Table 3 - Accent 1"/>
    <w:uiPriority w:val="99"/>
    <w:qFormat/>
    <w:pPr>
      <w:spacing w:after="0" w:line="240" w:lineRule="auto"/>
    </w:pPr>
    <w:tblPr/>
  </w:style>
  <w:style w:type="table" w:styleId="1150" w:customStyle="1">
    <w:name w:val="List Table 3 - Accent 2"/>
    <w:uiPriority w:val="99"/>
    <w:qFormat/>
    <w:pPr>
      <w:spacing w:after="0" w:line="240" w:lineRule="auto"/>
    </w:pPr>
    <w:tblPr/>
  </w:style>
  <w:style w:type="table" w:styleId="1151" w:customStyle="1">
    <w:name w:val="List Table 3 - Accent 3"/>
    <w:uiPriority w:val="99"/>
    <w:qFormat/>
    <w:pPr>
      <w:spacing w:after="0" w:line="240" w:lineRule="auto"/>
    </w:pPr>
    <w:tblPr/>
  </w:style>
  <w:style w:type="table" w:styleId="1152" w:customStyle="1">
    <w:name w:val="List Table 3 - Accent 4"/>
    <w:uiPriority w:val="99"/>
    <w:qFormat/>
    <w:pPr>
      <w:spacing w:after="0" w:line="240" w:lineRule="auto"/>
    </w:pPr>
    <w:tblPr/>
  </w:style>
  <w:style w:type="table" w:styleId="1153" w:customStyle="1">
    <w:name w:val="List Table 3 - Accent 5"/>
    <w:uiPriority w:val="99"/>
    <w:qFormat/>
    <w:pPr>
      <w:spacing w:after="0" w:line="240" w:lineRule="auto"/>
    </w:pPr>
    <w:tblPr/>
  </w:style>
  <w:style w:type="table" w:styleId="1154" w:customStyle="1">
    <w:name w:val="List Table 3 - Accent 6"/>
    <w:uiPriority w:val="99"/>
    <w:qFormat/>
    <w:pPr>
      <w:spacing w:after="0" w:line="240" w:lineRule="auto"/>
    </w:pPr>
    <w:tblPr/>
  </w:style>
  <w:style w:type="table" w:styleId="1155" w:customStyle="1">
    <w:name w:val="List Table 4"/>
    <w:uiPriority w:val="99"/>
    <w:qFormat/>
    <w:pPr>
      <w:spacing w:after="0" w:line="240" w:lineRule="auto"/>
    </w:pPr>
    <w:tblPr/>
  </w:style>
  <w:style w:type="table" w:styleId="1156" w:customStyle="1">
    <w:name w:val="List Table 4 - Accent 1"/>
    <w:uiPriority w:val="99"/>
    <w:qFormat/>
    <w:pPr>
      <w:spacing w:after="0" w:line="240" w:lineRule="auto"/>
    </w:pPr>
    <w:tblPr/>
  </w:style>
  <w:style w:type="table" w:styleId="1157" w:customStyle="1">
    <w:name w:val="List Table 4 - Accent 2"/>
    <w:uiPriority w:val="99"/>
    <w:qFormat/>
    <w:pPr>
      <w:spacing w:after="0" w:line="240" w:lineRule="auto"/>
    </w:pPr>
    <w:tblPr/>
  </w:style>
  <w:style w:type="table" w:styleId="1158" w:customStyle="1">
    <w:name w:val="List Table 4 - Accent 3"/>
    <w:uiPriority w:val="99"/>
    <w:qFormat/>
    <w:pPr>
      <w:spacing w:after="0" w:line="240" w:lineRule="auto"/>
    </w:pPr>
    <w:tblPr/>
  </w:style>
  <w:style w:type="table" w:styleId="1159" w:customStyle="1">
    <w:name w:val="List Table 4 - Accent 4"/>
    <w:uiPriority w:val="99"/>
    <w:qFormat/>
    <w:pPr>
      <w:spacing w:after="0" w:line="240" w:lineRule="auto"/>
    </w:pPr>
    <w:tblPr/>
  </w:style>
  <w:style w:type="table" w:styleId="1160" w:customStyle="1">
    <w:name w:val="List Table 4 - Accent 5"/>
    <w:uiPriority w:val="99"/>
    <w:qFormat/>
    <w:pPr>
      <w:spacing w:after="0" w:line="240" w:lineRule="auto"/>
    </w:pPr>
    <w:tblPr/>
  </w:style>
  <w:style w:type="table" w:styleId="1161" w:customStyle="1">
    <w:name w:val="List Table 4 - Accent 6"/>
    <w:uiPriority w:val="99"/>
    <w:qFormat/>
    <w:pPr>
      <w:spacing w:after="0" w:line="240" w:lineRule="auto"/>
    </w:pPr>
    <w:tblPr/>
  </w:style>
  <w:style w:type="table" w:styleId="1162" w:customStyle="1">
    <w:name w:val="List Table 5 Dark"/>
    <w:uiPriority w:val="99"/>
    <w:qFormat/>
    <w:pPr>
      <w:spacing w:after="0" w:line="240" w:lineRule="auto"/>
    </w:pPr>
    <w:tblPr/>
  </w:style>
  <w:style w:type="table" w:styleId="1163" w:customStyle="1">
    <w:name w:val="List Table 5 Dark - Accent 1"/>
    <w:uiPriority w:val="99"/>
    <w:qFormat/>
    <w:pPr>
      <w:spacing w:after="0" w:line="240" w:lineRule="auto"/>
    </w:pPr>
    <w:tblPr/>
  </w:style>
  <w:style w:type="table" w:styleId="1164" w:customStyle="1">
    <w:name w:val="List Table 5 Dark - Accent 2"/>
    <w:uiPriority w:val="99"/>
    <w:qFormat/>
    <w:pPr>
      <w:spacing w:after="0" w:line="240" w:lineRule="auto"/>
    </w:pPr>
    <w:tblPr/>
  </w:style>
  <w:style w:type="table" w:styleId="1165" w:customStyle="1">
    <w:name w:val="List Table 5 Dark - Accent 3"/>
    <w:uiPriority w:val="99"/>
    <w:qFormat/>
    <w:pPr>
      <w:spacing w:after="0" w:line="240" w:lineRule="auto"/>
    </w:pPr>
    <w:tblPr/>
  </w:style>
  <w:style w:type="table" w:styleId="1166" w:customStyle="1">
    <w:name w:val="List Table 5 Dark - Accent 4"/>
    <w:uiPriority w:val="99"/>
    <w:qFormat/>
    <w:pPr>
      <w:spacing w:after="0" w:line="240" w:lineRule="auto"/>
    </w:pPr>
    <w:tblPr/>
  </w:style>
  <w:style w:type="table" w:styleId="1167" w:customStyle="1">
    <w:name w:val="List Table 5 Dark - Accent 5"/>
    <w:uiPriority w:val="99"/>
    <w:qFormat/>
    <w:pPr>
      <w:spacing w:after="0" w:line="240" w:lineRule="auto"/>
    </w:pPr>
    <w:tblPr/>
  </w:style>
  <w:style w:type="table" w:styleId="1168" w:customStyle="1">
    <w:name w:val="List Table 5 Dark - Accent 6"/>
    <w:uiPriority w:val="99"/>
    <w:qFormat/>
    <w:pPr>
      <w:spacing w:after="0" w:line="240" w:lineRule="auto"/>
    </w:pPr>
    <w:tblPr/>
  </w:style>
  <w:style w:type="table" w:styleId="1169" w:customStyle="1">
    <w:name w:val="List Table 6 Colorful"/>
    <w:uiPriority w:val="99"/>
    <w:qFormat/>
    <w:pPr>
      <w:spacing w:after="0" w:line="240" w:lineRule="auto"/>
    </w:pPr>
    <w:tblPr/>
  </w:style>
  <w:style w:type="table" w:styleId="1170" w:customStyle="1">
    <w:name w:val="List Table 6 Colorful - Accent 1"/>
    <w:uiPriority w:val="99"/>
    <w:qFormat/>
    <w:pPr>
      <w:spacing w:after="0" w:line="240" w:lineRule="auto"/>
    </w:pPr>
    <w:tblPr/>
  </w:style>
  <w:style w:type="table" w:styleId="1171" w:customStyle="1">
    <w:name w:val="List Table 6 Colorful - Accent 2"/>
    <w:uiPriority w:val="99"/>
    <w:qFormat/>
    <w:pPr>
      <w:spacing w:after="0" w:line="240" w:lineRule="auto"/>
    </w:pPr>
    <w:tblPr/>
  </w:style>
  <w:style w:type="table" w:styleId="1172" w:customStyle="1">
    <w:name w:val="List Table 6 Colorful - Accent 3"/>
    <w:uiPriority w:val="99"/>
    <w:qFormat/>
    <w:pPr>
      <w:spacing w:after="0" w:line="240" w:lineRule="auto"/>
    </w:pPr>
    <w:tblPr/>
  </w:style>
  <w:style w:type="table" w:styleId="1173" w:customStyle="1">
    <w:name w:val="List Table 6 Colorful - Accent 4"/>
    <w:uiPriority w:val="99"/>
    <w:qFormat/>
    <w:pPr>
      <w:spacing w:after="0" w:line="240" w:lineRule="auto"/>
    </w:pPr>
    <w:tblPr/>
  </w:style>
  <w:style w:type="table" w:styleId="1174" w:customStyle="1">
    <w:name w:val="List Table 6 Colorful - Accent 5"/>
    <w:uiPriority w:val="99"/>
    <w:qFormat/>
    <w:pPr>
      <w:spacing w:after="0" w:line="240" w:lineRule="auto"/>
    </w:pPr>
    <w:tblPr/>
  </w:style>
  <w:style w:type="table" w:styleId="1175" w:customStyle="1">
    <w:name w:val="List Table 6 Colorful - Accent 6"/>
    <w:uiPriority w:val="99"/>
    <w:qFormat/>
    <w:pPr>
      <w:spacing w:after="0" w:line="240" w:lineRule="auto"/>
    </w:pPr>
    <w:tblPr/>
  </w:style>
  <w:style w:type="table" w:styleId="1176" w:customStyle="1">
    <w:name w:val="List Table 7 Colorful"/>
    <w:uiPriority w:val="99"/>
    <w:qFormat/>
    <w:pPr>
      <w:spacing w:after="0" w:line="240" w:lineRule="auto"/>
    </w:pPr>
    <w:tblPr/>
  </w:style>
  <w:style w:type="table" w:styleId="1177" w:customStyle="1">
    <w:name w:val="List Table 7 Colorful - Accent 1"/>
    <w:uiPriority w:val="99"/>
    <w:qFormat/>
    <w:pPr>
      <w:spacing w:after="0" w:line="240" w:lineRule="auto"/>
    </w:pPr>
    <w:tblPr/>
  </w:style>
  <w:style w:type="table" w:styleId="1178" w:customStyle="1">
    <w:name w:val="List Table 7 Colorful - Accent 2"/>
    <w:uiPriority w:val="99"/>
    <w:qFormat/>
    <w:pPr>
      <w:spacing w:after="0" w:line="240" w:lineRule="auto"/>
    </w:pPr>
    <w:tblPr/>
  </w:style>
  <w:style w:type="table" w:styleId="1179" w:customStyle="1">
    <w:name w:val="List Table 7 Colorful - Accent 3"/>
    <w:uiPriority w:val="99"/>
    <w:qFormat/>
    <w:pPr>
      <w:spacing w:after="0" w:line="240" w:lineRule="auto"/>
    </w:pPr>
    <w:tblPr/>
  </w:style>
  <w:style w:type="table" w:styleId="1180" w:customStyle="1">
    <w:name w:val="List Table 7 Colorful - Accent 4"/>
    <w:uiPriority w:val="99"/>
    <w:qFormat/>
    <w:pPr>
      <w:spacing w:after="0" w:line="240" w:lineRule="auto"/>
    </w:pPr>
    <w:tblPr/>
  </w:style>
  <w:style w:type="table" w:styleId="1181" w:customStyle="1">
    <w:name w:val="List Table 7 Colorful - Accent 5"/>
    <w:uiPriority w:val="99"/>
    <w:qFormat/>
    <w:pPr>
      <w:spacing w:after="0" w:line="240" w:lineRule="auto"/>
    </w:pPr>
    <w:tblPr/>
  </w:style>
  <w:style w:type="table" w:styleId="1182" w:customStyle="1">
    <w:name w:val="List Table 7 Colorful - Accent 6"/>
    <w:uiPriority w:val="99"/>
    <w:qFormat/>
    <w:pPr>
      <w:spacing w:after="0" w:line="240" w:lineRule="auto"/>
    </w:pPr>
    <w:tblPr/>
  </w:style>
  <w:style w:type="table" w:styleId="1183" w:customStyle="1">
    <w:name w:val="Lined - Accent"/>
    <w:uiPriority w:val="99"/>
    <w:qFormat/>
    <w:pPr>
      <w:spacing w:after="0" w:line="240" w:lineRule="auto"/>
    </w:pPr>
    <w:rPr>
      <w:color w:val="404040"/>
    </w:rPr>
    <w:tblPr/>
  </w:style>
  <w:style w:type="table" w:styleId="1184" w:customStyle="1">
    <w:name w:val="Lined - Accent 1"/>
    <w:uiPriority w:val="99"/>
    <w:qFormat/>
    <w:pPr>
      <w:spacing w:after="0" w:line="240" w:lineRule="auto"/>
    </w:pPr>
    <w:rPr>
      <w:color w:val="404040"/>
    </w:rPr>
    <w:tblPr/>
  </w:style>
  <w:style w:type="table" w:styleId="1185" w:customStyle="1">
    <w:name w:val="Lined - Accent 2"/>
    <w:uiPriority w:val="99"/>
    <w:qFormat/>
    <w:pPr>
      <w:spacing w:after="0" w:line="240" w:lineRule="auto"/>
    </w:pPr>
    <w:rPr>
      <w:color w:val="404040"/>
    </w:rPr>
    <w:tblPr/>
  </w:style>
  <w:style w:type="table" w:styleId="1186" w:customStyle="1">
    <w:name w:val="Lined - Accent 3"/>
    <w:uiPriority w:val="99"/>
    <w:qFormat/>
    <w:pPr>
      <w:spacing w:after="0" w:line="240" w:lineRule="auto"/>
    </w:pPr>
    <w:rPr>
      <w:color w:val="404040"/>
    </w:rPr>
    <w:tblPr/>
  </w:style>
  <w:style w:type="table" w:styleId="1187" w:customStyle="1">
    <w:name w:val="Lined - Accent 4"/>
    <w:uiPriority w:val="99"/>
    <w:qFormat/>
    <w:pPr>
      <w:spacing w:after="0" w:line="240" w:lineRule="auto"/>
    </w:pPr>
    <w:rPr>
      <w:color w:val="404040"/>
    </w:rPr>
    <w:tblPr/>
  </w:style>
  <w:style w:type="table" w:styleId="1188" w:customStyle="1">
    <w:name w:val="Lined - Accent 5"/>
    <w:uiPriority w:val="99"/>
    <w:qFormat/>
    <w:pPr>
      <w:spacing w:after="0" w:line="240" w:lineRule="auto"/>
    </w:pPr>
    <w:rPr>
      <w:color w:val="404040"/>
    </w:rPr>
    <w:tblPr/>
  </w:style>
  <w:style w:type="table" w:styleId="1189" w:customStyle="1">
    <w:name w:val="Lined - Accent 6"/>
    <w:uiPriority w:val="99"/>
    <w:qFormat/>
    <w:pPr>
      <w:spacing w:after="0" w:line="240" w:lineRule="auto"/>
    </w:pPr>
    <w:rPr>
      <w:color w:val="404040"/>
    </w:rPr>
    <w:tblPr/>
  </w:style>
  <w:style w:type="table" w:styleId="1190" w:customStyle="1">
    <w:name w:val="Bordered &amp; Lined - Accent"/>
    <w:uiPriority w:val="99"/>
    <w:qFormat/>
    <w:pPr>
      <w:spacing w:after="0" w:line="240" w:lineRule="auto"/>
    </w:pPr>
    <w:rPr>
      <w:color w:val="404040"/>
    </w:rPr>
    <w:tblPr/>
  </w:style>
  <w:style w:type="table" w:styleId="1191" w:customStyle="1">
    <w:name w:val="Bordered &amp; Lined - Accent 1"/>
    <w:uiPriority w:val="99"/>
    <w:qFormat/>
    <w:pPr>
      <w:spacing w:after="0" w:line="240" w:lineRule="auto"/>
    </w:pPr>
    <w:rPr>
      <w:color w:val="404040"/>
    </w:rPr>
    <w:tblPr/>
  </w:style>
  <w:style w:type="table" w:styleId="1192" w:customStyle="1">
    <w:name w:val="Bordered &amp; Lined - Accent 2"/>
    <w:uiPriority w:val="99"/>
    <w:qFormat/>
    <w:pPr>
      <w:spacing w:after="0" w:line="240" w:lineRule="auto"/>
    </w:pPr>
    <w:rPr>
      <w:color w:val="404040"/>
    </w:rPr>
    <w:tblPr/>
  </w:style>
  <w:style w:type="table" w:styleId="1193" w:customStyle="1">
    <w:name w:val="Bordered &amp; Lined - Accent 3"/>
    <w:uiPriority w:val="99"/>
    <w:qFormat/>
    <w:pPr>
      <w:spacing w:after="0" w:line="240" w:lineRule="auto"/>
    </w:pPr>
    <w:rPr>
      <w:color w:val="404040"/>
    </w:rPr>
    <w:tblPr/>
  </w:style>
  <w:style w:type="table" w:styleId="1194" w:customStyle="1">
    <w:name w:val="Bordered &amp; Lined - Accent 4"/>
    <w:uiPriority w:val="99"/>
    <w:qFormat/>
    <w:pPr>
      <w:spacing w:after="0" w:line="240" w:lineRule="auto"/>
    </w:pPr>
    <w:rPr>
      <w:color w:val="404040"/>
    </w:rPr>
    <w:tblPr/>
  </w:style>
  <w:style w:type="table" w:styleId="1195" w:customStyle="1">
    <w:name w:val="Bordered &amp; Lined - Accent 5"/>
    <w:uiPriority w:val="99"/>
    <w:qFormat/>
    <w:pPr>
      <w:spacing w:after="0" w:line="240" w:lineRule="auto"/>
    </w:pPr>
    <w:rPr>
      <w:color w:val="404040"/>
    </w:rPr>
    <w:tblPr/>
  </w:style>
  <w:style w:type="table" w:styleId="1196" w:customStyle="1">
    <w:name w:val="Bordered &amp; Lined - Accent 6"/>
    <w:uiPriority w:val="99"/>
    <w:qFormat/>
    <w:pPr>
      <w:spacing w:after="0" w:line="240" w:lineRule="auto"/>
    </w:pPr>
    <w:rPr>
      <w:color w:val="404040"/>
    </w:rPr>
    <w:tblPr/>
  </w:style>
  <w:style w:type="table" w:styleId="1197" w:customStyle="1">
    <w:name w:val="Bordered"/>
    <w:uiPriority w:val="99"/>
    <w:qFormat/>
    <w:pPr>
      <w:spacing w:after="0" w:line="240" w:lineRule="auto"/>
    </w:pPr>
    <w:tblPr/>
  </w:style>
  <w:style w:type="table" w:styleId="1198" w:customStyle="1">
    <w:name w:val="Bordered - Accent 1"/>
    <w:uiPriority w:val="99"/>
    <w:qFormat/>
    <w:pPr>
      <w:spacing w:after="0" w:line="240" w:lineRule="auto"/>
    </w:pPr>
    <w:tblPr/>
  </w:style>
  <w:style w:type="table" w:styleId="1199" w:customStyle="1">
    <w:name w:val="Bordered - Accent 2"/>
    <w:uiPriority w:val="99"/>
    <w:qFormat/>
    <w:pPr>
      <w:spacing w:after="0" w:line="240" w:lineRule="auto"/>
    </w:pPr>
    <w:tblPr/>
  </w:style>
  <w:style w:type="table" w:styleId="1200" w:customStyle="1">
    <w:name w:val="Bordered - Accent 3"/>
    <w:uiPriority w:val="99"/>
    <w:qFormat/>
    <w:pPr>
      <w:spacing w:after="0" w:line="240" w:lineRule="auto"/>
    </w:pPr>
    <w:tblPr/>
  </w:style>
  <w:style w:type="table" w:styleId="1201" w:customStyle="1">
    <w:name w:val="Bordered - Accent 4"/>
    <w:uiPriority w:val="99"/>
    <w:qFormat/>
    <w:pPr>
      <w:spacing w:after="0" w:line="240" w:lineRule="auto"/>
    </w:pPr>
    <w:tblPr/>
  </w:style>
  <w:style w:type="table" w:styleId="1202" w:customStyle="1">
    <w:name w:val="Bordered - Accent 5"/>
    <w:uiPriority w:val="99"/>
    <w:qFormat/>
    <w:pPr>
      <w:spacing w:after="0" w:line="240" w:lineRule="auto"/>
    </w:pPr>
    <w:tblPr/>
  </w:style>
  <w:style w:type="table" w:styleId="1203" w:customStyle="1">
    <w:name w:val="Bordered - Accent 6"/>
    <w:uiPriority w:val="99"/>
    <w:qFormat/>
    <w:pPr>
      <w:spacing w:after="0" w:line="240" w:lineRule="auto"/>
    </w:pPr>
    <w:tblPr/>
  </w:style>
  <w:style w:type="paragraph" w:styleId="1204" w:customStyle="1">
    <w:name w:val="TOC Heading"/>
    <w:uiPriority w:val="39"/>
    <w:unhideWhenUsed/>
    <w:qFormat/>
    <w:rPr>
      <w:rFonts w:hint="default" w:ascii="Times New Roman" w:hAnsi="Times New Roman" w:eastAsia="宋体" w:cs="Times New Roman"/>
    </w:rPr>
  </w:style>
  <w:style w:type="paragraph" w:styleId="1205" w:customStyle="1">
    <w:name w:val="标题 11"/>
    <w:basedOn w:val="985"/>
    <w:next w:val="985"/>
    <w:link w:val="1206"/>
    <w:uiPriority w:val="0"/>
    <w:qFormat/>
    <w:pPr>
      <w:jc w:val="center"/>
      <w:keepNext/>
      <w:outlineLvl w:val="0"/>
    </w:pPr>
    <w:rPr>
      <w:rFonts w:ascii="楷体_GB2312" w:eastAsia="楷体_GB2312"/>
      <w:sz w:val="28"/>
      <w:szCs w:val="28"/>
    </w:rPr>
  </w:style>
  <w:style w:type="character" w:styleId="1206" w:customStyle="1">
    <w:name w:val="标题 1 字符"/>
    <w:link w:val="1205"/>
    <w:uiPriority w:val="0"/>
    <w:qFormat/>
    <w:rPr>
      <w:rFonts w:ascii="楷体_GB2312" w:hAnsi="Times New Roman" w:eastAsia="楷体_GB2312" w:cs="Times New Roman"/>
      <w:sz w:val="28"/>
      <w:szCs w:val="28"/>
    </w:rPr>
  </w:style>
  <w:style w:type="paragraph" w:styleId="1207" w:customStyle="1">
    <w:name w:val="标题 21"/>
    <w:basedOn w:val="985"/>
    <w:next w:val="1208"/>
    <w:link w:val="1209"/>
    <w:uiPriority w:val="0"/>
    <w:qFormat/>
    <w:pPr>
      <w:jc w:val="center"/>
      <w:keepLines/>
      <w:keepNext/>
      <w:spacing w:before="260" w:after="260" w:line="416" w:lineRule="auto"/>
      <w:outlineLvl w:val="1"/>
    </w:pPr>
    <w:rPr>
      <w:rFonts w:ascii="Arial" w:hAnsi="Arial" w:eastAsia="幼圆"/>
      <w:b/>
      <w:bCs/>
      <w:sz w:val="44"/>
      <w:szCs w:val="44"/>
    </w:rPr>
  </w:style>
  <w:style w:type="paragraph" w:styleId="1208" w:customStyle="1">
    <w:name w:val="正文缩进1"/>
    <w:basedOn w:val="985"/>
    <w:link w:val="1210"/>
    <w:uiPriority w:val="0"/>
    <w:qFormat/>
    <w:pPr>
      <w:ind w:firstLine="420"/>
    </w:pPr>
    <w:rPr>
      <w:sz w:val="20"/>
      <w:szCs w:val="21"/>
    </w:rPr>
  </w:style>
  <w:style w:type="character" w:styleId="1209" w:customStyle="1">
    <w:name w:val="标题 2 字符"/>
    <w:link w:val="1207"/>
    <w:uiPriority w:val="0"/>
    <w:qFormat/>
    <w:rPr>
      <w:rFonts w:ascii="Arial" w:hAnsi="Arial" w:eastAsia="幼圆" w:cs="Arial"/>
      <w:b/>
      <w:bCs/>
      <w:sz w:val="44"/>
      <w:szCs w:val="44"/>
    </w:rPr>
  </w:style>
  <w:style w:type="character" w:styleId="1210" w:customStyle="1">
    <w:name w:val="正文缩进 字符"/>
    <w:link w:val="1208"/>
    <w:uiPriority w:val="0"/>
    <w:qFormat/>
    <w:rPr>
      <w:szCs w:val="21"/>
    </w:rPr>
  </w:style>
  <w:style w:type="paragraph" w:styleId="1211" w:customStyle="1">
    <w:name w:val="标题 31"/>
    <w:basedOn w:val="985"/>
    <w:next w:val="1208"/>
    <w:link w:val="1212"/>
    <w:uiPriority w:val="0"/>
    <w:qFormat/>
    <w:pPr>
      <w:keepLines/>
      <w:keepNext/>
      <w:spacing w:before="260" w:after="260" w:line="416" w:lineRule="auto"/>
      <w:outlineLvl w:val="2"/>
    </w:pPr>
    <w:rPr>
      <w:b/>
      <w:bCs/>
      <w:sz w:val="32"/>
      <w:szCs w:val="32"/>
    </w:rPr>
  </w:style>
  <w:style w:type="character" w:styleId="1212" w:customStyle="1">
    <w:name w:val="标题 3 字符"/>
    <w:link w:val="1211"/>
    <w:uiPriority w:val="0"/>
    <w:qFormat/>
    <w:rPr>
      <w:rFonts w:ascii="Times New Roman" w:hAnsi="Times New Roman" w:eastAsia="宋体" w:cs="Times New Roman"/>
      <w:b/>
      <w:bCs/>
      <w:sz w:val="32"/>
      <w:szCs w:val="32"/>
    </w:rPr>
  </w:style>
  <w:style w:type="paragraph" w:styleId="1213" w:customStyle="1">
    <w:name w:val="标题 41"/>
    <w:basedOn w:val="985"/>
    <w:next w:val="1208"/>
    <w:link w:val="1214"/>
    <w:uiPriority w:val="0"/>
    <w:qFormat/>
    <w:pPr>
      <w:keepLines/>
      <w:keepNext/>
      <w:spacing w:before="280" w:after="290" w:line="376" w:lineRule="auto"/>
      <w:outlineLvl w:val="3"/>
    </w:pPr>
    <w:rPr>
      <w:rFonts w:ascii="Arial" w:hAnsi="Arial" w:eastAsia="黑体"/>
      <w:b/>
      <w:bCs/>
      <w:sz w:val="28"/>
      <w:szCs w:val="28"/>
    </w:rPr>
  </w:style>
  <w:style w:type="character" w:styleId="1214" w:customStyle="1">
    <w:name w:val="标题 4 字符"/>
    <w:link w:val="1213"/>
    <w:uiPriority w:val="0"/>
    <w:qFormat/>
    <w:rPr>
      <w:rFonts w:ascii="Arial" w:hAnsi="Arial" w:eastAsia="黑体" w:cs="Arial"/>
      <w:b/>
      <w:bCs/>
      <w:sz w:val="28"/>
      <w:szCs w:val="28"/>
    </w:rPr>
  </w:style>
  <w:style w:type="paragraph" w:styleId="1215" w:customStyle="1">
    <w:name w:val="标题 51"/>
    <w:basedOn w:val="985"/>
    <w:next w:val="1208"/>
    <w:link w:val="1216"/>
    <w:uiPriority w:val="0"/>
    <w:qFormat/>
    <w:pPr>
      <w:keepNext/>
      <w:outlineLvl w:val="4"/>
    </w:pPr>
    <w:rPr>
      <w:rFonts w:ascii="宋体"/>
      <w:color w:val="000000"/>
      <w:sz w:val="28"/>
      <w:szCs w:val="28"/>
    </w:rPr>
  </w:style>
  <w:style w:type="character" w:styleId="1216" w:customStyle="1">
    <w:name w:val="标题 5 字符"/>
    <w:link w:val="1215"/>
    <w:uiPriority w:val="0"/>
    <w:qFormat/>
    <w:rPr>
      <w:rFonts w:ascii="宋体" w:hAnsi="Times New Roman" w:eastAsia="宋体" w:cs="Times New Roman"/>
      <w:color w:val="000000"/>
      <w:sz w:val="28"/>
      <w:szCs w:val="28"/>
    </w:rPr>
  </w:style>
  <w:style w:type="paragraph" w:styleId="1217" w:customStyle="1">
    <w:name w:val="标题 61"/>
    <w:basedOn w:val="985"/>
    <w:next w:val="985"/>
    <w:link w:val="1218"/>
    <w:uiPriority w:val="0"/>
    <w:qFormat/>
    <w:pPr>
      <w:numPr>
        <w:ilvl w:val="5"/>
        <w:numId w:val="2"/>
      </w:numPr>
      <w:keepLines/>
      <w:keepNext/>
      <w:spacing w:before="240" w:after="64" w:line="320" w:lineRule="auto"/>
      <w:outlineLvl w:val="5"/>
    </w:pPr>
    <w:rPr>
      <w:rFonts w:ascii="Arial" w:hAnsi="Arial" w:eastAsia="黑体"/>
      <w:b/>
      <w:bCs/>
      <w:sz w:val="24"/>
      <w:szCs w:val="24"/>
    </w:rPr>
  </w:style>
  <w:style w:type="character" w:styleId="1218" w:customStyle="1">
    <w:name w:val="标题 6 字符"/>
    <w:link w:val="1217"/>
    <w:uiPriority w:val="0"/>
    <w:qFormat/>
    <w:rPr>
      <w:rFonts w:ascii="Arial" w:hAnsi="Arial" w:eastAsia="黑体" w:cs="Times New Roman"/>
      <w:b/>
      <w:bCs/>
      <w:sz w:val="24"/>
      <w:szCs w:val="24"/>
    </w:rPr>
  </w:style>
  <w:style w:type="paragraph" w:styleId="1219" w:customStyle="1">
    <w:name w:val="标题 71"/>
    <w:basedOn w:val="985"/>
    <w:next w:val="985"/>
    <w:link w:val="1220"/>
    <w:uiPriority w:val="0"/>
    <w:qFormat/>
    <w:pPr>
      <w:numPr>
        <w:ilvl w:val="6"/>
        <w:numId w:val="2"/>
      </w:numPr>
      <w:keepLines/>
      <w:keepNext/>
      <w:spacing w:before="240" w:after="64" w:line="320" w:lineRule="auto"/>
      <w:outlineLvl w:val="6"/>
    </w:pPr>
    <w:rPr>
      <w:b/>
      <w:bCs/>
      <w:sz w:val="24"/>
      <w:szCs w:val="24"/>
    </w:rPr>
  </w:style>
  <w:style w:type="character" w:styleId="1220" w:customStyle="1">
    <w:name w:val="标题 7 字符"/>
    <w:link w:val="1219"/>
    <w:uiPriority w:val="0"/>
    <w:qFormat/>
    <w:rPr>
      <w:rFonts w:ascii="Times New Roman" w:hAnsi="Times New Roman" w:eastAsia="宋体" w:cs="Times New Roman"/>
      <w:b/>
      <w:bCs/>
      <w:sz w:val="24"/>
      <w:szCs w:val="24"/>
    </w:rPr>
  </w:style>
  <w:style w:type="paragraph" w:styleId="1221" w:customStyle="1">
    <w:name w:val="标题 81"/>
    <w:basedOn w:val="985"/>
    <w:next w:val="985"/>
    <w:link w:val="1222"/>
    <w:uiPriority w:val="0"/>
    <w:qFormat/>
    <w:pPr>
      <w:numPr>
        <w:ilvl w:val="7"/>
        <w:numId w:val="2"/>
      </w:numPr>
      <w:keepLines/>
      <w:keepNext/>
      <w:spacing w:before="240" w:after="64" w:line="320" w:lineRule="auto"/>
      <w:outlineLvl w:val="7"/>
    </w:pPr>
    <w:rPr>
      <w:rFonts w:ascii="Arial" w:hAnsi="Arial" w:eastAsia="黑体"/>
      <w:sz w:val="24"/>
      <w:szCs w:val="24"/>
    </w:rPr>
  </w:style>
  <w:style w:type="character" w:styleId="1222" w:customStyle="1">
    <w:name w:val="标题 8 字符"/>
    <w:link w:val="1221"/>
    <w:uiPriority w:val="0"/>
    <w:qFormat/>
    <w:rPr>
      <w:rFonts w:ascii="Arial" w:hAnsi="Arial" w:eastAsia="黑体" w:cs="Times New Roman"/>
      <w:sz w:val="24"/>
      <w:szCs w:val="24"/>
    </w:rPr>
  </w:style>
  <w:style w:type="paragraph" w:styleId="1223" w:customStyle="1">
    <w:name w:val="标题 91"/>
    <w:basedOn w:val="985"/>
    <w:next w:val="985"/>
    <w:link w:val="1224"/>
    <w:uiPriority w:val="0"/>
    <w:qFormat/>
    <w:pPr>
      <w:numPr>
        <w:ilvl w:val="8"/>
        <w:numId w:val="2"/>
      </w:numPr>
      <w:keepLines/>
      <w:keepNext/>
      <w:spacing w:before="240" w:after="64" w:line="320" w:lineRule="auto"/>
      <w:outlineLvl w:val="8"/>
    </w:pPr>
    <w:rPr>
      <w:rFonts w:ascii="Arial" w:hAnsi="Arial" w:eastAsia="黑体"/>
      <w:sz w:val="20"/>
      <w:szCs w:val="21"/>
    </w:rPr>
  </w:style>
  <w:style w:type="character" w:styleId="1224" w:customStyle="1">
    <w:name w:val="标题 9 字符"/>
    <w:link w:val="1223"/>
    <w:uiPriority w:val="0"/>
    <w:qFormat/>
    <w:rPr>
      <w:rFonts w:ascii="Arial" w:hAnsi="Arial" w:eastAsia="黑体" w:cs="Times New Roman"/>
      <w:szCs w:val="21"/>
    </w:rPr>
  </w:style>
  <w:style w:type="character" w:styleId="1225" w:customStyle="1">
    <w:name w:val="默认段落字体1"/>
    <w:link w:val="985"/>
    <w:uiPriority w:val="1"/>
    <w:unhideWhenUsed/>
    <w:qFormat/>
  </w:style>
  <w:style w:type="table" w:styleId="1226" w:customStyle="1">
    <w:name w:val="普通表格1"/>
    <w:uiPriority w:val="99"/>
    <w:unhideWhenUsed/>
    <w:qFormat/>
    <w:tblPr/>
  </w:style>
  <w:style w:type="paragraph" w:styleId="1227" w:customStyle="1">
    <w:name w:val="列表 31"/>
    <w:basedOn w:val="985"/>
    <w:uiPriority w:val="0"/>
    <w:qFormat/>
    <w:pPr>
      <w:ind w:left="100" w:hanging="200"/>
    </w:pPr>
    <w:rPr>
      <w:rFonts w:ascii="Times New Roman" w:hAnsi="Times New Roman" w:eastAsia="宋体" w:cs="Times New Roman"/>
      <w:szCs w:val="21"/>
    </w:rPr>
  </w:style>
  <w:style w:type="paragraph" w:styleId="1228" w:customStyle="1">
    <w:name w:val="目录 71"/>
    <w:basedOn w:val="985"/>
    <w:next w:val="985"/>
    <w:uiPriority w:val="0"/>
    <w:semiHidden/>
    <w:qFormat/>
    <w:pPr>
      <w:ind w:left="1260"/>
      <w:jc w:val="left"/>
    </w:pPr>
    <w:rPr>
      <w:rFonts w:ascii="Times New Roman" w:hAnsi="Times New Roman" w:eastAsia="宋体" w:cs="Times New Roman"/>
      <w:szCs w:val="21"/>
    </w:rPr>
  </w:style>
  <w:style w:type="paragraph" w:styleId="1229" w:customStyle="1">
    <w:name w:val="文档结构图1"/>
    <w:basedOn w:val="985"/>
    <w:link w:val="1230"/>
    <w:uiPriority w:val="0"/>
    <w:semiHidden/>
    <w:qFormat/>
    <w:pPr>
      <w:shd w:val="clear" w:color="auto" w:fill="000080"/>
    </w:pPr>
    <w:rPr>
      <w:sz w:val="20"/>
      <w:szCs w:val="21"/>
    </w:rPr>
  </w:style>
  <w:style w:type="character" w:styleId="1230" w:customStyle="1">
    <w:name w:val="文档结构图 字符"/>
    <w:link w:val="1229"/>
    <w:uiPriority w:val="0"/>
    <w:semiHidden/>
    <w:qFormat/>
    <w:rPr>
      <w:rFonts w:ascii="Times New Roman" w:hAnsi="Times New Roman" w:eastAsia="宋体" w:cs="Times New Roman"/>
      <w:szCs w:val="21"/>
      <w:shd w:val="clear" w:color="auto" w:fill="000080"/>
    </w:rPr>
  </w:style>
  <w:style w:type="paragraph" w:styleId="1231" w:customStyle="1">
    <w:name w:val="批注文字1"/>
    <w:basedOn w:val="985"/>
    <w:link w:val="1232"/>
    <w:uiPriority w:val="99"/>
    <w:unhideWhenUsed/>
    <w:qFormat/>
    <w:pPr>
      <w:jc w:val="left"/>
    </w:pPr>
  </w:style>
  <w:style w:type="character" w:styleId="1232" w:customStyle="1">
    <w:name w:val="批注文字 字符"/>
    <w:link w:val="1231"/>
    <w:uiPriority w:val="99"/>
    <w:semiHidden/>
    <w:qFormat/>
  </w:style>
  <w:style w:type="paragraph" w:styleId="1233" w:customStyle="1">
    <w:name w:val="正文文本 31"/>
    <w:basedOn w:val="985"/>
    <w:link w:val="1234"/>
    <w:uiPriority w:val="0"/>
    <w:qFormat/>
    <w:rPr>
      <w:rFonts w:ascii="仿宋_GB2312" w:hAnsi="Arial" w:eastAsia="仿宋_GB2312"/>
      <w:sz w:val="32"/>
      <w:szCs w:val="32"/>
    </w:rPr>
  </w:style>
  <w:style w:type="character" w:styleId="1234" w:customStyle="1">
    <w:name w:val="正文文本 3 字符"/>
    <w:link w:val="1233"/>
    <w:uiPriority w:val="0"/>
    <w:qFormat/>
    <w:rPr>
      <w:rFonts w:ascii="仿宋_GB2312" w:hAnsi="Arial" w:eastAsia="仿宋_GB2312" w:cs="Times New Roman"/>
      <w:sz w:val="32"/>
      <w:szCs w:val="32"/>
    </w:rPr>
  </w:style>
  <w:style w:type="character" w:styleId="1235" w:customStyle="1">
    <w:name w:val="正文文本缩进 字符"/>
    <w:link w:val="1024"/>
    <w:uiPriority w:val="99"/>
    <w:semiHidden/>
    <w:qFormat/>
  </w:style>
  <w:style w:type="paragraph" w:styleId="1236" w:customStyle="1">
    <w:name w:val="列表 21"/>
    <w:basedOn w:val="985"/>
    <w:uiPriority w:val="0"/>
    <w:qFormat/>
    <w:pPr>
      <w:ind w:left="100" w:hanging="200"/>
    </w:pPr>
    <w:rPr>
      <w:rFonts w:ascii="Times New Roman" w:hAnsi="Times New Roman" w:eastAsia="宋体" w:cs="Times New Roman"/>
      <w:szCs w:val="21"/>
    </w:rPr>
  </w:style>
  <w:style w:type="paragraph" w:styleId="1237" w:customStyle="1">
    <w:name w:val="目录 51"/>
    <w:basedOn w:val="985"/>
    <w:next w:val="985"/>
    <w:uiPriority w:val="0"/>
    <w:semiHidden/>
    <w:qFormat/>
    <w:pPr>
      <w:ind w:left="840"/>
      <w:jc w:val="left"/>
    </w:pPr>
    <w:rPr>
      <w:rFonts w:ascii="Times New Roman" w:hAnsi="Times New Roman" w:eastAsia="宋体" w:cs="Times New Roman"/>
      <w:szCs w:val="21"/>
    </w:rPr>
  </w:style>
  <w:style w:type="paragraph" w:styleId="1238" w:customStyle="1">
    <w:name w:val="目录 31"/>
    <w:basedOn w:val="985"/>
    <w:next w:val="985"/>
    <w:uiPriority w:val="0"/>
    <w:semiHidden/>
    <w:qFormat/>
    <w:pPr>
      <w:ind w:left="420"/>
      <w:jc w:val="left"/>
    </w:pPr>
    <w:rPr>
      <w:rFonts w:ascii="Times New Roman" w:hAnsi="Times New Roman" w:eastAsia="宋体" w:cs="Times New Roman"/>
      <w:i/>
      <w:iCs/>
      <w:szCs w:val="24"/>
    </w:rPr>
  </w:style>
  <w:style w:type="paragraph" w:styleId="1239" w:customStyle="1">
    <w:name w:val="纯文本1"/>
    <w:basedOn w:val="985"/>
    <w:link w:val="1240"/>
    <w:uiPriority w:val="0"/>
    <w:qFormat/>
    <w:rPr>
      <w:rFonts w:ascii="宋体" w:hAnsi="Courier New"/>
      <w:sz w:val="20"/>
      <w:szCs w:val="21"/>
    </w:rPr>
  </w:style>
  <w:style w:type="character" w:styleId="1240" w:customStyle="1">
    <w:name w:val="纯文本 字符"/>
    <w:link w:val="1239"/>
    <w:uiPriority w:val="0"/>
    <w:qFormat/>
    <w:rPr>
      <w:rFonts w:ascii="宋体" w:hAnsi="Courier New" w:eastAsia="宋体" w:cs="Courier New"/>
      <w:szCs w:val="21"/>
    </w:rPr>
  </w:style>
  <w:style w:type="paragraph" w:styleId="1241" w:customStyle="1">
    <w:name w:val="目录 81"/>
    <w:basedOn w:val="985"/>
    <w:next w:val="985"/>
    <w:uiPriority w:val="0"/>
    <w:semiHidden/>
    <w:qFormat/>
    <w:pPr>
      <w:ind w:left="1470"/>
      <w:jc w:val="left"/>
    </w:pPr>
    <w:rPr>
      <w:rFonts w:ascii="Times New Roman" w:hAnsi="Times New Roman" w:eastAsia="宋体" w:cs="Times New Roman"/>
      <w:szCs w:val="21"/>
    </w:rPr>
  </w:style>
  <w:style w:type="paragraph" w:styleId="1242" w:customStyle="1">
    <w:name w:val="日期1"/>
    <w:basedOn w:val="985"/>
    <w:next w:val="985"/>
    <w:link w:val="1243"/>
    <w:uiPriority w:val="0"/>
    <w:qFormat/>
    <w:rPr>
      <w:sz w:val="24"/>
      <w:szCs w:val="24"/>
    </w:rPr>
  </w:style>
  <w:style w:type="character" w:styleId="1243" w:customStyle="1">
    <w:name w:val="日期 字符"/>
    <w:link w:val="1242"/>
    <w:uiPriority w:val="0"/>
    <w:qFormat/>
    <w:rPr>
      <w:rFonts w:ascii="Times New Roman" w:hAnsi="Times New Roman" w:eastAsia="宋体" w:cs="Times New Roman"/>
      <w:sz w:val="24"/>
      <w:szCs w:val="24"/>
    </w:rPr>
  </w:style>
  <w:style w:type="paragraph" w:styleId="1244" w:customStyle="1">
    <w:name w:val="正文文本缩进 21"/>
    <w:basedOn w:val="985"/>
    <w:link w:val="1245"/>
    <w:uiPriority w:val="0"/>
    <w:qFormat/>
    <w:pPr>
      <w:ind w:left="630" w:firstLine="645"/>
    </w:pPr>
    <w:rPr>
      <w:rFonts w:ascii="Arial" w:hAnsi="Arial" w:eastAsia="仿宋_GB2312"/>
      <w:sz w:val="32"/>
      <w:szCs w:val="32"/>
    </w:rPr>
  </w:style>
  <w:style w:type="character" w:styleId="1245" w:customStyle="1">
    <w:name w:val="正文文本缩进 2 字符"/>
    <w:link w:val="1244"/>
    <w:uiPriority w:val="0"/>
    <w:qFormat/>
    <w:rPr>
      <w:rFonts w:ascii="Arial" w:hAnsi="Arial" w:eastAsia="仿宋_GB2312" w:cs="Arial"/>
      <w:sz w:val="32"/>
      <w:szCs w:val="32"/>
    </w:rPr>
  </w:style>
  <w:style w:type="paragraph" w:styleId="1246" w:customStyle="1">
    <w:name w:val="批注框文本1"/>
    <w:basedOn w:val="985"/>
    <w:link w:val="1247"/>
    <w:uiPriority w:val="0"/>
    <w:semiHidden/>
    <w:qFormat/>
    <w:rPr>
      <w:sz w:val="18"/>
      <w:szCs w:val="18"/>
    </w:rPr>
  </w:style>
  <w:style w:type="character" w:styleId="1247" w:customStyle="1">
    <w:name w:val="批注框文本 字符"/>
    <w:link w:val="1246"/>
    <w:uiPriority w:val="0"/>
    <w:semiHidden/>
    <w:qFormat/>
    <w:rPr>
      <w:rFonts w:ascii="Times New Roman" w:hAnsi="Times New Roman" w:eastAsia="宋体" w:cs="Times New Roman"/>
      <w:sz w:val="18"/>
      <w:szCs w:val="18"/>
    </w:rPr>
  </w:style>
  <w:style w:type="paragraph" w:styleId="1248" w:customStyle="1">
    <w:name w:val="页脚1"/>
    <w:basedOn w:val="985"/>
    <w:link w:val="1249"/>
    <w:uiPriority w:val="99"/>
    <w:qFormat/>
    <w:pPr>
      <w:jc w:val="left"/>
      <w:tabs>
        <w:tab w:val="center" w:pos="4153" w:leader="none"/>
        <w:tab w:val="right" w:pos="8306" w:leader="none"/>
      </w:tabs>
    </w:pPr>
    <w:rPr>
      <w:sz w:val="18"/>
      <w:szCs w:val="18"/>
    </w:rPr>
  </w:style>
  <w:style w:type="character" w:styleId="1249" w:customStyle="1">
    <w:name w:val="页脚 字符"/>
    <w:link w:val="1248"/>
    <w:uiPriority w:val="99"/>
    <w:qFormat/>
    <w:rPr>
      <w:rFonts w:ascii="Times New Roman" w:hAnsi="Times New Roman" w:eastAsia="宋体" w:cs="Times New Roman"/>
      <w:sz w:val="18"/>
      <w:szCs w:val="18"/>
    </w:rPr>
  </w:style>
  <w:style w:type="paragraph" w:styleId="1250" w:customStyle="1">
    <w:name w:val="页眉1"/>
    <w:basedOn w:val="985"/>
    <w:link w:val="1251"/>
    <w:uiPriority w:val="99"/>
    <w:qFormat/>
    <w:pPr>
      <w:jc w:val="center"/>
      <w:tabs>
        <w:tab w:val="center" w:pos="4153" w:leader="none"/>
        <w:tab w:val="right" w:pos="8306" w:leader="none"/>
      </w:tabs>
      <w:pBdr>
        <w:bottom w:val="single" w:color="000000" w:sz="6" w:space="1"/>
      </w:pBdr>
    </w:pPr>
    <w:rPr>
      <w:sz w:val="18"/>
      <w:szCs w:val="18"/>
    </w:rPr>
  </w:style>
  <w:style w:type="character" w:styleId="1251" w:customStyle="1">
    <w:name w:val="页眉 字符"/>
    <w:link w:val="1250"/>
    <w:uiPriority w:val="99"/>
    <w:qFormat/>
    <w:rPr>
      <w:rFonts w:ascii="Times New Roman" w:hAnsi="Times New Roman" w:eastAsia="宋体" w:cs="Times New Roman"/>
      <w:sz w:val="18"/>
      <w:szCs w:val="18"/>
    </w:rPr>
  </w:style>
  <w:style w:type="paragraph" w:styleId="1252" w:customStyle="1">
    <w:name w:val="目录 11"/>
    <w:basedOn w:val="985"/>
    <w:next w:val="985"/>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253" w:customStyle="1">
    <w:name w:val="目录 41"/>
    <w:basedOn w:val="985"/>
    <w:next w:val="985"/>
    <w:uiPriority w:val="0"/>
    <w:semiHidden/>
    <w:qFormat/>
    <w:pPr>
      <w:ind w:left="630"/>
      <w:jc w:val="left"/>
    </w:pPr>
    <w:rPr>
      <w:rFonts w:ascii="Times New Roman" w:hAnsi="Times New Roman" w:eastAsia="宋体" w:cs="Times New Roman"/>
      <w:szCs w:val="21"/>
    </w:rPr>
  </w:style>
  <w:style w:type="paragraph" w:styleId="1254" w:customStyle="1">
    <w:name w:val="列表1"/>
    <w:basedOn w:val="985"/>
    <w:uiPriority w:val="0"/>
    <w:qFormat/>
    <w:pPr>
      <w:ind w:left="200" w:hanging="200"/>
    </w:pPr>
    <w:rPr>
      <w:rFonts w:ascii="Times New Roman" w:hAnsi="Times New Roman" w:eastAsia="宋体" w:cs="Times New Roman"/>
      <w:szCs w:val="21"/>
    </w:rPr>
  </w:style>
  <w:style w:type="paragraph" w:styleId="1255" w:customStyle="1">
    <w:name w:val="目录 61"/>
    <w:basedOn w:val="985"/>
    <w:next w:val="985"/>
    <w:uiPriority w:val="0"/>
    <w:semiHidden/>
    <w:qFormat/>
    <w:pPr>
      <w:ind w:left="1050"/>
      <w:jc w:val="left"/>
    </w:pPr>
    <w:rPr>
      <w:rFonts w:ascii="Times New Roman" w:hAnsi="Times New Roman" w:eastAsia="宋体" w:cs="Times New Roman"/>
      <w:szCs w:val="21"/>
    </w:rPr>
  </w:style>
  <w:style w:type="paragraph" w:styleId="1256" w:customStyle="1">
    <w:name w:val="正文文本缩进 31"/>
    <w:basedOn w:val="985"/>
    <w:link w:val="1257"/>
    <w:uiPriority w:val="0"/>
    <w:qFormat/>
    <w:pPr>
      <w:ind w:left="645" w:firstLine="645"/>
    </w:pPr>
    <w:rPr>
      <w:rFonts w:ascii="Arial" w:hAnsi="Arial" w:eastAsia="仿宋_GB2312"/>
      <w:color w:val="ffff00"/>
      <w:sz w:val="32"/>
      <w:szCs w:val="32"/>
    </w:rPr>
  </w:style>
  <w:style w:type="character" w:styleId="1257" w:customStyle="1">
    <w:name w:val="正文文本缩进 3 字符"/>
    <w:link w:val="1256"/>
    <w:uiPriority w:val="0"/>
    <w:qFormat/>
    <w:rPr>
      <w:rFonts w:ascii="Arial" w:hAnsi="Arial" w:eastAsia="仿宋_GB2312" w:cs="Arial"/>
      <w:color w:val="ffff00"/>
      <w:sz w:val="32"/>
      <w:szCs w:val="32"/>
    </w:rPr>
  </w:style>
  <w:style w:type="paragraph" w:styleId="1258" w:customStyle="1">
    <w:name w:val="图表目录1"/>
    <w:basedOn w:val="985"/>
    <w:next w:val="985"/>
    <w:uiPriority w:val="0"/>
    <w:semiHidden/>
    <w:qFormat/>
    <w:pPr>
      <w:ind w:left="840" w:hanging="420"/>
    </w:pPr>
    <w:rPr>
      <w:rFonts w:ascii="Times New Roman" w:hAnsi="Times New Roman" w:eastAsia="宋体" w:cs="Times New Roman"/>
      <w:szCs w:val="21"/>
    </w:rPr>
  </w:style>
  <w:style w:type="paragraph" w:styleId="1259" w:customStyle="1">
    <w:name w:val="目录 21"/>
    <w:basedOn w:val="985"/>
    <w:next w:val="985"/>
    <w:uiPriority w:val="0"/>
    <w:semiHidden/>
    <w:qFormat/>
    <w:pPr>
      <w:ind w:left="210"/>
      <w:jc w:val="left"/>
    </w:pPr>
    <w:rPr>
      <w:rFonts w:ascii="Times New Roman" w:hAnsi="Times New Roman" w:eastAsia="宋体" w:cs="Times New Roman"/>
      <w:smallCaps/>
      <w:szCs w:val="24"/>
    </w:rPr>
  </w:style>
  <w:style w:type="paragraph" w:styleId="1260" w:customStyle="1">
    <w:name w:val="目录 91"/>
    <w:basedOn w:val="985"/>
    <w:next w:val="985"/>
    <w:uiPriority w:val="0"/>
    <w:semiHidden/>
    <w:qFormat/>
    <w:pPr>
      <w:ind w:left="1680"/>
      <w:jc w:val="left"/>
    </w:pPr>
    <w:rPr>
      <w:rFonts w:ascii="Times New Roman" w:hAnsi="Times New Roman" w:eastAsia="宋体" w:cs="Times New Roman"/>
      <w:szCs w:val="21"/>
    </w:rPr>
  </w:style>
  <w:style w:type="paragraph" w:styleId="1261" w:customStyle="1">
    <w:name w:val="正文文本 21"/>
    <w:basedOn w:val="985"/>
    <w:link w:val="1262"/>
    <w:uiPriority w:val="0"/>
    <w:qFormat/>
    <w:pPr>
      <w:jc w:val="center"/>
      <w:widowControl/>
    </w:pPr>
    <w:rPr>
      <w:rFonts w:ascii="楷体_GB2312" w:eastAsia="楷体_GB2312"/>
      <w:sz w:val="28"/>
      <w:szCs w:val="28"/>
    </w:rPr>
  </w:style>
  <w:style w:type="character" w:styleId="1262" w:customStyle="1">
    <w:name w:val="正文文本 2 字符"/>
    <w:link w:val="1261"/>
    <w:uiPriority w:val="0"/>
    <w:qFormat/>
    <w:rPr>
      <w:rFonts w:ascii="楷体_GB2312" w:hAnsi="Times New Roman" w:eastAsia="楷体_GB2312" w:cs="Times New Roman"/>
      <w:sz w:val="28"/>
      <w:szCs w:val="28"/>
    </w:rPr>
  </w:style>
  <w:style w:type="paragraph" w:styleId="1263" w:customStyle="1">
    <w:name w:val="普通(网站)1"/>
    <w:basedOn w:val="985"/>
    <w:uiPriority w:val="99"/>
    <w:qFormat/>
    <w:pPr>
      <w:jc w:val="left"/>
      <w:spacing w:before="100" w:beforeAutospacing="1" w:after="100" w:afterAutospacing="1"/>
      <w:widowControl/>
    </w:pPr>
    <w:rPr>
      <w:rFonts w:ascii="宋体" w:hAnsi="宋体" w:eastAsia="宋体" w:cs="宋体"/>
      <w:sz w:val="24"/>
      <w:szCs w:val="24"/>
    </w:rPr>
  </w:style>
  <w:style w:type="paragraph" w:styleId="1264" w:customStyle="1">
    <w:name w:val="索引 11"/>
    <w:basedOn w:val="985"/>
    <w:next w:val="985"/>
    <w:uiPriority w:val="0"/>
    <w:semiHidden/>
    <w:qFormat/>
    <w:pPr>
      <w:spacing w:line="240" w:lineRule="atLeast"/>
    </w:pPr>
    <w:rPr>
      <w:rFonts w:ascii="Times New Roman" w:hAnsi="Times New Roman" w:eastAsia="宋体" w:cs="Times New Roman"/>
      <w:b/>
      <w:bCs/>
      <w:szCs w:val="21"/>
    </w:rPr>
  </w:style>
  <w:style w:type="paragraph" w:styleId="1265" w:customStyle="1">
    <w:name w:val="批注主题1"/>
    <w:basedOn w:val="1231"/>
    <w:next w:val="1231"/>
    <w:link w:val="1266"/>
    <w:uiPriority w:val="0"/>
    <w:semiHidden/>
    <w:qFormat/>
    <w:rPr>
      <w:b/>
      <w:bCs/>
      <w:sz w:val="20"/>
      <w:szCs w:val="21"/>
    </w:rPr>
  </w:style>
  <w:style w:type="character" w:styleId="1266" w:customStyle="1">
    <w:name w:val="批注主题 字符"/>
    <w:link w:val="1265"/>
    <w:uiPriority w:val="0"/>
    <w:semiHidden/>
    <w:qFormat/>
    <w:rPr>
      <w:rFonts w:ascii="Times New Roman" w:hAnsi="Times New Roman" w:eastAsia="宋体" w:cs="Times New Roman"/>
      <w:b/>
      <w:bCs/>
      <w:szCs w:val="21"/>
    </w:rPr>
  </w:style>
  <w:style w:type="character" w:styleId="1267" w:customStyle="1">
    <w:name w:val="正文首行缩进 2 字符"/>
    <w:link w:val="1023"/>
    <w:uiPriority w:val="0"/>
    <w:qFormat/>
    <w:rPr>
      <w:rFonts w:ascii="宋体" w:hAnsi="宋体" w:eastAsia="宋体" w:cs="Times New Roman"/>
      <w:szCs w:val="20"/>
    </w:rPr>
  </w:style>
  <w:style w:type="table" w:styleId="1268" w:customStyle="1">
    <w:name w:val="网格型1"/>
    <w:basedOn w:val="1226"/>
    <w:uiPriority w:val="0"/>
    <w:qFormat/>
    <w:pPr>
      <w:jc w:val="both"/>
      <w:widowControl w:val="off"/>
    </w:pPr>
    <w:rPr>
      <w:rFonts w:ascii="Times New Roman" w:hAnsi="Times New Roman" w:eastAsia="宋体" w:cs="Times New Roman"/>
      <w:sz w:val="20"/>
      <w:szCs w:val="20"/>
    </w:rPr>
    <w:tblPr/>
  </w:style>
  <w:style w:type="character" w:styleId="1269" w:customStyle="1">
    <w:name w:val="要点1"/>
    <w:link w:val="985"/>
    <w:uiPriority w:val="0"/>
    <w:qFormat/>
    <w:rPr>
      <w:b/>
      <w:bCs/>
    </w:rPr>
  </w:style>
  <w:style w:type="character" w:styleId="1270" w:customStyle="1">
    <w:name w:val="页码1"/>
    <w:link w:val="985"/>
    <w:uiPriority w:val="0"/>
    <w:qFormat/>
  </w:style>
  <w:style w:type="character" w:styleId="1271" w:customStyle="1">
    <w:name w:val="访问过的超链接"/>
    <w:link w:val="985"/>
    <w:uiPriority w:val="0"/>
    <w:qFormat/>
    <w:rPr>
      <w:color w:val="800080"/>
      <w:u w:val="single"/>
    </w:rPr>
  </w:style>
  <w:style w:type="character" w:styleId="1272" w:customStyle="1">
    <w:name w:val="超链接11"/>
    <w:link w:val="985"/>
    <w:uiPriority w:val="99"/>
    <w:qFormat/>
    <w:rPr>
      <w:color w:val="0000ff"/>
      <w:u w:val="single"/>
    </w:rPr>
  </w:style>
  <w:style w:type="character" w:styleId="1273" w:customStyle="1">
    <w:name w:val="批注引用1"/>
    <w:link w:val="985"/>
    <w:uiPriority w:val="0"/>
    <w:semiHidden/>
    <w:qFormat/>
    <w:rPr>
      <w:sz w:val="21"/>
      <w:szCs w:val="21"/>
    </w:rPr>
  </w:style>
  <w:style w:type="paragraph" w:styleId="1274" w:customStyle="1">
    <w:name w:val="段"/>
    <w:next w:val="985"/>
    <w:uiPriority w:val="0"/>
    <w:qFormat/>
    <w:pPr>
      <w:ind w:firstLine="200"/>
      <w:jc w:val="both"/>
    </w:pPr>
    <w:rPr>
      <w:rFonts w:hint="default" w:ascii="宋体" w:hAnsi="Times New Roman" w:eastAsia="Times New Roman" w:cs="Times New Roman"/>
      <w:sz w:val="21"/>
      <w:lang w:eastAsia="zh-CN"/>
    </w:rPr>
  </w:style>
  <w:style w:type="character" w:styleId="1275" w:customStyle="1">
    <w:name w:val="font5 Char"/>
    <w:link w:val="985"/>
    <w:uiPriority w:val="0"/>
    <w:qFormat/>
    <w:rPr>
      <w:rFonts w:ascii="宋体" w:hAnsi="宋体" w:eastAsia="宋体"/>
      <w:sz w:val="28"/>
      <w:szCs w:val="28"/>
      <w:lang w:val="en-US" w:eastAsia="zh-CN" w:bidi="ar-SA"/>
    </w:rPr>
  </w:style>
  <w:style w:type="character" w:styleId="1276" w:customStyle="1">
    <w:name w:val="二级目录 Char"/>
    <w:link w:val="1277"/>
    <w:uiPriority w:val="0"/>
    <w:qFormat/>
    <w:rPr>
      <w:b/>
      <w:sz w:val="30"/>
      <w:szCs w:val="28"/>
      <w:lang w:val="en-US" w:eastAsia="zh-CN" w:bidi="ar-SA"/>
    </w:rPr>
  </w:style>
  <w:style w:type="paragraph" w:styleId="1277" w:customStyle="1">
    <w:name w:val="二级目录"/>
    <w:next w:val="985"/>
    <w:link w:val="1276"/>
    <w:uiPriority w:val="0"/>
    <w:qFormat/>
    <w:pPr>
      <w:numPr>
        <w:ilvl w:val="0"/>
        <w:numId w:val="3"/>
      </w:numPr>
      <w:ind w:left="907" w:hanging="907"/>
      <w:tabs>
        <w:tab w:val="left" w:pos="1145" w:leader="none"/>
      </w:tabs>
      <w:outlineLvl w:val="1"/>
    </w:pPr>
    <w:rPr>
      <w:rFonts w:hint="default" w:ascii="Times New Roman" w:hAnsi="Times New Roman" w:eastAsia="宋体" w:cs="Times New Roman"/>
      <w:b/>
      <w:sz w:val="30"/>
      <w:szCs w:val="28"/>
      <w:lang w:eastAsia="zh-CN"/>
    </w:rPr>
  </w:style>
  <w:style w:type="character" w:styleId="1278" w:customStyle="1">
    <w:name w:val="列出段落 Char"/>
    <w:link w:val="1279"/>
    <w:uiPriority w:val="0"/>
    <w:qFormat/>
    <w:rPr>
      <w:rFonts w:ascii="Calibri" w:hAnsi="Calibri"/>
      <w:sz w:val="24"/>
      <w:szCs w:val="24"/>
      <w:lang w:eastAsia="en-US" w:bidi="en-US"/>
    </w:rPr>
  </w:style>
  <w:style w:type="paragraph" w:styleId="1279" w:customStyle="1">
    <w:name w:val="列出段落1"/>
    <w:basedOn w:val="985"/>
    <w:link w:val="1278"/>
    <w:uiPriority w:val="0"/>
    <w:qFormat/>
    <w:pPr>
      <w:contextualSpacing/>
      <w:ind w:left="720"/>
      <w:jc w:val="left"/>
      <w:widowControl/>
    </w:pPr>
    <w:rPr>
      <w:rFonts w:ascii="Calibri" w:hAnsi="Calibri"/>
      <w:sz w:val="24"/>
      <w:szCs w:val="24"/>
      <w:lang w:eastAsia="en-US" w:bidi="en-US"/>
    </w:rPr>
  </w:style>
  <w:style w:type="paragraph" w:styleId="1280" w:customStyle="1">
    <w:name w:val="Body Text(ch)"/>
    <w:basedOn w:val="985"/>
    <w:next w:val="1071"/>
    <w:uiPriority w:val="0"/>
    <w:qFormat/>
    <w:pPr>
      <w:spacing w:after="120"/>
    </w:pPr>
    <w:rPr>
      <w:rFonts w:ascii="宋体" w:hAnsi="Arial" w:eastAsia="宋体" w:cs="Times New Roman"/>
      <w:bCs/>
      <w:iCs/>
      <w:szCs w:val="24"/>
    </w:rPr>
  </w:style>
  <w:style w:type="paragraph" w:styleId="1281" w:customStyle="1">
    <w:name w:val="xl27"/>
    <w:basedOn w:val="9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82" w:customStyle="1">
    <w:name w:val="xl26"/>
    <w:basedOn w:val="9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83" w:customStyle="1">
    <w:name w:val="Char"/>
    <w:basedOn w:val="985"/>
    <w:uiPriority w:val="0"/>
    <w:qFormat/>
    <w:pPr>
      <w:ind w:firstLine="200"/>
      <w:tabs>
        <w:tab w:val="left" w:pos="360" w:leader="none"/>
      </w:tabs>
    </w:pPr>
    <w:rPr>
      <w:rFonts w:ascii="Times New Roman" w:hAnsi="Times New Roman" w:eastAsia="宋体" w:cs="Times New Roman"/>
      <w:sz w:val="28"/>
      <w:szCs w:val="30"/>
    </w:rPr>
  </w:style>
  <w:style w:type="paragraph" w:styleId="1284" w:customStyle="1">
    <w:name w:val=" Char"/>
    <w:basedOn w:val="1229"/>
    <w:uiPriority w:val="0"/>
    <w:qFormat/>
    <w:rPr>
      <w:rFonts w:ascii="Tahoma" w:hAnsi="Tahoma"/>
      <w:sz w:val="24"/>
      <w:szCs w:val="24"/>
    </w:rPr>
  </w:style>
  <w:style w:type="paragraph" w:styleId="1285" w:customStyle="1">
    <w:name w:val="普通正文"/>
    <w:basedOn w:val="985"/>
    <w:uiPriority w:val="0"/>
    <w:qFormat/>
    <w:pPr>
      <w:ind w:firstLine="480"/>
      <w:jc w:val="left"/>
      <w:spacing w:before="120" w:after="120" w:line="360" w:lineRule="auto"/>
    </w:pPr>
    <w:rPr>
      <w:rFonts w:ascii="Arial" w:hAnsi="Arial" w:eastAsia="宋体" w:cs="Times New Roman"/>
      <w:sz w:val="24"/>
      <w:szCs w:val="24"/>
    </w:rPr>
  </w:style>
  <w:style w:type="paragraph" w:styleId="1286" w:customStyle="1">
    <w:name w:val="table_lines"/>
    <w:basedOn w:val="985"/>
    <w:uiPriority w:val="0"/>
    <w:qFormat/>
    <w:pPr>
      <w:jc w:val="left"/>
      <w:widowControl/>
    </w:pPr>
    <w:rPr>
      <w:rFonts w:ascii="Times New Roman" w:hAnsi="Times New Roman" w:eastAsia="宋体" w:cs="Times New Roman"/>
      <w:sz w:val="20"/>
      <w:szCs w:val="20"/>
      <w:lang w:val="de-DE" w:eastAsia="de-DE"/>
    </w:rPr>
  </w:style>
  <w:style w:type="paragraph" w:styleId="1287"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eastAsia="zh-CN"/>
    </w:rPr>
  </w:style>
  <w:style w:type="paragraph" w:styleId="1288" w:customStyle="1">
    <w:name w:val="font7"/>
    <w:basedOn w:val="985"/>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89" w:customStyle="1">
    <w:name w:val=" Char Char Char Char"/>
    <w:basedOn w:val="1229"/>
    <w:uiPriority w:val="0"/>
    <w:qFormat/>
    <w:pPr>
      <w:spacing w:line="360" w:lineRule="auto"/>
    </w:pPr>
    <w:rPr>
      <w:rFonts w:ascii="Tahoma" w:hAnsi="Tahoma"/>
      <w:sz w:val="24"/>
      <w:szCs w:val="24"/>
    </w:rPr>
  </w:style>
  <w:style w:type="paragraph" w:styleId="1290" w:customStyle="1">
    <w:name w:val="列出段落"/>
    <w:basedOn w:val="985"/>
    <w:uiPriority w:val="34"/>
    <w:qFormat/>
    <w:pPr>
      <w:contextualSpacing/>
      <w:ind w:left="720"/>
      <w:jc w:val="left"/>
      <w:widowControl/>
    </w:pPr>
    <w:rPr>
      <w:rFonts w:ascii="Calibri" w:hAnsi="Calibri" w:eastAsia="宋体" w:cs="Times New Roman"/>
      <w:sz w:val="24"/>
      <w:szCs w:val="24"/>
      <w:lang w:eastAsia="en-US" w:bidi="en-US"/>
    </w:rPr>
  </w:style>
  <w:style w:type="paragraph" w:styleId="1291" w:customStyle="1">
    <w:name w:val="4"/>
    <w:basedOn w:val="985"/>
    <w:next w:val="1256"/>
    <w:uiPriority w:val="0"/>
    <w:qFormat/>
    <w:pPr>
      <w:ind w:firstLine="420"/>
      <w:spacing w:line="360" w:lineRule="auto"/>
    </w:pPr>
    <w:rPr>
      <w:rFonts w:ascii="Times New Roman" w:hAnsi="Times New Roman" w:eastAsia="宋体" w:cs="Times New Roman"/>
      <w:color w:val="ff0000"/>
      <w:sz w:val="24"/>
      <w:szCs w:val="24"/>
    </w:rPr>
  </w:style>
  <w:style w:type="paragraph" w:styleId="1292" w:customStyle="1">
    <w:name w:val="普通 (Web)"/>
    <w:basedOn w:val="985"/>
    <w:uiPriority w:val="0"/>
    <w:qFormat/>
    <w:pPr>
      <w:jc w:val="left"/>
      <w:spacing w:before="100" w:beforeAutospacing="1" w:after="100" w:afterAutospacing="1"/>
      <w:widowControl/>
    </w:pPr>
    <w:rPr>
      <w:rFonts w:ascii="宋体" w:hAnsi="宋体" w:eastAsia="宋体" w:cs="Times New Roman"/>
      <w:sz w:val="24"/>
      <w:szCs w:val="24"/>
    </w:rPr>
  </w:style>
  <w:style w:type="paragraph" w:styleId="1293" w:customStyle="1">
    <w:name w:val=" Char Char Char Char Char Char Char Char Char Char"/>
    <w:basedOn w:val="985"/>
    <w:uiPriority w:val="0"/>
    <w:qFormat/>
    <w:pPr>
      <w:spacing w:line="360" w:lineRule="auto"/>
    </w:pPr>
    <w:rPr>
      <w:rFonts w:ascii="Times New Roman" w:hAnsi="Times New Roman" w:eastAsia="宋体" w:cs="Times New Roman"/>
      <w:sz w:val="24"/>
      <w:szCs w:val="20"/>
    </w:rPr>
  </w:style>
  <w:style w:type="paragraph" w:styleId="1294" w:customStyle="1">
    <w:name w:val="样式1"/>
    <w:basedOn w:val="985"/>
    <w:uiPriority w:val="0"/>
    <w:qFormat/>
    <w:pPr>
      <w:numPr>
        <w:ilvl w:val="0"/>
        <w:numId w:val="4"/>
      </w:numPr>
    </w:pPr>
    <w:rPr>
      <w:rFonts w:ascii="宋体" w:hAnsi="宋体" w:eastAsia="宋体" w:cs="Times New Roman"/>
      <w:szCs w:val="21"/>
    </w:rPr>
  </w:style>
  <w:style w:type="paragraph" w:styleId="1295" w:customStyle="1">
    <w:name w:val="font6"/>
    <w:basedOn w:val="985"/>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296" w:customStyle="1">
    <w:name w:val="xl25"/>
    <w:basedOn w:val="98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97" w:customStyle="1">
    <w:name w:val="图标"/>
    <w:basedOn w:val="985"/>
    <w:next w:val="985"/>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98" w:customStyle="1">
    <w:name w:val="标题3"/>
    <w:basedOn w:val="985"/>
    <w:next w:val="985"/>
    <w:uiPriority w:val="0"/>
    <w:qFormat/>
    <w:pPr>
      <w:ind w:firstLine="624"/>
      <w:spacing w:line="590" w:lineRule="atLeast"/>
    </w:pPr>
    <w:rPr>
      <w:rFonts w:ascii="方正黑体_GBK" w:hAnsi="Times New Roman" w:eastAsia="方正黑体_GBK" w:cs="Times New Roman"/>
      <w:sz w:val="32"/>
      <w:szCs w:val="32"/>
    </w:rPr>
  </w:style>
  <w:style w:type="paragraph" w:styleId="1299" w:customStyle="1">
    <w:name w:val="xl24"/>
    <w:basedOn w:val="9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300" w:customStyle="1">
    <w:name w:val="xl29"/>
    <w:basedOn w:val="985"/>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301" w:customStyle="1">
    <w:name w:val="Char Char Char Char Char Char Char Char"/>
    <w:basedOn w:val="985"/>
    <w:uiPriority w:val="0"/>
    <w:qFormat/>
    <w:pPr>
      <w:jc w:val="left"/>
      <w:spacing w:after="160" w:line="240" w:lineRule="exact"/>
      <w:widowControl/>
    </w:pPr>
    <w:rPr>
      <w:rFonts w:ascii="Verdana" w:hAnsi="Verdana" w:eastAsia="宋体" w:cs="Times New Roman"/>
      <w:sz w:val="20"/>
      <w:szCs w:val="20"/>
      <w:lang w:eastAsia="en-US"/>
    </w:rPr>
  </w:style>
  <w:style w:type="paragraph" w:styleId="1302" w:customStyle="1">
    <w:name w:val="xl28"/>
    <w:basedOn w:val="98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303" w:customStyle="1">
    <w:name w:val=" Char Char Char Char Char Char Char Char"/>
    <w:basedOn w:val="985"/>
    <w:uiPriority w:val="0"/>
    <w:qFormat/>
    <w:pPr>
      <w:jc w:val="left"/>
      <w:spacing w:after="160" w:line="240" w:lineRule="exact"/>
      <w:widowControl/>
    </w:pPr>
    <w:rPr>
      <w:rFonts w:ascii="Verdana" w:hAnsi="Verdana" w:eastAsia="宋体" w:cs="Times New Roman"/>
      <w:sz w:val="20"/>
      <w:szCs w:val="20"/>
      <w:lang w:eastAsia="en-US"/>
    </w:rPr>
  </w:style>
  <w:style w:type="paragraph" w:styleId="1304" w:customStyle="1">
    <w:name w:val="xl30"/>
    <w:basedOn w:val="985"/>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305" w:customStyle="1">
    <w:name w:val="Char Char Char Char"/>
    <w:basedOn w:val="1229"/>
    <w:uiPriority w:val="0"/>
    <w:qFormat/>
    <w:pPr>
      <w:spacing w:line="360" w:lineRule="auto"/>
    </w:pPr>
    <w:rPr>
      <w:rFonts w:ascii="Tahoma" w:hAnsi="Tahoma"/>
      <w:sz w:val="24"/>
      <w:szCs w:val="24"/>
    </w:rPr>
  </w:style>
  <w:style w:type="paragraph" w:styleId="1306" w:customStyle="1">
    <w:name w:val="table_1stline"/>
    <w:basedOn w:val="985"/>
    <w:uiPriority w:val="0"/>
    <w:qFormat/>
    <w:pPr>
      <w:jc w:val="left"/>
      <w:spacing w:before="120"/>
      <w:widowControl/>
    </w:pPr>
    <w:rPr>
      <w:rFonts w:ascii="Times New Roman" w:hAnsi="Times New Roman" w:eastAsia="宋体" w:cs="Times New Roman"/>
      <w:bCs/>
      <w:sz w:val="20"/>
      <w:szCs w:val="20"/>
      <w:lang w:val="de-DE" w:eastAsia="de-DE"/>
    </w:rPr>
  </w:style>
  <w:style w:type="paragraph" w:styleId="1307" w:customStyle="1">
    <w:name w:val="font5"/>
    <w:basedOn w:val="985"/>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308" w:customStyle="1">
    <w:name w:val="标题1"/>
    <w:basedOn w:val="985"/>
    <w:next w:val="985"/>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309" w:customStyle="1">
    <w:name w:val="修订"/>
    <w:uiPriority w:val="99"/>
    <w:semiHidden/>
    <w:qFormat/>
    <w:rPr>
      <w:rFonts w:hint="default" w:ascii="Times New Roman" w:hAnsi="Times New Roman" w:eastAsia="宋体" w:cs="Times New Roman"/>
      <w:sz w:val="21"/>
      <w:szCs w:val="21"/>
      <w:lang w:eastAsia="zh-CN"/>
    </w:rPr>
  </w:style>
  <w:style w:type="paragraph" w:styleId="1310" w:customStyle="1">
    <w:name w:val="无间隔"/>
    <w:uiPriority w:val="99"/>
    <w:qFormat/>
    <w:pPr>
      <w:jc w:val="both"/>
      <w:widowControl w:val="off"/>
    </w:pPr>
    <w:rPr>
      <w:rFonts w:hint="default" w:ascii="Times New Roman" w:hAnsi="Times New Roman" w:eastAsia="宋体" w:cs="Times New Roman"/>
      <w:sz w:val="21"/>
      <w:szCs w:val="21"/>
      <w:lang w:eastAsia="zh-CN"/>
    </w:rPr>
  </w:style>
  <w:style w:type="paragraph" w:styleId="1311" w:customStyle="1">
    <w:name w:val="引文目录标题1"/>
    <w:basedOn w:val="985"/>
    <w:next w:val="985"/>
    <w:uiPriority w:val="0"/>
    <w:qFormat/>
    <w:pPr>
      <w:spacing w:before="120"/>
    </w:pPr>
    <w:rPr>
      <w:rFonts w:ascii="Arial" w:hAnsi="Arial"/>
      <w:sz w:val="24"/>
    </w:rPr>
  </w:style>
  <w:style w:type="character" w:styleId="1312" w:customStyle="1">
    <w:name w:val="超链接1"/>
    <w:link w:val="985"/>
    <w:uiPriority w:val="0"/>
    <w:qFormat/>
    <w:rPr>
      <w:rFonts w:ascii="Times New Roman" w:hAnsi="Times New Roman" w:eastAsia="宋体" w:cs="Times New Roman"/>
      <w:sz w:val="21"/>
      <w:szCs w:val="24"/>
      <w:lang w:val="en-US" w:eastAsia="zh-CN" w:bidi="ar-SA"/>
    </w:rPr>
  </w:style>
  <w:style w:type="paragraph" w:styleId="1313" w:customStyle="1">
    <w:name w:val="正文首行缩进1"/>
    <w:basedOn w:val="998"/>
    <w:uiPriority w:val="0"/>
    <w:qFormat/>
    <w:pPr>
      <w:ind w:firstLine="200"/>
      <w:spacing w:line="360" w:lineRule="auto"/>
    </w:pPr>
    <w:rPr>
      <w:rFonts w:ascii="仿宋_GB2312" w:hAnsi="Times New Roman" w:eastAsia="仿宋_GB2312"/>
      <w:sz w:val="30"/>
      <w:szCs w:val="30"/>
    </w:rPr>
  </w:style>
  <w:style w:type="paragraph" w:styleId="1314" w:customStyle="1">
    <w:name w:val="正文缩进2格"/>
    <w:basedOn w:val="985"/>
    <w:uiPriority w:val="0"/>
    <w:qFormat/>
    <w:pPr>
      <w:ind w:firstLine="639"/>
      <w:spacing w:line="600" w:lineRule="exact"/>
    </w:pPr>
    <w:rPr>
      <w:rFonts w:ascii="仿宋_GB2312" w:hAnsi="宋体" w:eastAsia="仿宋_GB2312"/>
      <w:sz w:val="31"/>
      <w:szCs w:val="28"/>
      <w:lang w:eastAsia="en-US"/>
    </w:rPr>
  </w:style>
  <w:style w:type="paragraph" w:styleId="1315" w:customStyle="1">
    <w:name w:val="AONormal"/>
    <w:uiPriority w:val="0"/>
    <w:qFormat/>
    <w:pPr>
      <w:ind w:firstLine="440"/>
      <w:spacing w:line="400" w:lineRule="exact"/>
    </w:pPr>
    <w:rPr>
      <w:rFonts w:hint="default" w:ascii="华文楷体" w:hAnsi="华文楷体" w:eastAsia="华文楷体" w:cs="华文楷体"/>
      <w:sz w:val="22"/>
      <w:szCs w:val="21"/>
      <w:lang w:eastAsia="zh-CN"/>
    </w:rPr>
  </w:style>
  <w:style w:type="paragraph" w:styleId="1316" w:customStyle="1">
    <w:name w:val="普通(网站) Char"/>
    <w:basedOn w:val="985"/>
    <w:uiPriority w:val="0"/>
    <w:qFormat/>
    <w:pPr>
      <w:spacing w:before="100" w:beforeAutospacing="1" w:after="100" w:afterAutospacing="1"/>
    </w:pPr>
    <w:rPr>
      <w:rFonts w:ascii="宋体" w:hAnsi="宋体" w:cs="宋体"/>
      <w:sz w:val="24"/>
    </w:rPr>
  </w:style>
  <w:style w:type="paragraph" w:styleId="1317" w:customStyle="1">
    <w:name w:val="正文首行缩进111"/>
    <w:basedOn w:val="1318"/>
    <w:uiPriority w:val="0"/>
    <w:qFormat/>
    <w:pPr>
      <w:ind w:firstLine="200"/>
      <w:spacing w:line="360" w:lineRule="auto"/>
    </w:pPr>
    <w:rPr>
      <w:rFonts w:ascii="仿宋_GB2312" w:hAnsi="Times New Roman" w:eastAsia="仿宋_GB2312"/>
      <w:sz w:val="30"/>
      <w:szCs w:val="30"/>
    </w:rPr>
  </w:style>
  <w:style w:type="paragraph" w:styleId="1318" w:customStyle="1">
    <w:name w:val="正文文本111"/>
    <w:basedOn w:val="985"/>
    <w:next w:val="985"/>
    <w:uiPriority w:val="0"/>
    <w:qFormat/>
    <w:rPr>
      <w:rFonts w:ascii="楷体_GB2312" w:hAnsi="Arial" w:eastAsia="楷体_GB2312"/>
      <w:sz w:val="28"/>
      <w:szCs w:val="28"/>
    </w:rPr>
  </w:style>
  <w:style w:type="paragraph" w:styleId="1319" w:customStyle="1">
    <w:name w:val="正文首行缩进12"/>
    <w:basedOn w:val="1320"/>
    <w:uiPriority w:val="0"/>
    <w:qFormat/>
    <w:pPr>
      <w:ind w:firstLine="200"/>
      <w:spacing w:line="360" w:lineRule="auto"/>
    </w:pPr>
    <w:rPr>
      <w:rFonts w:ascii="仿宋_GB2312" w:hAnsi="Times New Roman" w:eastAsia="仿宋_GB2312"/>
      <w:sz w:val="30"/>
      <w:szCs w:val="30"/>
    </w:rPr>
  </w:style>
  <w:style w:type="paragraph" w:styleId="1320" w:customStyle="1">
    <w:name w:val="正文文本12"/>
    <w:basedOn w:val="985"/>
    <w:uiPriority w:val="0"/>
    <w:qFormat/>
    <w:rPr>
      <w:rFonts w:ascii="楷体_GB2312" w:hAnsi="Arial" w:eastAsia="楷体_GB2312"/>
      <w:sz w:val="28"/>
      <w:szCs w:val="28"/>
    </w:rPr>
  </w:style>
  <w:style w:type="character" w:styleId="1321" w:customStyle="1">
    <w:name w:val="font21"/>
    <w:basedOn w:val="995"/>
    <w:link w:val="985"/>
    <w:uiPriority w:val="0"/>
    <w:qFormat/>
    <w:rPr>
      <w:rFonts w:hint="eastAsia" w:ascii="宋体" w:hAnsi="宋体" w:eastAsia="宋体" w:cs="宋体"/>
      <w:color w:val="000000"/>
      <w:sz w:val="22"/>
      <w:szCs w:val="22"/>
      <w:u w:val="none"/>
    </w:rPr>
  </w:style>
  <w:style w:type="paragraph" w:styleId="1322" w:customStyle="1">
    <w:name w:val="方案正文"/>
    <w:basedOn w:val="985"/>
    <w:uiPriority w:val="0"/>
    <w:qFormat/>
    <w:pPr>
      <w:contextualSpacing/>
      <w:ind w:firstLine="200"/>
      <w:jc w:val="left"/>
      <w:widowControl/>
    </w:pPr>
    <w:rPr>
      <w:rFonts w:eastAsia="宋体"/>
    </w:rPr>
  </w:style>
  <w:style w:type="character" w:styleId="1323" w:customStyle="1">
    <w:name w:val="font31"/>
    <w:basedOn w:val="995"/>
    <w:uiPriority w:val="0"/>
    <w:qFormat/>
    <w:rPr>
      <w:rFonts w:ascii="楷体_GB2312" w:eastAsia="楷体_GB2312" w:cs="楷体_GB2312"/>
      <w:b/>
      <w:bCs/>
      <w:color w:val="000000"/>
      <w:sz w:val="28"/>
      <w:szCs w:val="28"/>
      <w:u w:val="none"/>
    </w:rPr>
  </w:style>
  <w:style w:type="character" w:styleId="1324" w:customStyle="1">
    <w:name w:val="font51"/>
    <w:basedOn w:val="995"/>
    <w:uiPriority w:val="0"/>
    <w:qFormat/>
    <w:rPr>
      <w:rFonts w:hint="eastAsia" w:ascii="宋体" w:hAnsi="宋体" w:eastAsia="宋体" w:cs="宋体"/>
      <w:color w:val="000000"/>
      <w:sz w:val="24"/>
      <w:szCs w:val="24"/>
      <w:u w:val="none"/>
    </w:rPr>
  </w:style>
  <w:style w:type="character" w:styleId="1325" w:customStyle="1">
    <w:name w:val="font41"/>
    <w:basedOn w:val="995"/>
    <w:uiPriority w:val="0"/>
    <w:qFormat/>
    <w:rPr>
      <w:rFonts w:hint="eastAsia" w:ascii="宋体" w:hAnsi="宋体" w:eastAsia="宋体" w:cs="宋体"/>
      <w:b/>
      <w:bCs/>
      <w:color w:val="000000"/>
      <w:sz w:val="24"/>
      <w:szCs w:val="24"/>
      <w:u w:val="none"/>
    </w:rPr>
  </w:style>
  <w:style w:type="character" w:styleId="1326" w:customStyle="1">
    <w:name w:val="font161"/>
    <w:basedOn w:val="995"/>
    <w:uiPriority w:val="0"/>
    <w:qFormat/>
    <w:rPr>
      <w:rFonts w:hint="eastAsia" w:ascii="宋体" w:hAnsi="宋体" w:eastAsia="宋体" w:cs="宋体"/>
      <w:b/>
      <w:bCs/>
      <w:color w:val="000000"/>
      <w:sz w:val="22"/>
      <w:szCs w:val="22"/>
      <w:u w:val="none"/>
    </w:rPr>
  </w:style>
  <w:style w:type="character" w:styleId="1327" w:customStyle="1">
    <w:name w:val="font01"/>
    <w:basedOn w:val="995"/>
    <w:uiPriority w:val="0"/>
    <w:qFormat/>
    <w:rPr>
      <w:rFonts w:hint="eastAsia" w:ascii="宋体" w:hAnsi="宋体" w:eastAsia="宋体" w:cs="宋体"/>
      <w:color w:val="000000"/>
      <w:sz w:val="22"/>
      <w:szCs w:val="22"/>
      <w:u w:val="none"/>
    </w:rPr>
  </w:style>
  <w:style w:type="numbering" w:styleId="337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footer" Target="footer11.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2a9fcd66-3ccd-41b5-95ff-a669a7dc6a9e</errorID>
      <errorWord>和安装采购</errorWord>
      <group>L1_Grammar</group>
      <groupName>语法问题</groupName>
      <ability>L2_Order</ability>
      <abilityName>语序不当</abilityName>
      <candidateList>
        <item>采购和安装</item>
      </candidateList>
      <explain>句子可能没有遵循时空、逻辑顺序，或者介词、关联词等位置不当。</explain>
      <paraID>13D0C2D9</paraID>
      <start>37</start>
      <end>42</end>
      <status>unmodified</status>
      <modifiedWord/>
      <trackRevisions>false</trackRevisions>
    </reviewItem>
    <reviewItem>
      <errorID>d9309ce6-961a-4e3f-b9a0-20c3d4ded6a8</errorID>
      <errorWord>和安装采购</errorWord>
      <group>L1_Grammar</group>
      <groupName>语法问题</groupName>
      <ability>L2_Order</ability>
      <abilityName>语序不当</abilityName>
      <candidateList>
        <item>采购和安装</item>
      </candidateList>
      <explain>句子可能没有遵循时空、逻辑顺序，或者介词、关联词等位置不当。</explain>
      <paraID>6546CFC9</paraID>
      <start>39</start>
      <end>44</end>
      <status>unmodified</status>
      <modifiedWord/>
      <trackRevisions>false</trackRevisions>
    </reviewItem>
    <reviewItem>
      <errorID>5734bfe3-1207-49b6-aaa8-284182f0a2ab</errorID>
      <errorWord>（</errorWord>
      <group>L1_Punc</group>
      <groupName>标点问题</groupName>
      <ability>L2_Punc_CN</ability>
      <abilityName>标点符号检查</abilityName>
      <candidateList/>
      <explain>同一形式括号套用。</explain>
      <paraID>1E429C4F</paraID>
      <start>125</start>
      <end>126</end>
      <status>unmodified</status>
      <modifiedWord/>
      <trackRevisions>false</trackRevisions>
    </reviewItem>
    <reviewItem>
      <errorID>efad069e-cb7d-4dc8-845c-adae6737daaf</errorID>
      <errorWord>）</errorWord>
      <group>L1_Punc</group>
      <groupName>标点问题</groupName>
      <ability>L2_Punc_CN</ability>
      <abilityName>标点符号检查</abilityName>
      <candidateList/>
      <explain>同一形式括号套用。</explain>
      <paraID>1E429C4F</paraID>
      <start>135</start>
      <end>136</end>
      <status>unmodified</status>
      <modifiedWord/>
      <trackRevisions>false</trackRevisions>
    </reviewItem>
    <reviewItem>
      <errorID>c1bcc031-5edd-4bac-a4f9-a49722de4577</errorID>
      <errorWord>&lt;</errorWord>
      <group>L1_Format</group>
      <groupName>格式问题</groupName>
      <ability>L2_HalfPunc_CN</ability>
      <abilityName>全半角检查</abilityName>
      <candidateList>
        <item>〈</item>
      </candidateList>
      <explain>文本全半角错误。</explain>
      <paraID>77EAAE32</paraID>
      <start>50</start>
      <end>51</end>
      <status>unmodified</status>
      <modifiedWord/>
      <trackRevisions>false</trackRevisions>
    </reviewItem>
    <reviewItem>
      <errorID>8bfc50c7-9858-490c-ab74-fc4e1251f914</errorID>
      <errorWord>&lt;</errorWord>
      <group>L1_Format</group>
      <groupName>格式问题</groupName>
      <ability>L2_HalfPunc_CN</ability>
      <abilityName>全半角检查</abilityName>
      <candidateList>
        <item>〈</item>
      </candidateList>
      <explain>文本全半角错误。</explain>
      <paraID>4FA26E20</paraID>
      <start>35</start>
      <end>36</end>
      <status>unmodified</status>
      <modifiedWord/>
      <trackRevisions>false</trackRevisions>
    </reviewItem>
    <reviewItem>
      <errorID>76c33e64-b970-497a-be7d-aae747a7b455</errorID>
      <errorWord>》</errorWord>
      <group>L1_Word</group>
      <groupName>字词问题</groupName>
      <ability>L2_Typo</ability>
      <abilityName>字词错误</abilityName>
      <candidateList>
        <item>》和</item>
      </candidateList>
      <explain/>
      <paraID>39A47C1D</paraID>
      <start>42</start>
      <end>43</end>
      <status>unmodified</status>
      <modifiedWord/>
      <trackRevisions>false</trackRevisions>
    </reviewItem>
    <reviewItem>
      <errorID>5ba2434d-5df2-480d-bd19-cd14bada8e11</errorID>
      <errorWord>下</errorWord>
      <group>L1_Word</group>
      <groupName>字词问题</groupName>
      <ability>L2_Typo</ability>
      <abilityName>字词错误</abilityName>
      <candidateList>
        <item>下简</item>
      </candidateList>
      <explain/>
      <paraID>5544F974</paraID>
      <start>8</start>
      <end>9</end>
      <status>unmodified</status>
      <modifiedWord/>
      <trackRevisions>false</trackRevisions>
    </reviewItem>
    <reviewItem>
      <errorID>070c7710-0b48-4a8d-86e8-dc7c10f26776</errorID>
      <errorWord>下</errorWord>
      <group>L1_Word</group>
      <groupName>字词问题</groupName>
      <ability>L2_Typo</ability>
      <abilityName>字词错误</abilityName>
      <candidateList>
        <item>下简</item>
      </candidateList>
      <explain/>
      <paraID>3FA2C60E</paraID>
      <start>8</start>
      <end>9</end>
      <status>unmodified</status>
      <modifiedWord/>
      <trackRevisions>false</trackRevisions>
    </reviewItem>
    <reviewItem>
      <errorID>6b862777-e71a-4654-98e9-a1a6a9bf2030</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4E7C062B</paraID>
      <start>57</start>
      <end>58</end>
      <status>unmodified</status>
      <modifiedWord/>
      <trackRevisions>false</trackRevisions>
    </reviewItem>
    <reviewItem>
      <errorID>0b02fd93-1ea1-4f8d-9b5a-3ddbf24c9002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787DCCB5</paraID>
      <start>40</start>
      <end>43</end>
      <status>unmodified</status>
      <modifiedWord/>
      <trackRevisions>false</trackRevisions>
    </reviewItem>
    <reviewItem>
      <errorID>331b878e-6331-4006-bc4e-ed23f9cc0e73</errorID>
      <errorWord>应</errorWord>
      <group>L1_Word</group>
      <groupName>字词问题</groupName>
      <ability>L2_Typo</ability>
      <abilityName>字词错误</abilityName>
      <candidateList>
        <item>应当</item>
      </candidateList>
      <explain/>
      <paraID>68ACED4C</paraID>
      <start>34</start>
      <end>35</end>
      <status>unmodified</status>
      <modifiedWord/>
      <trackRevisions>false</trackRevisions>
    </reviewItem>
    <reviewItem>
      <errorID>8b05bed5-1a23-41cb-9301-cdc5600591f9</errorID>
      <errorWord>作</errorWord>
      <group>L1_Word</group>
      <groupName>字词问题</groupName>
      <ability>L2_Typo</ability>
      <abilityName>字词错误</abilityName>
      <candidateList>
        <item>做</item>
      </candidateList>
      <explain>存在发音相同字词的误用。</explain>
      <paraID>1121F87E</paraID>
      <start>4</start>
      <end>5</end>
      <status>unmodified</status>
      <modifiedWord/>
      <trackRevisions>false</trackRevisions>
    </reviewItem>
    <reviewItem>
      <errorID>1165033e-0468-4393-b12e-99b58988ec81</errorID>
      <errorWord>做</errorWord>
      <group>L1_Word</group>
      <groupName>字词问题</groupName>
      <ability>L2_Typo</ability>
      <abilityName>字词错误</abilityName>
      <candidateList>
        <item>作</item>
      </candidateList>
      <explain>存在发音相同字词的误用。</explain>
      <paraID>4DF1EADC</paraID>
      <start>111</start>
      <end>112</end>
      <status>unmodified</status>
      <modifiedWord/>
      <trackRevisions>false</trackRevisions>
    </reviewItem>
    <reviewItem>
      <errorID>0b0f1e76-f4fc-4147-a4fb-2b63e050ce4c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2CDD969D</paraID>
      <start>0</start>
      <end>2</end>
      <status>unmodified</status>
      <modifiedWord/>
      <trackRevisions>false</trackRevisions>
    </reviewItem>
    <reviewItem>
      <errorID>4648cbf0-e22f-4b31-b0f6-fe2a2bca1b36</errorID>
      <errorWord>.</errorWord>
      <group>L1_Punc</group>
      <groupName>标点问题</groupName>
      <ability>L2_Punc_CN</ability>
      <abilityName>标点符号检查</abilityName>
      <candidateList/>
      <explain/>
      <paraID>506A302C</paraID>
      <start>0</start>
      <end>1</end>
      <status>unmodified</status>
      <modifiedWord/>
      <trackRevisions>false</trackRevisions>
    </reviewItem>
    <reviewItem>
      <errorID>61ab9a22-1424-437a-8c3e-ce5283074617</errorID>
      <errorWord>"</errorWord>
      <group>L1_Format</group>
      <groupName>格式问题</groupName>
      <ability>L2_HalfPunc_CN</ability>
      <abilityName>全半角检查</abilityName>
      <candidateList/>
      <explain>文本全半角错误。</explain>
      <paraID>231D391B</paraID>
      <start>251</start>
      <end>252</end>
      <status>unmodified</status>
      <modifiedWord/>
      <trackRevisions>false</trackRevisions>
    </reviewItem>
    <reviewItem>
      <errorID>5832f742-83f6-4411-844c-fbeb419da1a8</errorID>
      <errorWord>单独取</errorWord>
      <group>L1_Word</group>
      <groupName>字词问题</groupName>
      <ability>L2_Typo</ability>
      <abilityName>字词错误</abilityName>
      <candidateList>
        <item>单独</item>
      </candidateList>
      <explain/>
      <paraID>6D44D3EC</paraID>
      <start>117</start>
      <end>120</end>
      <status>unmodified</status>
      <modifiedWord/>
      <trackRevisions>false</trackRevisions>
    </reviewItem>
    <reviewItem>
      <errorID>d84da0e3-7e2b-4d23-b1f9-d974cc86c019</errorID>
      <errorWord>(</errorWord>
      <group>L1_Format</group>
      <groupName>格式问题</groupName>
      <ability>L2_HalfPunc_CN</ability>
      <abilityName>全半角检查</abilityName>
      <candidateList>
        <item>（</item>
      </candidateList>
      <explain>文本全半角错误。</explain>
      <paraID>68E9C034</paraID>
      <start>127</start>
      <end>128</end>
      <status>unmodified</status>
      <modifiedWord/>
      <trackRevisions>false</trackRevisions>
    </reviewItem>
    <reviewItem>
      <errorID>ffb06bc0-ec94-4c00-a51b-651d3b758e4c</errorID>
      <errorWord>(</errorWord>
      <group>L1_Format</group>
      <groupName>格式问题</groupName>
      <ability>L2_HalfPunc_CN</ability>
      <abilityName>全半角检查</abilityName>
      <candidateList>
        <item>（</item>
      </candidateList>
      <explain>文本全半角错误。</explain>
      <paraID>68E9C034</paraID>
      <start>153</start>
      <end>154</end>
      <status>unmodified</status>
      <modifiedWord/>
      <trackRevisions>false</trackRevisions>
    </reviewItem>
    <reviewItem>
      <errorID>1bd7a6ca-507a-4dd0-bc97-b8aed183914f</errorID>
      <errorWord>(</errorWord>
      <group>L1_Format</group>
      <groupName>格式问题</groupName>
      <ability>L2_HalfPunc_CN</ability>
      <abilityName>全半角检查</abilityName>
      <candidateList>
        <item>（</item>
      </candidateList>
      <explain>文本全半角错误。</explain>
      <paraID>68E9C034</paraID>
      <start>192</start>
      <end>193</end>
      <status>unmodified</status>
      <modifiedWord/>
      <trackRevisions>false</trackRevisions>
    </reviewItem>
    <reviewItem>
      <errorID>1a7e79da-6521-41fb-9f17-ce6dcea19e97</errorID>
      <errorWord>，。</errorWord>
      <group>L1_Punc</group>
      <groupName>标点问题</groupName>
      <ability>L2_Punc_CN</ability>
      <abilityName>标点符号检查</abilityName>
      <candidateList>
        <item>，</item>
      </candidateList>
      <explain/>
      <paraID>2F9EA7AD</paraID>
      <start>264</start>
      <end>266</end>
      <status>unmodified</status>
      <modifiedWord/>
      <trackRevisions>false</trackRevisions>
    </reviewItem>
    <reviewItem>
      <errorID>99d8730f-c900-443e-8352-c9ea88a84b40</errorID>
      <errorWord>,</errorWord>
      <group>L1_Format</group>
      <groupName>格式问题</groupName>
      <ability>L2_HalfPunc_CN</ability>
      <abilityName>全半角检查</abilityName>
      <candidateList>
        <item>，</item>
      </candidateList>
      <explain>文本全半角错误。</explain>
      <paraID>40E25CC5</paraID>
      <start>34</start>
      <end>35</end>
      <status>unmodified</status>
      <modifiedWord/>
      <trackRevisions>false</trackRevisions>
    </reviewItem>
    <reviewItem>
      <errorID>44273838-83f3-44b3-89b7-ac4e24dcfbf0</errorID>
      <errorWord>,</errorWord>
      <group>L1_Format</group>
      <groupName>格式问题</groupName>
      <ability>L2_HalfPunc_CN</ability>
      <abilityName>全半角检查</abilityName>
      <candidateList>
        <item>，</item>
      </candidateList>
      <explain>文本全半角错误。</explain>
      <paraID>6291BCE8</paraID>
      <start>34</start>
      <end>35</end>
      <status>unmodified</status>
      <modifiedWord/>
      <trackRevisions>false</trackRevisions>
    </reviewItem>
    <reviewItem>
      <errorID>60862d7c-557e-4678-b390-fd5a5d5a7746</errorID>
      <errorWord>（</errorWord>
      <group>L1_Punc</group>
      <groupName>标点问题</groupName>
      <ability>L2_Punc_CN</ability>
      <abilityName>标点符号检查</abilityName>
      <candidateList/>
      <explain>同一形式括号套用。</explain>
      <paraID>6576BED2</paraID>
      <start>42</start>
      <end>43</end>
      <status>unmodified</status>
      <modifiedWord/>
      <trackRevisions>false</trackRevisions>
    </reviewItem>
    <reviewItem>
      <errorID>7130063c-f6b2-4126-a6f5-4fcb90641fee</errorID>
      <errorWord>(</errorWord>
      <group>L1_Punc</group>
      <groupName>标点问题</groupName>
      <ability>L2_Punc_CN</ability>
      <abilityName>标点符号检查</abilityName>
      <candidateList/>
      <explain>同一形式括号套用。</explain>
      <paraID>6576BED2</paraID>
      <start>51</start>
      <end>52</end>
      <status>unmodified</status>
      <modifiedWord/>
      <trackRevisions>false</trackRevisions>
    </reviewItem>
    <reviewItem>
      <errorID>f7b8e789-0c5a-48f7-9e99-207facba408c</errorID>
      <errorWord>)</errorWord>
      <group>L1_Punc</group>
      <groupName>标点问题</groupName>
      <ability>L2_Punc_CN</ability>
      <abilityName>标点符号检查</abilityName>
      <candidateList/>
      <explain>同一形式括号套用。</explain>
      <paraID>6576BED2</paraID>
      <start>67</start>
      <end>68</end>
      <status>unmodified</status>
      <modifiedWord/>
      <trackRevisions>false</trackRevisions>
    </reviewItem>
    <reviewItem>
      <errorID>7a33a782-3de3-4529-8603-d15d079ccd61</errorID>
      <errorWord>）</errorWord>
      <group>L1_Punc</group>
      <groupName>标点问题</groupName>
      <ability>L2_Punc_CN</ability>
      <abilityName>标点符号检查</abilityName>
      <candidateList/>
      <explain>同一形式括号套用。</explain>
      <paraID>6576BED2</paraID>
      <start>68</start>
      <end>69</end>
      <status>unmodified</status>
      <modifiedWord/>
      <trackRevisions>false</trackRevisions>
    </reviewItem>
    <reviewItem>
      <errorID>cae2d83c-b658-449e-928a-858ee8df4b33</errorID>
      <errorWord>;</errorWord>
      <group>L1_Format</group>
      <groupName>格式问题</groupName>
      <ability>L2_HalfPunc_CN</ability>
      <abilityName>全半角检查</abilityName>
      <candidateList>
        <item>；</item>
      </candidateList>
      <explain>文本全半角错误。</explain>
      <paraID>198EC31A</paraID>
      <start>170</start>
      <end>171</end>
      <status>unmodified</status>
      <modifiedWord/>
      <trackRevisions>false</trackRevisions>
    </reviewItem>
    <reviewItem>
      <errorID>bac598b6-e368-4f1a-9114-e1dabed84718</errorID>
      <errorWord>无需手动</errorWord>
      <group>L1_Word</group>
      <groupName>字词问题</groupName>
      <ability>L2_Typo</ability>
      <abilityName>字词错误</abilityName>
      <candidateList>
        <item>无须手动</item>
      </candidateList>
      <explain>存在发音相同字词的误用。</explain>
      <paraID>198EC31A</paraID>
      <start>203</start>
      <end>207</end>
      <status>unmodified</status>
      <modifiedWord/>
      <trackRevisions>false</trackRevisions>
    </reviewItem>
    <reviewItem>
      <errorID>b4dba4b4-b8b3-40cf-95c7-0c76401ea3e5</errorID>
      <errorWord>,</errorWord>
      <group>L1_Format</group>
      <groupName>格式问题</groupName>
      <ability>L2_HalfPunc_CN</ability>
      <abilityName>全半角检查</abilityName>
      <candidateList>
        <item>，</item>
      </candidateList>
      <explain>文本全半角错误。</explain>
      <paraID>124D393C</paraID>
      <start>13</start>
      <end>14</end>
      <status>unmodified</status>
      <modifiedWord/>
      <trackRevisions>false</trackRevisions>
    </reviewItem>
    <reviewItem>
      <errorID>a46bb751-c149-4077-9948-4d3df7d976ee</errorID>
      <errorWord>,</errorWord>
      <group>L1_Format</group>
      <groupName>格式问题</groupName>
      <ability>L2_HalfPunc_CN</ability>
      <abilityName>全半角检查</abilityName>
      <candidateList>
        <item>，</item>
      </candidateList>
      <explain>文本全半角错误。</explain>
      <paraID>78AFBC6B</paraID>
      <start>69</start>
      <end>70</end>
      <status>unmodified</status>
      <modifiedWord/>
      <trackRevisions>false</trackRevisions>
    </reviewItem>
    <reviewItem>
      <errorID>11f7f6cc-8dea-46f0-ba13-4644e9f53fd3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5EC2BFB9</paraID>
      <start>103</start>
      <end>104</end>
      <status>unmodified</status>
      <modifiedWord/>
      <trackRevisions>false</trackRevisions>
    </reviewItem>
    <reviewItem>
      <errorID>5b0ffdd6-250c-47f1-b52e-99e273e67b29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757775ED</paraID>
      <start>30</start>
      <end>31</end>
      <status>unmodified</status>
      <modifiedWord/>
      <trackRevisions>false</trackRevisions>
    </reviewItem>
    <reviewItem>
      <errorID>4676cfff-899a-42b2-91e2-51935df1a97e</errorID>
      <errorWord>《政府采购法》</errorWord>
      <group>L1_Word</group>
      <groupName>字词问题</groupName>
      <ability>L2_Typo</ability>
      <abilityName>字词错误</abilityName>
      <candidateList>
        <item>《中华人民共和国政府采购法》</item>
      </candidateList>
      <explain/>
      <paraID>77926B8C</paraID>
      <start>7</start>
      <end>14</end>
      <status>unmodified</status>
      <modifiedWord/>
      <trackRevisions>false</trackRevisions>
    </reviewItem>
    <reviewItem>
      <errorID>355ab51e-e61b-4ee7-9cc0-a0b798f4fb11</errorID>
      <errorWord>《政府采购法》</errorWord>
      <group>L1_Word</group>
      <groupName>字词问题</groupName>
      <ability>L2_Typo</ability>
      <abilityName>字词错误</abilityName>
      <candidateList>
        <item>《中华人民共和国政府采购法》</item>
      </candidateList>
      <explain/>
      <paraID>2849EA20</paraID>
      <start>5</start>
      <end>12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5592A30-22EE-4455-86F3-70BEE13F772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dc:creator>
  <cp:lastModifiedBy>成天驰</cp:lastModifiedBy>
  <cp:revision>6</cp:revision>
  <dcterms:created xsi:type="dcterms:W3CDTF">2024-07-09T03:08:00Z</dcterms:created>
  <dcterms:modified xsi:type="dcterms:W3CDTF">2026-06-10T08:06:52Z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eyJoZGlkIjoiYzA5YWY4M2MwNGRhODk4ZjM0ZWM5YjZlMDk5M2I4YjQiLCJ1c2VySWQiOiIxNjU1OTQ5OTg4In0=</vt:lpwstr>
  </property>
  <property fmtid="{D5CDD505-2E9C-101B-9397-08002B2CF9AE}" pid="3" name="KSOProductBuildVer">
    <vt:lpwstr>2052-12.1.0.26375</vt:lpwstr>
  </property>
  <property fmtid="{D5CDD505-2E9C-101B-9397-08002B2CF9AE}" pid="4" name="ICV">
    <vt:lpwstr>5F1D49093F5346899178A561C71EBC72_13</vt:lpwstr>
  </property>
</Properties>
</file>