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r>
      <w:r/>
    </w:p>
    <w:p>
      <w:pPr>
        <w:pStyle w:val="1037"/>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2026年关键和新兴技术领域标准体系建设及应用技术服务(二次)</w:t>
      </w:r>
      <w:r>
        <w:rPr>
          <w:rFonts w:hint="eastAsia" w:ascii="仿宋" w:hAnsi="仿宋" w:eastAsia="仿宋" w:cs="仿宋"/>
          <w:b/>
          <w:bCs/>
          <w:color w:val="000000"/>
          <w:sz w:val="44"/>
          <w:szCs w:val="44"/>
          <w:highlight w:val="none"/>
          <w:lang w:val="en-US" w:eastAsia="zh-CN"/>
        </w:rPr>
      </w:r>
      <w:r/>
    </w:p>
    <w:p>
      <w:pPr>
        <w:pStyle w:val="1007"/>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1007"/>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7"/>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1007"/>
        <w:jc w:val="center"/>
        <w:rPr>
          <w:rFonts w:hint="eastAsia"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JSZC-320000-JSTX-G2026-0023</w:t>
      </w:r>
      <w:r>
        <w:rPr>
          <w:rFonts w:hint="eastAsia" w:ascii="仿宋" w:hAnsi="仿宋" w:eastAsia="仿宋" w:cs="仿宋"/>
          <w:b/>
          <w:bCs/>
          <w:color w:val="000000"/>
          <w:sz w:val="32"/>
          <w:szCs w:val="32"/>
          <w:highlight w:val="none"/>
          <w:lang w:val="en-US" w:eastAsia="zh-CN" w:bidi="ar-SA"/>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0"/>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20"/>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20"/>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1007"/>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1007"/>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1"/>
        <w:tabs>
          <w:tab w:val="right" w:pos="9746" w:leader="dot"/>
        </w:tabs>
        <w:rPr>
          <w:color w:val="000000"/>
          <w:highlight w:val="none"/>
        </w:rPr>
      </w:pPr>
      <w:r>
        <w:rPr>
          <w:rFonts w:hint="eastAsia" w:ascii="仿宋" w:hAnsi="仿宋" w:eastAsia="仿宋" w:cs="仿宋"/>
          <w:b/>
          <w:color w:val="000000"/>
          <w:sz w:val="24"/>
          <w:szCs w:val="24"/>
          <w:highlight w:val="none"/>
          <w:lang w:bidi="ar-SA"/>
        </w:rPr>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_Toc20780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_Toc20780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_Toc32296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_Toc444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_Toc444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_Toc14547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r>
        <w:rPr>
          <w:color w:val="000000"/>
          <w:highlight w:val="none"/>
        </w:rPr>
        <w:tab/>
      </w:r>
      <w:r>
        <w:rPr>
          <w:color w:val="000000"/>
          <w:highlight w:val="none"/>
        </w:rPr>
        <w:fldChar w:fldCharType="begin"/>
      </w:r>
      <w:r>
        <w:rPr>
          <w:color w:val="000000"/>
          <w:highlight w:val="none"/>
        </w:rPr>
        <w:instrText xml:space="preserve"> PAGEREF _Toc14547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_Toc27077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_Toc27077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_Toc16699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五、公告期限</w:t>
      </w:r>
      <w:r>
        <w:rPr>
          <w:color w:val="000000"/>
          <w:highlight w:val="none"/>
        </w:rPr>
        <w:tab/>
      </w:r>
      <w:r>
        <w:rPr>
          <w:color w:val="000000"/>
          <w:highlight w:val="none"/>
        </w:rPr>
        <w:fldChar w:fldCharType="begin"/>
      </w:r>
      <w:r>
        <w:rPr>
          <w:color w:val="000000"/>
          <w:highlight w:val="none"/>
        </w:rPr>
        <w:instrText xml:space="preserve"> PAGEREF _Toc16699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_Toc29988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_Toc29988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_Toc32507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七、凡对本次采购提出询问，请按以下方式联系</w:t>
      </w:r>
      <w:r>
        <w:rPr>
          <w:rFonts w:hint="eastAsia" w:ascii="仿宋" w:hAnsi="仿宋" w:eastAsia="仿宋" w:cs="仿宋"/>
          <w:color w:val="000000"/>
          <w:highlight w:val="none"/>
          <w:lang w:val="en-US"/>
        </w:rPr>
        <w:t xml:space="preserve">。</w:t>
      </w:r>
      <w:r>
        <w:rPr>
          <w:color w:val="000000"/>
          <w:highlight w:val="none"/>
        </w:rPr>
        <w:tab/>
      </w:r>
      <w:r>
        <w:rPr>
          <w:color w:val="000000"/>
          <w:highlight w:val="none"/>
        </w:rPr>
        <w:fldChar w:fldCharType="begin"/>
      </w:r>
      <w:r>
        <w:rPr>
          <w:color w:val="000000"/>
          <w:highlight w:val="none"/>
        </w:rPr>
        <w:instrText xml:space="preserve"> PAGEREF _Toc32507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_Toc13170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r>
        <w:rPr>
          <w:color w:val="000000"/>
          <w:highlight w:val="none"/>
        </w:rPr>
        <w:tab/>
      </w:r>
      <w:r>
        <w:rPr>
          <w:color w:val="000000"/>
          <w:highlight w:val="none"/>
        </w:rPr>
        <w:fldChar w:fldCharType="begin"/>
      </w:r>
      <w:r>
        <w:rPr>
          <w:color w:val="000000"/>
          <w:highlight w:val="none"/>
        </w:rPr>
        <w:instrText xml:space="preserve"> PAGEREF _Toc13170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_Toc6150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r>
        <w:rPr>
          <w:color w:val="000000"/>
          <w:highlight w:val="none"/>
        </w:rPr>
        <w:tab/>
      </w:r>
      <w:r>
        <w:rPr>
          <w:color w:val="000000"/>
          <w:highlight w:val="none"/>
        </w:rPr>
        <w:fldChar w:fldCharType="begin"/>
      </w:r>
      <w:r>
        <w:rPr>
          <w:color w:val="000000"/>
          <w:highlight w:val="none"/>
        </w:rPr>
        <w:instrText xml:space="preserve"> PAGEREF _Toc6150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_Toc15504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一、总则</w:t>
      </w:r>
      <w:r>
        <w:rPr>
          <w:color w:val="000000"/>
          <w:highlight w:val="none"/>
        </w:rPr>
        <w:tab/>
      </w:r>
      <w:r>
        <w:rPr>
          <w:color w:val="000000"/>
          <w:highlight w:val="none"/>
        </w:rPr>
        <w:fldChar w:fldCharType="begin"/>
      </w:r>
      <w:r>
        <w:rPr>
          <w:color w:val="000000"/>
          <w:highlight w:val="none"/>
        </w:rPr>
        <w:instrText xml:space="preserve"> PAGEREF _Toc15504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_Toc3981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二、招标文件</w:t>
      </w:r>
      <w:r>
        <w:rPr>
          <w:color w:val="000000"/>
          <w:highlight w:val="none"/>
        </w:rPr>
        <w:tab/>
      </w:r>
      <w:r>
        <w:rPr>
          <w:color w:val="000000"/>
          <w:highlight w:val="none"/>
        </w:rPr>
        <w:fldChar w:fldCharType="begin"/>
      </w:r>
      <w:r>
        <w:rPr>
          <w:color w:val="000000"/>
          <w:highlight w:val="none"/>
        </w:rPr>
        <w:instrText xml:space="preserve"> PAGEREF _Toc3981 \h </w:instrText>
      </w:r>
      <w:r>
        <w:rPr>
          <w:color w:val="000000"/>
          <w:highlight w:val="none"/>
        </w:rPr>
        <w:fldChar w:fldCharType="separate"/>
      </w:r>
      <w:r>
        <w:rPr>
          <w:color w:val="000000"/>
          <w:highlight w:val="none"/>
        </w:rPr>
        <w:t xml:space="preserve">12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三、投标</w:t>
      </w:r>
      <w:r>
        <w:rPr>
          <w:color w:val="000000"/>
          <w:highlight w:val="none"/>
        </w:rPr>
        <w:tab/>
      </w:r>
      <w:r>
        <w:rPr>
          <w:color w:val="000000"/>
          <w:highlight w:val="none"/>
        </w:rPr>
        <w:fldChar w:fldCharType="begin"/>
      </w:r>
      <w:r>
        <w:rPr>
          <w:color w:val="000000"/>
          <w:highlight w:val="none"/>
        </w:rPr>
        <w:instrText xml:space="preserve"> PAGEREF _Toc28280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_Toc15621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四、开标、评标与定标</w:t>
      </w:r>
      <w:r>
        <w:rPr>
          <w:color w:val="000000"/>
          <w:highlight w:val="none"/>
        </w:rPr>
        <w:tab/>
      </w:r>
      <w:r>
        <w:rPr>
          <w:color w:val="000000"/>
          <w:highlight w:val="none"/>
        </w:rPr>
        <w:fldChar w:fldCharType="begin"/>
      </w:r>
      <w:r>
        <w:rPr>
          <w:color w:val="000000"/>
          <w:highlight w:val="none"/>
        </w:rPr>
        <w:instrText xml:space="preserve"> PAGEREF _Toc15621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_Toc30366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五、签订合同</w:t>
      </w:r>
      <w:r>
        <w:rPr>
          <w:color w:val="000000"/>
          <w:highlight w:val="none"/>
        </w:rPr>
        <w:tab/>
      </w:r>
      <w:r>
        <w:rPr>
          <w:color w:val="000000"/>
          <w:highlight w:val="none"/>
        </w:rPr>
        <w:fldChar w:fldCharType="begin"/>
      </w:r>
      <w:r>
        <w:rPr>
          <w:color w:val="000000"/>
          <w:highlight w:val="none"/>
        </w:rPr>
        <w:instrText xml:space="preserve"> PAGEREF _Toc30366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_Toc25733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第四章 </w:t>
      </w:r>
      <w:r>
        <w:rPr>
          <w:rFonts w:hint="eastAsia" w:ascii="仿宋" w:hAnsi="仿宋" w:eastAsia="仿宋" w:cs="仿宋"/>
          <w:color w:val="000000"/>
          <w:highlight w:val="none"/>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_Toc25733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_Toc27501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第五章 招标项目需求及技术相关要求</w:t>
      </w:r>
      <w:r>
        <w:rPr>
          <w:color w:val="000000"/>
          <w:highlight w:val="none"/>
        </w:rPr>
        <w:tab/>
      </w:r>
      <w:r>
        <w:rPr>
          <w:color w:val="000000"/>
          <w:highlight w:val="none"/>
        </w:rPr>
        <w:fldChar w:fldCharType="begin"/>
      </w:r>
      <w:r>
        <w:rPr>
          <w:color w:val="000000"/>
          <w:highlight w:val="none"/>
        </w:rPr>
        <w:instrText xml:space="preserve"> PAGEREF _Toc27501 \h </w:instrText>
      </w:r>
      <w:r>
        <w:rPr>
          <w:color w:val="000000"/>
          <w:highlight w:val="none"/>
        </w:rPr>
        <w:fldChar w:fldCharType="separate"/>
      </w:r>
      <w:r>
        <w:rPr>
          <w:color w:val="000000"/>
          <w:highlight w:val="none"/>
        </w:rPr>
        <w:t xml:space="preserve">35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_Toc17098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r>
        <w:rPr>
          <w:color w:val="000000"/>
          <w:highlight w:val="none"/>
        </w:rPr>
        <w:tab/>
      </w:r>
      <w:r>
        <w:rPr>
          <w:color w:val="000000"/>
          <w:highlight w:val="none"/>
        </w:rPr>
        <w:fldChar w:fldCharType="begin"/>
      </w:r>
      <w:r>
        <w:rPr>
          <w:color w:val="000000"/>
          <w:highlight w:val="none"/>
        </w:rPr>
        <w:instrText xml:space="preserve"> PAGEREF _Toc17098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一、评标办法：综合评分法</w:t>
      </w:r>
      <w:r>
        <w:rPr>
          <w:color w:val="000000"/>
          <w:highlight w:val="none"/>
        </w:rPr>
        <w:tab/>
      </w:r>
      <w:r>
        <w:rPr>
          <w:color w:val="000000"/>
          <w:highlight w:val="none"/>
        </w:rPr>
        <w:fldChar w:fldCharType="begin"/>
      </w:r>
      <w:r>
        <w:rPr>
          <w:color w:val="000000"/>
          <w:highlight w:val="none"/>
        </w:rPr>
        <w:instrText xml:space="preserve"> PAGEREF _Toc7847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_Toc12963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二、政府采购政策功能落实</w:t>
      </w:r>
      <w:r>
        <w:rPr>
          <w:color w:val="000000"/>
          <w:highlight w:val="none"/>
        </w:rPr>
        <w:tab/>
      </w:r>
      <w:r>
        <w:rPr>
          <w:color w:val="000000"/>
          <w:highlight w:val="none"/>
        </w:rPr>
        <w:fldChar w:fldCharType="begin"/>
      </w:r>
      <w:r>
        <w:rPr>
          <w:color w:val="000000"/>
          <w:highlight w:val="none"/>
        </w:rPr>
        <w:instrText xml:space="preserve"> PAGEREF _Toc12963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_Toc22439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三、评标细则</w:t>
      </w:r>
      <w:r>
        <w:rPr>
          <w:color w:val="000000"/>
          <w:highlight w:val="none"/>
        </w:rPr>
        <w:tab/>
      </w:r>
      <w:r>
        <w:rPr>
          <w:color w:val="000000"/>
          <w:highlight w:val="none"/>
        </w:rPr>
        <w:fldChar w:fldCharType="begin"/>
      </w:r>
      <w:r>
        <w:rPr>
          <w:color w:val="000000"/>
          <w:highlight w:val="none"/>
        </w:rPr>
        <w:instrText xml:space="preserve"> PAGEREF _Toc22439 \h </w:instrText>
      </w:r>
      <w:r>
        <w:rPr>
          <w:color w:val="000000"/>
          <w:highlight w:val="none"/>
        </w:rPr>
        <w:fldChar w:fldCharType="separate"/>
      </w:r>
      <w:r>
        <w:rPr>
          <w:color w:val="000000"/>
          <w:highlight w:val="none"/>
        </w:rPr>
        <w:t xml:space="preserve">48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_Toc32415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r>
        <w:rPr>
          <w:color w:val="000000"/>
          <w:highlight w:val="none"/>
        </w:rPr>
        <w:tab/>
      </w:r>
      <w:r>
        <w:rPr>
          <w:color w:val="000000"/>
          <w:highlight w:val="none"/>
        </w:rPr>
        <w:fldChar w:fldCharType="begin"/>
      </w:r>
      <w:r>
        <w:rPr>
          <w:color w:val="000000"/>
          <w:highlight w:val="none"/>
        </w:rPr>
        <w:instrText xml:space="preserve"> PAGEREF _Toc32415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szCs w:val="32"/>
          <w:highlight w:val="none"/>
          <w:lang w:val="en-US" w:eastAsia="zh-CN"/>
        </w:rPr>
        <w:t xml:space="preserve">一、</w:t>
      </w:r>
      <w:r>
        <w:rPr>
          <w:rFonts w:hint="eastAsia" w:ascii="仿宋" w:hAnsi="仿宋" w:eastAsia="仿宋" w:cs="仿宋"/>
          <w:color w:val="000000"/>
          <w:szCs w:val="32"/>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_Toc23771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_Toc18727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r>
        <w:rPr>
          <w:color w:val="000000"/>
          <w:highlight w:val="none"/>
        </w:rPr>
        <w:tab/>
      </w:r>
      <w:r>
        <w:rPr>
          <w:color w:val="000000"/>
          <w:highlight w:val="none"/>
        </w:rPr>
        <w:fldChar w:fldCharType="begin"/>
      </w:r>
      <w:r>
        <w:rPr>
          <w:color w:val="000000"/>
          <w:highlight w:val="none"/>
        </w:rPr>
        <w:instrText xml:space="preserve"> PAGEREF _Toc18727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_Toc11764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三、分项报价明细表</w:t>
      </w:r>
      <w:r>
        <w:rPr>
          <w:color w:val="000000"/>
          <w:highlight w:val="none"/>
        </w:rPr>
        <w:tab/>
      </w:r>
      <w:r>
        <w:rPr>
          <w:color w:val="000000"/>
          <w:highlight w:val="none"/>
        </w:rPr>
        <w:fldChar w:fldCharType="begin"/>
      </w:r>
      <w:r>
        <w:rPr>
          <w:color w:val="000000"/>
          <w:highlight w:val="none"/>
        </w:rPr>
        <w:instrText xml:space="preserve"> PAGEREF _Toc11764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_Toc1645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r>
        <w:rPr>
          <w:color w:val="000000"/>
          <w:highlight w:val="none"/>
        </w:rPr>
        <w:tab/>
      </w:r>
      <w:r>
        <w:rPr>
          <w:color w:val="000000"/>
          <w:highlight w:val="none"/>
        </w:rPr>
        <w:fldChar w:fldCharType="begin"/>
      </w:r>
      <w:r>
        <w:rPr>
          <w:color w:val="000000"/>
          <w:highlight w:val="none"/>
        </w:rPr>
        <w:instrText xml:space="preserve"> PAGEREF _Toc1645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_Toc7316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r>
        <w:rPr>
          <w:color w:val="000000"/>
          <w:highlight w:val="none"/>
        </w:rPr>
        <w:tab/>
      </w:r>
      <w:r>
        <w:rPr>
          <w:color w:val="000000"/>
          <w:highlight w:val="none"/>
        </w:rPr>
        <w:fldChar w:fldCharType="begin"/>
      </w:r>
      <w:r>
        <w:rPr>
          <w:color w:val="000000"/>
          <w:highlight w:val="none"/>
        </w:rPr>
        <w:instrText xml:space="preserve"> PAGEREF _Toc7316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r>
        <w:rPr>
          <w:color w:val="000000"/>
          <w:highlight w:val="none"/>
        </w:rPr>
        <w:tab/>
      </w:r>
      <w:r>
        <w:rPr>
          <w:color w:val="000000"/>
          <w:highlight w:val="none"/>
        </w:rPr>
        <w:fldChar w:fldCharType="begin"/>
      </w:r>
      <w:r>
        <w:rPr>
          <w:color w:val="000000"/>
          <w:highlight w:val="none"/>
        </w:rPr>
        <w:instrText xml:space="preserve"> PAGEREF _Toc7898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_Toc8075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r>
        <w:rPr>
          <w:color w:val="000000"/>
          <w:highlight w:val="none"/>
        </w:rPr>
        <w:tab/>
      </w:r>
      <w:r>
        <w:rPr>
          <w:color w:val="000000"/>
          <w:highlight w:val="none"/>
        </w:rPr>
        <w:fldChar w:fldCharType="begin"/>
      </w:r>
      <w:r>
        <w:rPr>
          <w:color w:val="000000"/>
          <w:highlight w:val="none"/>
        </w:rPr>
        <w:instrText xml:space="preserve"> PAGEREF _Toc8075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_Toc17885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r>
        <w:rPr>
          <w:color w:val="000000"/>
          <w:highlight w:val="none"/>
        </w:rPr>
        <w:tab/>
      </w:r>
      <w:r>
        <w:rPr>
          <w:color w:val="000000"/>
          <w:highlight w:val="none"/>
        </w:rPr>
        <w:fldChar w:fldCharType="begin"/>
      </w:r>
      <w:r>
        <w:rPr>
          <w:color w:val="000000"/>
          <w:highlight w:val="none"/>
        </w:rPr>
        <w:instrText xml:space="preserve"> PAGEREF _Toc17885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、服务方案</w:t>
      </w:r>
      <w:r>
        <w:rPr>
          <w:color w:val="000000"/>
          <w:highlight w:val="none"/>
        </w:rPr>
        <w:tab/>
      </w:r>
      <w:r>
        <w:rPr>
          <w:color w:val="000000"/>
          <w:highlight w:val="none"/>
        </w:rPr>
        <w:fldChar w:fldCharType="begin"/>
      </w:r>
      <w:r>
        <w:rPr>
          <w:color w:val="000000"/>
          <w:highlight w:val="none"/>
        </w:rPr>
        <w:instrText xml:space="preserve"> PAGEREF _Toc23780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_Toc12365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r>
        <w:rPr>
          <w:color w:val="000000"/>
          <w:highlight w:val="none"/>
        </w:rPr>
        <w:tab/>
      </w:r>
      <w:r>
        <w:rPr>
          <w:color w:val="000000"/>
          <w:highlight w:val="none"/>
        </w:rPr>
        <w:fldChar w:fldCharType="begin"/>
      </w:r>
      <w:r>
        <w:rPr>
          <w:color w:val="000000"/>
          <w:highlight w:val="none"/>
        </w:rPr>
        <w:instrText xml:space="preserve"> PAGEREF _Toc12365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r>
        <w:rPr>
          <w:color w:val="000000"/>
          <w:highlight w:val="none"/>
        </w:rPr>
        <w:tab/>
      </w:r>
      <w:r>
        <w:rPr>
          <w:color w:val="000000"/>
          <w:highlight w:val="none"/>
        </w:rPr>
        <w:fldChar w:fldCharType="begin"/>
      </w:r>
      <w:r>
        <w:rPr>
          <w:color w:val="000000"/>
          <w:highlight w:val="none"/>
        </w:rPr>
        <w:instrText xml:space="preserve"> PAGEREF _Toc2371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_Toc28348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r>
        <w:rPr>
          <w:color w:val="000000"/>
          <w:highlight w:val="none"/>
        </w:rPr>
        <w:tab/>
      </w:r>
      <w:r>
        <w:rPr>
          <w:color w:val="000000"/>
          <w:highlight w:val="none"/>
        </w:rPr>
        <w:fldChar w:fldCharType="begin"/>
      </w:r>
      <w:r>
        <w:rPr>
          <w:color w:val="000000"/>
          <w:highlight w:val="none"/>
        </w:rPr>
        <w:instrText xml:space="preserve"> PAGEREF _Toc28348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_Toc28528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32"/>
          <w:highlight w:val="none"/>
          <w:lang w:val="en-US"/>
        </w:rPr>
        <w:t xml:space="preserve">十三、投标人认为需提供的其他文件或证明材料</w:t>
      </w:r>
      <w:r>
        <w:rPr>
          <w:color w:val="000000"/>
          <w:highlight w:val="none"/>
        </w:rPr>
        <w:tab/>
      </w:r>
      <w:r>
        <w:rPr>
          <w:color w:val="000000"/>
          <w:highlight w:val="none"/>
        </w:rPr>
        <w:fldChar w:fldCharType="begin"/>
      </w:r>
      <w:r>
        <w:rPr>
          <w:color w:val="000000"/>
          <w:highlight w:val="none"/>
        </w:rPr>
        <w:instrText xml:space="preserve"> PAGEREF _Toc28528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_Toc4965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r>
        <w:rPr>
          <w:color w:val="000000"/>
          <w:highlight w:val="none"/>
        </w:rPr>
        <w:tab/>
      </w:r>
      <w:r>
        <w:rPr>
          <w:color w:val="000000"/>
          <w:highlight w:val="none"/>
        </w:rPr>
        <w:fldChar w:fldCharType="begin"/>
      </w:r>
      <w:r>
        <w:rPr>
          <w:color w:val="000000"/>
          <w:highlight w:val="none"/>
        </w:rPr>
        <w:instrText xml:space="preserve"> PAGEREF _Toc4965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_Toc18691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件1：法定代表人/单位负责人身份证明书</w:t>
      </w:r>
      <w:r>
        <w:rPr>
          <w:color w:val="000000"/>
          <w:highlight w:val="none"/>
        </w:rPr>
        <w:tab/>
      </w:r>
      <w:r>
        <w:rPr>
          <w:color w:val="000000"/>
          <w:highlight w:val="none"/>
        </w:rPr>
        <w:fldChar w:fldCharType="begin"/>
      </w:r>
      <w:r>
        <w:rPr>
          <w:color w:val="000000"/>
          <w:highlight w:val="none"/>
        </w:rPr>
        <w:instrText xml:space="preserve"> PAGEREF _Toc18691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_Toc18596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r>
        <w:rPr>
          <w:color w:val="000000"/>
          <w:highlight w:val="none"/>
        </w:rPr>
        <w:tab/>
      </w:r>
      <w:r>
        <w:rPr>
          <w:color w:val="000000"/>
          <w:highlight w:val="none"/>
        </w:rPr>
        <w:fldChar w:fldCharType="begin"/>
      </w:r>
      <w:r>
        <w:rPr>
          <w:color w:val="000000"/>
          <w:highlight w:val="none"/>
        </w:rPr>
        <w:instrText xml:space="preserve"> PAGEREF _Toc18596 \h </w:instrText>
      </w:r>
      <w:r>
        <w:rPr>
          <w:color w:val="000000"/>
          <w:highlight w:val="none"/>
        </w:rPr>
        <w:fldChar w:fldCharType="separate"/>
      </w:r>
      <w:r>
        <w:rPr>
          <w:color w:val="000000"/>
          <w:highlight w:val="none"/>
        </w:rPr>
        <w:t xml:space="preserve">64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_Toc6530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r>
        <w:rPr>
          <w:color w:val="000000"/>
          <w:highlight w:val="none"/>
        </w:rPr>
        <w:tab/>
      </w:r>
      <w:r>
        <w:rPr>
          <w:color w:val="000000"/>
          <w:highlight w:val="none"/>
        </w:rPr>
        <w:fldChar w:fldCharType="begin"/>
      </w:r>
      <w:r>
        <w:rPr>
          <w:color w:val="000000"/>
          <w:highlight w:val="none"/>
        </w:rPr>
        <w:instrText xml:space="preserve"> PAGEREF _Toc6530 \h </w:instrText>
      </w:r>
      <w:r>
        <w:rPr>
          <w:color w:val="000000"/>
          <w:highlight w:val="none"/>
        </w:rPr>
        <w:fldChar w:fldCharType="separate"/>
      </w:r>
      <w:r>
        <w:rPr>
          <w:color w:val="000000"/>
          <w:highlight w:val="none"/>
        </w:rPr>
        <w:t xml:space="preserve">65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_Toc25623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：具备履行合同所必需的设备和专业技术能力的声明函</w:t>
      </w:r>
      <w:r>
        <w:rPr>
          <w:color w:val="000000"/>
          <w:highlight w:val="none"/>
        </w:rPr>
        <w:tab/>
      </w:r>
      <w:r>
        <w:rPr>
          <w:color w:val="000000"/>
          <w:highlight w:val="none"/>
        </w:rPr>
        <w:fldChar w:fldCharType="begin"/>
      </w:r>
      <w:r>
        <w:rPr>
          <w:color w:val="000000"/>
          <w:highlight w:val="none"/>
        </w:rPr>
        <w:instrText xml:space="preserve"> PAGEREF _Toc25623 \h </w:instrText>
      </w:r>
      <w:r>
        <w:rPr>
          <w:color w:val="000000"/>
          <w:highlight w:val="none"/>
        </w:rPr>
        <w:fldChar w:fldCharType="separate"/>
      </w:r>
      <w:r>
        <w:rPr>
          <w:color w:val="000000"/>
          <w:highlight w:val="none"/>
        </w:rPr>
        <w:t xml:space="preserve">66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_Toc1914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r>
        <w:rPr>
          <w:color w:val="000000"/>
          <w:highlight w:val="none"/>
        </w:rPr>
        <w:tab/>
      </w:r>
      <w:r>
        <w:rPr>
          <w:color w:val="000000"/>
          <w:highlight w:val="none"/>
        </w:rPr>
        <w:fldChar w:fldCharType="begin"/>
      </w:r>
      <w:r>
        <w:rPr>
          <w:color w:val="000000"/>
          <w:highlight w:val="none"/>
        </w:rPr>
        <w:instrText xml:space="preserve"> PAGEREF _Toc1914 \h </w:instrText>
      </w:r>
      <w:r>
        <w:rPr>
          <w:color w:val="000000"/>
          <w:highlight w:val="none"/>
        </w:rPr>
        <w:fldChar w:fldCharType="separate"/>
      </w:r>
      <w:r>
        <w:rPr>
          <w:color w:val="000000"/>
          <w:highlight w:val="none"/>
        </w:rPr>
        <w:t xml:space="preserve">67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_Toc9177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r>
        <w:rPr>
          <w:color w:val="000000"/>
          <w:highlight w:val="none"/>
        </w:rPr>
        <w:tab/>
      </w:r>
      <w:r>
        <w:rPr>
          <w:color w:val="000000"/>
          <w:highlight w:val="none"/>
        </w:rPr>
        <w:fldChar w:fldCharType="begin"/>
      </w:r>
      <w:r>
        <w:rPr>
          <w:color w:val="000000"/>
          <w:highlight w:val="none"/>
        </w:rPr>
        <w:instrText xml:space="preserve"> PAGEREF _Toc9177 \h </w:instrText>
      </w:r>
      <w:r>
        <w:rPr>
          <w:color w:val="000000"/>
          <w:highlight w:val="none"/>
        </w:rPr>
        <w:fldChar w:fldCharType="separate"/>
      </w:r>
      <w:r>
        <w:rPr>
          <w:color w:val="000000"/>
          <w:highlight w:val="none"/>
        </w:rPr>
        <w:t xml:space="preserve">68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_Toc19289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r>
        <w:rPr>
          <w:color w:val="000000"/>
          <w:highlight w:val="none"/>
        </w:rPr>
        <w:tab/>
      </w:r>
      <w:r>
        <w:rPr>
          <w:color w:val="000000"/>
          <w:highlight w:val="none"/>
        </w:rPr>
        <w:fldChar w:fldCharType="begin"/>
      </w:r>
      <w:r>
        <w:rPr>
          <w:color w:val="000000"/>
          <w:highlight w:val="none"/>
        </w:rPr>
        <w:instrText xml:space="preserve"> PAGEREF _Toc19289 \h </w:instrText>
      </w:r>
      <w:r>
        <w:rPr>
          <w:color w:val="000000"/>
          <w:highlight w:val="none"/>
        </w:rPr>
        <w:fldChar w:fldCharType="separate"/>
      </w:r>
      <w:r>
        <w:rPr>
          <w:color w:val="000000"/>
          <w:highlight w:val="none"/>
        </w:rPr>
        <w:t xml:space="preserve">68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_Toc28273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r>
        <w:rPr>
          <w:color w:val="000000"/>
          <w:highlight w:val="none"/>
        </w:rPr>
        <w:tab/>
      </w:r>
      <w:r>
        <w:rPr>
          <w:color w:val="000000"/>
          <w:highlight w:val="none"/>
        </w:rPr>
        <w:fldChar w:fldCharType="begin"/>
      </w:r>
      <w:r>
        <w:rPr>
          <w:color w:val="000000"/>
          <w:highlight w:val="none"/>
        </w:rPr>
        <w:instrText xml:space="preserve"> PAGEREF _Toc28273 \h </w:instrText>
      </w:r>
      <w:r>
        <w:rPr>
          <w:color w:val="000000"/>
          <w:highlight w:val="none"/>
        </w:rPr>
        <w:fldChar w:fldCharType="separate"/>
      </w:r>
      <w:r>
        <w:rPr>
          <w:color w:val="000000"/>
          <w:highlight w:val="none"/>
        </w:rPr>
        <w:t xml:space="preserve">69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_Toc18960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r>
        <w:rPr>
          <w:color w:val="000000"/>
          <w:highlight w:val="none"/>
        </w:rPr>
        <w:tab/>
      </w:r>
      <w:r>
        <w:rPr>
          <w:color w:val="000000"/>
          <w:highlight w:val="none"/>
        </w:rPr>
        <w:fldChar w:fldCharType="begin"/>
      </w:r>
      <w:r>
        <w:rPr>
          <w:color w:val="000000"/>
          <w:highlight w:val="none"/>
        </w:rPr>
        <w:instrText xml:space="preserve"> PAGEREF _Toc18960 \h </w:instrText>
      </w:r>
      <w:r>
        <w:rPr>
          <w:color w:val="000000"/>
          <w:highlight w:val="none"/>
        </w:rPr>
        <w:fldChar w:fldCharType="separate"/>
      </w:r>
      <w:r>
        <w:rPr>
          <w:color w:val="000000"/>
          <w:highlight w:val="none"/>
        </w:rPr>
        <w:t xml:space="preserve">70</w:t>
      </w:r>
      <w:r>
        <w:rPr>
          <w:color w:val="000000"/>
          <w:highlight w:val="none"/>
        </w:rPr>
        <w:fldChar w:fldCharType="end"/>
      </w:r>
      <w:r>
        <w:rPr>
          <w:rFonts w:hint="eastAsia" w:ascii="仿宋" w:hAnsi="仿宋" w:eastAsia="仿宋" w:cs="仿宋"/>
          <w:color w:val="000000"/>
          <w:szCs w:val="24"/>
          <w:highlight w:val="none"/>
          <w:lang w:bidi="ar-SA"/>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07"/>
        <w:rPr>
          <w:rFonts w:hint="eastAsia"/>
          <w:color w:val="00000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000000"/>
          <w:highlight w:val="none"/>
        </w:rPr>
      </w:r>
      <w:r/>
    </w:p>
    <w:p>
      <w:pPr>
        <w:pStyle w:val="1045"/>
        <w:rPr>
          <w:rFonts w:hint="eastAsia" w:ascii="仿宋" w:hAnsi="仿宋" w:eastAsia="仿宋" w:cs="仿宋"/>
          <w:color w:val="000000"/>
          <w:highlight w:val="none"/>
        </w:rPr>
      </w:pPr>
      <w:r/>
      <w:bookmarkStart w:id="5" w:name="_Toc20780"/>
      <w:r>
        <w:rPr>
          <w:rFonts w:hint="eastAsia" w:ascii="仿宋" w:hAnsi="仿宋" w:eastAsia="仿宋" w:cs="仿宋"/>
          <w:color w:val="000000"/>
          <w:highlight w:val="none"/>
        </w:rPr>
        <w:t xml:space="preserve">第一章 招标公告</w:t>
      </w:r>
      <w:bookmarkEnd w:id="1"/>
      <w:r/>
      <w:bookmarkEnd w:id="5"/>
      <w:r/>
      <w:bookmarkStart w:id="6" w:name="_Toc28359012"/>
      <w:r/>
      <w:bookmarkStart w:id="7" w:name="_Toc28359089"/>
      <w:r/>
      <w:bookmarkStart w:id="8" w:name="_Toc35393629"/>
      <w:r/>
      <w:bookmarkStart w:id="9" w:name="_Toc35393798"/>
      <w:r>
        <w:rPr>
          <w:rFonts w:hint="eastAsia" w:ascii="仿宋" w:hAnsi="仿宋" w:eastAsia="仿宋" w:cs="仿宋"/>
          <w:color w:val="000000"/>
          <w:highlight w:val="none"/>
        </w:rPr>
      </w:r>
      <w:r/>
    </w:p>
    <w:p>
      <w:pPr>
        <w:pStyle w:val="1007"/>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1007"/>
                              <w:jc w:val="center"/>
                            </w:pPr>
                            <w:r/>
                            <w:r/>
                          </w:p>
                          <w:p>
                            <w:pPr>
                              <w:pStyle w:val="1007"/>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1007"/>
                        <w:jc w:val="center"/>
                      </w:pPr>
                      <w:r/>
                      <w:r/>
                    </w:p>
                    <w:p>
                      <w:pPr>
                        <w:pStyle w:val="1007"/>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1007"/>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eastAsia="zh-CN"/>
        </w:rPr>
        <w:t xml:space="preserve">2026年关键和新兴技术领域标准体系建设及应用技术服务(二次)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en-US"/>
        </w:rPr>
        <w:t xml:space="preserve">2026年07</w:t>
      </w:r>
      <w:r>
        <w:rPr>
          <w:rFonts w:hint="eastAsia" w:ascii="仿宋" w:hAnsi="仿宋" w:eastAsia="仿宋" w:cs="仿宋"/>
          <w:color w:val="000000"/>
          <w:sz w:val="24"/>
          <w:szCs w:val="24"/>
          <w:highlight w:val="none"/>
          <w:u w:val="single"/>
          <w:lang w:val="en-US" w:eastAsia="en-US"/>
        </w:rPr>
        <w:t xml:space="preserve">月01</w:t>
      </w:r>
      <w:r>
        <w:rPr>
          <w:rFonts w:hint="eastAsia" w:ascii="仿宋" w:hAnsi="仿宋" w:eastAsia="仿宋" w:cs="仿宋"/>
          <w:color w:val="000000"/>
          <w:sz w:val="24"/>
          <w:szCs w:val="24"/>
          <w:highlight w:val="none"/>
          <w:u w:val="single"/>
          <w:lang w:val="en-US" w:eastAsia="en-US"/>
        </w:rPr>
        <w:t xml:space="preserve">日</w:t>
      </w:r>
      <w:r>
        <w:rPr>
          <w:rFonts w:hint="eastAsia" w:ascii="仿宋" w:hAnsi="仿宋" w:eastAsia="仿宋" w:cs="仿宋"/>
          <w:color w:val="000000"/>
          <w:sz w:val="24"/>
          <w:szCs w:val="24"/>
          <w:highlight w:val="none"/>
          <w:u w:val="single"/>
          <w:lang w:val="en-US" w:eastAsia="zh-CN"/>
        </w:rPr>
        <w:t xml:space="preserve">09:00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47"/>
        <w:ind w:firstLine="361"/>
        <w:rPr>
          <w:rFonts w:hint="eastAsia" w:ascii="仿宋" w:hAnsi="仿宋" w:eastAsia="仿宋" w:cs="仿宋"/>
          <w:color w:val="000000"/>
          <w:highlight w:val="none"/>
          <w:lang w:val="en-US"/>
        </w:rPr>
      </w:pPr>
      <w:r/>
      <w:bookmarkStart w:id="12" w:name="_Toc32296"/>
      <w:r>
        <w:rPr>
          <w:rFonts w:hint="eastAsia" w:ascii="仿宋" w:hAnsi="仿宋" w:eastAsia="仿宋" w:cs="仿宋"/>
          <w:color w:val="000000"/>
          <w:highlight w:val="none"/>
        </w:rPr>
        <w:t xml:space="preserve">一、项目基本情况</w:t>
      </w:r>
      <w:bookmarkEnd w:id="6"/>
      <w:r/>
      <w:bookmarkEnd w:id="7"/>
      <w:r/>
      <w:bookmarkEnd w:id="8"/>
      <w:r/>
      <w:bookmarkEnd w:id="9"/>
      <w:r/>
      <w:bookmarkEnd w:id="12"/>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JSZC-320000-JSTX-G2026-0023</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eastAsia="zh-CN"/>
        </w:rPr>
        <w:t xml:space="preserve">2026年关键和新兴技术领域标准体系建设及应用技术服务(二次)</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320.6</w:t>
      </w:r>
      <w:r>
        <w:rPr>
          <w:rFonts w:hint="eastAsia" w:ascii="仿宋" w:hAnsi="仿宋" w:eastAsia="仿宋" w:cs="仿宋"/>
          <w:color w:val="000000"/>
          <w:sz w:val="24"/>
          <w:szCs w:val="24"/>
          <w:highlight w:val="none"/>
          <w:lang w:val="en-US"/>
        </w:rPr>
        <w:t xml:space="preserve">万元，设</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46.6万元；采购包</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59.6万元）</w:t>
      </w:r>
      <w:r>
        <w:rPr>
          <w:rFonts w:hint="eastAsia" w:ascii="仿宋" w:hAnsi="仿宋" w:eastAsia="仿宋" w:cs="仿宋"/>
          <w:color w:val="000000"/>
          <w:sz w:val="24"/>
          <w:szCs w:val="24"/>
          <w:highlight w:val="none"/>
          <w:lang w:val="en-US"/>
        </w:rPr>
        <w:t xml:space="preserve">。投标人可兼投但不得兼中，只能中其中一个分包，每个分包选取一家中标单位作为承接单位。</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320.6</w:t>
      </w:r>
      <w:r>
        <w:rPr>
          <w:rFonts w:hint="eastAsia" w:ascii="仿宋" w:hAnsi="仿宋" w:eastAsia="仿宋" w:cs="仿宋"/>
          <w:color w:val="000000"/>
          <w:sz w:val="24"/>
          <w:szCs w:val="24"/>
          <w:highlight w:val="none"/>
          <w:lang w:val="en-US"/>
        </w:rPr>
        <w:t xml:space="preserve">万元，本项目共</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46.6万元；采购包</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59.6万元）</w:t>
      </w:r>
      <w:r>
        <w:rPr>
          <w:rFonts w:hint="eastAsia" w:ascii="仿宋" w:hAnsi="仿宋" w:eastAsia="仿宋" w:cs="仿宋"/>
          <w:color w:val="000000"/>
          <w:sz w:val="24"/>
          <w:szCs w:val="24"/>
          <w:highlight w:val="none"/>
          <w:lang w:val="en-US"/>
        </w:rPr>
        <w:t xml:space="preserve">，各分包预算金额及最高限价详见《项目分包明细与分包预算金额、最高限价一览表》。</w:t>
      </w:r>
      <w:r>
        <w:rPr>
          <w:rFonts w:hint="eastAsia" w:ascii="仿宋" w:hAnsi="仿宋" w:eastAsia="仿宋" w:cs="仿宋"/>
          <w:color w:val="000000"/>
          <w:sz w:val="24"/>
          <w:szCs w:val="24"/>
          <w:highlight w:val="none"/>
          <w:lang w:val="en-US"/>
        </w:rPr>
      </w:r>
      <w:r/>
    </w:p>
    <w:p>
      <w:pPr>
        <w:pStyle w:val="1007"/>
        <w:jc w:val="center"/>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项目分包明细与分包预算金额、最高限价一览表</w:t>
      </w:r>
      <w:r>
        <w:rPr>
          <w:rFonts w:hint="eastAsia" w:ascii="仿宋" w:hAnsi="仿宋" w:eastAsia="仿宋" w:cs="仿宋"/>
          <w:b/>
          <w:bCs/>
          <w:color w:val="000000"/>
          <w:sz w:val="24"/>
          <w:szCs w:val="24"/>
          <w:highlight w:val="none"/>
          <w:lang w:bidi="ar-SA"/>
        </w:rPr>
      </w:r>
      <w:r/>
    </w:p>
    <w:tbl>
      <w:tblPr>
        <w:tblW w:w="9228"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1755"/>
        <w:gridCol w:w="4635"/>
        <w:gridCol w:w="1908"/>
      </w:tblGrid>
      <w:tr>
        <w:trPr>
          <w:trHeight w:val="5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分包号</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分包项目名称</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服务项目</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预算金额及最高限价（万元）</w:t>
            </w:r>
            <w:r>
              <w:rPr>
                <w:rFonts w:hint="eastAsia" w:ascii="仿宋" w:hAnsi="仿宋" w:eastAsia="仿宋" w:cs="仿宋"/>
                <w:b/>
                <w:bCs/>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42.6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5</w:t>
            </w:r>
            <w:r>
              <w:rPr>
                <w:rFonts w:hint="eastAsia" w:ascii="仿宋" w:hAnsi="仿宋" w:eastAsia="仿宋" w:cs="仿宋"/>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6</w:t>
            </w:r>
            <w:r>
              <w:rPr>
                <w:rFonts w:hint="eastAsia" w:ascii="仿宋" w:hAnsi="仿宋" w:eastAsia="仿宋" w:cs="仿宋"/>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本招标项目的最小招标单位为分包，按每个分包进行投标、评标。本招标文件所有内容未做特别标注或说明即适用所有分包，有特别标注或说明的请按相应分包要求执行。</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参加“</w:t>
      </w:r>
      <w:r>
        <w:rPr>
          <w:rFonts w:hint="eastAsia" w:ascii="仿宋" w:hAnsi="仿宋" w:eastAsia="仿宋" w:cs="仿宋"/>
          <w:b/>
          <w:bCs/>
          <w:color w:val="000000"/>
          <w:sz w:val="24"/>
          <w:szCs w:val="24"/>
          <w:highlight w:val="none"/>
          <w:lang w:val="en-US" w:bidi="ar-SA"/>
        </w:rPr>
        <w:t xml:space="preserve">2026年关键和新兴技术领域标准体系建设及应用技术服务</w:t>
      </w:r>
      <w:r>
        <w:rPr>
          <w:rFonts w:hint="eastAsia" w:ascii="仿宋" w:hAnsi="仿宋" w:eastAsia="仿宋" w:cs="仿宋"/>
          <w:b/>
          <w:bCs/>
          <w:color w:val="000000"/>
          <w:sz w:val="24"/>
          <w:szCs w:val="24"/>
          <w:highlight w:val="none"/>
          <w:lang w:bidi="ar-SA"/>
        </w:rPr>
        <w:t xml:space="preserve">，项目编号：</w:t>
      </w:r>
      <w:r>
        <w:rPr>
          <w:rFonts w:hint="eastAsia" w:ascii="仿宋" w:hAnsi="仿宋" w:eastAsia="仿宋" w:cs="仿宋"/>
          <w:b/>
          <w:bCs/>
          <w:color w:val="000000"/>
          <w:sz w:val="24"/>
          <w:szCs w:val="24"/>
          <w:highlight w:val="none"/>
          <w:lang w:val="en-US" w:eastAsia="zh-CN" w:bidi="ar-SA"/>
        </w:rPr>
        <w:t xml:space="preserve">JSZC-320000-JSTX-G2026-0019</w:t>
      </w:r>
      <w:r>
        <w:rPr>
          <w:rFonts w:hint="eastAsia" w:ascii="仿宋" w:hAnsi="仿宋" w:eastAsia="仿宋" w:cs="仿宋"/>
          <w:b/>
          <w:bCs/>
          <w:color w:val="000000"/>
          <w:sz w:val="24"/>
          <w:szCs w:val="24"/>
          <w:highlight w:val="none"/>
          <w:lang w:bidi="ar-SA"/>
        </w:rPr>
        <w:t xml:space="preserve">”项目的中标供应商不再作为拟中标候选人推荐。</w:t>
      </w:r>
      <w:r>
        <w:rPr>
          <w:rFonts w:hint="eastAsia" w:ascii="仿宋" w:hAnsi="仿宋" w:eastAsia="仿宋" w:cs="仿宋"/>
          <w:b/>
          <w:bCs/>
          <w:color w:val="000000"/>
          <w:sz w:val="24"/>
          <w:szCs w:val="24"/>
          <w:highlight w:val="none"/>
          <w:lang w:bidi="ar-SA"/>
        </w:rPr>
      </w:r>
      <w:r/>
    </w:p>
    <w:p>
      <w:pPr>
        <w:pStyle w:val="1007"/>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bidi="ar-SA"/>
        </w:rPr>
        <w:t xml:space="preserve">自合同签订后5个月内完成</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1007"/>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rPr>
      </w:pPr>
      <w:r/>
      <w:bookmarkStart w:id="13" w:name="_Toc35393630"/>
      <w:r/>
      <w:bookmarkStart w:id="14" w:name="_Toc28359090"/>
      <w:r/>
      <w:bookmarkStart w:id="15" w:name="_Toc28359013"/>
      <w:r/>
      <w:bookmarkStart w:id="16" w:name="_Toc35393799"/>
      <w:r/>
      <w:bookmarkStart w:id="17" w:name="_Toc444"/>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Pr>
          <w:rFonts w:hint="eastAsia" w:ascii="仿宋" w:hAnsi="仿宋" w:eastAsia="仿宋" w:cs="仿宋"/>
          <w:color w:val="000000"/>
          <w:highlight w:val="none"/>
          <w:lang w:val="en-US"/>
        </w:rPr>
      </w:r>
      <w:r/>
    </w:p>
    <w:p>
      <w:pPr>
        <w:pStyle w:val="1007"/>
        <w:ind w:firstLine="482"/>
        <w:spacing w:line="480" w:lineRule="exact"/>
        <w:rPr>
          <w:rFonts w:hint="eastAsia" w:ascii="仿宋" w:hAnsi="仿宋" w:eastAsia="仿宋" w:cs="仿宋"/>
          <w:b/>
          <w:bCs/>
          <w:color w:val="000000"/>
          <w:sz w:val="24"/>
          <w:szCs w:val="24"/>
          <w:highlight w:val="none"/>
          <w:lang w:bidi="ar-SA"/>
        </w:rPr>
      </w:pPr>
      <w:r/>
      <w:bookmarkStart w:id="18" w:name="_Toc35393631"/>
      <w:r/>
      <w:bookmarkStart w:id="19" w:name="_Toc28359014"/>
      <w:r/>
      <w:bookmarkStart w:id="20" w:name="_Toc35393800"/>
      <w:r/>
      <w:bookmarkStart w:id="21" w:name="_Toc28359091"/>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7"/>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7"/>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7"/>
        <w:ind w:firstLine="482"/>
        <w:spacing w:line="480" w:lineRule="exact"/>
        <w:rPr>
          <w:rFonts w:hint="eastAsia" w:ascii="仿宋" w:hAnsi="仿宋" w:eastAsia="仿宋" w:cs="仿宋"/>
          <w:b/>
          <w:bCs/>
          <w:color w:val="000000"/>
          <w:sz w:val="24"/>
          <w:szCs w:val="24"/>
          <w:highlight w:val="none"/>
          <w:lang w:val="en-US" w:eastAsia="en-US" w:bidi="ar-SA"/>
        </w:rPr>
      </w:pPr>
      <w:r/>
      <w:bookmarkStart w:id="22" w:name="_Toc25444"/>
      <w:r/>
      <w:bookmarkStart w:id="23" w:name="_Toc28943"/>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2"/>
      <w:r>
        <w:rPr>
          <w:rFonts w:hint="eastAsia" w:ascii="仿宋" w:hAnsi="仿宋" w:eastAsia="仿宋" w:cs="仿宋"/>
          <w:b/>
          <w:bCs/>
          <w:color w:val="000000"/>
          <w:sz w:val="24"/>
          <w:szCs w:val="24"/>
          <w:highlight w:val="none"/>
          <w:lang w:val="en-US" w:eastAsia="en-US" w:bidi="ar-SA"/>
        </w:rPr>
      </w:r>
      <w:r/>
    </w:p>
    <w:p>
      <w:pPr>
        <w:pStyle w:val="1007"/>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4" w:name="_Toc27641"/>
      <w:r/>
      <w:bookmarkStart w:id="25" w:name="_Toc11954"/>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4"/>
      <w:r/>
      <w:bookmarkEnd w:id="25"/>
      <w:r>
        <w:rPr>
          <w:rFonts w:hint="eastAsia" w:ascii="仿宋" w:hAnsi="仿宋" w:eastAsia="仿宋" w:cs="仿宋"/>
          <w:b/>
          <w:bCs/>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7"/>
        <w:ind w:firstLine="361"/>
        <w:rPr>
          <w:rFonts w:hint="eastAsia" w:ascii="仿宋" w:hAnsi="仿宋" w:eastAsia="仿宋" w:cs="仿宋"/>
          <w:color w:val="000000"/>
          <w:highlight w:val="none"/>
        </w:rPr>
      </w:pPr>
      <w:r/>
      <w:bookmarkStart w:id="26" w:name="_Toc14547"/>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bookmarkEnd w:id="18"/>
      <w:r/>
      <w:bookmarkEnd w:id="19"/>
      <w:r/>
      <w:bookmarkEnd w:id="20"/>
      <w:r/>
      <w:bookmarkEnd w:id="21"/>
      <w:r/>
      <w:bookmarkEnd w:id="26"/>
      <w:r>
        <w:rPr>
          <w:rFonts w:hint="eastAsia" w:ascii="仿宋" w:hAnsi="仿宋" w:eastAsia="仿宋" w:cs="仿宋"/>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7" w:name="_Toc27077"/>
      <w:r>
        <w:rPr>
          <w:rFonts w:hint="eastAsia" w:ascii="仿宋" w:hAnsi="仿宋" w:eastAsia="仿宋" w:cs="仿宋"/>
          <w:color w:val="000000"/>
          <w:highlight w:val="none"/>
          <w:lang w:val="en-US" w:eastAsia="en-US"/>
        </w:rPr>
        <w:t xml:space="preserve">四、提交投标文件截止时间、开标时间和地点</w:t>
      </w:r>
      <w:bookmarkEnd w:id="27"/>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w:t>
      </w:r>
      <w:r>
        <w:rPr>
          <w:rFonts w:hint="eastAsia" w:ascii="仿宋" w:hAnsi="仿宋" w:eastAsia="仿宋" w:cs="仿宋"/>
          <w:color w:val="000000"/>
          <w:sz w:val="24"/>
          <w:szCs w:val="24"/>
          <w:highlight w:val="none"/>
          <w:lang w:val="en-US" w:eastAsia="en-US"/>
        </w:rPr>
        <w:t xml:space="preserve">2026年07</w:t>
      </w:r>
      <w:r>
        <w:rPr>
          <w:rFonts w:hint="eastAsia" w:ascii="仿宋" w:hAnsi="仿宋" w:eastAsia="仿宋" w:cs="仿宋"/>
          <w:color w:val="000000"/>
          <w:sz w:val="24"/>
          <w:szCs w:val="24"/>
          <w:highlight w:val="none"/>
          <w:lang w:val="en-US" w:eastAsia="en-US"/>
        </w:rPr>
        <w:t xml:space="preserve">月01</w:t>
      </w:r>
      <w:r>
        <w:rPr>
          <w:rFonts w:hint="eastAsia" w:ascii="仿宋" w:hAnsi="仿宋" w:eastAsia="仿宋" w:cs="仿宋"/>
          <w:color w:val="000000"/>
          <w:sz w:val="24"/>
          <w:szCs w:val="24"/>
          <w:highlight w:val="none"/>
          <w:lang w:val="en-US" w:eastAsia="en-US"/>
        </w:rPr>
        <w:t xml:space="preserve">日09:</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eastAsia="en-US"/>
        </w:rPr>
        <w:t xml:space="preserve">0</w:t>
      </w:r>
      <w:r>
        <w:rPr>
          <w:rFonts w:hint="eastAsia" w:ascii="仿宋" w:hAnsi="仿宋" w:eastAsia="仿宋" w:cs="仿宋"/>
          <w:color w:val="000000"/>
          <w:sz w:val="24"/>
          <w:szCs w:val="24"/>
          <w:highlight w:val="none"/>
          <w:lang w:val="en-US" w:eastAsia="en-US"/>
        </w:rPr>
        <w:t xml:space="preserve">（北京时间）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8" w:name="_Toc16699"/>
      <w:r>
        <w:rPr>
          <w:rFonts w:hint="eastAsia" w:ascii="仿宋" w:hAnsi="仿宋" w:eastAsia="仿宋" w:cs="仿宋"/>
          <w:color w:val="000000"/>
          <w:highlight w:val="none"/>
          <w:lang w:val="en-US" w:eastAsia="en-US"/>
        </w:rPr>
        <w:t xml:space="preserve">五、公告期限</w:t>
      </w:r>
      <w:bookmarkEnd w:id="28"/>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9" w:name="_Toc29988"/>
      <w:r>
        <w:rPr>
          <w:rFonts w:hint="eastAsia" w:ascii="仿宋" w:hAnsi="仿宋" w:eastAsia="仿宋" w:cs="仿宋"/>
          <w:color w:val="000000"/>
          <w:highlight w:val="none"/>
          <w:lang w:val="en-US" w:eastAsia="en-US"/>
        </w:rPr>
        <w:t xml:space="preserve">六、其他补充事宜</w:t>
      </w:r>
      <w:bookmarkEnd w:id="29"/>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1007"/>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7"/>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7"/>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7"/>
        <w:ind w:firstLine="361"/>
        <w:rPr>
          <w:rFonts w:hint="eastAsia" w:ascii="仿宋" w:hAnsi="仿宋" w:eastAsia="仿宋" w:cs="仿宋"/>
          <w:color w:val="000000"/>
          <w:highlight w:val="none"/>
          <w:lang w:val="en-US"/>
        </w:rPr>
      </w:pPr>
      <w:r/>
      <w:bookmarkStart w:id="30" w:name="_Toc35393636"/>
      <w:r/>
      <w:bookmarkStart w:id="31" w:name="_Toc28359095"/>
      <w:r/>
      <w:bookmarkStart w:id="32" w:name="_Toc35393805"/>
      <w:r/>
      <w:bookmarkStart w:id="33" w:name="_Toc28359018"/>
      <w:r/>
      <w:bookmarkStart w:id="34" w:name="_Toc32507"/>
      <w:r>
        <w:rPr>
          <w:rFonts w:hint="eastAsia" w:ascii="仿宋" w:hAnsi="仿宋" w:eastAsia="仿宋" w:cs="仿宋"/>
          <w:color w:val="000000"/>
          <w:highlight w:val="none"/>
          <w:lang w:val="en-US" w:eastAsia="en-US"/>
        </w:rPr>
        <w:t xml:space="preserve">七、凡对本次采购提出询问，请按以下方式联系</w:t>
      </w:r>
      <w:bookmarkEnd w:id="30"/>
      <w:r/>
      <w:bookmarkEnd w:id="31"/>
      <w:r/>
      <w:bookmarkEnd w:id="32"/>
      <w:r/>
      <w:bookmarkEnd w:id="33"/>
      <w:r>
        <w:rPr>
          <w:rFonts w:hint="eastAsia" w:ascii="仿宋" w:hAnsi="仿宋" w:eastAsia="仿宋" w:cs="仿宋"/>
          <w:color w:val="000000"/>
          <w:highlight w:val="none"/>
          <w:lang w:val="en-US"/>
        </w:rPr>
        <w:t xml:space="preserve">。</w:t>
      </w:r>
      <w:bookmarkEnd w:id="34"/>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35" w:name="_Toc28359096"/>
      <w:r/>
      <w:bookmarkStart w:id="36" w:name="_Toc28359019"/>
      <w:r/>
      <w:bookmarkStart w:id="37" w:name="_Toc35393637"/>
      <w:r/>
      <w:bookmarkStart w:id="38" w:name="_Toc29415"/>
      <w:r/>
      <w:bookmarkStart w:id="39" w:name="_Toc17719"/>
      <w:r/>
      <w:bookmarkStart w:id="40" w:name="_Toc35393806"/>
      <w:r/>
      <w:bookmarkStart w:id="41" w:name="_Toc25663"/>
      <w:r>
        <w:rPr>
          <w:rFonts w:hint="eastAsia" w:ascii="仿宋" w:hAnsi="仿宋" w:eastAsia="仿宋" w:cs="仿宋"/>
          <w:color w:val="000000"/>
          <w:sz w:val="24"/>
          <w:szCs w:val="24"/>
          <w:highlight w:val="none"/>
          <w:lang w:bidi="ar-SA"/>
        </w:rPr>
        <w:t xml:space="preserve">1.采购人信息</w:t>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2" w:name="_Toc29830"/>
      <w:r/>
      <w:bookmarkStart w:id="43" w:name="_Toc28359020"/>
      <w:r/>
      <w:bookmarkStart w:id="44" w:name="_Toc25785"/>
      <w:r/>
      <w:bookmarkStart w:id="45" w:name="_Toc17231"/>
      <w:r/>
      <w:bookmarkStart w:id="46" w:name="_Toc28359097"/>
      <w:r/>
      <w:bookmarkStart w:id="47" w:name="_Toc35393638"/>
      <w:r/>
      <w:bookmarkStart w:id="48" w:name="_Toc35393807"/>
      <w:r>
        <w:rPr>
          <w:rFonts w:hint="eastAsia" w:ascii="仿宋" w:hAnsi="仿宋" w:eastAsia="仿宋" w:cs="仿宋"/>
          <w:color w:val="000000"/>
          <w:sz w:val="24"/>
          <w:szCs w:val="24"/>
          <w:highlight w:val="none"/>
          <w:lang w:bidi="ar-SA"/>
        </w:rPr>
        <w:t xml:space="preserve">名    称：</w:t>
      </w:r>
      <w:bookmarkEnd w:id="42"/>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9"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49"/>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rPr>
      </w:pPr>
      <w:r/>
      <w:bookmarkStart w:id="50"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鲍雨冉</w:t>
      </w:r>
      <w:r>
        <w:rPr>
          <w:rFonts w:hint="eastAsia" w:ascii="仿宋" w:hAnsi="仿宋" w:eastAsia="仿宋" w:cs="仿宋"/>
          <w:color w:val="000000"/>
          <w:sz w:val="24"/>
          <w:szCs w:val="24"/>
          <w:highlight w:val="none"/>
          <w:lang w:val="en-US"/>
        </w:rPr>
      </w:r>
      <w:r/>
    </w:p>
    <w:p>
      <w:pPr>
        <w:pStyle w:val="100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highlight w:val="none"/>
          <w:lang w:val="en-US"/>
        </w:rPr>
        <w:t xml:space="preserve">025-85012032</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3"/>
      <w:r/>
      <w:bookmarkEnd w:id="44"/>
      <w:r/>
      <w:bookmarkEnd w:id="45"/>
      <w:r/>
      <w:bookmarkEnd w:id="46"/>
      <w:r/>
      <w:bookmarkEnd w:id="47"/>
      <w:r/>
      <w:bookmarkEnd w:id="48"/>
      <w:r/>
      <w:bookmarkEnd w:id="50"/>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1" w:name="_Toc18692"/>
      <w:r/>
      <w:bookmarkStart w:id="52" w:name="_Toc15594"/>
      <w:r/>
      <w:bookmarkStart w:id="53" w:name="_Toc28359098"/>
      <w:r/>
      <w:bookmarkStart w:id="54" w:name="_Toc35393808"/>
      <w:r/>
      <w:bookmarkStart w:id="55" w:name="_Toc35393639"/>
      <w:r/>
      <w:bookmarkStart w:id="56" w:name="_Toc28359021"/>
      <w:r>
        <w:rPr>
          <w:rFonts w:hint="eastAsia" w:ascii="仿宋" w:hAnsi="仿宋" w:eastAsia="仿宋" w:cs="仿宋"/>
          <w:color w:val="000000"/>
          <w:sz w:val="24"/>
          <w:szCs w:val="24"/>
          <w:highlight w:val="none"/>
          <w:lang w:val="en-US" w:eastAsia="en-US" w:bidi="ar-SA"/>
        </w:rPr>
        <w:t xml:space="preserve">名    称：江苏腾信招标有限公司</w:t>
      </w:r>
      <w:bookmarkEnd w:id="51"/>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bidi="ar-SA"/>
        </w:rPr>
      </w:pPr>
      <w:r/>
      <w:bookmarkStart w:id="57"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南京市应天大街772号1栋502室</w:t>
      </w:r>
      <w:bookmarkEnd w:id="57"/>
      <w:r>
        <w:rPr>
          <w:rFonts w:hint="eastAsia" w:ascii="仿宋" w:hAnsi="仿宋" w:eastAsia="仿宋" w:cs="仿宋"/>
          <w:color w:val="000000"/>
          <w:sz w:val="24"/>
          <w:szCs w:val="24"/>
          <w:highlight w:val="none"/>
          <w:lang w:val="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8"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8"/>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9" w:name="_Toc16393"/>
      <w:r>
        <w:rPr>
          <w:rFonts w:hint="eastAsia" w:ascii="仿宋" w:hAnsi="仿宋" w:eastAsia="仿宋" w:cs="仿宋"/>
          <w:color w:val="000000"/>
          <w:sz w:val="24"/>
          <w:szCs w:val="24"/>
          <w:highlight w:val="none"/>
          <w:lang w:val="en-US" w:eastAsia="en-US" w:bidi="ar-SA"/>
        </w:rPr>
        <w:t xml:space="preserve">联系电话：</w:t>
      </w:r>
      <w:r>
        <w:rPr>
          <w:rFonts w:hint="eastAsia" w:ascii="仿宋" w:hAnsi="仿宋" w:eastAsia="仿宋" w:cs="仿宋"/>
          <w:color w:val="000000"/>
          <w:sz w:val="24"/>
          <w:szCs w:val="24"/>
          <w:highlight w:val="none"/>
          <w:lang w:val="en-US"/>
        </w:rPr>
        <w:t xml:space="preserve">15195778588</w:t>
      </w:r>
      <w:bookmarkEnd w:id="59"/>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60" w:name="_Toc15219"/>
      <w:r>
        <w:rPr>
          <w:rFonts w:hint="eastAsia" w:ascii="仿宋" w:hAnsi="仿宋" w:eastAsia="仿宋" w:cs="仿宋"/>
          <w:color w:val="000000"/>
          <w:sz w:val="24"/>
          <w:szCs w:val="24"/>
          <w:highlight w:val="none"/>
          <w:lang w:val="en-US" w:eastAsia="en-US" w:bidi="ar-SA"/>
        </w:rPr>
        <w:t xml:space="preserve">3.项目联系方式</w:t>
      </w:r>
      <w:bookmarkEnd w:id="52"/>
      <w:r/>
      <w:bookmarkEnd w:id="60"/>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张工</w:t>
      </w:r>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5"/>
        <w:rPr>
          <w:rFonts w:hint="eastAsia" w:ascii="仿宋" w:hAnsi="仿宋" w:eastAsia="仿宋" w:cs="仿宋"/>
          <w:color w:val="000000"/>
          <w:highlight w:val="none"/>
        </w:rPr>
      </w:pPr>
      <w:r/>
      <w:bookmarkEnd w:id="53"/>
      <w:r/>
      <w:bookmarkEnd w:id="54"/>
      <w:r/>
      <w:bookmarkEnd w:id="55"/>
      <w:r/>
      <w:bookmarkEnd w:id="56"/>
      <w:r>
        <w:rPr>
          <w:rFonts w:hint="eastAsia" w:ascii="仿宋" w:hAnsi="仿宋" w:eastAsia="仿宋" w:cs="仿宋"/>
          <w:b w:val="0"/>
          <w:color w:val="000000"/>
          <w:highlight w:val="none"/>
          <w:lang w:bidi="ar-SA"/>
        </w:rPr>
        <w:br w:type="page" w:clear="all"/>
      </w:r>
      <w:bookmarkStart w:id="61" w:name="_Toc13170"/>
      <w:r/>
      <w:bookmarkStart w:id="62" w:name="_Toc23597"/>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bookmarkEnd w:id="61"/>
      <w:r/>
      <w:bookmarkEnd w:id="62"/>
      <w:r>
        <w:rPr>
          <w:rFonts w:hint="eastAsia" w:ascii="仿宋" w:hAnsi="仿宋" w:eastAsia="仿宋" w:cs="仿宋"/>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eastAsia="zh-CN" w:bidi="ar-SA"/>
              </w:rPr>
            </w:pPr>
            <w:r>
              <w:rPr>
                <w:rFonts w:hint="eastAsia" w:ascii="仿宋" w:hAnsi="仿宋" w:eastAsia="仿宋" w:cs="仿宋"/>
                <w:color w:val="000000"/>
                <w:sz w:val="24"/>
                <w:szCs w:val="24"/>
                <w:highlight w:val="none"/>
                <w:lang w:val="en-US" w:eastAsia="zh-CN"/>
              </w:rPr>
              <w:t xml:space="preserve">2026年关键和新兴技术领域标准体系建设及应用技术服务(二次)</w:t>
            </w:r>
            <w:r>
              <w:rPr>
                <w:rFonts w:hint="eastAsia" w:ascii="仿宋" w:hAnsi="仿宋" w:eastAsia="仿宋" w:cs="仿宋"/>
                <w:bCs/>
                <w:color w:val="000000"/>
                <w:sz w:val="24"/>
                <w:szCs w:val="24"/>
                <w:highlight w:val="none"/>
                <w:lang w:eastAsia="zh-CN" w:bidi="ar-SA"/>
              </w:rPr>
            </w:r>
            <w:r/>
          </w:p>
        </w:tc>
      </w:tr>
      <w:tr>
        <w:trPr>
          <w:trHeight w:val="2020" w:hRule="exact"/>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具体内容详见招标文件第五章“招标项目需求及技术相关要求”</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鲍雨冉</w:t>
            </w:r>
            <w:r>
              <w:rPr>
                <w:rFonts w:hint="eastAsia"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color w:val="000000"/>
                <w:highlight w:val="none"/>
                <w:lang w:val="en-US"/>
              </w:rPr>
              <w:t xml:space="preserve">025-85012032</w:t>
            </w:r>
            <w:r>
              <w:rPr>
                <w:rFonts w:hint="eastAsia"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9"/>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5"/>
        <w:rPr>
          <w:rFonts w:hint="eastAsia" w:ascii="仿宋" w:hAnsi="仿宋" w:eastAsia="仿宋" w:cs="仿宋"/>
          <w:b w:val="0"/>
          <w:color w:val="000000"/>
          <w:highlight w:val="none"/>
          <w:lang w:bidi="ar-SA"/>
        </w:rPr>
      </w:pPr>
      <w:r>
        <w:rPr>
          <w:rFonts w:hint="eastAsia" w:ascii="仿宋" w:hAnsi="仿宋" w:eastAsia="仿宋" w:cs="仿宋"/>
          <w:b w:val="0"/>
          <w:color w:val="000000"/>
          <w:highlight w:val="none"/>
          <w:lang w:bidi="ar-SA"/>
        </w:rPr>
        <w:br w:type="page" w:clear="all"/>
      </w:r>
      <w:bookmarkStart w:id="63" w:name="_Toc30310"/>
      <w:r/>
      <w:bookmarkStart w:id="64" w:name="_Toc6150"/>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bookmarkEnd w:id="63"/>
      <w:r/>
      <w:bookmarkEnd w:id="64"/>
      <w:r>
        <w:rPr>
          <w:rFonts w:hint="eastAsia" w:ascii="仿宋" w:hAnsi="仿宋" w:eastAsia="仿宋" w:cs="仿宋"/>
          <w:b w:val="0"/>
          <w:color w:val="000000"/>
          <w:highlight w:val="none"/>
          <w:lang w:bidi="ar-SA"/>
        </w:rPr>
      </w:r>
      <w:r/>
    </w:p>
    <w:p>
      <w:pPr>
        <w:pStyle w:val="1047"/>
        <w:ind w:firstLine="361"/>
        <w:rPr>
          <w:rFonts w:hint="eastAsia" w:ascii="仿宋" w:hAnsi="仿宋" w:eastAsia="仿宋" w:cs="仿宋"/>
          <w:color w:val="000000"/>
          <w:highlight w:val="none"/>
          <w:lang w:val="en-US" w:eastAsia="en-US"/>
        </w:rPr>
      </w:pPr>
      <w:r/>
      <w:bookmarkStart w:id="65" w:name="_Toc15504"/>
      <w:r>
        <w:rPr>
          <w:rFonts w:hint="eastAsia" w:ascii="仿宋" w:hAnsi="仿宋" w:eastAsia="仿宋" w:cs="仿宋"/>
          <w:color w:val="000000"/>
          <w:highlight w:val="none"/>
          <w:lang w:val="en-US" w:eastAsia="en-US"/>
        </w:rPr>
        <w:t xml:space="preserve">一、总则</w:t>
      </w:r>
      <w:bookmarkEnd w:id="65"/>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66"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bCs/>
          <w:color w:val="000000"/>
          <w:sz w:val="24"/>
          <w:szCs w:val="24"/>
          <w:highlight w:val="none"/>
        </w:rPr>
      </w:pPr>
      <w:r/>
      <w:bookmarkEnd w:id="66"/>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7"/>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bookmarkStart w:id="67"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7"/>
      <w:r/>
      <w:bookmarkStart w:id="68" w:name="_Hlk77845870"/>
      <w:r/>
      <w:bookmarkStart w:id="69"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8"/>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w:t>
      </w:r>
      <w:bookmarkStart w:id="70" w:name="_Hlk66802840"/>
      <w:r>
        <w:rPr>
          <w:rFonts w:hint="eastAsia" w:ascii="仿宋" w:hAnsi="仿宋" w:eastAsia="仿宋" w:cs="仿宋"/>
          <w:color w:val="000000"/>
          <w:sz w:val="24"/>
          <w:szCs w:val="24"/>
          <w:highlight w:val="none"/>
          <w:lang w:val="en-US"/>
        </w:rPr>
        <w:t xml:space="preserve">2支持监狱企业发展政策</w:t>
      </w:r>
      <w:bookmarkEnd w:id="70"/>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1"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71"/>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2"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73" w:name="_Toc3981"/>
      <w:r>
        <w:rPr>
          <w:rFonts w:hint="eastAsia" w:ascii="仿宋" w:hAnsi="仿宋" w:eastAsia="仿宋" w:cs="仿宋"/>
          <w:color w:val="000000"/>
          <w:highlight w:val="none"/>
          <w:lang w:val="en-US" w:eastAsia="en-US"/>
        </w:rPr>
        <w:t xml:space="preserve">二、招标文件</w:t>
      </w:r>
      <w:bookmarkEnd w:id="73"/>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74" w:name="_Toc19474"/>
      <w:r>
        <w:rPr>
          <w:rFonts w:hint="eastAsia" w:ascii="仿宋" w:hAnsi="仿宋" w:eastAsia="仿宋" w:cs="仿宋"/>
          <w:b/>
          <w:bCs/>
          <w:color w:val="000000"/>
          <w:sz w:val="24"/>
          <w:szCs w:val="24"/>
          <w:highlight w:val="none"/>
          <w:lang w:val="en-US" w:eastAsia="en-US"/>
        </w:rPr>
        <w:t xml:space="preserve">5.招标文件的澄清、修改</w:t>
      </w:r>
      <w:bookmarkEnd w:id="74"/>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67"/>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75" w:name="_Toc31517"/>
      <w:r/>
      <w:bookmarkStart w:id="76" w:name="_Toc28280"/>
      <w:r>
        <w:rPr>
          <w:rFonts w:hint="eastAsia" w:ascii="仿宋" w:hAnsi="仿宋" w:eastAsia="仿宋" w:cs="仿宋"/>
          <w:color w:val="000000"/>
          <w:highlight w:val="none"/>
          <w:lang w:val="en-US" w:eastAsia="en-US"/>
        </w:rPr>
        <w:t xml:space="preserve">三、投标</w:t>
      </w:r>
      <w:bookmarkEnd w:id="75"/>
      <w:r/>
      <w:bookmarkEnd w:id="76"/>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en-US"/>
        </w:rPr>
        <w:t xml:space="preserve">具体收费标准及收取方式详见本章第7.2条。</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 </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7.2.1 支付原因的说明</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依据《政府采购代理机构管理暂行办法》（财库〔2018〕2号）第十五条及《关于进一步规范政府采购活动相关费用管理的通知》（苏财规〔2026〕1号）的规定，经采购人研究决定，本项目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w:t>
      </w:r>
      <w:r>
        <w:rPr>
          <w:rFonts w:hint="eastAsia" w:ascii="仿宋" w:hAnsi="仿宋" w:eastAsia="仿宋" w:cs="仿宋"/>
          <w:color w:val="000000"/>
          <w:sz w:val="24"/>
          <w:szCs w:val="24"/>
          <w:highlight w:val="none"/>
          <w:lang w:val="en-US" w:eastAsia="zh-CN"/>
        </w:rPr>
        <w:t xml:space="preserve">。原因：本项目</w:t>
      </w:r>
      <w:r>
        <w:rPr>
          <w:rFonts w:hint="eastAsia" w:ascii="仿宋" w:hAnsi="仿宋" w:eastAsia="仿宋" w:cs="仿宋"/>
          <w:color w:val="000000"/>
          <w:sz w:val="24"/>
          <w:szCs w:val="24"/>
          <w:highlight w:val="none"/>
          <w:lang w:val="en-US" w:eastAsia="en-US"/>
        </w:rPr>
        <w:t xml:space="preserve">项目预算</w:t>
      </w:r>
      <w:r>
        <w:rPr>
          <w:rFonts w:hint="eastAsia" w:ascii="仿宋" w:hAnsi="仿宋" w:eastAsia="仿宋" w:cs="仿宋"/>
          <w:color w:val="000000"/>
          <w:sz w:val="24"/>
          <w:szCs w:val="24"/>
          <w:highlight w:val="none"/>
          <w:lang w:val="en-US" w:eastAsia="zh-CN"/>
        </w:rPr>
        <w:t xml:space="preserve">编制过程中已包含本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7.2.2 支付主体及报价要求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代理费由中标供应商支付。供应商在报价时，应将</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代理费全额包含在投标总价中，采购人不再另行支付。</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7.2.3 收费标准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代理服务费按差额定率分档累进法计算，以中标金额为计费基数。本项目</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highlight w:val="none"/>
        </w:rPr>
        <w:t xml:space="preserve">供应商按照下表收费标准的80%向招标代理机构交纳</w:t>
      </w:r>
      <w:r>
        <w:rPr>
          <w:rFonts w:hint="eastAsia" w:ascii="仿宋" w:hAnsi="仿宋" w:eastAsia="仿宋" w:cs="仿宋"/>
          <w:color w:val="000000"/>
          <w:sz w:val="24"/>
          <w:highlight w:val="none"/>
          <w:lang w:eastAsia="zh-CN"/>
        </w:rPr>
        <w:t xml:space="preserve">采购代理服务费。</w:t>
      </w:r>
      <w:r>
        <w:rPr>
          <w:rFonts w:hint="eastAsia" w:ascii="仿宋" w:hAnsi="仿宋" w:eastAsia="仿宋" w:cs="仿宋"/>
          <w:color w:val="000000"/>
          <w:sz w:val="24"/>
          <w:szCs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7"/>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7.2.5 收取方式及时间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中标供应商在领取中标通知书前，须一次性向采购代理机构足额支付</w:t>
      </w:r>
      <w:r>
        <w:rPr>
          <w:rFonts w:hint="eastAsia" w:ascii="仿宋" w:hAnsi="仿宋" w:eastAsia="仿宋" w:cs="仿宋"/>
          <w:color w:val="000000"/>
          <w:sz w:val="24"/>
          <w:szCs w:val="24"/>
          <w:highlight w:val="none"/>
          <w:lang w:val="en-US" w:eastAsia="zh-CN"/>
        </w:rPr>
        <w:t xml:space="preserve">采购代理服务费</w:t>
      </w:r>
      <w:r>
        <w:rPr>
          <w:rFonts w:hint="eastAsia" w:ascii="仿宋" w:hAnsi="仿宋" w:eastAsia="仿宋" w:cs="仿宋"/>
          <w:color w:val="000000"/>
          <w:sz w:val="24"/>
          <w:szCs w:val="24"/>
          <w:highlight w:val="none"/>
          <w:lang w:val="en-US" w:eastAsia="en-US"/>
        </w:rPr>
        <w:t xml:space="preserve">。支付方式：银行转账</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电汇</w:t>
      </w:r>
      <w:r>
        <w:rPr>
          <w:rFonts w:hint="eastAsia" w:ascii="仿宋" w:hAnsi="仿宋" w:eastAsia="仿宋" w:cs="仿宋"/>
          <w:color w:val="000000"/>
          <w:sz w:val="24"/>
          <w:szCs w:val="24"/>
          <w:highlight w:val="none"/>
          <w:lang w:val="en-US" w:eastAsia="zh-CN"/>
        </w:rPr>
        <w:t xml:space="preserve">或现金</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7"/>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1007"/>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7"/>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7"/>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7"/>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7" w:name="_Toc13789"/>
      <w:r/>
      <w:bookmarkStart w:id="78" w:name="_Toc30535"/>
      <w:r/>
      <w:bookmarkStart w:id="79" w:name="_Toc15621"/>
      <w:r/>
      <w:bookmarkStart w:id="80" w:name="_Toc22779"/>
      <w:r/>
      <w:bookmarkStart w:id="81" w:name="_Toc27219"/>
      <w:r/>
      <w:bookmarkStart w:id="82" w:name="_Toc12432"/>
      <w:r>
        <w:rPr>
          <w:rFonts w:hint="eastAsia" w:ascii="仿宋" w:hAnsi="仿宋" w:eastAsia="仿宋" w:cs="仿宋"/>
          <w:b/>
          <w:bCs/>
          <w:color w:val="000000"/>
          <w:sz w:val="24"/>
          <w:szCs w:val="24"/>
          <w:highlight w:val="none"/>
          <w:lang w:val="en-US"/>
        </w:rPr>
        <w:t xml:space="preserve">四、开标、评标与定标</w:t>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3" w:name="_Toc513029230"/>
      <w:r/>
      <w:bookmarkStart w:id="84" w:name="_Toc16938546"/>
      <w:r/>
      <w:bookmarkStart w:id="85" w:name="_Toc20823302"/>
      <w:r>
        <w:rPr>
          <w:rFonts w:hint="eastAsia" w:ascii="仿宋" w:hAnsi="仿宋" w:eastAsia="仿宋" w:cs="仿宋"/>
          <w:b/>
          <w:bCs/>
          <w:color w:val="000000"/>
          <w:sz w:val="24"/>
          <w:szCs w:val="24"/>
          <w:highlight w:val="none"/>
          <w:lang w:val="en-US"/>
        </w:rPr>
        <w:t xml:space="preserve">开标</w:t>
      </w:r>
      <w:bookmarkEnd w:id="83"/>
      <w:r/>
      <w:bookmarkEnd w:id="84"/>
      <w:r/>
      <w:bookmarkEnd w:id="85"/>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7"/>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7"/>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7"/>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bookmarkStart w:id="86"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7" w:name="_Toc14253"/>
      <w:r/>
      <w:bookmarkStart w:id="88" w:name="_Toc27432"/>
      <w:r/>
      <w:bookmarkStart w:id="89" w:name="_Toc10967"/>
      <w:r/>
      <w:bookmarkStart w:id="90" w:name="_Toc13075"/>
      <w:r/>
      <w:bookmarkStart w:id="91" w:name="_Toc4993"/>
      <w:r/>
      <w:bookmarkStart w:id="92" w:name="_Toc30366"/>
      <w:r>
        <w:rPr>
          <w:rFonts w:hint="eastAsia" w:ascii="仿宋" w:hAnsi="仿宋" w:eastAsia="仿宋" w:cs="仿宋"/>
          <w:b/>
          <w:bCs/>
          <w:color w:val="000000"/>
          <w:sz w:val="24"/>
          <w:szCs w:val="24"/>
          <w:highlight w:val="none"/>
          <w:lang w:val="en-US"/>
        </w:rPr>
        <w:t xml:space="preserve">五、签订合同</w:t>
      </w:r>
      <w:bookmarkEnd w:id="86"/>
      <w:r/>
      <w:bookmarkEnd w:id="87"/>
      <w:r/>
      <w:bookmarkEnd w:id="88"/>
      <w:r/>
      <w:bookmarkEnd w:id="89"/>
      <w:r/>
      <w:bookmarkEnd w:id="90"/>
      <w:r/>
      <w:bookmarkEnd w:id="91"/>
      <w:r/>
      <w:bookmarkEnd w:id="9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Start w:id="93"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End w:id="93"/>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28.5证据来源的合法性存在明显疑问，投诉人无法证明其取得方式合法的，视为以非法法手段取得证明材料。</w:t>
      </w:r>
      <w:r>
        <w:rPr>
          <w:rFonts w:hint="eastAsia" w:ascii="仿宋" w:hAnsi="仿宋" w:eastAsia="仿宋" w:cs="仿宋"/>
          <w:color w:val="000000"/>
          <w:sz w:val="24"/>
          <w:szCs w:val="24"/>
          <w:highlight w:val="none"/>
          <w:lang w:val="en-US" w:eastAsia="en-US" w:bidi="ar-SA"/>
        </w:rPr>
      </w:r>
      <w:r/>
    </w:p>
    <w:p>
      <w:pPr>
        <w:pStyle w:val="1007"/>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4" w:name="_Toc25733"/>
      <w:r/>
      <w:bookmarkStart w:id="95" w:name="_Toc28323"/>
      <w:r>
        <w:rPr>
          <w:rStyle w:val="1046"/>
          <w:rFonts w:hint="eastAsia" w:ascii="仿宋" w:hAnsi="仿宋" w:eastAsia="仿宋" w:cs="仿宋"/>
          <w:color w:val="000000"/>
          <w:highlight w:val="none"/>
          <w:lang w:val="en-US" w:eastAsia="en-US"/>
        </w:rPr>
        <w:t xml:space="preserve">第四章 </w:t>
      </w:r>
      <w:r>
        <w:rPr>
          <w:rStyle w:val="1046"/>
          <w:rFonts w:hint="eastAsia" w:ascii="仿宋" w:hAnsi="仿宋" w:eastAsia="仿宋" w:cs="仿宋"/>
          <w:color w:val="000000"/>
          <w:highlight w:val="none"/>
        </w:rPr>
        <w:t xml:space="preserve">合同主要条款及格式</w:t>
      </w:r>
      <w:bookmarkEnd w:id="94"/>
      <w:r>
        <w:rPr>
          <w:rStyle w:val="1015"/>
          <w:rFonts w:hint="eastAsia" w:ascii="仿宋" w:hAnsi="仿宋" w:eastAsia="仿宋" w:cs="仿宋"/>
          <w:b/>
          <w:bCs/>
          <w:color w:val="000000"/>
          <w:sz w:val="36"/>
          <w:szCs w:val="36"/>
          <w:highlight w:val="none"/>
          <w:lang w:val="en-US" w:eastAsia="en-US"/>
        </w:rPr>
        <w:t xml:space="preserve"> </w:t>
      </w:r>
      <w:bookmarkEnd w:id="95"/>
      <w:r>
        <w:rPr>
          <w:rFonts w:hint="eastAsia" w:ascii="仿宋" w:hAnsi="仿宋" w:eastAsia="仿宋" w:cs="仿宋"/>
          <w:color w:val="000000"/>
          <w:sz w:val="24"/>
          <w:szCs w:val="24"/>
          <w:highlight w:val="none"/>
          <w:lang w:val="en-US" w:eastAsia="en-US" w:bidi="ar-SA"/>
        </w:rPr>
      </w:r>
      <w:r/>
    </w:p>
    <w:p>
      <w:pPr>
        <w:pStyle w:val="1007"/>
        <w:jc w:val="center"/>
        <w:spacing w:line="360" w:lineRule="auto"/>
        <w:rPr>
          <w:rFonts w:hint="eastAsia" w:ascii="仿宋" w:hAnsi="仿宋" w:eastAsia="仿宋" w:cs="仿宋"/>
          <w:b/>
          <w:color w:val="000000"/>
          <w:sz w:val="72"/>
          <w:szCs w:val="72"/>
          <w:highlight w:val="none"/>
        </w:rPr>
      </w:pPr>
      <w:r/>
      <w:bookmarkStart w:id="96" w:name="_Toc9759"/>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7"/>
        <w:jc w:val="center"/>
        <w:spacing w:line="380" w:lineRule="exact"/>
        <w:rPr>
          <w:rFonts w:hint="eastAsia" w:ascii="仿宋" w:hAnsi="仿宋" w:eastAsia="仿宋" w:cs="仿宋"/>
          <w:bCs/>
          <w:color w:val="000000"/>
          <w:sz w:val="21"/>
          <w:szCs w:val="20"/>
          <w:highlight w:val="none"/>
        </w:rPr>
      </w:pPr>
      <w:r>
        <w:rPr>
          <w:rFonts w:hint="eastAsia" w:ascii="仿宋" w:hAnsi="仿宋" w:eastAsia="仿宋" w:cs="仿宋"/>
          <w:bCs/>
          <w:color w:val="000000"/>
          <w:sz w:val="21"/>
          <w:szCs w:val="20"/>
          <w:highlight w:val="none"/>
        </w:rPr>
      </w:r>
      <w:r/>
    </w:p>
    <w:p>
      <w:pPr>
        <w:pStyle w:val="1007"/>
        <w:ind w:left="108" w:firstLine="420"/>
        <w:spacing w:line="380" w:lineRule="exact"/>
        <w:rPr>
          <w:rFonts w:hint="eastAsia" w:ascii="仿宋" w:hAnsi="仿宋" w:eastAsia="仿宋" w:cs="仿宋"/>
          <w:color w:val="000000"/>
          <w:sz w:val="21"/>
          <w:szCs w:val="20"/>
          <w:highlight w:val="none"/>
        </w:rPr>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7"/>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97" w:name="purchase_start"/>
      <w:r/>
      <w:bookmarkEnd w:id="97"/>
      <w:r>
        <w:rPr>
          <w:rFonts w:hint="eastAsia" w:ascii="仿宋" w:hAnsi="仿宋" w:eastAsia="仿宋" w:cs="仿宋"/>
          <w:b/>
          <w:bCs/>
          <w:color w:val="000000"/>
          <w:sz w:val="24"/>
          <w:szCs w:val="24"/>
          <w:highlight w:val="none"/>
        </w:rPr>
        <w:t xml:space="preserve">：江苏省市场监督管理局</w:t>
      </w:r>
      <w:bookmarkStart w:id="98" w:name="purchase_end"/>
      <w:r/>
      <w:bookmarkEnd w:id="98"/>
      <w:r>
        <w:rPr>
          <w:rFonts w:hint="eastAsia" w:ascii="仿宋" w:hAnsi="仿宋" w:eastAsia="仿宋" w:cs="仿宋"/>
          <w:b/>
          <w:bCs/>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w:t>
      </w:r>
      <w:bookmarkStart w:id="99" w:name="suppliers_name"/>
      <w:r/>
      <w:bookmarkEnd w:id="99"/>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lang w:eastAsia="zh-CN"/>
        </w:rPr>
        <w:t xml:space="preserve">2026年关键和新兴技术领域标准体系建设及应用技术服务(二次)</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服务项目（勾选）</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lang w:val="en-US"/>
        </w:rPr>
      </w:pP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包一、□包二、□包三、□包四、□包五、□包六</w:t>
      </w:r>
      <w:r>
        <w:rPr>
          <w:rFonts w:hint="eastAsia" w:ascii="仿宋" w:hAnsi="仿宋" w:eastAsia="仿宋" w:cs="仿宋"/>
          <w:color w:val="000000"/>
          <w:sz w:val="24"/>
          <w:szCs w:val="24"/>
          <w:highlight w:val="none"/>
          <w:u w:val="single"/>
          <w:lang w:val="en-US"/>
        </w:rPr>
      </w:r>
      <w:r/>
    </w:p>
    <w:p>
      <w:pPr>
        <w:pStyle w:val="1007"/>
        <w:numPr>
          <w:ilvl w:val="0"/>
          <w:numId w:val="3"/>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服务完成期限：自合同签订后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个月内完成本项目。</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hint="eastAsia" w:ascii="仿宋" w:hAnsi="仿宋" w:eastAsia="仿宋" w:cs="仿宋"/>
          <w:color w:val="000000"/>
          <w:sz w:val="24"/>
          <w:szCs w:val="24"/>
          <w:highlight w:val="none"/>
          <w:lang w:val="en-US"/>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本合同项下服务费用（含税）总计：（大写）：     万元（￥    元）人民币。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eastAsia="en-US"/>
        </w:rPr>
        <w:t xml:space="preserve">包括但不限于：服务人员费用（工资、福利、保险、服务费、设备费、材料费、技术咨询服务费）、差旅费、食宿费、运营管理费、税金、风险费用、利润，以及一切不可预见的费用，同时还应包含</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en-US" w:eastAsia="en-US"/>
        </w:rPr>
        <w:t xml:space="preserve">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t xml:space="preserve">中标后</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按中标价格</w:t>
      </w:r>
      <w:r>
        <w:rPr>
          <w:rFonts w:hint="eastAsia" w:ascii="仿宋" w:hAnsi="仿宋" w:eastAsia="仿宋" w:cs="仿宋"/>
          <w:bCs/>
          <w:color w:val="000000"/>
          <w:sz w:val="24"/>
          <w:szCs w:val="24"/>
          <w:highlight w:val="none"/>
          <w:lang w:eastAsia="zh-CN"/>
        </w:rPr>
        <w:t xml:space="preserve">（合同价）</w:t>
      </w:r>
      <w:r>
        <w:rPr>
          <w:rFonts w:hint="eastAsia" w:ascii="仿宋" w:hAnsi="仿宋" w:eastAsia="仿宋" w:cs="仿宋"/>
          <w:bCs/>
          <w:color w:val="000000"/>
          <w:sz w:val="24"/>
          <w:szCs w:val="24"/>
          <w:highlight w:val="none"/>
        </w:rPr>
        <w:t xml:space="preserve">结算支付，不再变更结算价格。</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0" w:name="purchase_relation_name"/>
      <w:r/>
      <w:bookmarkEnd w:id="100"/>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1" w:name="purchase_relation_tel"/>
      <w:r/>
      <w:bookmarkEnd w:id="101"/>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2" w:name="supplier_relation_name"/>
      <w:r/>
      <w:bookmarkEnd w:id="102"/>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3" w:name="supplier_relation_tel"/>
      <w:r/>
      <w:bookmarkEnd w:id="103"/>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3"/>
        <w:ind w:firstLine="480"/>
        <w:jc w:val="both"/>
        <w:spacing w:before="0" w:beforeAutospacing="0" w:after="0" w:afterAutospacing="0" w:line="384"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left="59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5"/>
        <w:rPr>
          <w:rFonts w:hint="eastAsia" w:ascii="仿宋" w:hAnsi="仿宋" w:eastAsia="仿宋" w:cs="仿宋"/>
          <w:color w:val="000000"/>
          <w:szCs w:val="24"/>
          <w:highlight w:val="none"/>
          <w:lang w:val="en-US" w:eastAsia="en-US" w:bidi="ar-SA"/>
        </w:rPr>
      </w:pPr>
      <w:r>
        <w:rPr>
          <w:rFonts w:hint="eastAsia" w:ascii="仿宋" w:hAnsi="仿宋" w:eastAsia="仿宋" w:cs="仿宋"/>
          <w:color w:val="000000"/>
          <w:highlight w:val="none"/>
          <w:lang w:val="en-US" w:eastAsia="en-US"/>
        </w:rPr>
        <w:br w:type="page" w:clear="all"/>
      </w:r>
      <w:bookmarkStart w:id="104" w:name="_Toc27501"/>
      <w:r>
        <w:rPr>
          <w:rFonts w:hint="eastAsia" w:ascii="仿宋" w:hAnsi="仿宋" w:eastAsia="仿宋" w:cs="仿宋"/>
          <w:color w:val="000000"/>
          <w:highlight w:val="none"/>
          <w:lang w:val="en-US" w:eastAsia="en-US"/>
        </w:rPr>
        <w:t xml:space="preserve">第五章</w:t>
      </w:r>
      <w:bookmarkEnd w:id="96"/>
      <w:r>
        <w:rPr>
          <w:rFonts w:hint="eastAsia" w:ascii="仿宋" w:hAnsi="仿宋" w:eastAsia="仿宋" w:cs="仿宋"/>
          <w:color w:val="000000"/>
          <w:highlight w:val="none"/>
          <w:lang w:val="en-US" w:eastAsia="en-US"/>
        </w:rPr>
        <w:t xml:space="preserve"> 招标项目需求及技术相关要求</w:t>
      </w:r>
      <w:bookmarkEnd w:id="104"/>
      <w:r>
        <w:rPr>
          <w:rFonts w:hint="eastAsia" w:ascii="仿宋" w:hAnsi="仿宋" w:eastAsia="仿宋" w:cs="仿宋"/>
          <w:color w:val="000000"/>
          <w:szCs w:val="24"/>
          <w:highlight w:val="none"/>
          <w:lang w:val="en-US" w:eastAsia="en-US" w:bidi="ar-SA"/>
        </w:rPr>
      </w:r>
      <w:r/>
    </w:p>
    <w:p>
      <w:pPr>
        <w:pStyle w:val="1007"/>
        <w:ind w:firstLine="482"/>
        <w:spacing w:line="360" w:lineRule="auto"/>
        <w:rPr>
          <w:rFonts w:hint="eastAsia" w:ascii="仿宋" w:hAnsi="仿宋" w:eastAsia="仿宋" w:cs="仿宋"/>
          <w:b/>
          <w:bCs/>
          <w:color w:val="000000"/>
          <w:sz w:val="24"/>
          <w:szCs w:val="32"/>
          <w:highlight w:val="none"/>
          <w:lang w:val="en-US"/>
        </w:rPr>
      </w:pPr>
      <w:r/>
      <w:bookmarkStart w:id="105" w:name="_Toc17882"/>
      <w:r>
        <w:rPr>
          <w:rFonts w:hint="eastAsia" w:ascii="仿宋" w:hAnsi="仿宋" w:eastAsia="仿宋" w:cs="仿宋"/>
          <w:b/>
          <w:bCs/>
          <w:color w:val="000000"/>
          <w:sz w:val="24"/>
          <w:szCs w:val="32"/>
          <w:highlight w:val="none"/>
          <w:lang w:val="en-US"/>
        </w:rPr>
        <w:t xml:space="preserve">一、项目背景</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《国家标准化发展纲要》指出，要</w:t>
      </w:r>
      <w:r>
        <w:rPr>
          <w:rFonts w:hint="eastAsia" w:ascii="仿宋" w:hAnsi="仿宋" w:eastAsia="仿宋" w:cs="仿宋"/>
          <w:color w:val="000000"/>
          <w:sz w:val="24"/>
          <w:szCs w:val="24"/>
          <w:highlight w:val="none"/>
        </w:rPr>
        <w:t xml:space="preserve">优化标准化治理结构，增强标准化治理效能，提升标准国际化水平，加快构建推动高质量发展的标准体系</w:t>
      </w:r>
      <w:r>
        <w:rPr>
          <w:rFonts w:hint="eastAsia" w:ascii="仿宋" w:hAnsi="仿宋" w:eastAsia="仿宋" w:cs="仿宋"/>
          <w:color w:val="000000"/>
          <w:spacing w:val="-6"/>
          <w:sz w:val="24"/>
          <w:szCs w:val="32"/>
          <w:highlight w:val="none"/>
          <w:lang w:val="en-US"/>
        </w:rPr>
        <w:t xml:space="preserve">。2024年3月18日，国</w:t>
      </w:r>
      <w:r>
        <w:rPr>
          <w:rFonts w:hint="eastAsia" w:ascii="仿宋" w:hAnsi="仿宋" w:eastAsia="仿宋" w:cs="仿宋"/>
          <w:color w:val="000000"/>
          <w:sz w:val="24"/>
          <w:szCs w:val="32"/>
          <w:highlight w:val="none"/>
          <w:lang w:val="en-US"/>
        </w:rPr>
        <w:t xml:space="preserve">务院办公厅印发《以标准升级促进经济高质量发展工作方</w:t>
      </w:r>
      <w:r>
        <w:rPr>
          <w:rFonts w:hint="eastAsia" w:ascii="仿宋" w:hAnsi="仿宋" w:eastAsia="仿宋" w:cs="仿宋"/>
          <w:color w:val="000000"/>
          <w:spacing w:val="-6"/>
          <w:sz w:val="24"/>
          <w:szCs w:val="32"/>
          <w:highlight w:val="none"/>
          <w:lang w:val="en-US"/>
        </w:rPr>
        <w:t xml:space="preserve">案》（国办发﹝2024﹞13号），</w:t>
      </w:r>
      <w:r>
        <w:rPr>
          <w:rFonts w:hint="eastAsia" w:ascii="仿宋" w:hAnsi="仿宋" w:eastAsia="仿宋" w:cs="仿宋"/>
          <w:color w:val="000000"/>
          <w:sz w:val="24"/>
          <w:szCs w:val="32"/>
          <w:highlight w:val="none"/>
          <w:lang w:val="en-US"/>
        </w:rPr>
        <w:t xml:space="preserve">要求充分发挥标准先行作用，以标准升级促进经济高质量发展</w:t>
      </w:r>
      <w:r>
        <w:rPr>
          <w:rFonts w:hint="eastAsia" w:ascii="仿宋" w:hAnsi="仿宋" w:eastAsia="仿宋" w:cs="仿宋"/>
          <w:color w:val="000000"/>
          <w:spacing w:val="-6"/>
          <w:sz w:val="24"/>
          <w:szCs w:val="32"/>
          <w:highlight w:val="none"/>
          <w:lang w:val="en-US"/>
        </w:rPr>
        <w:t xml:space="preserve">。2024年7月12日，省</w:t>
      </w:r>
      <w:r>
        <w:rPr>
          <w:rFonts w:hint="eastAsia" w:ascii="仿宋" w:hAnsi="仿宋" w:eastAsia="仿宋" w:cs="仿宋"/>
          <w:color w:val="000000"/>
          <w:sz w:val="24"/>
          <w:szCs w:val="32"/>
          <w:highlight w:val="none"/>
          <w:lang w:val="en-US"/>
        </w:rPr>
        <w:t xml:space="preserve">质量发展委员会</w:t>
      </w:r>
      <w:r>
        <w:rPr>
          <w:rFonts w:hint="eastAsia" w:ascii="仿宋" w:hAnsi="仿宋" w:eastAsia="仿宋" w:cs="仿宋"/>
          <w:color w:val="000000"/>
          <w:spacing w:val="-6"/>
          <w:sz w:val="24"/>
          <w:szCs w:val="32"/>
          <w:highlight w:val="none"/>
          <w:lang w:val="en-US"/>
        </w:rPr>
        <w:t xml:space="preserve">印发《关于贯彻</w:t>
      </w:r>
      <w:r>
        <w:rPr>
          <w:rFonts w:hint="eastAsia" w:ascii="仿宋" w:hAnsi="仿宋" w:eastAsia="仿宋" w:cs="仿宋"/>
          <w:color w:val="000000"/>
          <w:sz w:val="24"/>
          <w:szCs w:val="32"/>
          <w:highlight w:val="none"/>
          <w:lang w:val="en-US"/>
        </w:rPr>
        <w:t xml:space="preserve">落实以标准升级促进经济高质量发展</w:t>
      </w:r>
      <w:r>
        <w:rPr>
          <w:rFonts w:hint="eastAsia" w:ascii="仿宋" w:hAnsi="仿宋" w:eastAsia="仿宋" w:cs="仿宋"/>
          <w:color w:val="000000"/>
          <w:spacing w:val="-6"/>
          <w:sz w:val="24"/>
          <w:szCs w:val="32"/>
          <w:highlight w:val="none"/>
          <w:lang w:val="en-US"/>
        </w:rPr>
        <w:t xml:space="preserve">工作方案的实施意见》（苏质委发〔2024〕2号），</w:t>
      </w:r>
      <w:r>
        <w:rPr>
          <w:rFonts w:hint="eastAsia" w:ascii="仿宋" w:hAnsi="仿宋" w:eastAsia="仿宋" w:cs="仿宋"/>
          <w:color w:val="000000"/>
          <w:sz w:val="24"/>
          <w:szCs w:val="32"/>
          <w:highlight w:val="none"/>
          <w:lang w:val="en-US"/>
        </w:rPr>
        <w:t xml:space="preserve">围绕以标准更新助力传统产业升级、以标准创新服务新兴产业壮大、以标准引领支持未来产业培育、以标准升级支撑服务业和公共基础设施提质增效四方面，部署25项工作任务，并提出推动标准国际化跃升、强化标准实施监督等工作要求。2026年1月，省市场监管局印发《稳步扩大标准制度型开放工作举措》（苏市监〔2026〕17号），围绕对标国际提升产业标准化水平、强化中国标准国际交流推广等9方面提出65项工作举措。</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32"/>
          <w:highlight w:val="none"/>
          <w:lang w:val="en-US"/>
        </w:rPr>
        <w:t xml:space="preserve">我局深入贯彻落实《国家标准化发展纲要》，全面推进标准升级，大力实施标准国际化跃升工程，支持我省单位参与国际标准、国家标准、行业标准制修订，持续强化</w:t>
      </w:r>
      <w:r>
        <w:rPr>
          <w:rFonts w:hint="eastAsia" w:ascii="仿宋" w:hAnsi="仿宋" w:eastAsia="仿宋" w:cs="仿宋"/>
          <w:color w:val="000000"/>
          <w:sz w:val="24"/>
          <w:szCs w:val="24"/>
          <w:highlight w:val="none"/>
        </w:rPr>
        <w:t xml:space="preserve">重要标准宣贯解读和实施指导</w:t>
      </w:r>
      <w:r>
        <w:rPr>
          <w:rFonts w:hint="eastAsia" w:ascii="仿宋" w:hAnsi="仿宋" w:eastAsia="仿宋" w:cs="仿宋"/>
          <w:color w:val="000000"/>
          <w:sz w:val="24"/>
          <w:szCs w:val="32"/>
          <w:highlight w:val="none"/>
          <w:lang w:val="en-US"/>
        </w:rPr>
        <w:t xml:space="preserve">，连续多年开展重点领域标准体系建设、</w:t>
      </w:r>
      <w:r>
        <w:rPr>
          <w:rFonts w:hint="eastAsia" w:ascii="仿宋" w:hAnsi="仿宋" w:eastAsia="仿宋" w:cs="仿宋"/>
          <w:color w:val="000000"/>
          <w:sz w:val="24"/>
          <w:szCs w:val="24"/>
          <w:highlight w:val="none"/>
        </w:rPr>
        <w:t xml:space="preserve">参与国际国外先进标准制修订、</w:t>
      </w:r>
      <w:r>
        <w:rPr>
          <w:rFonts w:hint="eastAsia" w:ascii="仿宋" w:hAnsi="仿宋" w:eastAsia="仿宋" w:cs="仿宋"/>
          <w:color w:val="000000"/>
          <w:sz w:val="24"/>
          <w:szCs w:val="24"/>
          <w:highlight w:val="none"/>
          <w:lang w:val="en-US"/>
        </w:rPr>
        <w:t xml:space="preserve">培育团体标准</w:t>
      </w:r>
      <w:r>
        <w:rPr>
          <w:rFonts w:hint="eastAsia" w:ascii="仿宋" w:hAnsi="仿宋" w:eastAsia="仿宋" w:cs="仿宋"/>
          <w:color w:val="000000"/>
          <w:sz w:val="24"/>
          <w:szCs w:val="32"/>
          <w:highlight w:val="none"/>
          <w:lang w:val="en-US"/>
        </w:rPr>
        <w:t xml:space="preserve">等工作，承办各类国际、全国标准化活动和会议，标准化工作服务我省经济社会高质量发展作用得到不断发挥。为进一步落实</w:t>
      </w:r>
      <w:r>
        <w:rPr>
          <w:rFonts w:hint="eastAsia" w:ascii="仿宋" w:hAnsi="仿宋" w:eastAsia="仿宋" w:cs="仿宋"/>
          <w:color w:val="000000"/>
          <w:sz w:val="24"/>
          <w:szCs w:val="24"/>
          <w:highlight w:val="none"/>
        </w:rPr>
        <w:t xml:space="preserve">《国务院办公厅关于印发以标准升级促进经济高质量发展工作方案的通</w:t>
      </w:r>
      <w:r>
        <w:rPr>
          <w:rFonts w:hint="eastAsia" w:ascii="仿宋" w:hAnsi="仿宋" w:eastAsia="仿宋" w:cs="仿宋"/>
          <w:color w:val="000000"/>
          <w:spacing w:val="-17"/>
          <w:sz w:val="24"/>
          <w:szCs w:val="24"/>
          <w:highlight w:val="none"/>
        </w:rPr>
        <w:t xml:space="preserve">知》《</w:t>
      </w:r>
      <w:r>
        <w:rPr>
          <w:rFonts w:hint="eastAsia" w:ascii="仿宋" w:hAnsi="仿宋" w:eastAsia="仿宋" w:cs="仿宋"/>
          <w:color w:val="000000"/>
          <w:sz w:val="24"/>
          <w:szCs w:val="24"/>
          <w:highlight w:val="none"/>
        </w:rPr>
        <w:t xml:space="preserve">稳步扩大标准制度型开放工作举措</w:t>
      </w:r>
      <w:r>
        <w:rPr>
          <w:rFonts w:hint="eastAsia" w:ascii="仿宋" w:hAnsi="仿宋" w:eastAsia="仿宋" w:cs="仿宋"/>
          <w:color w:val="000000"/>
          <w:spacing w:val="-17"/>
          <w:sz w:val="24"/>
          <w:szCs w:val="24"/>
          <w:highlight w:val="none"/>
        </w:rPr>
        <w:t xml:space="preserve">》要求</w:t>
      </w:r>
      <w:r>
        <w:rPr>
          <w:rFonts w:hint="eastAsia" w:ascii="仿宋" w:hAnsi="仿宋" w:eastAsia="仿宋" w:cs="仿宋"/>
          <w:color w:val="000000"/>
          <w:sz w:val="24"/>
          <w:szCs w:val="32"/>
          <w:highlight w:val="none"/>
          <w:lang w:val="en-US"/>
        </w:rPr>
        <w:t xml:space="preserve">，</w:t>
      </w:r>
      <w:r>
        <w:rPr>
          <w:rFonts w:hint="eastAsia" w:ascii="仿宋" w:hAnsi="仿宋" w:eastAsia="仿宋" w:cs="仿宋"/>
          <w:color w:val="000000"/>
          <w:sz w:val="24"/>
          <w:szCs w:val="24"/>
          <w:highlight w:val="none"/>
        </w:rPr>
        <w:t xml:space="preserve">提升我省重点产业和关键领域技术标准话语权和影响力，发挥标准在推动经济高质量发展中的基础性、引领性作用，开展</w:t>
      </w:r>
      <w:r>
        <w:rPr>
          <w:rFonts w:hint="eastAsia" w:ascii="仿宋" w:hAnsi="仿宋" w:eastAsia="仿宋" w:cs="仿宋"/>
          <w:color w:val="000000"/>
          <w:sz w:val="24"/>
          <w:szCs w:val="24"/>
          <w:highlight w:val="none"/>
          <w:lang w:val="en-US"/>
        </w:rPr>
        <w:t xml:space="preserve">2026年</w:t>
      </w:r>
      <w:r>
        <w:rPr>
          <w:rFonts w:hint="eastAsia" w:ascii="仿宋" w:hAnsi="仿宋" w:eastAsia="仿宋" w:cs="仿宋"/>
          <w:color w:val="000000"/>
          <w:sz w:val="24"/>
          <w:szCs w:val="24"/>
          <w:highlight w:val="none"/>
        </w:rPr>
        <w:t xml:space="preserve">关键和新兴技术领域标准体系建设及应用</w:t>
      </w:r>
      <w:r>
        <w:rPr>
          <w:rFonts w:hint="eastAsia" w:ascii="仿宋" w:hAnsi="仿宋" w:eastAsia="仿宋" w:cs="仿宋"/>
          <w:color w:val="000000"/>
          <w:sz w:val="24"/>
          <w:szCs w:val="24"/>
          <w:highlight w:val="none"/>
          <w:lang w:val="en-US"/>
        </w:rPr>
        <w:t xml:space="preserve">技术服务</w:t>
      </w:r>
      <w:r>
        <w:rPr>
          <w:rFonts w:hint="eastAsia" w:ascii="仿宋" w:hAnsi="仿宋" w:eastAsia="仿宋" w:cs="仿宋"/>
          <w:color w:val="000000"/>
          <w:sz w:val="24"/>
          <w:szCs w:val="24"/>
          <w:highlight w:val="none"/>
        </w:rPr>
        <w:t xml:space="preserve">专项工作。</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（所有“技术（服务）要求”在《技术（服务）条款响应及偏离表》中逐一明确是否响应，不得存在负偏离，否则做为无效响应处理）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（一）工作要求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1.成立领导小组和工作小组，配备工作人员，制定工作方案，必要时可吸纳相关高校、企业、科研院所专家共同参与。</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2.根据分包要求开展相关工作。</w:t>
      </w:r>
      <w:r>
        <w:rPr>
          <w:rFonts w:hint="eastAsia" w:ascii="仿宋" w:hAnsi="仿宋" w:eastAsia="仿宋" w:cs="仿宋"/>
          <w:color w:val="000000"/>
          <w:sz w:val="24"/>
          <w:szCs w:val="32"/>
          <w:highlight w:val="none"/>
          <w:lang w:val="en-US"/>
        </w:rPr>
      </w:r>
      <w:r/>
    </w:p>
    <w:tbl>
      <w:tblPr>
        <w:tblW w:w="10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049"/>
        <w:gridCol w:w="1388"/>
        <w:gridCol w:w="4950"/>
        <w:gridCol w:w="2040"/>
      </w:tblGrid>
      <w:tr>
        <w:trPr>
          <w:trHeight w:val="23"/>
          <w:tblHeader/>
        </w:trPr>
        <w:tc>
          <w:tcPr>
            <w:tcW w:w="828"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分包号</w:t>
            </w:r>
            <w:r>
              <w:rPr>
                <w:rFonts w:hint="eastAsia" w:ascii="仿宋" w:hAnsi="仿宋" w:eastAsia="仿宋" w:cs="仿宋"/>
                <w:color w:val="000000"/>
                <w:highlight w:val="none"/>
              </w:rPr>
            </w:r>
            <w:r/>
          </w:p>
        </w:tc>
        <w:tc>
          <w:tcPr>
            <w:tcW w:w="1049"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分包项目名称</w:t>
            </w:r>
            <w:r>
              <w:rPr>
                <w:rFonts w:hint="eastAsia" w:ascii="仿宋" w:hAnsi="仿宋" w:eastAsia="仿宋" w:cs="仿宋"/>
                <w:color w:val="000000"/>
                <w:highlight w:val="none"/>
              </w:rPr>
            </w:r>
            <w:r/>
          </w:p>
        </w:tc>
        <w:tc>
          <w:tcPr>
            <w:tcW w:w="1388"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服务项目</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委托任务</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指标要求</w:t>
            </w:r>
            <w:r>
              <w:rPr>
                <w:rFonts w:hint="eastAsia" w:ascii="仿宋" w:hAnsi="仿宋" w:eastAsia="仿宋" w:cs="仿宋"/>
                <w:color w:val="000000"/>
                <w:highlight w:val="none"/>
                <w:lang w:val="en-US" w:bidi="ar"/>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1.组织调研脑机接口标准领域现状，综合运用实地调研、文献研究等方式，研究分析国内外脑机接口标准发展现状，跟踪相关领域国际、国家、行业标准最新进展，分析标准化发展问题需求；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2.根据标准体系编制相关要求，编制脑机接口标准体系结构图、标准明细表、标准统计表等；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3.提出“十五五”期间我省需重点推进的标准化工作、重点参与研制的各类脑机接口标准建议；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4.撰写脑机接口标准体系报告。</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1.根据脑机接口标准体系建设要求，选择部分待研制的国家标准、行业标准项目，对接省内有条件的企事业单位，确定申报单位；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提交领域相关国家标准或行业标准提案到国家标委会不少于5项。</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1.组织调研并分析国内外脑机接口国际标准发展现状，跟踪ISO、IEC等国际标准化组织及相关标准最新进展，梳理领域内技术法规和产业发展需求；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新增国家标委会委员不少于1名，新增国际标准注册专家不少于1名。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1.主动对接脑机接口标准化相关技术组织，申请承办或参与国际、全国或省专业标准化活动。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1.组织调研量子科技标准领域现状，综合运用实地调研、文献研究等方式，研究分析国内外量子科技标准发展现状，跟踪相关领域国际、国家、行业标准最新进展，分析标准化发展问题需求；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2.根据标准体系编制相关要求，编制量子科技标准体系结构图、标准明细表、标准统计表等；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3.提出“十五五”期间我省需重点推进的标准化工作、重点参与研制的各类量子科技标准建议；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4.撰写量子科技标准体系报告。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1.根据量子科技标准体系建设要求，选择部分待研制的国家标准、行业标准项目，对接省内有条件的企事业单位，确定申报单位；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1.组织调研并分析国内外量子科技国际标准发展现状，跟踪ISO、IEC等国际标准化组织及相关标准最新进展，梳理领域内技术法规和产业发展需求；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1.主动对接量子科技标准化相关技术组织，申请承办或参与国际、全国或省专业标准化活动。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1.组织调研6G通信标准领域现状，综合运用实地调研、文献研究等方式，研究分析国内外6G通信标准发展现状，跟踪相关领域国际、国家、行业标准最新进展，分析标准化发展问题需求；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2.根据标准体系编制相关要求，编制6G通信标准体系结构图、标准明细表、标准统计表等；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3.提出“十五五”期间我省需重点推进的标准化工作、重点参与研制的各类6G通信标准建议；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4.撰写6G通信标准体系报告。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1.根据6G通信标准体系建设要求，选择部分待研制的国家标准、行业标准项目，对接省内有条件的企事业单位，确定申报单位；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hint="eastAsia"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hint="eastAsia"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1.主动对接6G通信标准化相关技术组织，申请承办或参与国际、全国或省专业标准化活动。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Style w:val="1094"/>
                <w:rFonts w:hint="eastAsia" w:ascii="仿宋" w:hAnsi="仿宋" w:eastAsia="仿宋" w:cs="仿宋"/>
                <w:color w:val="000000"/>
                <w:sz w:val="22"/>
                <w:szCs w:val="22"/>
                <w:highlight w:val="none"/>
                <w:lang w:val="en-US" w:bidi="ar"/>
              </w:rPr>
              <w:t xml:space="preserve">组织调研新型储能标准领域现状，综合运用实地调研、文献研究等方式，研究分析国内外新型储能标准发展现状，跟踪相关领域国际、国家、行业标准最新进展，分析标准化发展问题需求；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w:t>
            </w:r>
            <w:r>
              <w:rPr>
                <w:rStyle w:val="1094"/>
                <w:rFonts w:hint="eastAsia" w:ascii="仿宋" w:hAnsi="仿宋" w:eastAsia="仿宋" w:cs="仿宋"/>
                <w:color w:val="000000"/>
                <w:sz w:val="22"/>
                <w:szCs w:val="22"/>
                <w:highlight w:val="none"/>
                <w:lang w:val="en-US" w:bidi="ar"/>
              </w:rPr>
              <w:t xml:space="preserve">根据标准体系编制相关要求，编制新型储能标准体系结构图、标准明细表、标准统计表等；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w:t>
            </w:r>
            <w:r>
              <w:rPr>
                <w:rStyle w:val="1094"/>
                <w:rFonts w:hint="eastAsia" w:ascii="仿宋" w:hAnsi="仿宋" w:eastAsia="仿宋" w:cs="仿宋"/>
                <w:color w:val="000000"/>
                <w:sz w:val="22"/>
                <w:szCs w:val="22"/>
                <w:highlight w:val="none"/>
                <w:lang w:val="en-US" w:bidi="ar"/>
              </w:rPr>
              <w:t xml:space="preserve">提出</w:t>
            </w:r>
            <w:r>
              <w:rPr>
                <w:rFonts w:hint="eastAsia" w:ascii="仿宋" w:hAnsi="仿宋" w:eastAsia="仿宋" w:cs="仿宋"/>
                <w:color w:val="000000"/>
                <w:highlight w:val="none"/>
                <w:lang w:val="en-US" w:bidi="ar"/>
              </w:rPr>
              <w:t xml:space="preserve">“</w:t>
            </w:r>
            <w:r>
              <w:rPr>
                <w:rStyle w:val="1094"/>
                <w:rFonts w:hint="eastAsia" w:ascii="仿宋" w:hAnsi="仿宋" w:eastAsia="仿宋" w:cs="仿宋"/>
                <w:color w:val="000000"/>
                <w:sz w:val="22"/>
                <w:szCs w:val="22"/>
                <w:highlight w:val="none"/>
                <w:lang w:val="en-US" w:bidi="ar"/>
              </w:rPr>
              <w:t xml:space="preserve">十五五</w:t>
            </w:r>
            <w:r>
              <w:rPr>
                <w:rFonts w:hint="eastAsia" w:ascii="仿宋" w:hAnsi="仿宋" w:eastAsia="仿宋" w:cs="仿宋"/>
                <w:color w:val="000000"/>
                <w:highlight w:val="none"/>
                <w:lang w:val="en-US" w:bidi="ar"/>
              </w:rPr>
              <w:t xml:space="preserve">”</w:t>
            </w:r>
            <w:r>
              <w:rPr>
                <w:rStyle w:val="1094"/>
                <w:rFonts w:hint="eastAsia" w:ascii="仿宋" w:hAnsi="仿宋" w:eastAsia="仿宋" w:cs="仿宋"/>
                <w:color w:val="000000"/>
                <w:sz w:val="22"/>
                <w:szCs w:val="22"/>
                <w:highlight w:val="none"/>
                <w:lang w:val="en-US" w:bidi="ar"/>
              </w:rPr>
              <w:t xml:space="preserve">期间我省需重点推进的标准化工作、重点参与研制的各类新型储能标准建议；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w:t>
            </w:r>
            <w:r>
              <w:rPr>
                <w:rStyle w:val="1094"/>
                <w:rFonts w:hint="eastAsia" w:ascii="仿宋" w:hAnsi="仿宋" w:eastAsia="仿宋" w:cs="仿宋"/>
                <w:color w:val="000000"/>
                <w:sz w:val="22"/>
                <w:szCs w:val="22"/>
                <w:highlight w:val="none"/>
                <w:lang w:val="en-US" w:bidi="ar"/>
              </w:rPr>
              <w:t xml:space="preserve">撰写新型储能标准体系报告。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1.根据新型储能标准体系建设要求，选择部分待研制的国家标准、行业标准项目，对接省内有条件的企事业单位，确定申报单位；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1.主动对接新型储能标准化相关技术组织，申请承办或参与国际、全国或省专业标准化活动。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5</w:t>
            </w:r>
            <w:r>
              <w:rPr>
                <w:rFonts w:hint="eastAsia" w:ascii="仿宋" w:hAnsi="仿宋" w:eastAsia="仿宋" w:cs="仿宋"/>
                <w:color w:val="000000"/>
                <w:highlight w:val="none"/>
                <w:lang w:eastAsia="zh-CN"/>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1.组织调研光通信标准领域现状，综合运用实地调研、文献研究等方式，研究分析国内外光通信标准发展现状，跟踪相关领域国际、国家、行业标准最新进展，分析标准化发展问题需求；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2.根据标准体系编制相关要求，编制光通信标准体系结构图、标准明细表、标准统计表等；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3.提出“十五五”期间我省需重点推进的标准化工作、重点参与研制的各类光通信标准建议；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4.撰写光通信标准体系报告。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1.根据光通信标准体系建设要求，选择部分待研制的国家标准、行业标准项目，对接省内有条件的企事业单位，确定申报单位；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hint="eastAsia"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hint="eastAsia"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1.主动对接光通信标准化相关技术组织，申请承办或参与国际、全国或省专业标准化活动。</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6</w:t>
            </w:r>
            <w:r>
              <w:rPr>
                <w:rFonts w:hint="eastAsia" w:ascii="仿宋" w:hAnsi="仿宋" w:eastAsia="仿宋" w:cs="仿宋"/>
                <w:color w:val="000000"/>
                <w:highlight w:val="none"/>
                <w:lang w:eastAsia="zh-CN"/>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1.组织调研电动土方机械标准领域现状，综合运用实地调研、文献研究等方式，研究分析国内外电动土方机械标准发展现状，跟踪相关领域国际、国家、行业标准最新进展，分析标准化发展问题需求；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2.根据标准体系编制相关要求，编制电动土方机械标准体系结构图、标准明细表、标准统计表等；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3.提出“十五五”期间我省需重点推进的标准化工作、重点参与研制的各类电动土方机械标准建议；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4.撰写电动土方机械标准体系报告。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1.根据电动土方机械标准体系建设要求，选择部分待研制的国家标准、行业标准项目，对接省内有条件的企事业单位，确定申报单位；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1.组织调研并分析国内外电动土方机械国际标准发展现状，跟踪ISO、IEC等国际标准化组织及相关标准最新进展，梳理领域内技术法规和产业发展需求；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1.主动对接电动土方机械标准化相关技术组织，申请承办或参与国际、全国或省专业标准化活动。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bl>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3.总结工作完成情况，汇总整理工作成果，结合工作内容提出标准化意见建议，撰写工作报告。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（二）投标人能力要求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1.应熟悉所参与分包的行业领域发展情况，具有相应的科研技术实力。</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2.重视标准化能力建设，具备较强的标准化工作基础，具有参与国际标准、国家标准、行业标准制修订，承担标准化技术组织工作等经历。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3.具有专业的标准化工作团队等。</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★4.保密要求</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（1）中标人及其服务人员应做好保密工作。在项目实施过程中要建立工作登记单实现可追溯并确保相关创建档案信息的安全，</w:t>
      </w:r>
      <w:bookmarkStart w:id="106" w:name="_Hlk99575404"/>
      <w:r>
        <w:rPr>
          <w:rFonts w:hint="eastAsia" w:ascii="仿宋" w:hAnsi="仿宋" w:eastAsia="仿宋" w:cs="仿宋"/>
          <w:color w:val="000000"/>
          <w:sz w:val="24"/>
          <w:szCs w:val="32"/>
          <w:highlight w:val="none"/>
          <w:lang w:val="en-US"/>
        </w:rPr>
        <w:t xml:space="preserve">不得损坏、丢失、泄密和传播。否则由此造成的一切后果中标人需承担相关法律责任和赔偿责任。</w:t>
      </w:r>
      <w:bookmarkEnd w:id="106"/>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（3）投标人及其服务人员的保密期限为永久，不因本项目所签订的文件或合同的终止而终止。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i/>
          <w:iCs/>
          <w:color w:val="000000"/>
          <w:sz w:val="24"/>
          <w:szCs w:val="24"/>
          <w:highlight w:val="none"/>
          <w:lang w:val="en-US"/>
        </w:rPr>
      </w:pPr>
      <w:r/>
      <w:bookmarkStart w:id="107" w:name="_Hlk86432632"/>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bookmarkEnd w:id="107"/>
      <w:r>
        <w:rPr>
          <w:rFonts w:hint="eastAsia" w:ascii="仿宋" w:hAnsi="仿宋" w:eastAsia="仿宋" w:cs="仿宋"/>
          <w:b/>
          <w:i/>
          <w:iCs/>
          <w:color w:val="000000"/>
          <w:sz w:val="24"/>
          <w:szCs w:val="24"/>
          <w:highlight w:val="none"/>
          <w:lang w:val="en-US" w:eastAsia="zh-CN"/>
        </w:rPr>
        <w:t xml:space="preserve">，</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lang w:val="en-US"/>
        </w:rPr>
        <w:t xml:space="preserve">）</w:t>
      </w:r>
      <w:r>
        <w:rPr>
          <w:rFonts w:hint="eastAsia" w:ascii="仿宋" w:hAnsi="仿宋" w:eastAsia="仿宋" w:cs="仿宋"/>
          <w:b/>
          <w:i/>
          <w:iCs/>
          <w:color w:val="000000"/>
          <w:sz w:val="24"/>
          <w:szCs w:val="24"/>
          <w:highlight w:val="none"/>
          <w:lang w:val="en-US"/>
        </w:rPr>
      </w:r>
      <w:r/>
    </w:p>
    <w:p>
      <w:pPr>
        <w:pStyle w:val="1007"/>
        <w:ind w:firstLine="482"/>
        <w:spacing w:line="360" w:lineRule="auto"/>
        <w:rPr>
          <w:rFonts w:hint="eastAsia" w:ascii="仿宋" w:hAnsi="仿宋" w:eastAsia="仿宋" w:cs="仿宋"/>
          <w:b/>
          <w:bCs/>
          <w:i/>
          <w:i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（所有“商务要求”在《商务条款响应及偏离表》中逐一明确是否响应，不得存在负偏离，否则做为无效响应处理）</w:t>
      </w:r>
      <w:r>
        <w:rPr>
          <w:rFonts w:hint="eastAsia" w:ascii="仿宋" w:hAnsi="仿宋" w:eastAsia="仿宋" w:cs="仿宋"/>
          <w:b/>
          <w:bCs/>
          <w:i/>
          <w:iCs/>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1.交付期</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自合同签订后5个月内完成。</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★2.履约形式</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3.项目验收（考核）</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4.付款方式</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合同签订生效后，甲方支付给乙方合同金额的50%作为项目预付款。完成评估工作并通过验收后，甲方支付给乙方剩余50%合同尾款。</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5.报价要求</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5.1按总价方式予以报价，投标人应承担所有与准备和参加投标有关的费用，无论采购结果如何，招标代理机构和采购人在任何情况下均无义务和责任承担这些费用。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eastAsia="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color w:val="000000"/>
          <w:sz w:val="24"/>
          <w:szCs w:val="24"/>
          <w:highlight w:val="none"/>
          <w:lang w:val="en-US"/>
        </w:rPr>
        <w:t xml:space="preserve">6.真实响应要求</w:t>
      </w:r>
      <w:r>
        <w:rPr>
          <w:rFonts w:hint="eastAsia" w:ascii="仿宋" w:hAnsi="仿宋" w:eastAsia="仿宋" w:cs="仿宋"/>
          <w:b/>
          <w:color w:val="000000"/>
          <w:sz w:val="24"/>
          <w:szCs w:val="24"/>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numPr>
          <w:ilvl w:val="0"/>
          <w:numId w:val="4"/>
        </w:numPr>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综合能力要求</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1.为保证项目的顺利实施并体现投标人专业技术能力，投标人可提供以下工作经历：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1.1 202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w:t>
      </w:r>
      <w:bookmarkStart w:id="108" w:name="OLE_LINK4"/>
      <w:r>
        <w:rPr>
          <w:rFonts w:hint="eastAsia" w:ascii="仿宋" w:hAnsi="仿宋" w:eastAsia="仿宋" w:cs="仿宋"/>
          <w:bCs/>
          <w:color w:val="000000"/>
          <w:sz w:val="24"/>
          <w:szCs w:val="24"/>
          <w:highlight w:val="none"/>
        </w:rPr>
        <w:t xml:space="preserve">以来（以合同签订日期计算）</w:t>
      </w:r>
      <w:bookmarkEnd w:id="108"/>
      <w:r>
        <w:rPr>
          <w:rFonts w:hint="eastAsia" w:ascii="仿宋" w:hAnsi="仿宋" w:eastAsia="仿宋" w:cs="仿宋"/>
          <w:bCs/>
          <w:color w:val="000000"/>
          <w:sz w:val="24"/>
          <w:szCs w:val="24"/>
          <w:highlight w:val="none"/>
        </w:rPr>
        <w:t xml:space="preserve">，具有与本项目类似的标准化工作服务案例或具有各类标准制修订经验。</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1.2自202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年1月1日以来（以合同签订日期计算），具有各类标准体系建设或标准监督检查（标准质量评估）或标准化试点或</w:t>
      </w:r>
      <w:r>
        <w:rPr>
          <w:rFonts w:hint="eastAsia" w:ascii="仿宋" w:hAnsi="仿宋" w:eastAsia="仿宋" w:cs="仿宋"/>
          <w:bCs/>
          <w:color w:val="000000"/>
          <w:sz w:val="24"/>
          <w:szCs w:val="24"/>
          <w:highlight w:val="none"/>
          <w:lang w:val="en-US"/>
        </w:rPr>
        <w:t xml:space="preserve">标准验证点</w:t>
      </w:r>
      <w:r>
        <w:rPr>
          <w:rFonts w:hint="eastAsia" w:ascii="仿宋" w:hAnsi="仿宋" w:eastAsia="仿宋" w:cs="仿宋"/>
          <w:bCs/>
          <w:color w:val="000000"/>
          <w:sz w:val="24"/>
          <w:szCs w:val="24"/>
          <w:highlight w:val="none"/>
        </w:rPr>
        <w:t xml:space="preserve">或标准监测点等与本项目类似的服务经历；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1.3具有与本项目服务内容类似或相关的标准化技术组织的工作经历的；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bookmarkStart w:id="109" w:name="OLE_LINK1"/>
      <w:r>
        <w:rPr>
          <w:rFonts w:hint="eastAsia" w:ascii="仿宋" w:hAnsi="仿宋" w:eastAsia="仿宋" w:cs="仿宋"/>
          <w:bCs/>
          <w:color w:val="000000"/>
          <w:sz w:val="24"/>
          <w:szCs w:val="24"/>
          <w:highlight w:val="none"/>
        </w:rPr>
        <w:t xml:space="preserve">1.4开展过面向社会的标准专项宣贯、培训活动的；</w:t>
      </w:r>
      <w:bookmarkEnd w:id="109"/>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1.5承担</w:t>
      </w:r>
      <w:r>
        <w:rPr>
          <w:rFonts w:hint="eastAsia" w:ascii="仿宋" w:hAnsi="仿宋" w:eastAsia="仿宋" w:cs="仿宋"/>
          <w:bCs/>
          <w:color w:val="000000"/>
          <w:sz w:val="24"/>
          <w:szCs w:val="24"/>
          <w:highlight w:val="none"/>
          <w:lang w:val="en-US"/>
        </w:rPr>
        <w:t xml:space="preserve">项目所属领域</w:t>
      </w:r>
      <w:r>
        <w:rPr>
          <w:rFonts w:hint="eastAsia" w:ascii="仿宋" w:hAnsi="仿宋" w:eastAsia="仿宋" w:cs="仿宋"/>
          <w:bCs/>
          <w:color w:val="000000"/>
          <w:sz w:val="24"/>
          <w:szCs w:val="24"/>
          <w:highlight w:val="none"/>
        </w:rPr>
        <w:t xml:space="preserve">科研项目</w:t>
      </w:r>
      <w:r>
        <w:rPr>
          <w:rFonts w:hint="eastAsia" w:ascii="仿宋" w:hAnsi="仿宋" w:eastAsia="仿宋" w:cs="仿宋"/>
          <w:bCs/>
          <w:color w:val="000000"/>
          <w:sz w:val="24"/>
          <w:szCs w:val="24"/>
          <w:highlight w:val="none"/>
          <w:lang w:val="en-US"/>
        </w:rPr>
        <w:t xml:space="preserve">和科研平台建设</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2.团队成员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投标人应组建专门服务团队，人员数量可配备</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人及以上的专职工作人员，可根据各分包工作和自身情况自行增加人员配置，满足各分包技术服务工作需求。可配备具有标准化技术组织工作经验的人员、具有主导或参与过相关标准制修订经验的人员；可配备在中文核心期刊及以上发表过标准化相关论文或出版论著的人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3.需求响应方案要求</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供应商明确提供需求响应方案，包括但不限于：</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3.1</w:t>
      </w:r>
      <w:r>
        <w:rPr>
          <w:rFonts w:hint="eastAsia" w:ascii="仿宋" w:hAnsi="仿宋" w:eastAsia="仿宋" w:cs="仿宋"/>
          <w:bCs/>
          <w:color w:val="000000"/>
          <w:sz w:val="24"/>
          <w:szCs w:val="24"/>
          <w:highlight w:val="none"/>
        </w:rPr>
        <w:t xml:space="preserve">制定项目服务方案</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供应商应根据本项目特点，制定项目服务方案。拟制的工作方案应包括工作组织、工作质量、工作时效、工作纪律、工作保障等，服务方案应做到完整全面、科学合理，具备可行性，并确保可以按期完成任务。</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3.2</w:t>
      </w:r>
      <w:r>
        <w:rPr>
          <w:rFonts w:hint="eastAsia" w:ascii="仿宋" w:hAnsi="仿宋" w:eastAsia="仿宋" w:cs="仿宋"/>
          <w:bCs/>
          <w:color w:val="000000"/>
          <w:sz w:val="24"/>
          <w:szCs w:val="24"/>
          <w:highlight w:val="none"/>
        </w:rPr>
        <w:t xml:space="preserve">制定管理制度</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供应商应根据招标文件要求并结合所参与分包需求，制定全面具体、科学可行的管理制度，包括标准化内设机构、标准化服务职责、标准化工作管理及考核制度等，配备不少于5名标准化专职工作人员，确保项目顺利实施。</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服务承诺</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供应商应熟悉产业政策、行业领域发展状况、各类标准化工作等情况，确保准时参加</w:t>
      </w:r>
      <w:r>
        <w:rPr>
          <w:rFonts w:hint="eastAsia" w:ascii="仿宋" w:hAnsi="仿宋" w:eastAsia="仿宋" w:cs="仿宋"/>
          <w:bCs/>
          <w:color w:val="000000"/>
          <w:sz w:val="24"/>
          <w:szCs w:val="24"/>
          <w:highlight w:val="none"/>
          <w:lang w:val="en-US" w:eastAsia="zh-CN"/>
        </w:rPr>
        <w:t xml:space="preserve">采购人</w:t>
      </w:r>
      <w:r>
        <w:rPr>
          <w:rFonts w:hint="eastAsia" w:ascii="仿宋" w:hAnsi="仿宋" w:eastAsia="仿宋" w:cs="仿宋"/>
          <w:bCs/>
          <w:color w:val="000000"/>
          <w:sz w:val="24"/>
          <w:szCs w:val="24"/>
          <w:highlight w:val="none"/>
        </w:rPr>
        <w:t xml:space="preserve">组织的培训，接受过程监督检查。</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3.4</w:t>
      </w:r>
      <w:r>
        <w:rPr>
          <w:rFonts w:hint="eastAsia" w:ascii="仿宋" w:hAnsi="仿宋" w:eastAsia="仿宋" w:cs="仿宋"/>
          <w:bCs/>
          <w:color w:val="000000"/>
          <w:sz w:val="24"/>
          <w:szCs w:val="24"/>
          <w:highlight w:val="none"/>
        </w:rPr>
        <w:t xml:space="preserve">进度计划</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招标文件要求，针对参与分包及项目特点，制定进度计划。供应商承诺的服务期需满足招标文件要求；总体进度计划和各阶段进度计划应做到合理可行，保证措施可靠；对可能出现的进度偏差有监控及应对措施，确保在规定交付时限内完成。</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3.5</w:t>
      </w:r>
      <w:r>
        <w:rPr>
          <w:rFonts w:hint="eastAsia" w:ascii="仿宋" w:hAnsi="仿宋" w:eastAsia="仿宋" w:cs="仿宋"/>
          <w:bCs/>
          <w:color w:val="000000"/>
          <w:sz w:val="24"/>
          <w:szCs w:val="24"/>
          <w:highlight w:val="none"/>
        </w:rPr>
        <w:t xml:space="preserve">难点、重点及合理化建议</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color w:val="000000"/>
          <w:highlight w:val="none"/>
          <w:lang w:val="en-US"/>
        </w:rPr>
      </w:pPr>
      <w:r>
        <w:rPr>
          <w:rFonts w:hint="eastAsia" w:ascii="仿宋" w:hAnsi="仿宋" w:eastAsia="仿宋" w:cs="仿宋"/>
          <w:bCs/>
          <w:color w:val="000000"/>
          <w:sz w:val="24"/>
          <w:szCs w:val="24"/>
          <w:highlight w:val="none"/>
        </w:rPr>
        <w:t xml:space="preserve">供应商根据招标文件要求并针对所参与分包，对项目实施过程中的难点及重点进行全面分析，提出合理化建议，分析及合理化建议应做到完整全面、科学可行、有针对性，确保项目的顺利实施和各项要求的实现。</w:t>
      </w:r>
      <w:r>
        <w:rPr>
          <w:rFonts w:hint="eastAsia" w:ascii="仿宋" w:hAnsi="仿宋" w:eastAsia="仿宋" w:cs="仿宋"/>
          <w:color w:val="000000"/>
          <w:highlight w:val="none"/>
          <w:lang w:val="en-US"/>
        </w:rPr>
      </w:r>
      <w:r/>
    </w:p>
    <w:p>
      <w:pPr>
        <w:pStyle w:val="1045"/>
        <w:rPr>
          <w:rFonts w:hint="eastAsia" w:ascii="仿宋" w:hAnsi="仿宋" w:eastAsia="仿宋" w:cs="仿宋"/>
          <w:color w:val="000000"/>
          <w:szCs w:val="44"/>
          <w:highlight w:val="none"/>
        </w:rPr>
      </w:pPr>
      <w:r>
        <w:rPr>
          <w:rFonts w:hint="eastAsia" w:ascii="仿宋" w:hAnsi="仿宋" w:eastAsia="仿宋" w:cs="仿宋"/>
          <w:color w:val="000000"/>
          <w:highlight w:val="none"/>
        </w:rPr>
        <w:br w:type="page" w:clear="all"/>
      </w:r>
      <w:bookmarkStart w:id="110" w:name="_Toc17098"/>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bookmarkEnd w:id="110"/>
      <w:r>
        <w:rPr>
          <w:rFonts w:hint="eastAsia" w:ascii="仿宋" w:hAnsi="仿宋" w:eastAsia="仿宋" w:cs="仿宋"/>
          <w:color w:val="000000"/>
          <w:szCs w:val="44"/>
          <w:highlight w:val="none"/>
        </w:rPr>
      </w:r>
      <w:r/>
    </w:p>
    <w:p>
      <w:pPr>
        <w:pStyle w:val="1047"/>
        <w:ind w:firstLine="361"/>
        <w:rPr>
          <w:rFonts w:hint="eastAsia" w:ascii="仿宋" w:hAnsi="仿宋" w:eastAsia="仿宋" w:cs="仿宋"/>
          <w:color w:val="000000"/>
          <w:highlight w:val="none"/>
          <w:lang w:val="en-US" w:eastAsia="en-US"/>
        </w:rPr>
      </w:pPr>
      <w:r/>
      <w:bookmarkStart w:id="111" w:name="_Toc20664"/>
      <w:r/>
      <w:bookmarkStart w:id="112" w:name="_Toc7847"/>
      <w:r>
        <w:rPr>
          <w:rFonts w:hint="eastAsia" w:ascii="仿宋" w:hAnsi="仿宋" w:eastAsia="仿宋" w:cs="仿宋"/>
          <w:color w:val="000000"/>
          <w:highlight w:val="none"/>
          <w:lang w:val="en-US" w:eastAsia="en-US"/>
        </w:rPr>
        <w:t xml:space="preserve">一、评标办法：综合评分法</w:t>
      </w:r>
      <w:bookmarkEnd w:id="111"/>
      <w:r/>
      <w:bookmarkEnd w:id="112"/>
      <w:r>
        <w:rPr>
          <w:rFonts w:hint="eastAsia" w:ascii="仿宋" w:hAnsi="仿宋" w:eastAsia="仿宋" w:cs="仿宋"/>
          <w:color w:val="000000"/>
          <w:highlight w:val="none"/>
          <w:lang w:val="en-US" w:eastAsia="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3.评标顺序：</w:t>
      </w:r>
      <w:r>
        <w:rPr>
          <w:rFonts w:hint="eastAsia" w:ascii="仿宋" w:hAnsi="仿宋" w:eastAsia="仿宋" w:cs="仿宋"/>
          <w:b/>
          <w:bCs/>
          <w:color w:val="000000"/>
          <w:sz w:val="24"/>
          <w:szCs w:val="24"/>
          <w:highlight w:val="none"/>
          <w:lang w:val="en-US" w:eastAsia="en-US" w:bidi="ar-SA"/>
        </w:rPr>
        <w:t xml:space="preserve">本项目共</w:t>
      </w:r>
      <w:r>
        <w:rPr>
          <w:rFonts w:hint="eastAsia" w:ascii="仿宋" w:hAnsi="仿宋" w:eastAsia="仿宋" w:cs="仿宋"/>
          <w:b/>
          <w:bCs/>
          <w:color w:val="000000"/>
          <w:sz w:val="24"/>
          <w:szCs w:val="24"/>
          <w:highlight w:val="none"/>
          <w:lang w:val="en-US" w:eastAsia="zh-CN" w:bidi="ar-SA"/>
        </w:rPr>
        <w:t xml:space="preserve">6</w:t>
      </w:r>
      <w:r>
        <w:rPr>
          <w:rFonts w:hint="eastAsia" w:ascii="仿宋" w:hAnsi="仿宋" w:eastAsia="仿宋" w:cs="仿宋"/>
          <w:b/>
          <w:bCs/>
          <w:color w:val="000000"/>
          <w:sz w:val="24"/>
          <w:szCs w:val="24"/>
          <w:highlight w:val="none"/>
          <w:lang w:val="en-US" w:eastAsia="en-US" w:bidi="ar-SA"/>
        </w:rPr>
        <w:t xml:space="preserve">个分包，兼投不兼中，评标顺序为分包一→</w:t>
      </w:r>
      <w:r>
        <w:rPr>
          <w:rFonts w:hint="eastAsia" w:ascii="仿宋" w:hAnsi="仿宋" w:eastAsia="仿宋" w:cs="仿宋"/>
          <w:b/>
          <w:bCs/>
          <w:color w:val="000000"/>
          <w:sz w:val="24"/>
          <w:szCs w:val="24"/>
          <w:highlight w:val="none"/>
          <w:lang w:val="en-US" w:bidi="ar-SA"/>
        </w:rPr>
        <w:t xml:space="preserve">分包二</w:t>
      </w:r>
      <w:r>
        <w:rPr>
          <w:rFonts w:hint="eastAsia" w:ascii="仿宋" w:hAnsi="仿宋" w:eastAsia="仿宋" w:cs="仿宋"/>
          <w:b/>
          <w:bCs/>
          <w:color w:val="000000"/>
          <w:sz w:val="24"/>
          <w:szCs w:val="24"/>
          <w:highlight w:val="none"/>
          <w:lang w:val="en-US" w:eastAsia="en-US" w:bidi="ar-SA"/>
        </w:rPr>
        <w:t xml:space="preserve">→</w:t>
      </w:r>
      <w:r>
        <w:rPr>
          <w:rFonts w:hint="eastAsia" w:ascii="仿宋" w:hAnsi="仿宋" w:eastAsia="仿宋" w:cs="仿宋"/>
          <w:b/>
          <w:bCs/>
          <w:color w:val="000000"/>
          <w:sz w:val="24"/>
          <w:szCs w:val="24"/>
          <w:highlight w:val="none"/>
          <w:lang w:val="en-US" w:bidi="ar-SA"/>
        </w:rPr>
        <w:t xml:space="preserve">分包三…</w:t>
      </w:r>
      <w:r>
        <w:rPr>
          <w:rFonts w:hint="eastAsia" w:ascii="仿宋" w:hAnsi="仿宋" w:eastAsia="仿宋" w:cs="仿宋"/>
          <w:b/>
          <w:bCs/>
          <w:color w:val="000000"/>
          <w:sz w:val="24"/>
          <w:szCs w:val="24"/>
          <w:highlight w:val="none"/>
          <w:lang w:val="en-US" w:eastAsia="en-US" w:bidi="ar-SA"/>
        </w:rPr>
        <w:t xml:space="preserve">分包</w:t>
      </w:r>
      <w:r>
        <w:rPr>
          <w:rFonts w:hint="eastAsia" w:ascii="仿宋" w:hAnsi="仿宋" w:eastAsia="仿宋" w:cs="仿宋"/>
          <w:b/>
          <w:bCs/>
          <w:color w:val="000000"/>
          <w:sz w:val="24"/>
          <w:szCs w:val="24"/>
          <w:highlight w:val="none"/>
          <w:lang w:val="en-US" w:eastAsia="zh-CN" w:bidi="ar-SA"/>
        </w:rPr>
        <w:t xml:space="preserve">六</w:t>
      </w:r>
      <w:r>
        <w:rPr>
          <w:rFonts w:hint="eastAsia" w:ascii="仿宋" w:hAnsi="仿宋" w:eastAsia="仿宋" w:cs="仿宋"/>
          <w:b/>
          <w:bCs/>
          <w:color w:val="000000"/>
          <w:sz w:val="24"/>
          <w:szCs w:val="24"/>
          <w:highlight w:val="none"/>
          <w:lang w:val="en-US" w:eastAsia="en-US" w:bidi="ar-SA"/>
        </w:rPr>
        <w:t xml:space="preserve">，本次评标办法多分包共享，其中前一分包的</w:t>
      </w:r>
      <w:r>
        <w:rPr>
          <w:rFonts w:hint="eastAsia" w:ascii="仿宋" w:hAnsi="仿宋" w:eastAsia="仿宋" w:cs="仿宋"/>
          <w:b/>
          <w:bCs/>
          <w:color w:val="000000"/>
          <w:sz w:val="24"/>
          <w:szCs w:val="24"/>
          <w:highlight w:val="none"/>
          <w:lang w:val="en-US" w:bidi="ar-SA"/>
        </w:rPr>
        <w:t xml:space="preserve">拟</w:t>
      </w:r>
      <w:r>
        <w:rPr>
          <w:rFonts w:hint="eastAsia" w:ascii="仿宋" w:hAnsi="仿宋" w:eastAsia="仿宋" w:cs="仿宋"/>
          <w:b/>
          <w:bCs/>
          <w:color w:val="000000"/>
          <w:sz w:val="24"/>
          <w:szCs w:val="24"/>
          <w:highlight w:val="none"/>
          <w:lang w:val="en-US" w:eastAsia="en-US" w:bidi="ar-SA"/>
        </w:rPr>
        <w:t xml:space="preserve">中标单位可在后续评标中继续参与评标环节的评比，但不得推荐为第一中标候选人。</w:t>
      </w:r>
      <w:r>
        <w:rPr>
          <w:rFonts w:hint="eastAsia" w:ascii="仿宋" w:hAnsi="仿宋" w:eastAsia="仿宋" w:cs="仿宋"/>
          <w:b/>
          <w:bCs/>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4.推荐的中标候选人数：1-3名。</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eastAsia="en-US"/>
        </w:rPr>
      </w:pPr>
      <w:r/>
      <w:bookmarkStart w:id="113" w:name="_Toc18524"/>
      <w:r/>
      <w:bookmarkStart w:id="114" w:name="_Toc12963"/>
      <w:r>
        <w:rPr>
          <w:rFonts w:hint="eastAsia" w:ascii="仿宋" w:hAnsi="仿宋" w:eastAsia="仿宋" w:cs="仿宋"/>
          <w:color w:val="000000"/>
          <w:highlight w:val="none"/>
          <w:lang w:val="en-US" w:eastAsia="en-US"/>
        </w:rPr>
        <w:t xml:space="preserve">二、政府采购政策功能落实</w:t>
      </w:r>
      <w:bookmarkEnd w:id="113"/>
      <w:r/>
      <w:bookmarkEnd w:id="114"/>
      <w:r>
        <w:rPr>
          <w:rFonts w:hint="eastAsia" w:ascii="仿宋" w:hAnsi="仿宋" w:eastAsia="仿宋" w:cs="仿宋"/>
          <w:color w:val="000000"/>
          <w:highlight w:val="none"/>
          <w:lang w:val="en-US" w:eastAsia="en-US"/>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7"/>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7"/>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115" w:name="_Toc22439"/>
      <w:r/>
      <w:bookmarkStart w:id="116" w:name="_Toc8419"/>
      <w:r>
        <w:rPr>
          <w:rFonts w:hint="eastAsia" w:ascii="仿宋" w:hAnsi="仿宋" w:eastAsia="仿宋" w:cs="仿宋"/>
          <w:color w:val="000000"/>
          <w:highlight w:val="none"/>
          <w:lang w:val="en-US" w:eastAsia="en-US"/>
        </w:rPr>
        <w:t xml:space="preserve">三、评标细则</w:t>
      </w:r>
      <w:bookmarkEnd w:id="115"/>
      <w:r/>
      <w:bookmarkEnd w:id="116"/>
      <w:r>
        <w:rPr>
          <w:rFonts w:hint="eastAsia" w:ascii="仿宋" w:hAnsi="仿宋" w:eastAsia="仿宋" w:cs="仿宋"/>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05"/>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10，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服务团队（5分）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投标人承诺为本项目配备本单位专职工作人员5人及以上得5分。（提供承诺书、相关人员的岗位任职证明，以及投标人自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服务承诺</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投标人提供针对本项目的服务承诺，投标人熟悉产业政策、行业领域发展状况、各类标准化工作等情况，确保准时参加</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en-US" w:bidi="ar-SA"/>
              </w:rPr>
              <w:t xml:space="preserve">组织的培训，接受并配合采购人及社会各界的过程监督检查。</w:t>
            </w:r>
            <w:r>
              <w:rPr>
                <w:rFonts w:hint="eastAsia" w:ascii="仿宋" w:hAnsi="仿宋" w:eastAsia="仿宋" w:cs="仿宋"/>
                <w:color w:val="000000"/>
                <w:sz w:val="24"/>
                <w:szCs w:val="24"/>
                <w:highlight w:val="none"/>
                <w:lang w:val="en-US" w:eastAsia="zh-CN" w:bidi="ar-SA"/>
              </w:rPr>
              <w:t xml:space="preserve">须</w:t>
            </w:r>
            <w:r>
              <w:rPr>
                <w:rFonts w:hint="eastAsia" w:ascii="仿宋" w:hAnsi="仿宋" w:eastAsia="仿宋" w:cs="仿宋"/>
                <w:color w:val="000000"/>
                <w:sz w:val="24"/>
                <w:szCs w:val="24"/>
                <w:highlight w:val="none"/>
                <w:lang w:val="en-US" w:bidi="ar-SA"/>
              </w:rPr>
              <w:t xml:space="preserve">提供加盖投标人公章的承诺书得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分，未按要求提供的不得分，承诺书格式自拟。</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标准制修订经验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（1）自2021年1月1日以来（以合同签订日期计算），投标人主导过本分包所属领域各类标准制修订的，每提供一项得2分；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（2）自2021年1月1日以来（以合同签订日期计算），投标人参与过本分包所属领域各类标准制修订的，每提供一项得1分；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注：以上（1）（2）评分点</w:t>
            </w:r>
            <w:r>
              <w:rPr>
                <w:rFonts w:hint="eastAsia" w:ascii="仿宋" w:hAnsi="仿宋" w:eastAsia="仿宋" w:cs="仿宋"/>
                <w:color w:val="000000"/>
                <w:sz w:val="24"/>
                <w:szCs w:val="24"/>
                <w:highlight w:val="none"/>
                <w:lang w:val="en-US" w:eastAsia="zh-CN" w:bidi="ar-SA"/>
              </w:rPr>
              <w:t xml:space="preserve">最高得8分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（3）自2021年1月1日以来（以合同签订日期计算），投标人主导过非本分包所属领域各类标准制修订的，每提供一项得1分；投标人参与过非本分包所属领域各类标准制修订的，每提供一项得0.5分；本评分点最高</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注：①以上3个评分点需提供相关证明材料复印件加盖公章。本评分项以上3个评分点可兼得分，最高得10分，未按要求提供证明材料的不得分。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上述的“各类标准”不包括团体标准和企业标准，上述均需提供清单和已发布相关标准文本的复印件（仅需包含封面、目次、前言、正文首页）加盖公章，不含立项项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标准化技术组织工作经验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（1）投标人承担</w:t>
            </w:r>
            <w:r>
              <w:rPr>
                <w:rFonts w:hint="eastAsia" w:ascii="仿宋" w:hAnsi="仿宋" w:eastAsia="仿宋" w:cs="仿宋"/>
                <w:color w:val="000000"/>
                <w:sz w:val="24"/>
                <w:szCs w:val="24"/>
                <w:highlight w:val="none"/>
                <w:lang w:val="en-US" w:eastAsia="zh-CN" w:bidi="ar-SA"/>
              </w:rPr>
              <w:t xml:space="preserve">或参与</w:t>
            </w:r>
            <w:r>
              <w:rPr>
                <w:rFonts w:hint="eastAsia" w:ascii="仿宋" w:hAnsi="仿宋" w:eastAsia="仿宋" w:cs="仿宋"/>
                <w:color w:val="000000"/>
                <w:sz w:val="24"/>
                <w:szCs w:val="24"/>
                <w:highlight w:val="none"/>
                <w:lang w:val="en-US" w:bidi="ar-SA"/>
              </w:rPr>
              <w:t xml:space="preserve">过本分包所属领域标准化技术组织秘书处</w:t>
            </w:r>
            <w:r>
              <w:rPr>
                <w:rFonts w:hint="eastAsia" w:ascii="仿宋" w:hAnsi="仿宋" w:eastAsia="仿宋" w:cs="仿宋"/>
                <w:color w:val="000000"/>
                <w:sz w:val="24"/>
                <w:szCs w:val="24"/>
                <w:highlight w:val="none"/>
                <w:lang w:val="en-US" w:eastAsia="zh-CN" w:bidi="ar-SA"/>
              </w:rPr>
              <w:t xml:space="preserve">建设与</w:t>
            </w:r>
            <w:r>
              <w:rPr>
                <w:rFonts w:hint="eastAsia" w:ascii="仿宋" w:hAnsi="仿宋" w:eastAsia="仿宋" w:cs="仿宋"/>
                <w:color w:val="000000"/>
                <w:sz w:val="24"/>
                <w:szCs w:val="24"/>
                <w:highlight w:val="none"/>
                <w:lang w:val="en-US" w:bidi="ar-SA"/>
              </w:rPr>
              <w:t xml:space="preserve">工作的，每提供1个得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（2）投标人为本项目配备的本单位工作人员在本分包所属领域标准化技术组织任职的，每提供1人得1分，最高得5分（1人只计1个标准化技术组织），</w:t>
            </w:r>
            <w:bookmarkStart w:id="117" w:name="OLE_LINK6"/>
            <w:r>
              <w:rPr>
                <w:rFonts w:hint="eastAsia" w:ascii="仿宋" w:hAnsi="仿宋" w:eastAsia="仿宋" w:cs="仿宋"/>
                <w:color w:val="000000"/>
                <w:sz w:val="24"/>
                <w:szCs w:val="24"/>
                <w:highlight w:val="none"/>
                <w:lang w:val="en-US" w:bidi="ar-SA"/>
              </w:rPr>
              <w:t xml:space="preserve">提供相关证明材料及投标人自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bookmarkEnd w:id="117"/>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注：以上2个评分点需提供相关证明材料复印件加盖公章。本评分项以上2个评分点可兼得分，本项最高得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标准化服务（工作）经历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开展标准海外推广应用、国际标准化合作、承办国际标准化会议、开展国际标准化学术交流等活动的，每提供1个得2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（2）自2021年1月1日以来（以合同签订日期计算），投标人承担过面向社会开展各类标准专项宣贯、培训活动的，每提供1个得1分，本评分点最高得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分（需提供宣贯、培训活动相关证明材料复印件加盖公章）；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承担过各类标准体系建设、标准监督检查（标准质量评估）、标准化试点、标准验证点、标准监测点等工作或服务的，每提供1项（次）得1分（需提供下达项目文件或合同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注：本评分项以上3个评分点可兼得分，最高得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标准化及相关产业技术科研能力</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（1）自2021年1月1日以来（以合同签订日期计算），投标人承担过本分包所属领域科研项目、</w:t>
            </w:r>
            <w:r>
              <w:rPr>
                <w:rFonts w:hint="eastAsia" w:ascii="仿宋" w:hAnsi="仿宋" w:eastAsia="仿宋" w:cs="仿宋"/>
                <w:color w:val="000000"/>
                <w:sz w:val="24"/>
                <w:szCs w:val="24"/>
                <w:highlight w:val="none"/>
                <w:shd w:val="clear" w:color="auto" w:fill="auto"/>
                <w:lang w:val="en-US" w:bidi="ar-SA"/>
              </w:rPr>
              <w:t xml:space="preserve">科技或产业</w:t>
            </w:r>
            <w:r>
              <w:rPr>
                <w:rFonts w:hint="eastAsia" w:ascii="仿宋" w:hAnsi="仿宋" w:eastAsia="仿宋" w:cs="仿宋"/>
                <w:color w:val="000000"/>
                <w:sz w:val="24"/>
                <w:szCs w:val="24"/>
                <w:highlight w:val="none"/>
                <w:lang w:val="en-US" w:bidi="ar-SA"/>
              </w:rPr>
              <w:t xml:space="preserve">平台建设的，每提供1个得</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分，本评分点最高得</w:t>
            </w:r>
            <w:r>
              <w:rPr>
                <w:rFonts w:hint="eastAsia" w:ascii="仿宋" w:hAnsi="仿宋" w:eastAsia="仿宋" w:cs="仿宋"/>
                <w:color w:val="000000"/>
                <w:sz w:val="24"/>
                <w:szCs w:val="24"/>
                <w:highlight w:val="none"/>
                <w:lang w:val="en-US" w:eastAsia="zh-CN" w:bidi="ar-SA"/>
              </w:rPr>
              <w:t xml:space="preserve">12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b w:val="0"/>
                <w:bCs w:val="0"/>
                <w:color w:val="000000"/>
                <w:sz w:val="24"/>
                <w:szCs w:val="24"/>
                <w:highlight w:val="none"/>
                <w:lang w:val="en-US" w:bidi="ar-SA"/>
              </w:rPr>
            </w:pPr>
            <w:r>
              <w:rPr>
                <w:rFonts w:hint="eastAsia" w:ascii="仿宋" w:hAnsi="仿宋" w:eastAsia="仿宋" w:cs="仿宋"/>
                <w:b w:val="0"/>
                <w:bCs w:val="0"/>
                <w:color w:val="000000"/>
                <w:sz w:val="24"/>
                <w:szCs w:val="24"/>
                <w:highlight w:val="none"/>
                <w:lang w:val="en-US" w:bidi="ar-SA"/>
              </w:rPr>
              <w:t xml:space="preserve">注：</w:t>
            </w:r>
            <w:r>
              <w:rPr>
                <w:rFonts w:hint="eastAsia" w:ascii="仿宋" w:hAnsi="仿宋" w:eastAsia="仿宋" w:cs="仿宋"/>
                <w:b w:val="0"/>
                <w:bCs w:val="0"/>
                <w:color w:val="000000"/>
                <w:sz w:val="24"/>
                <w:szCs w:val="24"/>
                <w:highlight w:val="none"/>
                <w:lang w:val="en-US" w:eastAsia="zh-CN" w:bidi="ar-SA"/>
              </w:rPr>
              <w:t xml:space="preserve">该</w:t>
            </w:r>
            <w:r>
              <w:rPr>
                <w:rFonts w:hint="eastAsia" w:ascii="仿宋" w:hAnsi="仿宋" w:eastAsia="仿宋" w:cs="仿宋"/>
                <w:b w:val="0"/>
                <w:bCs w:val="0"/>
                <w:color w:val="000000"/>
                <w:sz w:val="24"/>
                <w:szCs w:val="24"/>
                <w:highlight w:val="none"/>
                <w:lang w:val="en-US" w:bidi="ar-SA"/>
              </w:rPr>
              <w:t xml:space="preserve">评分点</w:t>
            </w:r>
            <w:r>
              <w:rPr>
                <w:rFonts w:hint="eastAsia" w:ascii="仿宋" w:hAnsi="仿宋" w:eastAsia="仿宋" w:cs="仿宋"/>
                <w:b w:val="0"/>
                <w:bCs w:val="0"/>
                <w:color w:val="000000"/>
                <w:sz w:val="24"/>
                <w:szCs w:val="24"/>
                <w:highlight w:val="none"/>
                <w:lang w:val="en-US" w:eastAsia="zh-CN" w:bidi="ar-SA"/>
              </w:rPr>
              <w:t xml:space="preserve">须</w:t>
            </w:r>
            <w:r>
              <w:rPr>
                <w:rFonts w:hint="eastAsia" w:ascii="仿宋" w:hAnsi="仿宋" w:eastAsia="仿宋" w:cs="仿宋"/>
                <w:b w:val="0"/>
                <w:bCs w:val="0"/>
                <w:color w:val="000000"/>
                <w:sz w:val="24"/>
                <w:szCs w:val="24"/>
                <w:highlight w:val="none"/>
                <w:lang w:val="en-US" w:bidi="ar-SA"/>
              </w:rPr>
              <w:t xml:space="preserve">提供相关项目立项文件或合同复印件加盖公章。</w:t>
            </w:r>
            <w:r>
              <w:rPr>
                <w:rFonts w:hint="eastAsia" w:ascii="仿宋" w:hAnsi="仿宋" w:eastAsia="仿宋" w:cs="仿宋"/>
                <w:b w:val="0"/>
                <w:bCs w:val="0"/>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）自2021年1月1日以来（以合同签订日期计算），投标人为本项目配备的本单位工作人员在中文核心期刊发表本分包所属领域标准化相关论文或出版论著，第一作者得1分；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）自2021年1月1日以来（以合同签订日期计算），投标人为本项目配备的本单位工作人员在中文核心期刊发表非本分包所属领域标准化相关论文或出版论著，第一作者得0.5分。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注：以上（</w:t>
            </w:r>
            <w:r>
              <w:rPr>
                <w:rFonts w:hint="eastAsia" w:ascii="仿宋" w:hAnsi="仿宋" w:eastAsia="仿宋" w:cs="仿宋"/>
                <w:b/>
                <w:bCs/>
                <w:color w:val="000000"/>
                <w:sz w:val="24"/>
                <w:szCs w:val="24"/>
                <w:highlight w:val="none"/>
                <w:lang w:val="en-US" w:eastAsia="zh-CN" w:bidi="ar-SA"/>
              </w:rPr>
              <w:t xml:space="preserve">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）评分点</w:t>
            </w:r>
            <w:r>
              <w:rPr>
                <w:rFonts w:hint="eastAsia" w:ascii="仿宋" w:hAnsi="仿宋" w:eastAsia="仿宋" w:cs="仿宋"/>
                <w:b/>
                <w:bCs/>
                <w:color w:val="000000"/>
                <w:sz w:val="24"/>
                <w:szCs w:val="24"/>
                <w:highlight w:val="none"/>
                <w:lang w:val="en-US" w:eastAsia="zh-CN" w:bidi="ar-SA"/>
              </w:rPr>
              <w:t xml:space="preserve">最高得3分；</w:t>
            </w:r>
            <w:r>
              <w:rPr>
                <w:rFonts w:hint="eastAsia" w:ascii="仿宋" w:hAnsi="仿宋" w:eastAsia="仿宋" w:cs="仿宋"/>
                <w:color w:val="000000"/>
                <w:sz w:val="24"/>
                <w:szCs w:val="24"/>
                <w:highlight w:val="none"/>
                <w:lang w:val="en-US" w:bidi="ar-SA"/>
              </w:rPr>
              <w:t xml:space="preserve">论文论著需正式发布，并提供论文论著复印件加盖公章；需提供投标人自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说明：本评分项以上</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个评分点可兼得分，最高得</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投标人根据招标文件要求并针对所参与分包，提供所参与分包的服务方案（包括但不限于工作组织、工作质量、工作时效、工作纪律、工作保障等）：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服务方案，且方案内容与分包工作要求高度匹配，思路清晰，针对性与可操作性强，对工作组织、工作质量、工作时效、工作纪律、工作保障等均有详细、可行、周密的具体安排，对顺利实施有保障，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较全面、科学合理地提出服务方案，方案内容与分包工作要求匹配，思路较为清晰，有一定的针对性与可操作性，对工作组织、工作质量、工作时效、工作纪律、工作保障等有较明确的安排，可以按期完成任务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（3）投标人服务方案内容与分包工作要求基本匹配，但在工作组织、工作质量、工作时效、工作纪律、工作保障等方面的安排不够全面，可操作性方面有瑕疵，得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管理制度</w:t>
            </w:r>
            <w:r>
              <w:rPr>
                <w:rFonts w:hint="eastAsia" w:ascii="仿宋" w:hAnsi="仿宋" w:eastAsia="仿宋" w:cs="仿宋"/>
                <w:color w:val="000000"/>
                <w:sz w:val="24"/>
                <w:szCs w:val="24"/>
                <w:highlight w:val="none"/>
                <w:lang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投标人应根据招标文件要求并结合所参与分包需求，提供管理制度（包括但不限于标准化内设机构、标准化服务职责、标准化工作管理及考核制度等）：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（1）投标人能够提出细致全面、科学合理的管理制度，且管理制度与分包工作要求高度匹配，具有详细的标准化内设机构、标准化服务职责、标准化工作管理及考核制度等内容，全面具体详实，合理可行，得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（2）投标人能够提出较全面、科学合理的管理制度，管理制度与分包工作要求匹配，具有较为详细的标准化内设机构、标准化服务职责、标准化工作管理及考核制度等内容，较为具体详实，合理可行，得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（3）投标人提出的管理制度与分包工作要求基本匹配，在标准化内设机构、标准化服务职责、标准化工作管理及考核制度等方面的安排不够全面，基本合理可行，得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58"/>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进度安排与保障措施</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投标人应根据招标文件要求并针对参与分包及项目特点，提供项目进度计划：</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（2）总体进度计划和各阶段进度计划安排较合理，能满足采购人需求，对可能出现的进度偏差有应对措施，配套的组织力量及保障措施有一定的可操作性，得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（3）总体进度计划和各阶段进度计划安排基本合理，能满足采购人需求，配套的组织力量及保障措施可行但有瑕疵，得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项目重难点的分析和解决方案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投标人根据招标文件要求并针对所参与分包，对项目实施过程中的难点及重点进行分析，并提供合理化建议：</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（1）对重点难点阐述全面、客观合理，并逐一就重点难点提出详细可行的解决方案，能确保项目的顺利实施和各项要求的实现的，得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（2）对重点难点阐述较为全面、客观合理，并提出较为可行、有针对性的解决方案的，得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（3）对重点难点阐述基本全面、较为客观合理，提出基本解决方案的，得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35"/>
        </w:trPr>
        <w:tc>
          <w:tcPr>
            <w:gridSpan w:val="3"/>
            <w:tcW w:w="8930"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1007"/>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45"/>
        <w:rPr>
          <w:rFonts w:hint="eastAsia" w:ascii="仿宋" w:hAnsi="仿宋" w:eastAsia="仿宋" w:cs="仿宋"/>
          <w:b w:val="0"/>
          <w:color w:val="000000"/>
          <w:highlight w:val="none"/>
          <w:lang w:bidi="ar-SA"/>
        </w:rPr>
      </w:pPr>
      <w:r>
        <w:rPr>
          <w:rFonts w:hint="eastAsia" w:ascii="仿宋" w:hAnsi="仿宋" w:eastAsia="仿宋" w:cs="仿宋"/>
          <w:color w:val="000000"/>
          <w:sz w:val="24"/>
          <w:szCs w:val="24"/>
          <w:highlight w:val="none"/>
          <w:lang w:val="en-US" w:bidi="ar-SA"/>
        </w:rPr>
        <w:br w:type="page" w:clear="all"/>
      </w:r>
      <w:bookmarkStart w:id="118" w:name="_Toc32415"/>
      <w:r/>
      <w:bookmarkStart w:id="119" w:name="_Toc20516"/>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bookmarkEnd w:id="118"/>
      <w:r/>
      <w:bookmarkEnd w:id="119"/>
      <w:r>
        <w:rPr>
          <w:rFonts w:hint="eastAsia" w:ascii="仿宋" w:hAnsi="仿宋" w:eastAsia="仿宋" w:cs="仿宋"/>
          <w:b w:val="0"/>
          <w:color w:val="000000"/>
          <w:highlight w:val="none"/>
          <w:lang w:bidi="ar-SA"/>
        </w:rPr>
      </w:r>
      <w:r/>
    </w:p>
    <w:p>
      <w:pPr>
        <w:pStyle w:val="1007"/>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2026年关键和新兴技术领域标准体系建设及应用</w:t>
      </w:r>
      <w:r>
        <w:rPr>
          <w:rFonts w:hint="eastAsia" w:ascii="仿宋" w:hAnsi="仿宋" w:eastAsia="仿宋" w:cs="仿宋"/>
          <w:b/>
          <w:bCs/>
          <w:color w:val="000000"/>
          <w:sz w:val="44"/>
          <w:szCs w:val="4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技术服务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val="en-US" w:eastAsia="zh-CN" w:bidi="ar-SA"/>
        </w:rPr>
        <w:t xml:space="preserve">二次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bidi="ar-SA"/>
        </w:rPr>
      </w:r>
      <w:r/>
    </w:p>
    <w:p>
      <w:pPr>
        <w:pStyle w:val="1007"/>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1007"/>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3"/>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t xml:space="preserve">包号：__________</w:t>
      </w: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3"/>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07"/>
        <w:numPr>
          <w:ilvl w:val="0"/>
          <w:numId w:val="0"/>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20" w:name="_Toc16495"/>
      <w:r/>
      <w:bookmarkStart w:id="121" w:name="_Toc19089"/>
      <w:r/>
      <w:bookmarkStart w:id="122" w:name="_Toc22396"/>
      <w:r/>
      <w:bookmarkStart w:id="123" w:name="_Toc29048"/>
      <w:r/>
      <w:bookmarkStart w:id="124" w:name="_Toc23771"/>
      <w:r/>
      <w:bookmarkStart w:id="125" w:name="_Toc4043"/>
      <w:r/>
      <w:bookmarkStart w:id="126" w:name="_Toc29944"/>
      <w:r>
        <w:rPr>
          <w:rFonts w:hint="eastAsia" w:ascii="仿宋" w:hAnsi="仿宋" w:eastAsia="仿宋" w:cs="仿宋"/>
          <w:b/>
          <w:color w:val="000000"/>
          <w:sz w:val="32"/>
          <w:szCs w:val="32"/>
          <w:highlight w:val="none"/>
          <w:lang w:val="en-US" w:eastAsia="zh-CN"/>
        </w:rPr>
        <w:t xml:space="preserve">一、</w:t>
      </w:r>
      <w:r>
        <w:rPr>
          <w:rFonts w:hint="eastAsia" w:ascii="仿宋" w:hAnsi="仿宋" w:eastAsia="仿宋" w:cs="仿宋"/>
          <w:b/>
          <w:color w:val="000000"/>
          <w:sz w:val="32"/>
          <w:szCs w:val="32"/>
          <w:highlight w:val="none"/>
        </w:rPr>
        <w:t xml:space="preserve">开</w:t>
      </w:r>
      <w:r>
        <w:rPr>
          <w:rFonts w:hint="eastAsia" w:ascii="仿宋" w:hAnsi="仿宋" w:eastAsia="仿宋" w:cs="仿宋"/>
          <w:b/>
          <w:color w:val="000000"/>
          <w:sz w:val="32"/>
          <w:szCs w:val="32"/>
          <w:highlight w:val="none"/>
        </w:rPr>
        <w:t xml:space="preserve">标一览表</w:t>
      </w:r>
      <w:bookmarkEnd w:id="120"/>
      <w:r/>
      <w:bookmarkEnd w:id="121"/>
      <w:r/>
      <w:bookmarkEnd w:id="122"/>
      <w:r/>
      <w:bookmarkEnd w:id="123"/>
      <w:r/>
      <w:bookmarkEnd w:id="124"/>
      <w:r/>
      <w:bookmarkEnd w:id="125"/>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分包号：</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7"/>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87"/>
        <w:rPr>
          <w:rFonts w:hint="eastAsia" w:ascii="仿宋" w:hAnsi="仿宋" w:eastAsia="仿宋" w:cs="仿宋"/>
          <w:color w:val="000000"/>
          <w:szCs w:val="28"/>
          <w:highlight w:val="none"/>
          <w:lang w:val="en-US" w:eastAsia="en-US" w:bidi="ar-SA"/>
        </w:rPr>
        <w:outlineLvl w:val="1"/>
      </w:pPr>
      <w:r>
        <w:rPr>
          <w:rFonts w:hint="eastAsia" w:ascii="仿宋" w:hAnsi="仿宋" w:eastAsia="仿宋" w:cs="仿宋"/>
          <w:color w:val="000000"/>
          <w:highlight w:val="none"/>
        </w:rPr>
        <w:br w:type="page" w:clear="all"/>
      </w:r>
      <w:bookmarkStart w:id="127" w:name="_Toc18727"/>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bookmarkEnd w:id="127"/>
      <w:r>
        <w:rPr>
          <w:rFonts w:hint="eastAsia" w:ascii="仿宋" w:hAnsi="仿宋" w:eastAsia="仿宋" w:cs="仿宋"/>
          <w:color w:val="000000"/>
          <w:szCs w:val="28"/>
          <w:highlight w:val="none"/>
          <w:lang w:val="en-US" w:eastAsia="en-US" w:bidi="ar-SA"/>
        </w:rPr>
      </w:r>
      <w:r/>
    </w:p>
    <w:p>
      <w:pPr>
        <w:pStyle w:val="1007"/>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u w:val="single"/>
          <w:lang w:val="en-US" w:bidi="ar-SA"/>
        </w:rPr>
        <w:t xml:space="preserve">分包号</w:t>
      </w:r>
      <w:r>
        <w:rPr>
          <w:rFonts w:hint="eastAsia" w:ascii="仿宋" w:hAnsi="仿宋" w:eastAsia="仿宋" w:cs="仿宋"/>
          <w:color w:val="000000"/>
          <w:sz w:val="24"/>
          <w:szCs w:val="24"/>
          <w:highlight w:val="none"/>
          <w:u w:val="single"/>
          <w:lang w:bidi="ar-SA"/>
        </w:rPr>
        <w:t xml:space="preserve">）</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28"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28"/>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bCs/>
          <w:color w:val="000000"/>
          <w:sz w:val="24"/>
          <w:szCs w:val="24"/>
          <w:highlight w:val="none"/>
          <w:lang w:bidi="ar-SA"/>
        </w:rPr>
        <w:br w:type="page" w:clear="all"/>
      </w:r>
      <w:bookmarkEnd w:id="126"/>
      <w:r/>
      <w:bookmarkStart w:id="129" w:name="_Toc11764"/>
      <w:r>
        <w:rPr>
          <w:rFonts w:hint="eastAsia" w:ascii="仿宋" w:hAnsi="仿宋" w:eastAsia="仿宋" w:cs="仿宋"/>
          <w:color w:val="000000"/>
          <w:highlight w:val="none"/>
          <w:lang w:val="en-US" w:eastAsia="en-US"/>
        </w:rPr>
        <w:t xml:space="preserve">三、分项报价明细表</w:t>
      </w:r>
      <w:bookmarkEnd w:id="129"/>
      <w:r>
        <w:rPr>
          <w:rFonts w:hint="eastAsia" w:ascii="仿宋" w:hAnsi="仿宋" w:eastAsia="仿宋" w:cs="仿宋"/>
          <w:color w:val="000000"/>
          <w:highlight w:val="none"/>
          <w:lang w:val="en-US" w:eastAsia="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包号：       </w:t>
      </w:r>
      <w:r>
        <w:rPr>
          <w:rFonts w:hint="eastAsia" w:ascii="仿宋" w:hAnsi="仿宋" w:eastAsia="仿宋" w:cs="仿宋"/>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bookmarkStart w:id="130" w:name="_Hlk129799227"/>
            <w:r>
              <w:rPr>
                <w:rFonts w:hint="eastAsia" w:ascii="仿宋" w:hAnsi="仿宋" w:eastAsia="仿宋" w:cs="仿宋"/>
                <w:b w:val="0"/>
                <w:bCs/>
                <w:color w:val="000000"/>
                <w:sz w:val="24"/>
                <w:szCs w:val="24"/>
                <w:highlight w:val="none"/>
                <w:lang w:val="en-US"/>
              </w:rPr>
              <w:t xml:space="preserve">序号</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服务项目</w:t>
            </w: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数量</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投标报价（元）</w:t>
            </w: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投标标的是否由小微企业提供（填写“是”或“否）</w:t>
            </w: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合计</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bl>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131" w:name="_Hlk129799295"/>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如果行数不够，请自行增加。</w:t>
      </w:r>
      <w:bookmarkEnd w:id="131"/>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在“投标标的是否由小微企业提供”栏内，填写“是”或“否”，如果小微型企业的产品报价无法划分计算的，评标时将不予认可。</w:t>
      </w:r>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供应商根据自身报价组成进行填写。</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bookmarkEnd w:id="130"/>
      <w:r/>
      <w:bookmarkStart w:id="132" w:name="_Hlk129799236"/>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投标人名称（加盖CA电子公章）：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法定代表人或其授权代表（签字或盖章）：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ab/>
      </w:r>
      <w:r>
        <w:rPr>
          <w:rFonts w:hint="eastAsia" w:ascii="仿宋" w:hAnsi="仿宋" w:eastAsia="仿宋" w:cs="仿宋"/>
          <w:b w:val="0"/>
          <w:bCs/>
          <w:color w:val="000000"/>
          <w:sz w:val="24"/>
          <w:szCs w:val="24"/>
          <w:highlight w:val="none"/>
          <w:lang w:val="en-US"/>
        </w:rPr>
        <w:t xml:space="preserve">                            日期：        年      月     日</w:t>
      </w:r>
      <w:r>
        <w:rPr>
          <w:rFonts w:hint="eastAsia" w:ascii="仿宋" w:hAnsi="仿宋" w:eastAsia="仿宋" w:cs="仿宋"/>
          <w:b w:val="0"/>
          <w:bCs/>
          <w:color w:val="000000"/>
          <w:sz w:val="24"/>
          <w:szCs w:val="24"/>
          <w:highlight w:val="none"/>
          <w:lang w:val="en-US"/>
        </w:rPr>
      </w:r>
      <w:r/>
    </w:p>
    <w:p>
      <w:pPr>
        <w:pStyle w:val="1087"/>
        <w:rPr>
          <w:rFonts w:hint="eastAsia" w:ascii="仿宋" w:hAnsi="仿宋" w:eastAsia="仿宋" w:cs="仿宋"/>
          <w:color w:val="000000"/>
          <w:highlight w:val="none"/>
          <w:lang w:val="en-US" w:eastAsia="en-US"/>
        </w:rPr>
        <w:outlineLvl w:val="1"/>
      </w:pPr>
      <w:r/>
      <w:bookmarkEnd w:id="132"/>
      <w:r>
        <w:rPr>
          <w:rFonts w:hint="eastAsia" w:ascii="仿宋" w:hAnsi="仿宋" w:eastAsia="仿宋" w:cs="仿宋"/>
          <w:color w:val="000000"/>
          <w:highlight w:val="none"/>
        </w:rPr>
        <w:br w:type="page" w:clear="all"/>
      </w:r>
      <w:bookmarkStart w:id="133" w:name="_Toc1645"/>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bookmarkEnd w:id="133"/>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7"/>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4"/>
      <w:r>
        <w:rPr>
          <w:rFonts w:hint="eastAsia" w:ascii="仿宋" w:hAnsi="仿宋" w:eastAsia="仿宋" w:cs="仿宋"/>
          <w:color w:val="000000"/>
          <w:sz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highlight w:val="none"/>
        </w:rPr>
        <w:br w:type="page" w:clear="all"/>
      </w:r>
      <w:bookmarkStart w:id="135" w:name="_Toc7316"/>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bookmarkEnd w:id="135"/>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1007"/>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6"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6"/>
      <w:r>
        <w:rPr>
          <w:rFonts w:hint="eastAsia" w:ascii="仿宋" w:hAnsi="仿宋" w:eastAsia="仿宋" w:cs="仿宋"/>
          <w:color w:val="000000"/>
          <w:sz w:val="24"/>
          <w:highlight w:val="none"/>
          <w:lang w:bidi="ar-SA"/>
        </w:rPr>
      </w:r>
      <w:r/>
    </w:p>
    <w:p>
      <w:pPr>
        <w:pStyle w:val="1087"/>
        <w:rPr>
          <w:rFonts w:hint="eastAsia" w:ascii="仿宋" w:hAnsi="仿宋" w:eastAsia="仿宋" w:cs="仿宋"/>
          <w:b w:val="0"/>
          <w:color w:val="000000"/>
          <w:sz w:val="28"/>
          <w:szCs w:val="28"/>
          <w:highlight w:val="none"/>
          <w:lang w:val="en-US" w:eastAsia="en-US" w:bidi="ar-SA"/>
        </w:rPr>
        <w:outlineLvl w:val="1"/>
      </w:pPr>
      <w:r>
        <w:rPr>
          <w:rFonts w:hint="eastAsia" w:ascii="仿宋" w:hAnsi="仿宋" w:eastAsia="仿宋" w:cs="仿宋"/>
          <w:b w:val="0"/>
          <w:color w:val="000000"/>
          <w:sz w:val="32"/>
          <w:szCs w:val="32"/>
          <w:highlight w:val="none"/>
          <w:lang w:val="en-US" w:eastAsia="en-US" w:bidi="ar-SA"/>
        </w:rPr>
        <w:br w:type="page" w:clear="all"/>
      </w:r>
      <w:bookmarkStart w:id="137" w:name="_Toc7898"/>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bookmarkEnd w:id="137"/>
      <w:r>
        <w:rPr>
          <w:rFonts w:hint="eastAsia" w:ascii="仿宋" w:hAnsi="仿宋" w:eastAsia="仿宋" w:cs="仿宋"/>
          <w:b w:val="0"/>
          <w:color w:val="000000"/>
          <w:sz w:val="28"/>
          <w:szCs w:val="28"/>
          <w:highlight w:val="none"/>
          <w:lang w:val="en-US" w:eastAsia="en-US" w:bidi="ar-SA"/>
        </w:rPr>
      </w:r>
      <w:r/>
    </w:p>
    <w:p>
      <w:pPr>
        <w:pStyle w:val="1007"/>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87"/>
        <w:rPr>
          <w:rFonts w:hint="eastAsia" w:ascii="仿宋" w:hAnsi="仿宋" w:eastAsia="仿宋" w:cs="仿宋"/>
          <w:color w:val="000000"/>
          <w:sz w:val="28"/>
          <w:szCs w:val="28"/>
          <w:highlight w:val="none"/>
          <w:lang w:val="en-US" w:eastAsia="en-US" w:bidi="ar-SA"/>
        </w:rPr>
        <w:outlineLvl w:val="1"/>
      </w:pPr>
      <w:r>
        <w:rPr>
          <w:rFonts w:hint="eastAsia" w:ascii="仿宋" w:hAnsi="仿宋" w:eastAsia="仿宋" w:cs="仿宋"/>
          <w:color w:val="000000"/>
          <w:highlight w:val="none"/>
        </w:rPr>
        <w:br w:type="page" w:clear="all"/>
      </w:r>
      <w:bookmarkStart w:id="138" w:name="_Toc8075"/>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bookmarkEnd w:id="138"/>
      <w:r>
        <w:rPr>
          <w:rFonts w:hint="eastAsia" w:ascii="仿宋" w:hAnsi="仿宋" w:eastAsia="仿宋" w:cs="仿宋"/>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7"/>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1007"/>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07"/>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7"/>
        <w:ind w:left="120"/>
        <w:spacing w:before="2" w:line="480" w:lineRule="exact"/>
        <w:rPr>
          <w:rFonts w:hint="eastAsia" w:ascii="仿宋" w:hAnsi="仿宋" w:eastAsia="仿宋" w:cs="仿宋"/>
          <w:color w:val="000000"/>
          <w:sz w:val="24"/>
          <w:szCs w:val="24"/>
          <w:highlight w:val="none"/>
          <w:lang w:bidi="ar-SA"/>
        </w:rPr>
      </w:pPr>
      <w:r/>
      <w:bookmarkStart w:id="139" w:name="_Toc26382"/>
      <w:r/>
      <w:bookmarkStart w:id="140" w:name="_Toc22441"/>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39"/>
      <w:r/>
      <w:bookmarkEnd w:id="140"/>
      <w:r>
        <w:rPr>
          <w:rFonts w:hint="eastAsia" w:ascii="仿宋" w:hAnsi="仿宋" w:eastAsia="仿宋" w:cs="仿宋"/>
          <w:color w:val="000000"/>
          <w:sz w:val="24"/>
          <w:szCs w:val="24"/>
          <w:highlight w:val="none"/>
          <w:lang w:bidi="ar-SA"/>
        </w:rPr>
      </w:r>
      <w:r/>
    </w:p>
    <w:p>
      <w:pPr>
        <w:pStyle w:val="1007"/>
        <w:ind w:left="120"/>
        <w:spacing w:before="2" w:line="480" w:lineRule="exact"/>
        <w:rPr>
          <w:rFonts w:hint="eastAsia" w:ascii="仿宋" w:hAnsi="仿宋" w:eastAsia="仿宋" w:cs="仿宋"/>
          <w:b/>
          <w:bCs/>
          <w:color w:val="000000"/>
          <w:sz w:val="24"/>
          <w:szCs w:val="24"/>
          <w:highlight w:val="none"/>
          <w:lang w:bidi="or-IN"/>
        </w:rPr>
      </w:pPr>
      <w:r/>
      <w:bookmarkStart w:id="141"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41"/>
      <w:r>
        <w:rPr>
          <w:rFonts w:hint="eastAsia" w:ascii="仿宋" w:hAnsi="仿宋" w:eastAsia="仿宋" w:cs="仿宋"/>
          <w:b/>
          <w:bCs/>
          <w:color w:val="000000"/>
          <w:sz w:val="24"/>
          <w:szCs w:val="24"/>
          <w:highlight w:val="none"/>
          <w:lang w:bidi="or-IN"/>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1007"/>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rPr>
          <w:rFonts w:hint="eastAsia" w:ascii="仿宋" w:hAnsi="仿宋" w:eastAsia="仿宋" w:cs="仿宋"/>
          <w:color w:val="000000"/>
          <w:highlight w:val="none"/>
        </w:rPr>
        <w:br w:type="page" w:clear="all"/>
      </w:r>
      <w:bookmarkStart w:id="142" w:name="_Toc17885"/>
      <w:r/>
      <w:bookmarkStart w:id="143" w:name="_Toc31355"/>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bookmarkEnd w:id="142"/>
      <w:r>
        <w:rPr>
          <w:rFonts w:hint="eastAsia" w:ascii="仿宋" w:hAnsi="仿宋" w:eastAsia="仿宋" w:cs="仿宋"/>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2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20"/>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20"/>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7"/>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20"/>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sz w:val="24"/>
          <w:highlight w:val="none"/>
          <w:lang w:bidi="ar-SA"/>
        </w:rPr>
        <w:br w:type="page" w:clear="all"/>
      </w:r>
      <w:bookmarkStart w:id="144" w:name="_Toc24811"/>
      <w:r/>
      <w:bookmarkStart w:id="145" w:name="_Toc23699"/>
      <w:r/>
      <w:bookmarkStart w:id="146" w:name="_Toc23780"/>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w:t>
      </w:r>
      <w:bookmarkEnd w:id="144"/>
      <w:r/>
      <w:bookmarkEnd w:id="145"/>
      <w:r>
        <w:rPr>
          <w:rFonts w:hint="eastAsia" w:ascii="仿宋" w:hAnsi="仿宋" w:eastAsia="仿宋" w:cs="仿宋"/>
          <w:color w:val="000000"/>
          <w:highlight w:val="none"/>
          <w:lang w:val="en-US" w:eastAsia="en-US"/>
        </w:rPr>
        <w:t xml:space="preserve">服务方案</w:t>
      </w:r>
      <w:bookmarkEnd w:id="146"/>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bookmarkStart w:id="14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4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87"/>
        <w:rPr>
          <w:rFonts w:hint="eastAsia" w:ascii="仿宋" w:hAnsi="仿宋" w:eastAsia="仿宋" w:cs="仿宋"/>
          <w:color w:val="000000"/>
          <w:highlight w:val="none"/>
          <w:lang w:val="en-US" w:eastAsia="en-US"/>
        </w:rPr>
        <w:outlineLvl w:val="1"/>
      </w:pPr>
      <w:r/>
      <w:bookmarkStart w:id="148" w:name="_Toc12365"/>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bookmarkEnd w:id="148"/>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49" w:name="_Toc2371"/>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bookmarkEnd w:id="149"/>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50" w:name="_Toc28348"/>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bookmarkEnd w:id="150"/>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32"/>
          <w:szCs w:val="32"/>
          <w:highlight w:val="none"/>
          <w:lang w:val="en-US"/>
        </w:rPr>
        <w:outlineLvl w:val="1"/>
      </w:pPr>
      <w:r/>
      <w:bookmarkStart w:id="151" w:name="_Toc1488"/>
      <w:r/>
      <w:bookmarkStart w:id="152" w:name="_Toc17029"/>
      <w:r/>
      <w:bookmarkStart w:id="153" w:name="_Toc27880"/>
      <w:r/>
      <w:bookmarkStart w:id="154" w:name="_Toc23064"/>
      <w:r/>
      <w:bookmarkStart w:id="155" w:name="_Toc28528"/>
      <w:r>
        <w:rPr>
          <w:rFonts w:hint="eastAsia" w:ascii="仿宋" w:hAnsi="仿宋" w:eastAsia="仿宋" w:cs="仿宋"/>
          <w:b/>
          <w:bCs/>
          <w:color w:val="000000"/>
          <w:sz w:val="32"/>
          <w:szCs w:val="32"/>
          <w:highlight w:val="none"/>
          <w:lang w:val="en-US"/>
        </w:rPr>
        <w:t xml:space="preserve">十三、</w:t>
      </w:r>
      <w:bookmarkEnd w:id="151"/>
      <w:r/>
      <w:bookmarkEnd w:id="152"/>
      <w:r/>
      <w:bookmarkEnd w:id="153"/>
      <w:r/>
      <w:bookmarkEnd w:id="154"/>
      <w:r>
        <w:rPr>
          <w:rFonts w:hint="eastAsia" w:ascii="仿宋" w:hAnsi="仿宋" w:eastAsia="仿宋" w:cs="仿宋"/>
          <w:b/>
          <w:bCs/>
          <w:color w:val="000000"/>
          <w:sz w:val="32"/>
          <w:szCs w:val="32"/>
          <w:highlight w:val="none"/>
          <w:lang w:val="en-US"/>
        </w:rPr>
        <w:t xml:space="preserve">投标人认为需提供的其他文件或证明材料</w:t>
      </w:r>
      <w:bookmarkEnd w:id="155"/>
      <w:r>
        <w:rPr>
          <w:rFonts w:hint="eastAsia" w:ascii="仿宋" w:hAnsi="仿宋" w:eastAsia="仿宋" w:cs="仿宋"/>
          <w:b/>
          <w:bCs/>
          <w:color w:val="000000"/>
          <w:sz w:val="32"/>
          <w:szCs w:val="32"/>
          <w:highlight w:val="none"/>
          <w:lang w:val="en-US"/>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bookmarkStart w:id="156" w:name="_Toc4965"/>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bookmarkEnd w:id="143"/>
      <w:r/>
      <w:bookmarkEnd w:id="156"/>
      <w:r>
        <w:rPr>
          <w:rFonts w:hint="eastAsia" w:ascii="仿宋" w:hAnsi="仿宋" w:eastAsia="仿宋" w:cs="仿宋"/>
          <w:color w:val="000000"/>
          <w:highlight w:val="none"/>
          <w:lang w:val="en-US"/>
        </w:rPr>
      </w:r>
      <w:r/>
    </w:p>
    <w:p>
      <w:pPr>
        <w:pStyle w:val="1087"/>
        <w:rPr>
          <w:rFonts w:hint="eastAsia" w:ascii="仿宋" w:hAnsi="仿宋" w:eastAsia="仿宋" w:cs="仿宋"/>
          <w:b w:val="0"/>
          <w:color w:val="000000"/>
          <w:szCs w:val="32"/>
          <w:highlight w:val="none"/>
          <w:lang w:bidi="ar-SA"/>
        </w:rPr>
      </w:pPr>
      <w:r/>
      <w:bookmarkStart w:id="157" w:name="_Toc18691"/>
      <w:r>
        <w:rPr>
          <w:rFonts w:hint="eastAsia" w:ascii="仿宋" w:hAnsi="仿宋" w:eastAsia="仿宋" w:cs="仿宋"/>
          <w:color w:val="000000"/>
          <w:highlight w:val="none"/>
        </w:rPr>
        <w:t xml:space="preserve">附 件1：法定代表人/单位负责人身份证明书</w:t>
      </w:r>
      <w:bookmarkEnd w:id="157"/>
      <w:r>
        <w:rPr>
          <w:rFonts w:hint="eastAsia" w:ascii="仿宋" w:hAnsi="仿宋" w:eastAsia="仿宋" w:cs="仿宋"/>
          <w:b w:val="0"/>
          <w:color w:val="000000"/>
          <w:szCs w:val="32"/>
          <w:highlight w:val="none"/>
          <w:lang w:bidi="ar-SA"/>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58" w:name="_Toc1073"/>
      <w:r/>
      <w:bookmarkStart w:id="159" w:name="_Toc4058"/>
      <w:r>
        <w:rPr>
          <w:rFonts w:hint="eastAsia" w:ascii="仿宋" w:hAnsi="仿宋" w:eastAsia="仿宋" w:cs="仿宋"/>
          <w:b/>
          <w:bCs/>
          <w:color w:val="000000"/>
          <w:sz w:val="44"/>
          <w:szCs w:val="44"/>
          <w:highlight w:val="none"/>
          <w:lang w:val="en-US" w:eastAsia="en-US" w:bidi="ar-SA"/>
        </w:rPr>
      </w:r>
      <w:r/>
    </w:p>
    <w:p>
      <w:pPr>
        <w:pStyle w:val="1087"/>
        <w:rPr>
          <w:rFonts w:hint="eastAsia" w:ascii="仿宋" w:hAnsi="仿宋" w:eastAsia="仿宋" w:cs="仿宋"/>
          <w:b w:val="0"/>
          <w:color w:val="000000"/>
          <w:sz w:val="40"/>
          <w:szCs w:val="40"/>
          <w:highlight w:val="none"/>
          <w:lang w:bidi="ar-SA"/>
        </w:rPr>
      </w:pPr>
      <w:r/>
      <w:bookmarkStart w:id="160" w:name="_Toc28176"/>
      <w:r>
        <w:rPr>
          <w:rFonts w:hint="eastAsia" w:ascii="仿宋" w:hAnsi="仿宋" w:eastAsia="仿宋" w:cs="仿宋"/>
          <w:b w:val="0"/>
          <w:color w:val="000000"/>
          <w:highlight w:val="none"/>
          <w:lang w:bidi="ar-SA"/>
        </w:rPr>
        <w:br w:type="page" w:clear="all"/>
      </w:r>
      <w:bookmarkStart w:id="161" w:name="_Toc18596"/>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bookmarkEnd w:id="158"/>
      <w:r/>
      <w:bookmarkEnd w:id="159"/>
      <w:r/>
      <w:bookmarkEnd w:id="160"/>
      <w:r/>
      <w:bookmarkEnd w:id="161"/>
      <w:r>
        <w:rPr>
          <w:rFonts w:hint="eastAsia" w:ascii="仿宋" w:hAnsi="仿宋" w:eastAsia="仿宋" w:cs="仿宋"/>
          <w:b w:val="0"/>
          <w:color w:val="000000"/>
          <w:sz w:val="40"/>
          <w:szCs w:val="4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1007"/>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7"/>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1007"/>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7"/>
        <w:jc w:val="both"/>
        <w:spacing w:line="660" w:lineRule="exact"/>
        <w:widowControl/>
        <w:rPr>
          <w:rFonts w:hint="eastAsia" w:ascii="仿宋" w:hAnsi="仿宋" w:eastAsia="仿宋" w:cs="仿宋"/>
          <w:color w:val="000000"/>
          <w:sz w:val="24"/>
          <w:highlight w:val="none"/>
          <w:lang w:bidi="ar-SA"/>
        </w:rPr>
      </w:pPr>
      <w:r/>
      <w:bookmarkStart w:id="162" w:name="_Toc13333"/>
      <w:r>
        <w:rPr>
          <w:rFonts w:hint="eastAsia" w:ascii="仿宋" w:hAnsi="仿宋" w:eastAsia="仿宋" w:cs="仿宋"/>
          <w:color w:val="000000"/>
          <w:sz w:val="24"/>
          <w:highlight w:val="none"/>
          <w:lang w:bidi="ar-SA"/>
        </w:rPr>
      </w:r>
      <w:r/>
    </w:p>
    <w:p>
      <w:pPr>
        <w:pStyle w:val="1007"/>
        <w:jc w:val="both"/>
        <w:rPr>
          <w:rFonts w:hint="eastAsia" w:ascii="仿宋" w:hAnsi="仿宋" w:eastAsia="仿宋" w:cs="仿宋"/>
          <w:b/>
          <w:color w:val="000000"/>
          <w:sz w:val="30"/>
          <w:szCs w:val="30"/>
          <w:highlight w:val="none"/>
          <w:lang w:bidi="ar-SA"/>
        </w:rPr>
      </w:pPr>
      <w:r/>
      <w:bookmarkEnd w:id="162"/>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40"/>
          <w:szCs w:val="40"/>
          <w:highlight w:val="none"/>
          <w:lang w:bidi="ar-SA"/>
        </w:rPr>
      </w:pPr>
      <w:r>
        <w:rPr>
          <w:rFonts w:hint="eastAsia" w:ascii="仿宋" w:hAnsi="仿宋" w:eastAsia="仿宋" w:cs="仿宋"/>
          <w:b w:val="0"/>
          <w:color w:val="000000"/>
          <w:highlight w:val="none"/>
          <w:lang w:bidi="ar-SA"/>
        </w:rPr>
        <w:br w:type="page" w:clear="all"/>
      </w:r>
      <w:bookmarkStart w:id="163" w:name="_Toc653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bookmarkEnd w:id="163"/>
      <w:r>
        <w:rPr>
          <w:rFonts w:hint="eastAsia" w:ascii="仿宋" w:hAnsi="仿宋" w:eastAsia="仿宋" w:cs="仿宋"/>
          <w:b w:val="0"/>
          <w:color w:val="000000"/>
          <w:sz w:val="40"/>
          <w:szCs w:val="40"/>
          <w:highlight w:val="none"/>
          <w:lang w:bidi="ar-SA"/>
        </w:rPr>
      </w:r>
      <w:r/>
    </w:p>
    <w:p>
      <w:pPr>
        <w:pStyle w:val="1007"/>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7"/>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4"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4"/>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color w:val="000000"/>
          <w:highlight w:val="none"/>
        </w:rPr>
      </w:pPr>
      <w:r/>
      <w:bookmarkStart w:id="165" w:name="_Toc27178"/>
      <w:r>
        <w:rPr>
          <w:rFonts w:hint="eastAsia" w:ascii="仿宋" w:hAnsi="仿宋" w:eastAsia="仿宋" w:cs="仿宋"/>
          <w:color w:val="000000"/>
          <w:highlight w:val="none"/>
        </w:rPr>
        <w:br w:type="page" w:clear="all"/>
      </w:r>
      <w:bookmarkStart w:id="166" w:name="_Toc25623"/>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w:t>
      </w:r>
      <w:bookmarkStart w:id="167" w:name="_Toc14706"/>
      <w:r/>
      <w:bookmarkStart w:id="168" w:name="_Toc24309"/>
      <w:r>
        <w:rPr>
          <w:rFonts w:hint="eastAsia" w:ascii="仿宋" w:hAnsi="仿宋" w:eastAsia="仿宋" w:cs="仿宋"/>
          <w:color w:val="000000"/>
          <w:highlight w:val="none"/>
        </w:rPr>
        <w:t xml:space="preserve">能力的声明函</w:t>
      </w:r>
      <w:bookmarkEnd w:id="165"/>
      <w:r/>
      <w:bookmarkEnd w:id="166"/>
      <w:r/>
      <w:bookmarkEnd w:id="167"/>
      <w:r/>
      <w:bookmarkEnd w:id="168"/>
      <w:r>
        <w:rPr>
          <w:rFonts w:hint="eastAsia" w:ascii="仿宋" w:hAnsi="仿宋" w:eastAsia="仿宋" w:cs="仿宋"/>
          <w:color w:val="000000"/>
          <w:highlight w:val="none"/>
        </w:rPr>
      </w:r>
      <w:r/>
    </w:p>
    <w:p>
      <w:pPr>
        <w:pStyle w:val="1007"/>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7"/>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9"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9"/>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b w:val="0"/>
          <w:color w:val="000000"/>
          <w:highlight w:val="none"/>
          <w:lang w:bidi="ar-SA"/>
        </w:rPr>
        <w:br w:type="page" w:clear="all"/>
      </w:r>
      <w:bookmarkStart w:id="170" w:name="_Toc20026"/>
      <w:r/>
      <w:bookmarkStart w:id="171" w:name="_Toc1914"/>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w:t>
      </w:r>
      <w:bookmarkEnd w:id="170"/>
      <w:r>
        <w:rPr>
          <w:rFonts w:hint="eastAsia" w:ascii="仿宋" w:hAnsi="仿宋" w:eastAsia="仿宋" w:cs="仿宋"/>
          <w:color w:val="000000"/>
          <w:highlight w:val="none"/>
        </w:rPr>
        <w:t xml:space="preserve">（服务）（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bookmarkEnd w:id="171"/>
      <w:r>
        <w:rPr>
          <w:rFonts w:hint="eastAsia" w:ascii="仿宋" w:hAnsi="仿宋" w:eastAsia="仿宋" w:cs="仿宋"/>
          <w:b w:val="0"/>
          <w:color w:val="000000"/>
          <w:sz w:val="32"/>
          <w:szCs w:val="32"/>
          <w:highlight w:val="none"/>
          <w:lang w:bidi="ar-SA"/>
        </w:rPr>
      </w:r>
      <w:r/>
    </w:p>
    <w:p>
      <w:pPr>
        <w:pStyle w:val="100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7"/>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07"/>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7"/>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07"/>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color w:val="000000"/>
          <w:highlight w:val="none"/>
        </w:rPr>
        <w:br w:type="page" w:clear="all"/>
      </w:r>
      <w:bookmarkStart w:id="172" w:name="_Toc9177"/>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bookmarkEnd w:id="172"/>
      <w:r>
        <w:rPr>
          <w:rFonts w:hint="eastAsia" w:ascii="仿宋" w:hAnsi="仿宋" w:eastAsia="仿宋" w:cs="仿宋"/>
          <w:b w:val="0"/>
          <w:color w:val="000000"/>
          <w:sz w:val="32"/>
          <w:szCs w:val="32"/>
          <w:highlight w:val="none"/>
          <w:lang w:bidi="ar-SA"/>
        </w:rPr>
      </w:r>
      <w:r/>
    </w:p>
    <w:p>
      <w:pPr>
        <w:pStyle w:val="1020"/>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7"/>
        <w:jc w:val="center"/>
        <w:rPr>
          <w:rFonts w:hint="eastAsia" w:ascii="仿宋" w:hAnsi="仿宋" w:eastAsia="仿宋" w:cs="仿宋"/>
          <w:b/>
          <w:color w:val="000000"/>
          <w:sz w:val="30"/>
          <w:szCs w:val="30"/>
          <w:highlight w:val="none"/>
          <w:lang w:bidi="ar-SA"/>
        </w:rPr>
      </w:pPr>
      <w:r/>
      <w:bookmarkStart w:id="173" w:name="_Toc8552"/>
      <w:r/>
      <w:bookmarkStart w:id="174" w:name="_Toc32196"/>
      <w:r>
        <w:rPr>
          <w:rFonts w:hint="eastAsia" w:ascii="仿宋" w:hAnsi="仿宋" w:eastAsia="仿宋" w:cs="仿宋"/>
          <w:color w:val="000000"/>
          <w:sz w:val="24"/>
          <w:szCs w:val="24"/>
          <w:highlight w:val="none"/>
          <w:lang w:bidi="ar-SA"/>
        </w:rPr>
        <w:t xml:space="preserve">出具的属于监狱企业的证明文件）</w:t>
      </w:r>
      <w:bookmarkEnd w:id="173"/>
      <w:r/>
      <w:bookmarkEnd w:id="174"/>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28"/>
          <w:szCs w:val="28"/>
          <w:highlight w:val="none"/>
          <w:lang w:bidi="ar-SA"/>
        </w:rPr>
      </w:pPr>
      <w:r/>
      <w:bookmarkStart w:id="175" w:name="_Toc19289"/>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bookmarkEnd w:id="175"/>
      <w:r>
        <w:rPr>
          <w:rFonts w:hint="eastAsia" w:ascii="仿宋" w:hAnsi="仿宋" w:eastAsia="仿宋" w:cs="仿宋"/>
          <w:b w:val="0"/>
          <w:color w:val="000000"/>
          <w:sz w:val="28"/>
          <w:szCs w:val="28"/>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7"/>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87"/>
        <w:rPr>
          <w:rFonts w:hint="eastAsia" w:ascii="仿宋" w:hAnsi="仿宋" w:eastAsia="仿宋" w:cs="仿宋"/>
          <w:color w:val="000000"/>
          <w:highlight w:val="none"/>
          <w:lang w:val="en-US"/>
        </w:rPr>
      </w:pPr>
      <w:r>
        <w:rPr>
          <w:rFonts w:hint="eastAsia" w:ascii="仿宋" w:hAnsi="仿宋" w:eastAsia="仿宋" w:cs="仿宋"/>
          <w:b w:val="0"/>
          <w:bCs/>
          <w:color w:val="000000"/>
          <w:sz w:val="24"/>
          <w:szCs w:val="24"/>
          <w:highlight w:val="none"/>
          <w:lang w:bidi="ar-SA"/>
        </w:rPr>
        <w:br w:type="page" w:clear="all"/>
      </w:r>
      <w:bookmarkStart w:id="176" w:name="_Toc28273"/>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bookmarkEnd w:id="176"/>
      <w:r>
        <w:rPr>
          <w:rFonts w:hint="eastAsia" w:ascii="仿宋" w:hAnsi="仿宋" w:eastAsia="仿宋" w:cs="仿宋"/>
          <w:color w:val="000000"/>
          <w:highlight w:val="none"/>
          <w:lang w:val="en-US"/>
        </w:rPr>
      </w:r>
      <w:r/>
    </w:p>
    <w:p>
      <w:pPr>
        <w:pStyle w:val="1007"/>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7"/>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87"/>
        <w:rPr>
          <w:rFonts w:hint="eastAsia" w:ascii="仿宋" w:hAnsi="仿宋" w:eastAsia="仿宋" w:cs="仿宋"/>
          <w:color w:val="000000"/>
          <w:sz w:val="28"/>
          <w:szCs w:val="28"/>
          <w:highlight w:val="none"/>
          <w:lang w:val="en-US" w:bidi="ar-SA"/>
        </w:rPr>
      </w:pPr>
      <w:r/>
      <w:bookmarkStart w:id="177" w:name="_Toc1896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bookmarkEnd w:id="177"/>
      <w:r>
        <w:rPr>
          <w:rFonts w:hint="eastAsia" w:ascii="仿宋" w:hAnsi="仿宋" w:eastAsia="仿宋" w:cs="仿宋"/>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Fonts w:hint="eastAsia" w:ascii="仿宋" w:eastAsia="仿宋" w:cs="仿宋"/>
        <w:color w:val="000000"/>
        <w:szCs w:val="18"/>
        <w:lang w:val="en-US"/>
      </w:rPr>
      <w:pBdr>
        <w:bottom w:val="single" w:color="000000" w:sz="4" w:space="0"/>
      </w:pBdr>
    </w:pPr>
    <w:r>
      <w:rPr>
        <w:rFonts w:hint="eastAsia" w:ascii="仿宋" w:hAnsi="仿宋" w:eastAsia="仿宋" w:cs="仿宋"/>
        <w:color w:val="000000"/>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4737100</wp:posOffset>
              </wp:positionH>
              <wp:positionV relativeFrom="paragraph">
                <wp:posOffset>44450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373.0pt;mso-position-horizontal:absolute;mso-position-vertical-relative:text;margin-top:3.5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color w:val="000000"/>
        <w:szCs w:val="18"/>
        <w:lang w:val="en-US"/>
      </w:rPr>
    </w:r>
    <w:r/>
  </w:p>
  <w:p>
    <w:pPr>
      <w:pStyle w:val="1030"/>
      <w:tabs>
        <w:tab w:val="center" w:pos="4153" w:leader="none"/>
        <w:tab w:val="right" w:pos="8306" w:leader="none"/>
      </w:tabs>
      <w:rPr>
        <w:color w:val="000000"/>
      </w:rPr>
      <w:pBdr>
        <w:bottom w:val="single" w:color="000000" w:sz="4" w:space="0"/>
      </w:pBdr>
    </w:pPr>
    <w:r>
      <w:rPr>
        <w:rFonts w:hint="eastAsia" w:ascii="仿宋" w:eastAsia="仿宋" w:cs="仿宋"/>
        <w:color w:val="000000"/>
        <w:szCs w:val="18"/>
        <w:lang w:val="en-US" w:eastAsia="zh-CN"/>
      </w:rPr>
      <w:t xml:space="preserve">2026年关键和新兴技术领域标准体系建设及应用技术服务(二次)</w:t>
    </w:r>
    <w:r>
      <w:rPr>
        <w:rFonts w:hint="eastAsia" w:ascii="仿宋" w:eastAsia="仿宋" w:cs="仿宋"/>
        <w:color w:val="000000"/>
        <w:szCs w:val="18"/>
        <w:lang w:val="en-US"/>
      </w:rPr>
      <w:t xml:space="preserve">                              </w:t>
    </w:r>
    <w:r>
      <w:rPr>
        <w:rFonts w:hint="eastAsia" w:ascii="仿宋" w:eastAsia="仿宋" w:cs="仿宋"/>
        <w:color w:val="000000"/>
        <w:szCs w:val="18"/>
        <w:lang w:val="en-US" w:eastAsia="en-US"/>
      </w:rPr>
      <w:t xml:space="preserve"> 江苏腾信招标有限公司</w:t>
    </w: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0"/>
      <w:isLgl w:val="false"/>
      <w:suff w:val="tab"/>
      <w:lvlText w:val="%1"/>
      <w:lvlJc w:val="left"/>
      <w:pPr>
        <w:pStyle w:val="1007"/>
        <w:ind w:left="432" w:hanging="432"/>
        <w:tabs>
          <w:tab w:val="num" w:pos="432" w:leader="none"/>
        </w:tabs>
      </w:pPr>
    </w:lvl>
    <w:lvl w:ilvl="1">
      <w:start w:val="1"/>
      <w:numFmt w:val="decimal"/>
      <w:isLgl w:val="false"/>
      <w:suff w:val="tab"/>
      <w:lvlText w:val="%1.%2"/>
      <w:lvlJc w:val="left"/>
      <w:pPr>
        <w:pStyle w:val="1007"/>
        <w:ind w:left="576" w:hanging="576"/>
        <w:tabs>
          <w:tab w:val="num" w:pos="576" w:leader="none"/>
        </w:tabs>
      </w:pPr>
    </w:lvl>
    <w:lvl w:ilvl="2">
      <w:start w:val="1"/>
      <w:numFmt w:val="decimal"/>
      <w:isLgl w:val="false"/>
      <w:suff w:val="tab"/>
      <w:lvlText w:val="%1.%2.%3"/>
      <w:lvlJc w:val="left"/>
      <w:pPr>
        <w:pStyle w:val="1007"/>
        <w:ind w:left="720" w:hanging="720"/>
        <w:tabs>
          <w:tab w:val="num" w:pos="720" w:leader="none"/>
        </w:tabs>
      </w:pPr>
    </w:lvl>
    <w:lvl w:ilvl="3">
      <w:start w:val="1"/>
      <w:numFmt w:val="decimal"/>
      <w:pStyle w:val="1011"/>
      <w:isLgl w:val="false"/>
      <w:suff w:val="tab"/>
      <w:lvlText w:val="%1.%2.%3.%4"/>
      <w:lvlJc w:val="left"/>
      <w:pPr>
        <w:pStyle w:val="1007"/>
        <w:ind w:left="1524" w:hanging="864"/>
        <w:tabs>
          <w:tab w:val="num" w:pos="864" w:leader="none"/>
        </w:tabs>
      </w:pPr>
    </w:lvl>
    <w:lvl w:ilvl="4">
      <w:start w:val="1"/>
      <w:numFmt w:val="decimal"/>
      <w:isLgl w:val="false"/>
      <w:suff w:val="tab"/>
      <w:lvlText w:val="%1.%2.%3.%4.%5"/>
      <w:lvlJc w:val="left"/>
      <w:pPr>
        <w:pStyle w:val="1007"/>
        <w:ind w:left="1008" w:hanging="1008"/>
        <w:tabs>
          <w:tab w:val="num" w:pos="1008" w:leader="none"/>
        </w:tabs>
      </w:pPr>
    </w:lvl>
    <w:lvl w:ilvl="5">
      <w:start w:val="1"/>
      <w:numFmt w:val="decimal"/>
      <w:isLgl w:val="false"/>
      <w:suff w:val="tab"/>
      <w:lvlText w:val="%1.%2.%3.%4.%5.%6"/>
      <w:lvlJc w:val="left"/>
      <w:pPr>
        <w:pStyle w:val="1007"/>
        <w:ind w:left="1152" w:hanging="1152"/>
        <w:tabs>
          <w:tab w:val="num" w:pos="1152" w:leader="none"/>
        </w:tabs>
      </w:pPr>
    </w:lvl>
    <w:lvl w:ilvl="6">
      <w:start w:val="1"/>
      <w:numFmt w:val="decimal"/>
      <w:isLgl w:val="false"/>
      <w:suff w:val="tab"/>
      <w:lvlText w:val="%1.%2.%3.%4.%5.%6.%7"/>
      <w:lvlJc w:val="left"/>
      <w:pPr>
        <w:pStyle w:val="1007"/>
        <w:ind w:left="1296" w:hanging="1296"/>
        <w:tabs>
          <w:tab w:val="num" w:pos="1296" w:leader="none"/>
        </w:tabs>
      </w:pPr>
    </w:lvl>
    <w:lvl w:ilvl="7">
      <w:start w:val="1"/>
      <w:numFmt w:val="decimal"/>
      <w:isLgl w:val="false"/>
      <w:suff w:val="tab"/>
      <w:lvlText w:val="%1.%2.%3.%4.%5.%6.%7.%8"/>
      <w:lvlJc w:val="left"/>
      <w:pPr>
        <w:pStyle w:val="1007"/>
        <w:ind w:left="1440" w:hanging="1440"/>
        <w:tabs>
          <w:tab w:val="num" w:pos="1440" w:leader="none"/>
        </w:tabs>
      </w:pPr>
    </w:lvl>
    <w:lvl w:ilvl="8">
      <w:start w:val="1"/>
      <w:numFmt w:val="decimal"/>
      <w:isLgl w:val="false"/>
      <w:suff w:val="tab"/>
      <w:lvlText w:val="%1.%2.%3.%4.%5.%6.%7.%8.%9"/>
      <w:lvlJc w:val="left"/>
      <w:pPr>
        <w:pStyle w:val="1007"/>
        <w:ind w:left="1584" w:hanging="1584"/>
        <w:tabs>
          <w:tab w:val="num"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widowControl w:val="off"/>
    </w:pPr>
    <w:rPr>
      <w:rFonts w:ascii="宋体" w:cs="宋体"/>
      <w:sz w:val="22"/>
      <w:szCs w:val="22"/>
      <w:lang w:val="zh-CN" w:eastAsia="zh-CN" w:bidi="zh-CN"/>
    </w:rPr>
  </w:style>
  <w:style w:type="paragraph" w:styleId="1008">
    <w:name w:val="标题 1"/>
    <w:basedOn w:val="1007"/>
    <w:next w:val="1007"/>
    <w:link w:val="1015"/>
    <w:qFormat/>
    <w:pPr>
      <w:ind w:left="120"/>
      <w:spacing w:before="39"/>
      <w:outlineLvl w:val="0"/>
    </w:pPr>
    <w:rPr>
      <w:sz w:val="27"/>
      <w:szCs w:val="27"/>
    </w:rPr>
  </w:style>
  <w:style w:type="paragraph" w:styleId="1009">
    <w:name w:val="标题 2"/>
    <w:basedOn w:val="1007"/>
    <w:next w:val="1007"/>
    <w:link w:val="1007"/>
    <w:qFormat/>
    <w:pPr>
      <w:ind w:left="120"/>
      <w:spacing w:before="54"/>
      <w:outlineLvl w:val="1"/>
    </w:pPr>
    <w:rPr>
      <w:rFonts w:ascii="宋体" w:eastAsia="宋体" w:cs="宋体"/>
      <w:sz w:val="24"/>
      <w:szCs w:val="24"/>
      <w:lang w:val="zh-CN" w:eastAsia="zh-CN" w:bidi="zh-CN"/>
    </w:rPr>
  </w:style>
  <w:style w:type="paragraph" w:styleId="1010">
    <w:name w:val="标题 3"/>
    <w:basedOn w:val="1007"/>
    <w:next w:val="1007"/>
    <w:link w:val="1007"/>
    <w:qFormat/>
    <w:pPr>
      <w:ind w:left="120"/>
      <w:outlineLvl w:val="2"/>
    </w:pPr>
    <w:rPr>
      <w:rFonts w:ascii="宋体" w:eastAsia="宋体" w:cs="宋体"/>
      <w:sz w:val="21"/>
      <w:szCs w:val="21"/>
      <w:lang w:val="zh-CN" w:eastAsia="zh-CN" w:bidi="zh-CN"/>
    </w:rPr>
  </w:style>
  <w:style w:type="paragraph" w:styleId="1011">
    <w:name w:val="标题 4"/>
    <w:basedOn w:val="1007"/>
    <w:next w:val="1007"/>
    <w:link w:val="1007"/>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2">
    <w:name w:val="标题 5"/>
    <w:basedOn w:val="1007"/>
    <w:next w:val="1007"/>
    <w:link w:val="1007"/>
    <w:qFormat/>
    <w:pPr>
      <w:ind w:left="111"/>
      <w:outlineLvl w:val="4"/>
    </w:pPr>
    <w:rPr>
      <w:rFonts w:ascii="宋体" w:eastAsia="宋体" w:cs="宋体"/>
      <w:b/>
      <w:bCs/>
      <w:sz w:val="21"/>
      <w:szCs w:val="21"/>
      <w:lang w:val="zh-CN" w:eastAsia="zh-CN" w:bidi="zh-CN"/>
    </w:rPr>
  </w:style>
  <w:style w:type="character" w:styleId="1013">
    <w:name w:val="默认段落字体"/>
    <w:next w:val="1013"/>
    <w:link w:val="1007"/>
    <w:rPr>
      <w:rFonts w:ascii="Calibri" w:hAnsi="Calibri" w:eastAsia="Calibri" w:cs="Times New Roman"/>
      <w:lang w:bidi="ar-SA"/>
    </w:rPr>
  </w:style>
  <w:style w:type="table" w:styleId="1014">
    <w:name w:val="普通表格"/>
    <w:next w:val="1014"/>
    <w:link w:val="1007"/>
    <w:semiHidden/>
    <w:tblPr/>
  </w:style>
  <w:style w:type="character" w:styleId="1015">
    <w:name w:val="标题 1 Char"/>
    <w:next w:val="1015"/>
    <w:link w:val="1008"/>
    <w:rPr>
      <w:rFonts w:ascii="宋体" w:hAnsi="宋体" w:eastAsia="宋体" w:cs="宋体"/>
      <w:sz w:val="27"/>
      <w:szCs w:val="27"/>
      <w:lang w:bidi="ar-SA"/>
    </w:rPr>
  </w:style>
  <w:style w:type="paragraph" w:styleId="1016">
    <w:name w:val="正文缩进"/>
    <w:basedOn w:val="1007"/>
    <w:next w:val="1007"/>
    <w:link w:val="1007"/>
    <w:pPr>
      <w:ind w:firstLine="200"/>
    </w:pPr>
    <w:rPr>
      <w:rFonts w:ascii="Calibri" w:hAnsi="Calibri" w:eastAsia="Calibri" w:cs="Times New Roman"/>
      <w:sz w:val="21"/>
      <w:szCs w:val="24"/>
      <w:lang w:bidi="ar-SA"/>
    </w:rPr>
  </w:style>
  <w:style w:type="paragraph" w:styleId="1017">
    <w:name w:val="文档结构图"/>
    <w:basedOn w:val="1007"/>
    <w:next w:val="1017"/>
    <w:link w:val="1007"/>
    <w:rPr>
      <w:rFonts w:ascii="Microsoft YaHei UI" w:hAnsi="Microsoft YaHei UI" w:eastAsia="Microsoft YaHei UI"/>
      <w:sz w:val="18"/>
      <w:szCs w:val="18"/>
    </w:rPr>
  </w:style>
  <w:style w:type="paragraph" w:styleId="1018">
    <w:name w:val="批注文字"/>
    <w:basedOn w:val="1007"/>
    <w:next w:val="1018"/>
    <w:link w:val="1007"/>
    <w:rPr>
      <w:rFonts w:eastAsia="Calibri"/>
    </w:rPr>
  </w:style>
  <w:style w:type="paragraph" w:styleId="1019">
    <w:name w:val="正文文本 3"/>
    <w:basedOn w:val="1007"/>
    <w:next w:val="1019"/>
    <w:link w:val="1007"/>
    <w:rPr>
      <w:rFonts w:ascii="宋体"/>
      <w:sz w:val="24"/>
      <w:szCs w:val="20"/>
    </w:rPr>
  </w:style>
  <w:style w:type="paragraph" w:styleId="1020">
    <w:name w:val="正文文本"/>
    <w:basedOn w:val="1007"/>
    <w:next w:val="1007"/>
    <w:link w:val="1007"/>
    <w:pPr>
      <w:ind w:left="120"/>
      <w:spacing w:before="129"/>
    </w:pPr>
    <w:rPr>
      <w:sz w:val="18"/>
      <w:szCs w:val="18"/>
    </w:rPr>
  </w:style>
  <w:style w:type="paragraph" w:styleId="1021">
    <w:name w:val="正文文本缩进"/>
    <w:basedOn w:val="1007"/>
    <w:next w:val="1021"/>
    <w:link w:val="1007"/>
    <w:pPr>
      <w:ind w:left="200"/>
      <w:spacing w:after="120"/>
    </w:pPr>
    <w:rPr>
      <w:rFonts w:ascii="Calibri" w:hAnsi="Calibri" w:eastAsia="Calibri" w:cs="Times New Roman"/>
      <w:lang w:bidi="ar-SA"/>
    </w:rPr>
  </w:style>
  <w:style w:type="paragraph" w:styleId="1022">
    <w:name w:val="文本块"/>
    <w:basedOn w:val="1007"/>
    <w:next w:val="1022"/>
    <w:link w:val="100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3">
    <w:name w:val="索引 4"/>
    <w:basedOn w:val="1007"/>
    <w:next w:val="1007"/>
    <w:link w:val="1007"/>
    <w:pPr>
      <w:ind w:left="600"/>
    </w:pPr>
    <w:rPr>
      <w:rFonts w:ascii="Calibri" w:hAnsi="Calibri" w:eastAsia="Calibri" w:cs="Times New Roman"/>
      <w:szCs w:val="20"/>
      <w:lang w:bidi="ar-SA"/>
    </w:rPr>
  </w:style>
  <w:style w:type="paragraph" w:styleId="1024">
    <w:name w:val="目录 3"/>
    <w:basedOn w:val="1007"/>
    <w:next w:val="1007"/>
    <w:link w:val="1007"/>
    <w:uiPriority w:val="39"/>
    <w:unhideWhenUsed/>
    <w:qFormat/>
    <w:pPr>
      <w:ind w:left="840"/>
    </w:pPr>
  </w:style>
  <w:style w:type="paragraph" w:styleId="1025">
    <w:name w:val="纯文本"/>
    <w:basedOn w:val="1007"/>
    <w:next w:val="1025"/>
    <w:link w:val="1007"/>
    <w:rPr>
      <w:rFonts w:ascii="宋体" w:hAnsi="宋体" w:eastAsia="Calibri" w:cs="Times New Roman"/>
      <w:szCs w:val="20"/>
      <w:lang w:bidi="ar-SA"/>
    </w:rPr>
  </w:style>
  <w:style w:type="paragraph" w:styleId="1026">
    <w:name w:val="正文文本缩进 2"/>
    <w:basedOn w:val="1007"/>
    <w:next w:val="1026"/>
    <w:link w:val="1007"/>
    <w:pPr>
      <w:ind w:left="200"/>
      <w:spacing w:after="120" w:line="480" w:lineRule="auto"/>
    </w:pPr>
  </w:style>
  <w:style w:type="paragraph" w:styleId="1027">
    <w:name w:val="批注框文本"/>
    <w:basedOn w:val="1007"/>
    <w:next w:val="1027"/>
    <w:link w:val="1007"/>
    <w:rPr>
      <w:rFonts w:ascii="Calibri" w:hAnsi="Calibri" w:eastAsia="Calibri" w:cs="Times New Roman"/>
      <w:sz w:val="18"/>
      <w:szCs w:val="18"/>
      <w:lang w:bidi="ar-SA"/>
    </w:rPr>
  </w:style>
  <w:style w:type="paragraph" w:styleId="1028">
    <w:name w:val="页脚"/>
    <w:basedOn w:val="1007"/>
    <w:next w:val="1028"/>
    <w:link w:val="1007"/>
    <w:pPr>
      <w:jc w:val="left"/>
      <w:tabs>
        <w:tab w:val="center" w:pos="4153" w:leader="none"/>
        <w:tab w:val="right" w:pos="8306" w:leader="none"/>
      </w:tabs>
    </w:pPr>
    <w:rPr>
      <w:rFonts w:ascii="Calibri" w:hAnsi="Calibri" w:eastAsia="Calibri" w:cs="Times New Roman"/>
      <w:sz w:val="18"/>
      <w:lang w:bidi="ar-SA"/>
    </w:rPr>
  </w:style>
  <w:style w:type="paragraph" w:styleId="1029">
    <w:name w:val="寄信人地址"/>
    <w:basedOn w:val="1007"/>
    <w:next w:val="1029"/>
    <w:link w:val="1007"/>
    <w:rPr>
      <w:rFonts w:ascii="Arial" w:hAnsi="Arial" w:eastAsia="宋体" w:cs="Times New Roman"/>
      <w:lang w:bidi="ar-SA"/>
    </w:rPr>
  </w:style>
  <w:style w:type="paragraph" w:styleId="1030">
    <w:name w:val="页眉"/>
    <w:basedOn w:val="1007"/>
    <w:next w:val="1030"/>
    <w:link w:val="1007"/>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1">
    <w:name w:val="目录 1"/>
    <w:basedOn w:val="1007"/>
    <w:next w:val="1007"/>
    <w:link w:val="1007"/>
  </w:style>
  <w:style w:type="paragraph" w:styleId="1032">
    <w:name w:val="目录 2"/>
    <w:basedOn w:val="1007"/>
    <w:next w:val="1007"/>
    <w:link w:val="1007"/>
    <w:pPr>
      <w:ind w:left="200"/>
    </w:pPr>
    <w:rPr>
      <w:rFonts w:ascii="Calibri" w:hAnsi="Calibri"/>
      <w:szCs w:val="22"/>
    </w:rPr>
  </w:style>
  <w:style w:type="paragraph" w:styleId="1033">
    <w:name w:val="普通(网站)"/>
    <w:basedOn w:val="1007"/>
    <w:next w:val="1033"/>
    <w:link w:val="1007"/>
    <w:pPr>
      <w:jc w:val="left"/>
      <w:spacing w:before="100" w:beforeAutospacing="1" w:after="100" w:afterAutospacing="1"/>
      <w:widowControl/>
    </w:pPr>
    <w:rPr>
      <w:rFonts w:ascii="宋体" w:hAnsi="宋体" w:eastAsia="Calibri" w:cs="宋体"/>
      <w:sz w:val="24"/>
      <w:lang w:bidi="ar-SA"/>
    </w:rPr>
  </w:style>
  <w:style w:type="paragraph" w:styleId="1034">
    <w:name w:val="标题"/>
    <w:basedOn w:val="1007"/>
    <w:next w:val="1034"/>
    <w:link w:val="1007"/>
    <w:qFormat/>
    <w:pPr>
      <w:jc w:val="center"/>
    </w:pPr>
    <w:rPr>
      <w:b/>
      <w:sz w:val="30"/>
      <w:szCs w:val="20"/>
    </w:rPr>
  </w:style>
  <w:style w:type="paragraph" w:styleId="1035">
    <w:name w:val="批注主题"/>
    <w:basedOn w:val="1018"/>
    <w:next w:val="1018"/>
    <w:link w:val="1007"/>
    <w:rPr>
      <w:rFonts w:eastAsia="Calibri"/>
      <w:b/>
      <w:bCs/>
    </w:rPr>
  </w:style>
  <w:style w:type="paragraph" w:styleId="1036">
    <w:name w:val="正文首行缩进"/>
    <w:basedOn w:val="1020"/>
    <w:next w:val="1007"/>
    <w:link w:val="1007"/>
    <w:pPr>
      <w:ind w:firstLine="200"/>
      <w:spacing w:line="360" w:lineRule="auto"/>
    </w:pPr>
    <w:rPr>
      <w:rFonts w:ascii="Calibri" w:hAnsi="Calibri" w:eastAsia="Calibri" w:cs="Times New Roman"/>
      <w:lang w:bidi="ar-SA"/>
    </w:rPr>
  </w:style>
  <w:style w:type="paragraph" w:styleId="1037">
    <w:name w:val="正文首行缩进 2"/>
    <w:basedOn w:val="1021"/>
    <w:next w:val="1037"/>
    <w:link w:val="1007"/>
    <w:pPr>
      <w:ind w:left="0" w:firstLine="200"/>
      <w:spacing w:after="0" w:line="480" w:lineRule="exact"/>
    </w:pPr>
    <w:rPr>
      <w:rFonts w:ascii="Calibri" w:hAnsi="Calibri" w:eastAsia="Calibri" w:cs="Times New Roman"/>
      <w:sz w:val="28"/>
      <w:lang w:bidi="ar-SA"/>
    </w:rPr>
  </w:style>
  <w:style w:type="table" w:styleId="1038">
    <w:name w:val="网格型"/>
    <w:basedOn w:val="1014"/>
    <w:next w:val="1038"/>
    <w:link w:val="1007"/>
    <w:qFormat/>
    <w:pPr>
      <w:jc w:val="both"/>
      <w:widowControl w:val="off"/>
    </w:pPr>
    <w:rPr>
      <w:rFonts w:ascii="Times New Roman" w:hAnsi="Times New Roman" w:eastAsia="宋体" w:cs="Times New Roman"/>
    </w:rPr>
    <w:tblPr/>
  </w:style>
  <w:style w:type="character" w:styleId="1039">
    <w:name w:val="要点"/>
    <w:next w:val="1039"/>
    <w:link w:val="1007"/>
    <w:qFormat/>
    <w:rPr>
      <w:b/>
    </w:rPr>
  </w:style>
  <w:style w:type="character" w:styleId="1040">
    <w:name w:val="页码"/>
    <w:next w:val="1040"/>
    <w:link w:val="1007"/>
    <w:rPr>
      <w:rFonts w:ascii="Calibri" w:hAnsi="Calibri" w:eastAsia="Calibri" w:cs="Times New Roman"/>
      <w:lang w:bidi="ar-SA"/>
    </w:rPr>
  </w:style>
  <w:style w:type="character" w:styleId="1041">
    <w:name w:val="已访问的超链接"/>
    <w:next w:val="1041"/>
    <w:link w:val="1007"/>
    <w:rPr>
      <w:color w:val="005c81"/>
      <w:u w:val="none"/>
    </w:rPr>
  </w:style>
  <w:style w:type="character" w:styleId="1042">
    <w:name w:val="强调"/>
    <w:next w:val="1042"/>
    <w:link w:val="1007"/>
    <w:qFormat/>
  </w:style>
  <w:style w:type="character" w:styleId="1043">
    <w:name w:val="超链接"/>
    <w:next w:val="1043"/>
    <w:link w:val="1007"/>
    <w:rPr>
      <w:color w:val="005c81"/>
      <w:u w:val="none"/>
      <w:lang w:bidi="ar-SA"/>
    </w:rPr>
  </w:style>
  <w:style w:type="character" w:styleId="1044">
    <w:name w:val="批注引用"/>
    <w:next w:val="1044"/>
    <w:link w:val="1007"/>
    <w:rPr>
      <w:rFonts w:ascii="Calibri" w:hAnsi="Calibri" w:eastAsia="Calibri" w:cs="Times New Roman"/>
      <w:sz w:val="21"/>
      <w:szCs w:val="21"/>
      <w:lang w:bidi="ar-SA"/>
    </w:rPr>
  </w:style>
  <w:style w:type="paragraph" w:styleId="1045">
    <w:name w:val="01标题一"/>
    <w:basedOn w:val="1007"/>
    <w:next w:val="1045"/>
    <w:link w:val="1046"/>
    <w:qFormat/>
    <w:pPr>
      <w:jc w:val="center"/>
      <w:spacing w:line="360" w:lineRule="auto"/>
      <w:outlineLvl w:val="0"/>
    </w:pPr>
    <w:rPr>
      <w:rFonts w:ascii="仿宋" w:hAnsi="仿宋" w:eastAsia="仿宋" w:cs="仿宋"/>
      <w:b/>
      <w:color w:val="000000"/>
      <w:sz w:val="36"/>
      <w:szCs w:val="36"/>
    </w:rPr>
  </w:style>
  <w:style w:type="character" w:styleId="1046">
    <w:name w:val="01标题一 Char"/>
    <w:next w:val="1046"/>
    <w:link w:val="1045"/>
    <w:rPr>
      <w:rFonts w:ascii="仿宋" w:hAnsi="仿宋" w:eastAsia="仿宋" w:cs="仿宋"/>
      <w:b/>
      <w:color w:val="000000"/>
      <w:sz w:val="36"/>
      <w:szCs w:val="36"/>
    </w:rPr>
  </w:style>
  <w:style w:type="paragraph" w:styleId="1047">
    <w:name w:val="002标题二"/>
    <w:basedOn w:val="1007"/>
    <w:next w:val="1007"/>
    <w:link w:val="1048"/>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8">
    <w:name w:val="002标题二 Char"/>
    <w:next w:val="1048"/>
    <w:link w:val="1047"/>
    <w:rPr>
      <w:rFonts w:hint="eastAsia" w:ascii="仿宋" w:hAnsi="仿宋" w:eastAsia="仿宋" w:cs="仿宋"/>
      <w:b/>
      <w:bCs/>
      <w:color w:val="000000"/>
      <w:sz w:val="24"/>
      <w:szCs w:val="24"/>
    </w:rPr>
  </w:style>
  <w:style w:type="paragraph" w:styleId="1049">
    <w:name w:val="一级条标题"/>
    <w:basedOn w:val="1050"/>
    <w:next w:val="1051"/>
    <w:link w:val="1007"/>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7"/>
    <w:link w:val="1007"/>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7"/>
    <w:link w:val="1007"/>
    <w:pPr>
      <w:ind w:firstLine="200"/>
      <w:jc w:val="both"/>
      <w:widowControl w:val="off"/>
    </w:pPr>
    <w:rPr>
      <w:rFonts w:ascii="宋体" w:cs="宋体"/>
      <w:color w:val="000000"/>
      <w:sz w:val="21"/>
      <w:szCs w:val="21"/>
      <w:lang w:val="en-US" w:eastAsia="zh-CN" w:bidi="ar-SA"/>
    </w:rPr>
  </w:style>
  <w:style w:type="character" w:styleId="1052">
    <w:name w:val="font11"/>
    <w:next w:val="1052"/>
    <w:link w:val="1007"/>
    <w:rPr>
      <w:rFonts w:ascii="等线" w:eastAsia="等线" w:cs="等线"/>
      <w:b/>
      <w:bCs/>
      <w:color w:val="000000"/>
      <w:sz w:val="21"/>
      <w:szCs w:val="21"/>
      <w:u w:val="none"/>
      <w:lang w:bidi="ar-SA"/>
    </w:rPr>
  </w:style>
  <w:style w:type="character" w:styleId="1053">
    <w:name w:val="font01"/>
    <w:next w:val="1053"/>
    <w:link w:val="1007"/>
    <w:rPr>
      <w:rFonts w:ascii="宋体" w:eastAsia="宋体" w:cs="宋体"/>
      <w:color w:val="000000"/>
      <w:sz w:val="24"/>
      <w:szCs w:val="24"/>
      <w:u w:val="none"/>
      <w:lang w:bidi="ar-SA"/>
    </w:rPr>
  </w:style>
  <w:style w:type="character" w:styleId="1054">
    <w:name w:val="exap"/>
    <w:next w:val="1054"/>
    <w:link w:val="1007"/>
    <w:rPr>
      <w:sz w:val="27"/>
      <w:szCs w:val="27"/>
    </w:rPr>
  </w:style>
  <w:style w:type="character" w:styleId="1055">
    <w:name w:val="ul_li_a_1"/>
    <w:next w:val="1055"/>
    <w:link w:val="1007"/>
    <w:rPr>
      <w:b/>
      <w:bCs/>
      <w:color w:val="ffffff"/>
    </w:rPr>
  </w:style>
  <w:style w:type="character" w:styleId="1056">
    <w:name w:val="a_p_21"/>
    <w:next w:val="1056"/>
    <w:link w:val="1007"/>
  </w:style>
  <w:style w:type="character" w:styleId="1057">
    <w:name w:val="font31"/>
    <w:next w:val="1057"/>
    <w:link w:val="1007"/>
    <w:rPr>
      <w:rFonts w:ascii="Calibri" w:hAnsi="Calibri" w:cs="Calibri"/>
      <w:color w:val="000000"/>
      <w:sz w:val="22"/>
      <w:szCs w:val="22"/>
      <w:u w:val="none"/>
      <w:lang w:bidi="ar-SA"/>
    </w:rPr>
  </w:style>
  <w:style w:type="character" w:styleId="1058">
    <w:name w:val="a_p_1"/>
    <w:next w:val="1058"/>
    <w:link w:val="1007"/>
    <w:rPr>
      <w:sz w:val="27"/>
      <w:szCs w:val="27"/>
    </w:rPr>
  </w:style>
  <w:style w:type="character" w:styleId="1059">
    <w:name w:val="NormalCharacter1"/>
    <w:next w:val="1059"/>
    <w:link w:val="1007"/>
    <w:rPr>
      <w:rFonts w:ascii="Times New Roman" w:hAnsi="Times New Roman" w:eastAsia="宋体" w:cs="Times New Roman"/>
      <w:lang w:bidi="ar-SA"/>
    </w:rPr>
  </w:style>
  <w:style w:type="character" w:styleId="1060">
    <w:name w:val="a_p_2"/>
    <w:next w:val="1060"/>
    <w:link w:val="1007"/>
    <w:rPr>
      <w:sz w:val="27"/>
      <w:szCs w:val="27"/>
    </w:rPr>
  </w:style>
  <w:style w:type="character" w:styleId="1061">
    <w:name w:val="font21"/>
    <w:next w:val="1061"/>
    <w:link w:val="1007"/>
    <w:rPr>
      <w:rFonts w:ascii="宋体" w:eastAsia="宋体" w:cs="宋体"/>
      <w:color w:val="000000"/>
      <w:sz w:val="22"/>
      <w:szCs w:val="22"/>
      <w:u w:val="none"/>
      <w:lang w:bidi="ar-SA"/>
    </w:rPr>
  </w:style>
  <w:style w:type="character" w:styleId="1062">
    <w:name w:val="a_p_3"/>
    <w:next w:val="1062"/>
    <w:link w:val="1007"/>
    <w:rPr>
      <w:sz w:val="27"/>
      <w:szCs w:val="27"/>
    </w:rPr>
  </w:style>
  <w:style w:type="paragraph" w:styleId="1063">
    <w:name w:val="Default"/>
    <w:next w:val="1063"/>
    <w:link w:val="1007"/>
    <w:rPr>
      <w:rFonts w:ascii="新宋体" w:eastAsia="新宋体" w:cs="新宋体"/>
      <w:color w:val="000000"/>
      <w:sz w:val="24"/>
      <w:szCs w:val="24"/>
      <w:lang w:val="en-US" w:eastAsia="zh-CN" w:bidi="ar-SA"/>
    </w:rPr>
  </w:style>
  <w:style w:type="paragraph" w:styleId="1064">
    <w:name w:val="List Paragraph"/>
    <w:basedOn w:val="1007"/>
    <w:next w:val="1064"/>
    <w:link w:val="1007"/>
    <w:pPr>
      <w:ind w:firstLine="200"/>
    </w:pPr>
  </w:style>
  <w:style w:type="paragraph" w:styleId="1065">
    <w:name w:val="Char"/>
    <w:basedOn w:val="1007"/>
    <w:next w:val="1065"/>
    <w:link w:val="1007"/>
    <w:pPr>
      <w:tabs>
        <w:tab w:val="left" w:pos="360" w:leader="none"/>
      </w:tabs>
    </w:pPr>
    <w:rPr>
      <w:rFonts w:ascii="Calibri" w:hAnsi="Calibri" w:eastAsia="Calibri" w:cs="Times New Roman"/>
      <w:sz w:val="24"/>
      <w:lang w:bidi="ar-SA"/>
    </w:rPr>
  </w:style>
  <w:style w:type="paragraph" w:styleId="1066">
    <w:name w:val="普通正文"/>
    <w:basedOn w:val="1007"/>
    <w:next w:val="1066"/>
    <w:link w:val="1007"/>
    <w:pPr>
      <w:ind w:firstLine="480"/>
      <w:jc w:val="left"/>
      <w:spacing w:before="120" w:after="120" w:line="360" w:lineRule="auto"/>
    </w:pPr>
    <w:rPr>
      <w:rFonts w:ascii="Arial" w:hAnsi="Arial"/>
      <w:sz w:val="24"/>
      <w:szCs w:val="24"/>
    </w:rPr>
  </w:style>
  <w:style w:type="paragraph" w:styleId="1067">
    <w:name w:val="彩色列表1"/>
    <w:basedOn w:val="1007"/>
    <w:next w:val="1067"/>
    <w:link w:val="1007"/>
    <w:pPr>
      <w:ind w:firstLine="200"/>
    </w:pPr>
    <w:rPr>
      <w:rFonts w:ascii="Calibri" w:hAnsi="Calibri" w:eastAsia="Calibri" w:cs="Times New Roman"/>
      <w:lang w:bidi="ar-SA"/>
    </w:rPr>
  </w:style>
  <w:style w:type="paragraph" w:styleId="1068">
    <w:name w:val="纯文本3"/>
    <w:basedOn w:val="1007"/>
    <w:next w:val="1068"/>
    <w:link w:val="1007"/>
    <w:rPr>
      <w:rFonts w:ascii="宋体" w:eastAsia="宋体" w:cs="Times New Roman"/>
      <w:lang w:bidi="ar-SA"/>
    </w:rPr>
  </w:style>
  <w:style w:type="paragraph" w:styleId="1069">
    <w:name w:val="Normal_19"/>
    <w:next w:val="1069"/>
    <w:link w:val="1007"/>
    <w:rPr>
      <w:sz w:val="21"/>
      <w:lang w:val="en-US" w:eastAsia="zh-CN" w:bidi="ar-SA"/>
    </w:rPr>
  </w:style>
  <w:style w:type="paragraph" w:styleId="1070">
    <w:name w:val="正文 A"/>
    <w:next w:val="1051"/>
    <w:link w:val="1007"/>
    <w:pPr>
      <w:jc w:val="both"/>
      <w:widowControl w:val="off"/>
    </w:pPr>
    <w:rPr>
      <w:rFonts w:eastAsia="Calibri" w:cs="Calibri"/>
      <w:color w:val="000000"/>
      <w:sz w:val="21"/>
      <w:szCs w:val="21"/>
      <w:lang w:val="en-US" w:eastAsia="zh-CN" w:bidi="ar-SA"/>
    </w:rPr>
  </w:style>
  <w:style w:type="paragraph" w:styleId="1071">
    <w:name w:val="Table Paragraph"/>
    <w:basedOn w:val="1007"/>
    <w:next w:val="1071"/>
    <w:link w:val="1007"/>
    <w:rPr>
      <w:rFonts w:ascii="宋体" w:eastAsia="宋体" w:cs="宋体"/>
      <w:lang w:val="zh-CN" w:eastAsia="zh-CN" w:bidi="zh-CN"/>
    </w:rPr>
  </w:style>
  <w:style w:type="paragraph" w:styleId="1072">
    <w:name w:val="WPSOffice手动目录 1"/>
    <w:next w:val="1072"/>
    <w:link w:val="1007"/>
    <w:rPr>
      <w:lang w:val="en-US" w:eastAsia="zh-CN" w:bidi="ar-SA"/>
    </w:rPr>
  </w:style>
  <w:style w:type="paragraph" w:styleId="1073">
    <w:name w:val="列出段落"/>
    <w:basedOn w:val="1007"/>
    <w:next w:val="1073"/>
    <w:link w:val="1007"/>
    <w:qFormat/>
    <w:rPr>
      <w:rFonts w:ascii="Calibri" w:hAnsi="Calibri" w:eastAsia="Calibri" w:cs="Times New Roman"/>
      <w:lang w:val="zh-CN" w:eastAsia="zh-CN" w:bidi="zh-CN"/>
    </w:rPr>
  </w:style>
  <w:style w:type="paragraph" w:styleId="1074">
    <w:name w:val="DAS正文"/>
    <w:next w:val="1074"/>
    <w:link w:val="1007"/>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7"/>
    <w:next w:val="1075"/>
    <w:link w:val="1007"/>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7"/>
    <w:next w:val="1007"/>
    <w:link w:val="1007"/>
    <w:pPr>
      <w:ind w:firstLine="200"/>
    </w:pPr>
  </w:style>
  <w:style w:type="paragraph" w:styleId="1077">
    <w:name w:val="正文_0"/>
    <w:next w:val="1077"/>
    <w:link w:val="1007"/>
    <w:pPr>
      <w:jc w:val="both"/>
      <w:widowControl w:val="off"/>
    </w:pPr>
    <w:rPr>
      <w:sz w:val="21"/>
      <w:lang w:val="en-US" w:eastAsia="zh-CN" w:bidi="ar-SA"/>
    </w:rPr>
  </w:style>
  <w:style w:type="paragraph" w:styleId="1078">
    <w:name w:val="p0"/>
    <w:next w:val="1078"/>
    <w:link w:val="1007"/>
    <w:pPr>
      <w:jc w:val="both"/>
    </w:pPr>
    <w:rPr>
      <w:sz w:val="21"/>
      <w:szCs w:val="24"/>
      <w:lang w:val="en-US" w:eastAsia="zh-CN" w:bidi="ar-SA"/>
    </w:rPr>
  </w:style>
  <w:style w:type="paragraph" w:styleId="1079">
    <w:name w:val="报告正文"/>
    <w:next w:val="1079"/>
    <w:link w:val="1007"/>
    <w:pPr>
      <w:ind w:firstLine="200"/>
      <w:widowControl w:val="off"/>
    </w:pPr>
    <w:rPr>
      <w:rFonts w:ascii="宋体" w:cs="宋体"/>
      <w:sz w:val="22"/>
      <w:lang w:val="zh-CN" w:eastAsia="zh-CN" w:bidi="zh-CN"/>
    </w:rPr>
  </w:style>
  <w:style w:type="paragraph" w:styleId="1080">
    <w:name w:val="二级目录"/>
    <w:next w:val="1007"/>
    <w:link w:val="1007"/>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7"/>
    <w:rPr>
      <w:rFonts w:ascii="宋体" w:eastAsia="宋体" w:cs="宋体"/>
      <w:color w:val="000000"/>
      <w:sz w:val="22"/>
      <w:szCs w:val="22"/>
      <w:u w:val="none"/>
      <w:lang w:bidi="ar-SA"/>
    </w:rPr>
  </w:style>
  <w:style w:type="paragraph" w:styleId="1082">
    <w:name w:val="修订"/>
    <w:next w:val="1082"/>
    <w:link w:val="1007"/>
    <w:rPr>
      <w:rFonts w:ascii="宋体" w:cs="宋体"/>
      <w:sz w:val="22"/>
      <w:szCs w:val="22"/>
      <w:lang w:val="zh-CN" w:eastAsia="zh-CN" w:bidi="zh-CN"/>
    </w:rPr>
  </w:style>
  <w:style w:type="character" w:styleId="1083">
    <w:name w:val="s1"/>
    <w:next w:val="1083"/>
    <w:link w:val="1007"/>
  </w:style>
  <w:style w:type="paragraph" w:styleId="1084">
    <w:name w:val="p7"/>
    <w:basedOn w:val="1007"/>
    <w:next w:val="1084"/>
    <w:link w:val="1007"/>
    <w:pPr>
      <w:ind w:firstLine="0"/>
    </w:pPr>
    <w:rPr>
      <w:rFonts w:eastAsia="Times New Roman" w:cs="Times New Roman"/>
      <w:lang w:bidi="ar-SA"/>
    </w:rPr>
  </w:style>
  <w:style w:type="character" w:styleId="1085">
    <w:name w:val="apple-tab-span"/>
    <w:next w:val="1085"/>
    <w:link w:val="1007"/>
  </w:style>
  <w:style w:type="paragraph" w:styleId="1086">
    <w:name w:val="正文文本缩进1"/>
    <w:basedOn w:val="1007"/>
    <w:next w:val="1007"/>
    <w:link w:val="1007"/>
    <w:uiPriority w:val="99"/>
    <w:unhideWhenUsed/>
    <w:qFormat/>
    <w:pPr>
      <w:ind w:firstLine="425"/>
      <w:spacing w:line="360" w:lineRule="auto"/>
    </w:pPr>
    <w:rPr>
      <w:sz w:val="20"/>
      <w:szCs w:val="24"/>
    </w:rPr>
  </w:style>
  <w:style w:type="paragraph" w:styleId="1087">
    <w:name w:val="003标题三"/>
    <w:basedOn w:val="1007"/>
    <w:next w:val="1087"/>
    <w:link w:val="1007"/>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7"/>
    <w:next w:val="1088"/>
    <w:link w:val="1007"/>
    <w:uiPriority w:val="99"/>
    <w:qFormat/>
    <w:pPr>
      <w:jc w:val="left"/>
      <w:spacing w:beforeAutospacing="1" w:afterAutospacing="1"/>
    </w:pPr>
    <w:rPr>
      <w:rFonts w:cs="Times New Roman"/>
      <w:sz w:val="24"/>
    </w:rPr>
  </w:style>
  <w:style w:type="character" w:styleId="1089">
    <w:name w:val="强调1"/>
    <w:next w:val="1089"/>
    <w:link w:val="1007"/>
    <w:qFormat/>
    <w:rPr>
      <w:i/>
    </w:rPr>
  </w:style>
  <w:style w:type="paragraph" w:styleId="1090">
    <w:name w:val="0正文"/>
    <w:next w:val="1090"/>
    <w:link w:val="1007"/>
    <w:qFormat/>
    <w:pPr>
      <w:ind w:firstLine="200"/>
    </w:pPr>
    <w:rPr>
      <w:sz w:val="21"/>
      <w:szCs w:val="21"/>
      <w:lang w:val="en-US" w:eastAsia="zh-CN" w:bidi="ar-SA"/>
    </w:rPr>
  </w:style>
  <w:style w:type="paragraph" w:styleId="1091">
    <w:name w:val="标题 11"/>
    <w:basedOn w:val="1007"/>
    <w:next w:val="1007"/>
    <w:link w:val="1007"/>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7"/>
    <w:next w:val="1092"/>
    <w:link w:val="1007"/>
    <w:qFormat/>
    <w:pPr>
      <w:jc w:val="both"/>
      <w:spacing w:after="0" w:line="240" w:lineRule="auto"/>
      <w:widowControl w:val="off"/>
    </w:pPr>
    <w:rPr>
      <w:rFonts w:ascii="宋体" w:hAnsi="Courier New" w:eastAsia="楷体_GB2312"/>
      <w:sz w:val="28"/>
      <w:szCs w:val="20"/>
    </w:rPr>
  </w:style>
  <w:style w:type="character" w:styleId="1093">
    <w:name w:val="font91"/>
    <w:next w:val="1093"/>
    <w:link w:val="1007"/>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7"/>
    <w:qFormat/>
    <w:rPr>
      <w:rFonts w:hint="eastAsia" w:ascii="方正仿宋_GBK" w:hAnsi="方正仿宋_GBK" w:eastAsia="方正仿宋_GBK" w:cs="方正仿宋_GBK"/>
      <w:color w:val="000000"/>
      <w:sz w:val="21"/>
      <w:szCs w:val="21"/>
      <w:u w:val="none"/>
      <w:lang w:bidi="ar-SA"/>
    </w:rPr>
  </w:style>
  <w:style w:type="paragraph" w:styleId="1095">
    <w:name w:val="*正文"/>
    <w:basedOn w:val="1007"/>
    <w:next w:val="1095"/>
    <w:link w:val="1007"/>
    <w:qFormat/>
    <w:pPr>
      <w:ind w:firstLine="200"/>
      <w:spacing w:before="50" w:after="50" w:line="360" w:lineRule="auto"/>
    </w:pPr>
    <w:rPr>
      <w:sz w:val="24"/>
    </w:rPr>
  </w:style>
  <w:style w:type="paragraph" w:styleId="1096">
    <w:name w:val="列出段落1"/>
    <w:basedOn w:val="1007"/>
    <w:next w:val="1096"/>
    <w:link w:val="1007"/>
    <w:qFormat/>
    <w:rPr>
      <w:rFonts w:ascii="Calibri" w:hAnsi="Calibri" w:eastAsia="Calibri" w:cs="Times New Roman"/>
    </w:rPr>
  </w:style>
  <w:style w:type="paragraph" w:styleId="1097">
    <w:name w:val="普通(网站)11"/>
    <w:basedOn w:val="1007"/>
    <w:next w:val="1097"/>
    <w:link w:val="1007"/>
    <w:qFormat/>
    <w:pPr>
      <w:spacing w:beforeAutospacing="1" w:afterAutospacing="1"/>
    </w:p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5</cp:revision>
  <dcterms:created xsi:type="dcterms:W3CDTF">2026-04-28T07:33:00Z</dcterms:created>
  <dcterms:modified xsi:type="dcterms:W3CDTF">2026-06-29T02:16:32Z</dcterms:modified>
</cp:coreProperties>
</file>