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spacing w:line="360" w:lineRule="auto"/>
        <w:widowControl/>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1066"/>
        <w:jc w:val="center"/>
        <w:spacing w:line="360" w:lineRule="auto"/>
        <w:widowControl/>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江苏海事职业技术学院</w:t>
      </w:r>
      <w:r>
        <w:rPr>
          <w:rFonts w:hint="eastAsia" w:ascii="宋体" w:hAnsi="宋体" w:eastAsia="宋体" w:cs="宋体"/>
          <w:b/>
          <w:color w:val="000000"/>
          <w:sz w:val="44"/>
          <w:szCs w:val="44"/>
          <w:highlight w:val="none"/>
        </w:rPr>
      </w:r>
      <w:r/>
    </w:p>
    <w:p>
      <w:pPr>
        <w:pStyle w:val="1101"/>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lang w:eastAsia="zh-CN"/>
        </w:rPr>
        <w:t xml:space="preserve">学生公寓家具更新采购</w:t>
      </w:r>
      <w:r>
        <w:rPr>
          <w:rFonts w:hint="eastAsia" w:ascii="宋体" w:hAnsi="宋体" w:eastAsia="宋体" w:cs="宋体"/>
          <w:b/>
          <w:color w:val="000000"/>
          <w:sz w:val="44"/>
          <w:szCs w:val="44"/>
          <w:highlight w:val="none"/>
        </w:rPr>
        <w:tab/>
      </w:r>
      <w:r>
        <w:rPr>
          <w:rFonts w:hint="eastAsia" w:ascii="宋体" w:hAnsi="宋体" w:eastAsia="宋体" w:cs="宋体"/>
          <w:b/>
          <w:color w:val="000000"/>
          <w:sz w:val="44"/>
          <w:szCs w:val="44"/>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1"/>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1717485" cy="213169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2pt;height:167.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highlight w:val="none"/>
        </w:rPr>
      </w:r>
      <w:r/>
    </w:p>
    <w:p>
      <w:pPr>
        <w:pStyle w:val="11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jc w:val="center"/>
        <w:spacing w:line="360" w:lineRule="auto"/>
        <w:widowControl/>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招 标 文 件</w:t>
      </w:r>
      <w:r>
        <w:rPr>
          <w:rFonts w:hint="eastAsia" w:ascii="宋体" w:hAnsi="宋体" w:eastAsia="宋体" w:cs="宋体"/>
          <w:b/>
          <w:color w:val="000000"/>
          <w:sz w:val="72"/>
          <w:szCs w:val="72"/>
          <w:highlight w:val="none"/>
        </w:rPr>
      </w:r>
      <w:r/>
    </w:p>
    <w:p>
      <w:pPr>
        <w:pStyle w:val="1066"/>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2"/>
          <w:szCs w:val="32"/>
          <w:highlight w:val="none"/>
        </w:rPr>
        <w:t xml:space="preserve">项目编号：JSZC-320000-SNZX-G2026-0068</w:t>
      </w:r>
      <w:r>
        <w:rPr>
          <w:rFonts w:hint="eastAsia" w:ascii="宋体" w:hAnsi="宋体" w:cs="宋体"/>
          <w:b/>
          <w:color w:val="000000"/>
          <w:sz w:val="32"/>
          <w:szCs w:val="32"/>
          <w:highlight w:val="none"/>
          <w:lang w:eastAsia="zh-CN"/>
        </w:rPr>
        <w:t xml:space="preserve">（JSHY2026093）</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6"/>
          <w:szCs w:val="36"/>
          <w:highlight w:val="none"/>
        </w:rPr>
      </w:r>
      <w:r/>
    </w:p>
    <w:p>
      <w:pPr>
        <w:pStyle w:val="110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10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采购人：江苏海事职业技术学院</w:t>
      </w: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采购代理机构：南京苏宁工程咨询有限公司</w:t>
      </w:r>
      <w:r>
        <w:rPr>
          <w:rFonts w:hint="eastAsia" w:ascii="宋体" w:hAnsi="宋体" w:eastAsia="宋体" w:cs="宋体"/>
          <w:b/>
          <w:color w:val="000000"/>
          <w:sz w:val="36"/>
          <w:szCs w:val="36"/>
          <w:highlight w:val="none"/>
        </w:rPr>
      </w:r>
      <w:r/>
    </w:p>
    <w:p>
      <w:pPr>
        <w:pStyle w:val="1066"/>
        <w:ind w:firstLine="904"/>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日期：二〇二</w:t>
      </w:r>
      <w:r>
        <w:rPr>
          <w:rFonts w:hint="eastAsia" w:ascii="宋体" w:hAnsi="宋体" w:eastAsia="宋体" w:cs="宋体"/>
          <w:b/>
          <w:color w:val="000000"/>
          <w:sz w:val="36"/>
          <w:szCs w:val="36"/>
          <w:highlight w:val="none"/>
          <w:lang w:val="en-US" w:eastAsia="zh-CN"/>
        </w:rPr>
        <w:t xml:space="preserve">六</w:t>
      </w:r>
      <w:r>
        <w:rPr>
          <w:rFonts w:hint="eastAsia" w:ascii="宋体" w:hAnsi="宋体" w:eastAsia="宋体" w:cs="宋体"/>
          <w:b/>
          <w:color w:val="000000"/>
          <w:sz w:val="36"/>
          <w:szCs w:val="36"/>
          <w:highlight w:val="none"/>
        </w:rPr>
        <w:t xml:space="preserve">年</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月</w:t>
      </w:r>
      <w:r>
        <w:rPr>
          <w:rFonts w:hint="eastAsia" w:ascii="宋体" w:hAnsi="宋体" w:eastAsia="宋体" w:cs="宋体"/>
          <w:b/>
          <w:color w:val="000000"/>
          <w:sz w:val="36"/>
          <w:szCs w:val="36"/>
          <w:highlight w:val="none"/>
        </w:rPr>
      </w:r>
      <w:r/>
    </w:p>
    <w:p>
      <w:pPr>
        <w:pStyle w:val="1066"/>
        <w:jc w:val="center"/>
        <w:widowControl/>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1066"/>
        <w:jc w:val="center"/>
        <w:rPr>
          <w:rFonts w:hint="eastAsia" w:ascii="宋体" w:hAnsi="宋体" w:eastAsia="宋体" w:cs="宋体"/>
          <w:color w:val="000000"/>
          <w:sz w:val="28"/>
          <w:szCs w:val="28"/>
          <w:highlight w:val="none"/>
        </w:rPr>
        <w:outlineLvl w:val="0"/>
      </w:pPr>
      <w:r>
        <w:rPr>
          <w:rFonts w:hint="eastAsia" w:ascii="宋体" w:hAnsi="宋体" w:eastAsia="宋体" w:cs="宋体"/>
          <w:color w:val="000000"/>
          <w:sz w:val="36"/>
          <w:szCs w:val="36"/>
          <w:highlight w:val="none"/>
          <w:lang w:val="zh-CN"/>
        </w:rPr>
        <w:t xml:space="preserve">第一章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zh-CN"/>
        </w:rPr>
        <w:t xml:space="preserve">投标邀请</w:t>
      </w:r>
      <w:r>
        <w:rPr>
          <w:rFonts w:hint="eastAsia" w:ascii="宋体" w:hAnsi="宋体" w:eastAsia="宋体" w:cs="宋体"/>
          <w:color w:val="000000"/>
          <w:sz w:val="28"/>
          <w:szCs w:val="28"/>
          <w:highlight w:val="none"/>
        </w:rPr>
      </w:r>
      <w:r/>
    </w:p>
    <w:p>
      <w:pPr>
        <w:pStyle w:val="1066"/>
        <w:ind w:firstLine="480"/>
        <w:jc w:val="left"/>
        <w:spacing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学生公寓家具更新采购</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年6</w:t>
      </w:r>
      <w:r>
        <w:rPr>
          <w:rFonts w:hint="eastAsia" w:ascii="宋体" w:hAnsi="宋体" w:eastAsia="宋体" w:cs="宋体"/>
          <w:color w:val="000000"/>
          <w:sz w:val="24"/>
          <w:szCs w:val="24"/>
          <w:highlight w:val="none"/>
          <w:u w:val="single"/>
        </w:rPr>
        <w:t xml:space="preserve">月18</w:t>
      </w:r>
      <w:r>
        <w:rPr>
          <w:rFonts w:hint="eastAsia" w:ascii="宋体" w:hAnsi="宋体" w:eastAsia="宋体" w:cs="宋体"/>
          <w:color w:val="000000"/>
          <w:sz w:val="24"/>
          <w:szCs w:val="24"/>
          <w:highlight w:val="none"/>
          <w:u w:val="single"/>
        </w:rPr>
        <w:t xml:space="preserve">日9</w:t>
      </w:r>
      <w:r>
        <w:rPr>
          <w:rFonts w:hint="eastAsia" w:ascii="宋体" w:hAnsi="宋体" w:eastAsia="宋体" w:cs="宋体"/>
          <w:color w:val="000000"/>
          <w:sz w:val="24"/>
          <w:szCs w:val="24"/>
          <w:highlight w:val="none"/>
          <w:u w:val="single"/>
        </w:rPr>
        <w:t xml:space="preserve">点30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bookmarkStart w:id="0" w:name="_Toc35393621"/>
      <w:r/>
      <w:bookmarkStart w:id="1" w:name="_Toc28359079"/>
      <w:r/>
      <w:bookmarkStart w:id="2" w:name="_Toc28359002"/>
      <w:r/>
      <w:bookmarkStart w:id="3" w:name="_Toc35393790"/>
      <w:r/>
      <w:bookmarkStart w:id="4" w:name="_Hlk24379207"/>
      <w:r>
        <w:rPr>
          <w:rFonts w:hint="eastAsia" w:ascii="宋体" w:hAnsi="宋体" w:eastAsia="宋体" w:cs="宋体"/>
          <w:color w:val="000000"/>
          <w:sz w:val="24"/>
          <w:szCs w:val="24"/>
          <w:highlight w:val="none"/>
        </w:rPr>
        <w:t xml:space="preserve">一、项目基本情况</w:t>
      </w:r>
      <w:bookmarkEnd w:id="0"/>
      <w:r/>
      <w:bookmarkEnd w:id="1"/>
      <w:r/>
      <w:bookmarkEnd w:id="2"/>
      <w:r/>
      <w:bookmarkEnd w:id="3"/>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JSZC-320000-SNZX-G2026-0068（JSHY2026093）</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bookmarkEnd w:id="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none"/>
          <w:lang w:eastAsia="zh-CN"/>
        </w:rPr>
        <w:t xml:space="preserve">学生公寓家具更新采购</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采购方式：公开招标</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599.98</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包最高限价</w:t>
      </w:r>
      <w:r>
        <w:rPr>
          <w:rFonts w:hint="eastAsia" w:ascii="宋体" w:hAnsi="宋体" w:eastAsia="宋体" w:cs="宋体"/>
          <w:color w:val="000000"/>
          <w:sz w:val="24"/>
          <w:szCs w:val="24"/>
          <w:highlight w:val="none"/>
        </w:rPr>
        <w:t xml:space="preserve">详见下表，</w:t>
      </w:r>
      <w:r>
        <w:rPr>
          <w:rFonts w:hint="eastAsia" w:ascii="宋体" w:hAnsi="宋体" w:cs="宋体"/>
          <w:color w:val="000000"/>
          <w:sz w:val="24"/>
          <w:szCs w:val="24"/>
          <w:highlight w:val="none"/>
          <w:lang w:val="en-US" w:eastAsia="zh-CN"/>
        </w:rPr>
        <w:t xml:space="preserve">单价限价详见需求清单，</w:t>
      </w:r>
      <w:r>
        <w:rPr>
          <w:rFonts w:hint="eastAsia" w:ascii="宋体" w:hAnsi="宋体" w:eastAsia="宋体" w:cs="宋体"/>
          <w:color w:val="000000"/>
          <w:sz w:val="24"/>
          <w:szCs w:val="24"/>
          <w:highlight w:val="none"/>
        </w:rPr>
        <w:t xml:space="preserve">投标</w:t>
      </w:r>
      <w:r>
        <w:rPr>
          <w:rFonts w:hint="eastAsia" w:ascii="宋体" w:hAnsi="宋体" w:cs="宋体"/>
          <w:color w:val="000000"/>
          <w:sz w:val="24"/>
          <w:szCs w:val="24"/>
          <w:highlight w:val="none"/>
          <w:lang w:val="en-US" w:eastAsia="zh-CN"/>
        </w:rPr>
        <w:t xml:space="preserve">总价及单价均</w:t>
      </w:r>
      <w:r>
        <w:rPr>
          <w:rFonts w:hint="eastAsia" w:ascii="宋体" w:hAnsi="宋体" w:eastAsia="宋体" w:cs="宋体"/>
          <w:color w:val="000000"/>
          <w:sz w:val="24"/>
          <w:szCs w:val="24"/>
          <w:highlight w:val="none"/>
        </w:rPr>
        <w:t xml:space="preserve">不得超过最高限价，否则为无效投标。</w:t>
      </w:r>
      <w:r>
        <w:rPr>
          <w:rFonts w:hint="eastAsia" w:ascii="宋体" w:hAnsi="宋体" w:eastAsia="宋体" w:cs="宋体"/>
          <w:color w:val="000000"/>
          <w:sz w:val="24"/>
          <w:szCs w:val="24"/>
          <w:highlight w:val="none"/>
        </w:rPr>
      </w:r>
      <w:r/>
    </w:p>
    <w:tbl>
      <w:tblPr>
        <w:tblStyle w:val="1158"/>
        <w:tblW w:w="101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619"/>
        <w:gridCol w:w="1659"/>
        <w:gridCol w:w="2501"/>
        <w:gridCol w:w="1545"/>
        <w:gridCol w:w="2051"/>
      </w:tblGrid>
      <w:tr>
        <w:trPr>
          <w:trHeight w:val="324"/>
        </w:trPr>
        <w:tc>
          <w:tcPr>
            <w:tcW w:w="803" w:type="dxa"/>
            <w:vAlign w:val="center"/>
            <w:textDirection w:val="lrTb"/>
            <w:noWrap w:val="false"/>
          </w:tcPr>
          <w:p>
            <w:pPr>
              <w:pStyle w:val="1066"/>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包编号</w:t>
            </w:r>
            <w:r>
              <w:rPr>
                <w:rFonts w:hint="eastAsia" w:ascii="宋体" w:hAnsi="宋体" w:eastAsia="宋体" w:cs="宋体"/>
                <w:color w:val="000000"/>
                <w:sz w:val="24"/>
                <w:szCs w:val="24"/>
                <w:highlight w:val="none"/>
              </w:rPr>
            </w:r>
            <w:r/>
          </w:p>
        </w:tc>
        <w:tc>
          <w:tcPr>
            <w:tcW w:w="165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包号名称</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包号内容</w:t>
            </w:r>
            <w:r>
              <w:rPr>
                <w:rFonts w:hint="eastAsia" w:ascii="宋体" w:hAnsi="宋体" w:eastAsia="宋体" w:cs="宋体"/>
                <w:color w:val="000000"/>
                <w:sz w:val="24"/>
                <w:szCs w:val="24"/>
                <w:highlight w:val="none"/>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rPr>
            </w:r>
            <w:r/>
          </w:p>
        </w:tc>
        <w:tc>
          <w:tcPr>
            <w:tcW w:w="2051"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r>
            <w:r/>
          </w:p>
        </w:tc>
      </w:tr>
      <w:tr>
        <w:trPr>
          <w:trHeight w:val="951"/>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包一</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4米套装家具（沁园1号公寓）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组合家具(3人位连体公寓组合床*2+公寓凳*6+衣柜*2)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195.75万元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195.75万元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r>
        <w:trPr>
          <w:trHeight w:val="951"/>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包二</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4.2米套装家具（沁园4号公寓）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组合家具(3人位连体公寓组合床*2+公寓凳*6+衣柜*2)，</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160.23万元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160.23万元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r>
        <w:trPr>
          <w:trHeight w:val="1265"/>
        </w:trPr>
        <w:tc>
          <w:tcPr>
            <w:tcW w:w="803"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包三</w:t>
            </w:r>
            <w:r>
              <w:rPr>
                <w:rFonts w:hint="eastAsia" w:ascii="宋体" w:hAnsi="宋体" w:eastAsia="宋体" w:cs="宋体"/>
                <w:color w:val="000000"/>
                <w:sz w:val="24"/>
                <w:szCs w:val="24"/>
                <w:highlight w:val="none"/>
              </w:rPr>
            </w:r>
            <w:r/>
          </w:p>
        </w:tc>
        <w:tc>
          <w:tcPr>
            <w:tcW w:w="1619"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JSZC-320000-SNZX-G2026-0068</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659"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4.4米套装家具（澄园3、4、5、7公寓）；多功能组合柜（澄园6号公寓）</w:t>
            </w:r>
            <w:r>
              <w:rPr>
                <w:rFonts w:hint="eastAsia" w:ascii="宋体" w:hAnsi="宋体" w:eastAsia="宋体" w:cs="宋体"/>
                <w:color w:val="000000"/>
                <w:sz w:val="24"/>
                <w:szCs w:val="24"/>
                <w:highlight w:val="none"/>
              </w:rPr>
            </w:r>
            <w:r/>
          </w:p>
        </w:tc>
        <w:tc>
          <w:tcPr>
            <w:tcW w:w="2501" w:type="dxa"/>
            <w:vAlign w:val="center"/>
            <w:textDirection w:val="lrTb"/>
            <w:noWrap w:val="false"/>
          </w:tcPr>
          <w:p>
            <w:pPr>
              <w:pStyle w:val="1066"/>
              <w:jc w:val="left"/>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组合家具(3人位连体公寓组合床*2+公寓凳*6+衣柜*2)，多功能组合柜，</w:t>
            </w:r>
            <w:r>
              <w:rPr>
                <w:rFonts w:hint="eastAsia" w:ascii="宋体" w:hAnsi="宋体" w:eastAsia="宋体" w:cs="宋体"/>
                <w:color w:val="000000"/>
                <w:sz w:val="24"/>
                <w:szCs w:val="24"/>
                <w:highlight w:val="none"/>
                <w:lang w:val="en-US" w:eastAsia="zh-CN"/>
              </w:rPr>
              <w:t xml:space="preserve">具体内容详见招标文件。</w:t>
            </w:r>
            <w:r>
              <w:rPr>
                <w:rFonts w:hint="eastAsia" w:ascii="宋体" w:hAnsi="宋体" w:eastAsia="宋体" w:cs="宋体"/>
                <w:color w:val="000000"/>
                <w:sz w:val="24"/>
                <w:szCs w:val="24"/>
                <w:highlight w:val="none"/>
                <w:lang w:val="en-US" w:eastAsia="zh-CN" w:bidi="ar-SA"/>
              </w:rPr>
            </w:r>
            <w:r/>
          </w:p>
        </w:tc>
        <w:tc>
          <w:tcPr>
            <w:tcW w:w="1545" w:type="dxa"/>
            <w:vAlign w:val="center"/>
            <w:textDirection w:val="lrTb"/>
            <w:noWrap w:val="false"/>
          </w:tcPr>
          <w:p>
            <w:pPr>
              <w:pStyle w:val="1066"/>
              <w:jc w:val="center"/>
              <w:spacing w:line="3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244万元</w:t>
            </w:r>
            <w:r>
              <w:rPr>
                <w:rFonts w:hint="eastAsia" w:ascii="宋体" w:hAnsi="宋体" w:eastAsia="宋体" w:cs="宋体"/>
                <w:color w:val="000000"/>
                <w:sz w:val="24"/>
                <w:szCs w:val="24"/>
                <w:highlight w:val="none"/>
                <w:lang w:val="en-US" w:eastAsia="zh-CN"/>
              </w:rPr>
            </w:r>
            <w:r/>
          </w:p>
        </w:tc>
        <w:tc>
          <w:tcPr>
            <w:tcW w:w="2051" w:type="dxa"/>
            <w:vAlign w:val="center"/>
            <w:textDirection w:val="lrTb"/>
            <w:noWrap w:val="false"/>
          </w:tcPr>
          <w:p>
            <w:pPr>
              <w:pStyle w:val="1066"/>
              <w:jc w:val="left"/>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244万元</w:t>
            </w:r>
            <w:r>
              <w:rPr>
                <w:rFonts w:hint="eastAsia" w:ascii="宋体" w:hAnsi="宋体" w:eastAsia="宋体" w:cs="宋体"/>
                <w:color w:val="000000"/>
                <w:sz w:val="24"/>
                <w:szCs w:val="24"/>
                <w:highlight w:val="none"/>
              </w:rPr>
              <w:t xml:space="preserve">，超过最高限价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rPr>
              <w:t xml:space="preserve">的报价为无效报价。</w:t>
            </w:r>
            <w:r>
              <w:rPr>
                <w:rFonts w:hint="eastAsia" w:ascii="宋体" w:hAnsi="宋体" w:eastAsia="宋体" w:cs="宋体"/>
                <w:color w:val="000000"/>
                <w:sz w:val="24"/>
                <w:szCs w:val="24"/>
                <w:highlight w:val="none"/>
              </w:rPr>
            </w:r>
            <w:r/>
          </w:p>
        </w:tc>
      </w:tr>
    </w:tbl>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注：本项目共划分为</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个采购包，供应商应按照所参与采购包分别制作投标文件。评标顺序依次为采购包一、采购包二、采购包三，各供应商可以参与一个或多个采购包的投标，但只能中标一个采购包，已经中标的供应商可以参加后续采购包的评审，但不再被推荐为中标候选人。</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学生公寓家具更新采购</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，具体详见招标文件第四章。</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包一、包二、包三：</w:t>
      </w:r>
      <w:r>
        <w:rPr>
          <w:rFonts w:hint="eastAsia" w:ascii="宋体" w:hAnsi="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Start w:id="5" w:name="_Toc35393791"/>
      <w:r/>
      <w:bookmarkStart w:id="6" w:name="_Toc28359003"/>
      <w:r/>
      <w:bookmarkStart w:id="7" w:name="_Toc35393622"/>
      <w:r/>
      <w:bookmarkStart w:id="8" w:name="_Toc28359080"/>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二、申请人的资格要求</w:t>
      </w:r>
      <w:bookmarkEnd w:id="5"/>
      <w:r/>
      <w:bookmarkEnd w:id="6"/>
      <w:r/>
      <w:bookmarkEnd w:id="7"/>
      <w:r/>
      <w:bookmarkEnd w:id="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bookmarkStart w:id="9" w:name="_Toc28359004"/>
      <w:r/>
      <w:bookmarkStart w:id="10" w:name="_Toc28359081"/>
      <w:r>
        <w:rPr>
          <w:rFonts w:hint="eastAsia" w:ascii="宋体" w:hAnsi="宋体" w:eastAsia="宋体" w:cs="宋体"/>
          <w:color w:val="000000"/>
          <w:sz w:val="24"/>
          <w:szCs w:val="24"/>
          <w:highlight w:val="none"/>
        </w:rPr>
        <w:t xml:space="preserve">（1）具有独立承担民事责任的能力（提供法人或者其他组织的营业执照，自然人的身份证明）；</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（2）具有良好的商业信誉和健全的财务会计制度（以下三种材料的任意一种：①银行出具的资信证明（评审前六个月内）；②评审前六个月内任意一个月的财务状况报告（至少包括资产负债表和利润表）；③</w:t>
      </w:r>
      <w:r>
        <w:rPr>
          <w:rFonts w:hint="eastAsia" w:ascii="宋体" w:hAnsi="宋体" w:eastAsia="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rPr>
        <w:t xml:space="preserve">年度</w:t>
      </w:r>
      <w:r>
        <w:rPr>
          <w:rFonts w:hint="eastAsia" w:ascii="宋体" w:hAnsi="宋体" w:eastAsia="宋体" w:cs="宋体"/>
          <w:color w:val="000000"/>
          <w:sz w:val="24"/>
          <w:szCs w:val="24"/>
          <w:highlight w:val="none"/>
          <w:lang w:val="en-US" w:eastAsia="zh-CN"/>
        </w:rPr>
        <w:t xml:space="preserve">或2024年度</w:t>
      </w:r>
      <w:r>
        <w:rPr>
          <w:rFonts w:hint="eastAsia" w:ascii="宋体" w:hAnsi="宋体" w:eastAsia="宋体" w:cs="宋体"/>
          <w:color w:val="000000"/>
          <w:sz w:val="24"/>
          <w:szCs w:val="24"/>
          <w:highlight w:val="none"/>
        </w:rPr>
        <w:t xml:space="preserve">经审计的财务报告。）；</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（3）具有履行合同所必需的设备和专业技术能力（根据项目需求提供履行合同所必需的设备和专业技术能力的声明及证明材料）；</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（5）参加本次采购活动前三年内，在经营活动中没有重大违法记录（提供参加本次采购活动前三年内在经营活动中没有重大违法记录的书面声明）（格式后附）；</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bookmarkEnd w:id="9"/>
      <w:r/>
      <w:bookmarkEnd w:id="10"/>
      <w:r/>
      <w:bookmarkStart w:id="11" w:name="_Toc28359082"/>
      <w:r/>
      <w:bookmarkStart w:id="12" w:name="_Toc28359005"/>
      <w:r/>
      <w:bookmarkStart w:id="13" w:name="_Toc35393624"/>
      <w:r/>
      <w:bookmarkStart w:id="14" w:name="_Toc35393793"/>
      <w:r>
        <w:rPr>
          <w:rFonts w:hint="eastAsia" w:ascii="宋体" w:hAnsi="宋体" w:eastAsia="宋体" w:cs="宋体"/>
          <w:color w:val="000000"/>
          <w:sz w:val="24"/>
          <w:szCs w:val="24"/>
          <w:highlight w:val="none"/>
        </w:rPr>
        <w:t xml:space="preserve">无（本项目非专门面向中小企业采购）。</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eastAsia="zh-CN"/>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三、获取采购文件</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时间：自招标文件公告发布之日起5个工作日。</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地点：江苏政府采购网。</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ascii="宋体" w:hAnsi="宋体" w:eastAsia="宋体" w:cs="宋体"/>
          <w:color w:val="000000"/>
          <w:sz w:val="24"/>
          <w:szCs w:val="24"/>
          <w:highlight w:val="none"/>
        </w:rPr>
      </w:r>
      <w:r/>
    </w:p>
    <w:p>
      <w:pPr>
        <w:pStyle w:val="1066"/>
        <w:ind w:firstLine="480"/>
        <w:jc w:val="left"/>
        <w:spacing w:line="360" w:lineRule="auto"/>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售价：0元。</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四、提交投标文件</w:t>
      </w:r>
      <w:bookmarkEnd w:id="11"/>
      <w:r/>
      <w:bookmarkEnd w:id="12"/>
      <w:r>
        <w:rPr>
          <w:rFonts w:hint="eastAsia" w:ascii="宋体" w:hAnsi="宋体" w:eastAsia="宋体" w:cs="宋体"/>
          <w:color w:val="000000"/>
          <w:sz w:val="24"/>
          <w:szCs w:val="24"/>
          <w:highlight w:val="none"/>
        </w:rPr>
        <w:t xml:space="preserve">截止时间、开标时间和地点</w:t>
      </w:r>
      <w:bookmarkEnd w:id="13"/>
      <w:r/>
      <w:bookmarkEnd w:id="14"/>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提交投标文件截止时间、开标时间：</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rPr>
        <w:t xml:space="preserve">月18</w:t>
      </w:r>
      <w:r>
        <w:rPr>
          <w:rFonts w:hint="eastAsia" w:ascii="宋体" w:hAnsi="宋体" w:eastAsia="宋体" w:cs="宋体"/>
          <w:color w:val="000000"/>
          <w:sz w:val="24"/>
          <w:szCs w:val="24"/>
          <w:highlight w:val="none"/>
          <w:u w:val="single"/>
        </w:rPr>
        <w:t xml:space="preserve">日9</w:t>
      </w:r>
      <w:r>
        <w:rPr>
          <w:rFonts w:hint="eastAsia" w:ascii="宋体" w:hAnsi="宋体" w:eastAsia="宋体" w:cs="宋体"/>
          <w:color w:val="000000"/>
          <w:sz w:val="24"/>
          <w:szCs w:val="24"/>
          <w:highlight w:val="none"/>
          <w:u w:val="single"/>
        </w:rPr>
        <w:t xml:space="preserve">点30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u w:val="single"/>
        </w:rPr>
        <w:t xml:space="preserve">江苏省政府采购交易系统（以下简称“苏采云系统”）网上开标大厅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66"/>
        <w:jc w:val="left"/>
        <w:spacing w:line="360" w:lineRule="auto"/>
        <w:rPr>
          <w:rFonts w:hint="eastAsia" w:ascii="宋体" w:hAnsi="宋体" w:eastAsia="宋体" w:cs="宋体"/>
          <w:color w:val="000000"/>
          <w:sz w:val="24"/>
          <w:szCs w:val="24"/>
          <w:highlight w:val="none"/>
        </w:rPr>
        <w:outlineLvl w:val="1"/>
      </w:pPr>
      <w:r/>
      <w:bookmarkStart w:id="15" w:name="_Toc35393625"/>
      <w:r/>
      <w:bookmarkStart w:id="16" w:name="_Toc28359084"/>
      <w:r/>
      <w:bookmarkStart w:id="17" w:name="_Toc28359007"/>
      <w:r/>
      <w:bookmarkStart w:id="18" w:name="_Toc35393794"/>
      <w:r>
        <w:rPr>
          <w:rFonts w:hint="eastAsia" w:ascii="宋体" w:hAnsi="宋体" w:eastAsia="宋体" w:cs="宋体"/>
          <w:color w:val="000000"/>
          <w:sz w:val="24"/>
          <w:szCs w:val="24"/>
          <w:highlight w:val="none"/>
        </w:rPr>
        <w:t xml:space="preserve">五、公告期限</w:t>
      </w:r>
      <w:bookmarkEnd w:id="15"/>
      <w:r/>
      <w:bookmarkEnd w:id="16"/>
      <w:r/>
      <w:bookmarkEnd w:id="17"/>
      <w:r/>
      <w:bookmarkEnd w:id="18"/>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bookmarkStart w:id="19" w:name="_Toc35393795"/>
      <w:r/>
      <w:bookmarkStart w:id="20" w:name="_Toc35393626"/>
      <w:r>
        <w:rPr>
          <w:rFonts w:hint="eastAsia" w:ascii="宋体" w:hAnsi="宋体" w:eastAsia="宋体" w:cs="宋体"/>
          <w:color w:val="000000"/>
          <w:sz w:val="24"/>
          <w:szCs w:val="24"/>
          <w:highlight w:val="none"/>
        </w:rPr>
        <w:t xml:space="preserve">六、其他补充事宜</w:t>
      </w:r>
      <w:bookmarkEnd w:id="19"/>
      <w:r/>
      <w:bookmarkEnd w:id="20"/>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本项目采购标的所属行业为：工业。</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bookmarkStart w:id="21" w:name="_Toc35393627"/>
      <w:r/>
      <w:bookmarkStart w:id="22" w:name="_Toc35393796"/>
      <w:r/>
      <w:bookmarkStart w:id="23" w:name="_Toc28359085"/>
      <w:r/>
      <w:bookmarkStart w:id="24" w:name="_Toc28359008"/>
      <w:r>
        <w:rPr>
          <w:rFonts w:hint="eastAsia" w:ascii="宋体" w:hAnsi="宋体" w:eastAsia="宋体" w:cs="宋体"/>
          <w:color w:val="000000"/>
          <w:sz w:val="24"/>
          <w:szCs w:val="24"/>
          <w:highlight w:val="none"/>
          <w:lang w:val="en-US" w:eastAsia="zh-CN"/>
        </w:rPr>
        <w:t xml:space="preserve">2.本项目不接受联合体投标，不接受转包、分包。</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3.本项目不接受进口产品投标（注：本文件所称进口产品是指通过中国海关报关验放进入中国境内且产自关境外的产品）。</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4.拒绝下述投标人参加本次采购活动：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（1）投标人单位负责人为同一人或者存在直接控股、管理关系的不同投标人，不得参加同一合同项下的采购活动。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（2）凡为采购项目提供整体设计、规范编制或者项目管理、监理、检测等服务的投标人，不得再参加本项目的采购活动。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（3）拒绝列入失信被执行人、重大税收违法失信主体、政府采购严重违法失信行为记录名单中的投标人参加本项目的采购活动。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5.集中考察或答疑：采购人不组织。</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6.公告媒体</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（1）本公告在江苏政府采购网（http://www.ccgp-jiangsu.gov.cn/）发布，敬请各投标人关注；</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（2）若有关本次采购存在变动或修改，敬请各投标人及时关注江苏政府采购网（http://www.ccgp-jiangsu.gov.cn/）发布的关于本项目的信息更正公告。</w:t>
      </w:r>
      <w:r>
        <w:rPr>
          <w:rFonts w:hint="eastAsia" w:ascii="宋体" w:hAnsi="宋体" w:eastAsia="宋体" w:cs="宋体"/>
          <w:color w:val="000000"/>
          <w:sz w:val="24"/>
          <w:szCs w:val="24"/>
          <w:highlight w:val="none"/>
          <w:lang w:val="en-US" w:eastAsia="zh-CN"/>
        </w:rPr>
      </w:r>
      <w:r/>
    </w:p>
    <w:p>
      <w:pPr>
        <w:pStyle w:val="10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 w:val="24"/>
          <w:szCs w:val="24"/>
          <w:highlight w:val="none"/>
        </w:rPr>
      </w:r>
      <w:r/>
    </w:p>
    <w:p>
      <w:pPr>
        <w:pStyle w:val="1066"/>
        <w:jc w:val="left"/>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七、对本次招标提出询问，请按以下方式联系。</w:t>
      </w:r>
      <w:bookmarkEnd w:id="21"/>
      <w:r/>
      <w:bookmarkEnd w:id="22"/>
      <w:r/>
      <w:bookmarkEnd w:id="23"/>
      <w:r/>
      <w:bookmarkEnd w:id="24"/>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bookmarkStart w:id="25" w:name="_Toc28359086"/>
      <w:r/>
      <w:bookmarkStart w:id="26" w:name="_Toc28359009"/>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江苏海事职业技术学院</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江苏省南京市江宁区格致路 309 号</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陈老师025-86176900 </w:t>
      </w:r>
      <w:r>
        <w:rPr>
          <w:rFonts w:hint="eastAsia" w:ascii="宋体" w:hAnsi="宋体" w:cs="宋体"/>
          <w:color w:val="000000"/>
          <w:sz w:val="24"/>
          <w:szCs w:val="24"/>
          <w:highlight w:val="none"/>
          <w:u w:val="single"/>
          <w:lang w:val="en-US" w:eastAsia="zh-CN"/>
        </w:rPr>
        <w:t xml:space="preserve">张老师</w:t>
      </w:r>
      <w:r>
        <w:rPr>
          <w:rFonts w:hint="eastAsia" w:ascii="宋体" w:hAnsi="宋体" w:eastAsia="宋体" w:cs="宋体"/>
          <w:color w:val="000000"/>
          <w:sz w:val="24"/>
          <w:szCs w:val="24"/>
          <w:highlight w:val="none"/>
          <w:u w:val="single"/>
        </w:rPr>
        <w:t xml:space="preserve">025-86176085  </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2.采购代理机构信息</w:t>
      </w:r>
      <w:bookmarkEnd w:id="25"/>
      <w:r/>
      <w:bookmarkEnd w:id="26"/>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南京苏宁工程咨询有限公司</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南京市鼓楼区中山路99号12楼</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bookmarkStart w:id="27" w:name="_Toc28359010"/>
      <w:r/>
      <w:bookmarkStart w:id="28" w:name="_Toc2835908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张薇025-84207240、025-83616261</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3.项目联系方式</w:t>
      </w:r>
      <w:bookmarkEnd w:id="27"/>
      <w:r/>
      <w:bookmarkEnd w:id="28"/>
      <w:r>
        <w:rPr>
          <w:rFonts w:hint="eastAsia" w:ascii="宋体" w:hAnsi="宋体" w:eastAsia="宋体" w:cs="宋体"/>
          <w:color w:val="000000"/>
          <w:sz w:val="24"/>
          <w:szCs w:val="24"/>
          <w:highlight w:val="non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u w:val="single"/>
        </w:rPr>
        <w:t xml:space="preserve">张薇</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025-84207240、025-83616261</w:t>
      </w:r>
      <w:r>
        <w:rPr>
          <w:rFonts w:hint="eastAsia" w:ascii="宋体" w:hAnsi="宋体" w:eastAsia="宋体" w:cs="宋体"/>
          <w:color w:val="000000"/>
          <w:sz w:val="24"/>
          <w:szCs w:val="24"/>
          <w:highlight w:val="none"/>
          <w:u w:val="single"/>
        </w:rPr>
      </w:r>
      <w:r/>
    </w:p>
    <w:p>
      <w:pPr>
        <w:pStyle w:val="1066"/>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请贵单位领取本次采购文件后，认真阅读各项内容，进行必要的投标准备，按文件的要求详细填写和编制响应文件，并按以上确定的时间、地点准时参加投标。</w:t>
      </w:r>
      <w:r>
        <w:rPr>
          <w:rFonts w:hint="eastAsia" w:ascii="宋体" w:hAnsi="宋体" w:eastAsia="宋体" w:cs="宋体"/>
          <w:color w:val="000000"/>
          <w:sz w:val="24"/>
          <w:szCs w:val="24"/>
          <w:highlight w:val="none"/>
          <w:lang w:val="zh-CN"/>
        </w:rPr>
      </w:r>
      <w:r/>
    </w:p>
    <w:p>
      <w:pPr>
        <w:pStyle w:val="1066"/>
        <w:jc w:val="center"/>
        <w:spacing w:line="360" w:lineRule="auto"/>
        <w:rPr>
          <w:rFonts w:hint="eastAsia" w:ascii="宋体" w:hAnsi="宋体" w:eastAsia="宋体" w:cs="宋体"/>
          <w:color w:val="000000"/>
          <w:sz w:val="24"/>
          <w:szCs w:val="24"/>
          <w:highlight w:val="none"/>
          <w:lang w:val="zh-CN"/>
        </w:rPr>
        <w:sectPr>
          <w:headerReference w:type="default" r:id="rId9"/>
          <w:footerReference w:type="default" r:id="rId11"/>
          <w:footerReference w:type="first" r:id="rId12"/>
          <w:footnotePr/>
          <w:endnotePr>
            <w:numFmt w:val="decimal"/>
          </w:endnotePr>
          <w:type w:val="nextPage"/>
          <w:pgSz w:w="11906" w:h="16838" w:orient="portrait"/>
          <w:pgMar w:top="850" w:right="850" w:bottom="850" w:left="1417" w:header="850" w:footer="720" w:gutter="0"/>
          <w:cols w:num="1" w:sep="0" w:space="1701" w:equalWidth="1"/>
          <w:docGrid w:linePitch="360"/>
        </w:sectPr>
      </w:pPr>
      <w:r>
        <w:rPr>
          <w:rFonts w:hint="eastAsia" w:ascii="宋体" w:hAnsi="宋体" w:eastAsia="宋体" w:cs="宋体"/>
          <w:color w:val="000000"/>
          <w:sz w:val="24"/>
          <w:szCs w:val="24"/>
          <w:highlight w:val="none"/>
          <w:lang w:val="zh-CN"/>
        </w:rPr>
      </w:r>
      <w:r/>
    </w:p>
    <w:p>
      <w:pPr>
        <w:pStyle w:val="1066"/>
        <w:jc w:val="center"/>
        <w:rPr>
          <w:rFonts w:hint="eastAsia" w:ascii="宋体" w:hAnsi="宋体" w:eastAsia="宋体" w:cs="宋体"/>
          <w:color w:val="000000"/>
          <w:sz w:val="28"/>
          <w:szCs w:val="28"/>
          <w:highlight w:val="none"/>
        </w:rPr>
        <w:outlineLvl w:val="0"/>
      </w:pPr>
      <w:r>
        <w:rPr>
          <w:rFonts w:hint="eastAsia" w:ascii="宋体" w:hAnsi="宋体" w:eastAsia="宋体" w:cs="宋体"/>
          <w:color w:val="000000"/>
          <w:sz w:val="36"/>
          <w:szCs w:val="36"/>
          <w:highlight w:val="none"/>
          <w:lang w:val="zh-CN"/>
        </w:rPr>
        <w:t xml:space="preserve">第二章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en-US" w:eastAsia="zh-CN"/>
        </w:rPr>
        <w:t xml:space="preserve">投标人</w:t>
      </w:r>
      <w:r>
        <w:rPr>
          <w:rFonts w:hint="eastAsia" w:ascii="宋体" w:hAnsi="宋体" w:eastAsia="宋体" w:cs="宋体"/>
          <w:color w:val="000000"/>
          <w:sz w:val="36"/>
          <w:szCs w:val="36"/>
          <w:highlight w:val="none"/>
          <w:lang w:val="zh-CN"/>
        </w:rPr>
        <w:t xml:space="preserve">须知</w:t>
      </w:r>
      <w:r>
        <w:rPr>
          <w:rFonts w:hint="eastAsia" w:ascii="宋体" w:hAnsi="宋体" w:eastAsia="宋体" w:cs="宋体"/>
          <w:color w:val="000000"/>
          <w:sz w:val="28"/>
          <w:szCs w:val="28"/>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1.适用法律</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《中华人民共和国政府采购法》《中华人民共和国政府采购法实施条例》《政府采购货物和服务招标投标管理办法》等有关法律、规章和规定等。</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2.定义</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2.1“采购人”是指江苏海事职业技术学院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2.2“采购代理机构”是指南京苏宁工程咨询有限公司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是指向采购人提供货物、工程或者服务的法人、其他组织或者自然人。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“货物”是指各种形态和种类的物品，包括原材料、燃料、设备、产品等。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“工程”是指建设工程，包括建筑物和构筑物的新建、改建、扩建、装修、拆除、修缮等。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“服务”是指除货物和工程以外的其他政府采购对象。</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3.政策功能</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政府采购促进中小企业发展，在政府采购活动中，投标人提供的货物、工程或者服务，符合下列情形的，享受中小企业扶持政策：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在货物采购项目中，投标人提供的货物既有中小企业制造货物，也有大型企业制造货物的，不享受中小企业扶持政策。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脱贫攻坚支持政策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提供的产品属于信息安全产品的，投标人应当选择经国家认证的信息安全产品投标，并提供由中国信息安全认证中心按国家标准认证颁发的有效认证证书复印件。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提供的产品属于政府强制采购节能产品的，投标人应当选择依据国家标准中二级能效（水效）指标认证的节能产品投标，并提供有效的节能产品认证证书复印件。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提供的产品属于环境标志产品的，投标人应当选择依据相关标准的最新版本认证的环境标志产品投标，并提供有效的环境标志产品认证证书复印件。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3.9实施本国产品标准及相关政策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3.9.1</w:t>
      </w:r>
      <w:r>
        <w:rPr>
          <w:rFonts w:hint="eastAsia" w:ascii="宋体" w:hAnsi="宋体" w:eastAsia="宋体" w:cs="宋体"/>
          <w:color w:val="000000"/>
          <w:sz w:val="24"/>
          <w:szCs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中实施本国产品标准及相关政策的通知》（宁财购通〔2025〕78号）等文件规定，在政府采购中实施本国产品标准及相关政策。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3.9.2</w:t>
      </w:r>
      <w:r>
        <w:rPr>
          <w:rFonts w:hint="eastAsia" w:ascii="宋体" w:hAnsi="宋体" w:eastAsia="宋体" w:cs="宋体"/>
          <w:color w:val="000000"/>
          <w:sz w:val="24"/>
          <w:szCs w:val="24"/>
          <w:highlight w:val="none"/>
        </w:rPr>
        <w:t xml:space="preserve">本国产品应当符合以下条件：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（1）在中国境内生产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（2）在中国境内生产的组件成本占比达到规定比例</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（3）特定产品的关键组件、关键工序符合相关要求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3.9.3</w:t>
      </w:r>
      <w:r>
        <w:rPr>
          <w:rFonts w:hint="eastAsia" w:ascii="宋体" w:hAnsi="宋体" w:eastAsia="宋体" w:cs="宋体"/>
          <w:color w:val="000000"/>
          <w:sz w:val="24"/>
          <w:szCs w:val="24"/>
          <w:highlight w:val="none"/>
        </w:rPr>
        <w:t xml:space="preserve">本国产品标准的适用范围</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3.9.4</w:t>
      </w:r>
      <w:r>
        <w:rPr>
          <w:rFonts w:hint="eastAsia" w:ascii="宋体" w:hAnsi="宋体" w:eastAsia="宋体" w:cs="宋体"/>
          <w:color w:val="000000"/>
          <w:sz w:val="24"/>
          <w:szCs w:val="24"/>
          <w:highlight w:val="none"/>
        </w:rPr>
        <w:t xml:space="preserve">对本国产品的支持政策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本项目如既有本国产品又有非本国产品参与竞争，依法对本国产品给予价格评审优惠，具体详见第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3.9.5</w:t>
      </w:r>
      <w:r>
        <w:rPr>
          <w:rFonts w:hint="eastAsia" w:ascii="宋体" w:hAnsi="宋体" w:eastAsia="宋体" w:cs="宋体"/>
          <w:color w:val="000000"/>
          <w:sz w:val="24"/>
          <w:szCs w:val="24"/>
          <w:highlight w:val="none"/>
        </w:rPr>
        <w:t xml:space="preserve">政策执行要求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评标委员会</w:t>
      </w:r>
      <w:r>
        <w:rPr>
          <w:rFonts w:hint="eastAsia" w:ascii="宋体" w:hAnsi="宋体" w:eastAsia="宋体" w:cs="宋体"/>
          <w:color w:val="000000"/>
          <w:sz w:val="24"/>
          <w:szCs w:val="24"/>
          <w:highlight w:val="none"/>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3.10 未按要求提供相关材料的，不享受相关政策。</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4.招标文件的约束力</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二、招标文件</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5.招标文件组成</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招标文件组成：投标邀请、投标人须知、评标方法与评标标准、采购需求、合同主要条款及格式、投标文件格式及附件等。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招标的最小单位是</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包。招标货物数量及技术要求中未</w:t>
      </w:r>
      <w:r>
        <w:rPr>
          <w:rFonts w:hint="eastAsia" w:ascii="宋体" w:hAnsi="宋体" w:eastAsia="宋体" w:cs="宋体"/>
          <w:color w:val="000000"/>
          <w:sz w:val="24"/>
          <w:szCs w:val="24"/>
          <w:highlight w:val="none"/>
          <w:lang w:val="en-US" w:eastAsia="zh-CN"/>
        </w:rPr>
        <w:t xml:space="preserve">划分采购</w:t>
      </w:r>
      <w:r>
        <w:rPr>
          <w:rFonts w:hint="eastAsia" w:ascii="宋体" w:hAnsi="宋体" w:eastAsia="宋体" w:cs="宋体"/>
          <w:color w:val="000000"/>
          <w:sz w:val="24"/>
          <w:szCs w:val="24"/>
          <w:highlight w:val="none"/>
        </w:rPr>
        <w:t xml:space="preserve">包的，投标人对要求提供的货物不得部分投标；招标货物数量及技术要求中已经分包的，应当以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包为单位投标。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招标文件如果要求投标人提交备选投标方案的，投标人可以提交备选方案，否则，不接受备选方案。</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6.招标文件的澄清修改</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代理机构在招标文件要求提交投标文件截止时间前，有权决定延长投标截止时间和开标时间，并在原采购信息发布媒体上发布变更公告。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投标人应在投标截止时间前关注原采购信息发布媒体上有关本招标项目有无</w:t>
      </w:r>
      <w:r>
        <w:rPr>
          <w:rFonts w:hint="eastAsia" w:ascii="宋体" w:hAnsi="宋体" w:eastAsia="宋体" w:cs="宋体"/>
          <w:color w:val="000000"/>
          <w:sz w:val="24"/>
          <w:szCs w:val="24"/>
          <w:highlight w:val="none"/>
          <w:lang w:val="en-US" w:eastAsia="zh-CN"/>
        </w:rPr>
        <w:t xml:space="preserve">更正</w:t>
      </w:r>
      <w:r>
        <w:rPr>
          <w:rFonts w:hint="eastAsia" w:ascii="宋体" w:hAnsi="宋体" w:eastAsia="宋体" w:cs="宋体"/>
          <w:color w:val="000000"/>
          <w:sz w:val="24"/>
          <w:szCs w:val="24"/>
          <w:highlight w:val="none"/>
        </w:rPr>
        <w:t xml:space="preserve">公告。</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三、投标</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7.投标文件的语言、计量单位、货币、技术标准和编制</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投标人所使用的计量单位应为国家法定计量单位。</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投标人应用人民币报价。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投标文件应字迹清楚、内容齐全、不得涂改。如有修改，修改处须有法定代表人签字或盖章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或授权委托人签字或加盖投标人公章。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如标书制作工具中格式和内容与“江苏政府采购网”发布的招标文件不一致，以“江苏政府采购网”发布的招标文件为准。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投标人应在投标文件中写清相应的项目编号、项目名称、投标人全称、地址、电话、传真等。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投标人所使用的技术标准应遵循国家最新标准及规范。</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8.联合体及分包：本项目不接受联合体投标，不接受分包、转包。</w:t>
      </w:r>
      <w:r>
        <w:rPr>
          <w:rFonts w:hint="eastAsia" w:ascii="宋体" w:hAnsi="宋体" w:eastAsia="宋体" w:cs="宋体"/>
          <w:b/>
          <w:bCs/>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采购项目如接受联合体投标的，两个以上的自然人、法人或者其他组织可以组成一个联合体，以一个投标人的身份共同参加投标。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政府采购合同分包履行的，中标人就采购项目和分包项目向采购人负责，分包项目投标人就分包项目承担责任，中标人与分包投标人之间应该签订分包意向协议。</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 享受中小企业扶持政策获得政府采购合同的，小微企业不得将合同分包给大中型企业，中型企业不得将合同分包给大型企业。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9.投标费用</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投标人应承担所有与准备和参加投标有关的费用，无论采购结果如何，代理机构和采购人在任何情况下均无义务和责任承担这些费用。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招标代理服务费：本次招标，中标人按《招标代理服务收费管理暂行办法》（国家发展计划委员会计价格</w:t>
      </w:r>
      <w:r>
        <w:rPr>
          <w:rFonts w:hint="eastAsia" w:ascii="宋体" w:hAnsi="宋体" w:eastAsia="宋体" w:cs="宋体"/>
          <w:color w:val="000000"/>
          <w:sz w:val="24"/>
          <w:szCs w:val="24"/>
          <w:highlight w:val="none"/>
          <w:lang w:eastAsia="zh-CN"/>
        </w:rPr>
        <w:t xml:space="preserve">〔2002〕1980号</w:t>
      </w:r>
      <w:r>
        <w:rPr>
          <w:rFonts w:hint="eastAsia" w:ascii="宋体" w:hAnsi="宋体" w:eastAsia="宋体" w:cs="宋体"/>
          <w:color w:val="000000"/>
          <w:sz w:val="24"/>
          <w:szCs w:val="24"/>
          <w:highlight w:val="none"/>
        </w:rPr>
        <w:t xml:space="preserve">）代理服务招标收费标准</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计算，向招标代理机构支付招标代理服务费。该项费用请供应商综合考虑在投标报价中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无须在报价表中单列此费用）</w:t>
      </w:r>
      <w:r>
        <w:rPr>
          <w:rFonts w:hint="eastAsia" w:ascii="宋体" w:hAnsi="宋体" w:eastAsia="宋体" w:cs="宋体"/>
          <w:color w:val="000000"/>
          <w:sz w:val="24"/>
          <w:szCs w:val="24"/>
          <w:highlight w:val="none"/>
        </w:rPr>
        <w:t xml:space="preserve">，后期采购人不单独列支，必须在领取中标通知书前向招标代理机构支付招标服务费。</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9.3</w:t>
      </w:r>
      <w:r>
        <w:rPr>
          <w:rFonts w:hint="eastAsia" w:ascii="宋体" w:hAnsi="宋体" w:eastAsia="宋体" w:cs="宋体"/>
          <w:color w:val="000000"/>
          <w:sz w:val="24"/>
          <w:szCs w:val="24"/>
          <w:highlight w:val="none"/>
        </w:rPr>
        <w:t xml:space="preserve"> </w:t>
      </w:r>
      <w:r>
        <w:rPr>
          <w:rFonts w:hint="eastAsia" w:ascii="宋体" w:hAnsi="宋体" w:cs="宋体"/>
          <w:b w:val="0"/>
          <w:bCs w:val="0"/>
          <w:color w:val="000000"/>
          <w:sz w:val="24"/>
          <w:szCs w:val="24"/>
          <w:highlight w:val="none"/>
          <w:lang w:val="en-US" w:eastAsia="zh-CN"/>
        </w:rPr>
        <w:t xml:space="preserve">评审费：</w:t>
      </w:r>
      <w:r>
        <w:rPr>
          <w:rFonts w:hint="eastAsia" w:ascii="宋体" w:hAnsi="宋体" w:eastAsia="宋体" w:cs="宋体"/>
          <w:color w:val="000000"/>
          <w:sz w:val="24"/>
          <w:szCs w:val="24"/>
          <w:highlight w:val="none"/>
        </w:rPr>
        <w:t xml:space="preserve">本次招标，</w:t>
      </w:r>
      <w:r>
        <w:rPr>
          <w:rFonts w:hint="eastAsia" w:ascii="宋体" w:hAnsi="宋体" w:eastAsia="宋体" w:cs="宋体"/>
          <w:color w:val="000000"/>
          <w:sz w:val="24"/>
          <w:szCs w:val="24"/>
          <w:highlight w:val="none"/>
          <w:lang w:val="en-US" w:eastAsia="zh-CN"/>
        </w:rPr>
        <w:t xml:space="preserve">评审费由采购人支付。</w:t>
      </w:r>
      <w:r>
        <w:rPr>
          <w:rFonts w:ascii="宋体" w:hAnsi="宋体" w:eastAsia="宋体" w:cs="宋体"/>
          <w:b w:val="0"/>
          <w:bCs w:val="0"/>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10.投标文件组成</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投标文件由商务部分、技术部分、价格部分，以及其他部分组成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格式见第六章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11.投标文件的商务部分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商务部分是证明投标人有资格参加投标和中标后有能力履行合同的文件，这些文件应能满足招标的要求，包括但不限于下列文件，其中加“★”项目不得有缺失或无效：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w:t>
      </w:r>
      <w:r>
        <w:rPr>
          <w:rFonts w:hint="eastAsia" w:ascii="宋体" w:hAnsi="宋体" w:eastAsia="宋体" w:cs="宋体"/>
          <w:color w:val="000000"/>
          <w:sz w:val="24"/>
          <w:szCs w:val="24"/>
          <w:highlight w:val="none"/>
          <w:lang w:val="en-US" w:eastAsia="zh-CN"/>
        </w:rPr>
        <w:t xml:space="preserve">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（2）★法定代表人授权委托书、授权委托人的身份证复印件及投标人或分支机构为其缴纳的社保证明（有授权委托的），或法定代表人身份证复印件（无授权委托的）；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（3）★第一章投标邀请中“二、申请人的资格要求”规定的证明文件；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（5）投标人认为需要提供的其他资格证明文件和商务资料。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12.投标文件的技术部分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技术部分是证明投标人提供的货物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是合格的、并符合招标文件要求的证明文件，以及对</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的详细说明，这些文件可以是文字资料、图纸和数据等。</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若技术性能无特殊说明，则按国家有关部门最新颁布的标准及规范为准。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12.3 提供的货物</w:t>
      </w:r>
      <w:r>
        <w:rPr>
          <w:rFonts w:hint="eastAsia" w:ascii="宋体" w:hAnsi="宋体" w:eastAsia="宋体" w:cs="宋体"/>
          <w:color w:val="000000"/>
          <w:sz w:val="24"/>
          <w:szCs w:val="24"/>
          <w:highlight w:val="none"/>
          <w:lang w:val="en-US" w:eastAsia="zh-CN"/>
        </w:rPr>
        <w:t xml:space="preserve">及相关服务</w:t>
      </w:r>
      <w:r>
        <w:rPr>
          <w:rFonts w:hint="eastAsia" w:ascii="宋体" w:hAnsi="宋体" w:eastAsia="宋体" w:cs="宋体"/>
          <w:color w:val="000000"/>
          <w:sz w:val="24"/>
          <w:szCs w:val="24"/>
          <w:highlight w:val="none"/>
        </w:rPr>
        <w:t xml:space="preserve">的技术指标如与招标文件要求有不符之处，应说明其差别之所在，并在《技术条款偏离表》中逐条予以说明。</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13.投标文件的价格部分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.1所有投标均以人民币报价，应包括国家规定的税金。</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.2投标文件的价格部分是对采购标的价格构成的说明，招标文件如无特别说明，每项货物、服务或工程等只允许有一个报价，任何有选择的报价将不予接受，将作为无效投标处理。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14.投标文件的其他部分</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投标人编制投标文件需要提供的其他相关文件。</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15.投标保证金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无</w:t>
      </w:r>
      <w:r>
        <w:rPr>
          <w:rFonts w:hint="eastAsia" w:ascii="宋体" w:hAnsi="宋体" w:eastAsia="宋体" w:cs="宋体"/>
          <w:b/>
          <w:bCs/>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16.投标有效期</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16.1 自开标之日起</w:t>
      </w:r>
      <w:r>
        <w:rPr>
          <w:rFonts w:hint="eastAsia" w:ascii="宋体" w:hAnsi="宋体" w:eastAsia="宋体" w:cs="宋体"/>
          <w:color w:val="000000"/>
          <w:sz w:val="24"/>
          <w:szCs w:val="24"/>
          <w:highlight w:val="none"/>
          <w:u w:val="single"/>
        </w:rPr>
        <w:t xml:space="preserve">九十日</w:t>
      </w:r>
      <w:r>
        <w:rPr>
          <w:rFonts w:hint="eastAsia" w:ascii="宋体" w:hAnsi="宋体" w:eastAsia="宋体" w:cs="宋体"/>
          <w:color w:val="000000"/>
          <w:sz w:val="24"/>
          <w:szCs w:val="24"/>
          <w:highlight w:val="none"/>
        </w:rPr>
        <w:t xml:space="preserve">内投标有效。</w:t>
      </w:r>
      <w:r>
        <w:rPr>
          <w:rFonts w:hint="eastAsia" w:ascii="宋体" w:hAnsi="宋体" w:eastAsia="宋体" w:cs="宋体"/>
          <w:b/>
          <w:bCs/>
          <w:color w:val="000000"/>
          <w:sz w:val="24"/>
          <w:szCs w:val="24"/>
          <w:highlight w:val="none"/>
          <w:lang w:val="en-US" w:eastAsia="zh-CN"/>
        </w:rPr>
        <w:t xml:space="preserve">投标有效期未达到规定期限的，按无效投标处理。</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17.投标文件的签署</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投标文件须经法定代表人或经正式授权并对投标人有约束力的授权委托人签字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可采用电子签名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和加盖投标人</w:t>
      </w:r>
      <w:r>
        <w:rPr>
          <w:rFonts w:hint="eastAsia" w:ascii="宋体" w:hAnsi="宋体" w:eastAsia="宋体" w:cs="宋体"/>
          <w:color w:val="000000"/>
          <w:sz w:val="24"/>
          <w:szCs w:val="24"/>
          <w:highlight w:val="none"/>
          <w:lang w:val="en-US" w:eastAsia="zh-CN"/>
        </w:rPr>
        <w:t xml:space="preserve">电子</w:t>
      </w:r>
      <w:r>
        <w:rPr>
          <w:rFonts w:hint="eastAsia" w:ascii="宋体" w:hAnsi="宋体" w:eastAsia="宋体" w:cs="宋体"/>
          <w:color w:val="000000"/>
          <w:sz w:val="24"/>
          <w:szCs w:val="24"/>
          <w:highlight w:val="none"/>
        </w:rPr>
        <w:t xml:space="preserve">公章。本招标文件所表述（指定）的公章是指法定名称章，不包括合同专用章、业务专用章等印章。</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18.投标文件的递交</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投标人应当按照《操作手册》规定，在招标公告规定的投标截止时间前制作并上传电子投标文件。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投标人应充分考虑网络环境、网络带宽等因素可能对投标产生的影响，如因投标人自身原因造成的电子投标文件上传不成功的，按做无效投标处理。</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19.有下列情形之一的投标文件将被拒收</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投标截止时间后上传的任何投标文件将被拒绝。</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20.投标文件的修改和撤回</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 投标文件的撤回</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.1.1 投标人可在投标截止时间前撤回其电子投标文件，具体操作方法见《操作手册》。</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.1.2 投标人撤回电子投标文件，则认为其不再参与本项目投标活动。</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 投标文件的修改</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.2.1 投标人可在投标截止时间前对其电子投标文件进行修改，具体操作方法见《操作手册》。</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.2.2 投标截止时间之后，投标人不得对其电子投标文件作任何修改。</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.3 在投标截止时间至招标文件中规定的投标有效期满之间的这段时间内，投标人不得撤回其投标。</w:t>
      </w:r>
      <w:r>
        <w:rPr>
          <w:rFonts w:hint="eastAsia" w:ascii="宋体" w:hAnsi="宋体" w:eastAsia="宋体" w:cs="宋体"/>
          <w:color w:val="000000"/>
          <w:sz w:val="24"/>
          <w:szCs w:val="24"/>
          <w:highlight w:val="none"/>
          <w:lang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四、开标、评标与确定中标人</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21.开标</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21.4 如出现投标截止时间结束后参加投标的投标人不足三家的情况，不得开标。</w:t>
      </w:r>
      <w:r>
        <w:rPr>
          <w:rFonts w:hint="eastAsia" w:ascii="宋体" w:hAnsi="宋体" w:eastAsia="宋体" w:cs="宋体"/>
          <w:color w:val="000000"/>
          <w:sz w:val="24"/>
          <w:szCs w:val="24"/>
          <w:highlight w:val="none"/>
          <w:lang w:val="en-US"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22.评标</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评标组织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评标工作由代理机构组织，具体评标事务由依法组建的评标委员会负责，并独立履行下列职责：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（1）审查、评价投标文件是否符合招标文件的商务、技术等实质性要求；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（2）要求投标人对投标文件有关事项作出澄清或者说明；</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（3）对投标文件进行比较和评价；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（4）推荐中标候选人或根据采购人委托直接确定中标人；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（5）向采购人、采购代理机构或者有关部门报告评标中发现的违法行为。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评标委员会由采购人代表（如有）和有关技术、经济等方面的专家组成，独立开展评审工作。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评标程序</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 投标文件的资格审查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采购人代表依法对投标人的资格进行审查。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采购人代表依据法律法规和招标文件的规定，对投标文件中的资格证明文件等进行审查，以确定投标人是否具备投标资格。</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将查询结果以网页打印的形式留存并归档。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22.2.1.4 投标文件有下列情况之一的，在资格性审查时按照无效投标处理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（1）不具备招标文件规定资格条件的；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 投标文件的符合性审查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22.2.2.2 实质性要求是指本招标文件中带“★”的要求。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22.2.2.3 如果投标文件实质上没有响应招标文件的要求，评标委员会将予以拒绝，投标人不得通过修改或撤销不符合要求的偏离而使其投标成为实质性响应的投标。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22.2.2.4 算术错误的修正</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22.2.2.4.1 </w:t>
      </w:r>
      <w:r>
        <w:rPr>
          <w:rFonts w:hint="eastAsia" w:ascii="宋体" w:hAnsi="宋体" w:eastAsia="宋体" w:cs="宋体"/>
          <w:color w:val="000000"/>
          <w:sz w:val="24"/>
          <w:szCs w:val="24"/>
          <w:highlight w:val="none"/>
        </w:rPr>
        <w:t xml:space="preserve">评标委员会将对确定为实质性响应的投标进行进一步审核，看其是否有计算上或累加上的算术错误，修正错误的原则如下：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22.2.2.4.2 </w:t>
      </w:r>
      <w:r>
        <w:rPr>
          <w:rFonts w:hint="eastAsia" w:ascii="宋体" w:hAnsi="宋体" w:eastAsia="宋体" w:cs="宋体"/>
          <w:color w:val="000000"/>
          <w:sz w:val="24"/>
          <w:szCs w:val="24"/>
          <w:highlight w:val="none"/>
        </w:rPr>
        <w:t xml:space="preserve">评标委员会将按上述修正错误的方法调整投标文件中的投标报价，并通过苏采云系统告知投标人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经投标人确认后产生约束力，投标人不确认的，其投标无效。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相同品牌产品投标的处理方法</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（3）非单一产品采购项目，根据采购项目技术构成、产品价格比重等合理确定核心产品，核心产品见招标文件规定。多家投标人提供的核心产品品牌相同的，按前两款规定处理。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 </w:t>
      </w:r>
      <w:r>
        <w:rPr>
          <w:rFonts w:hint="eastAsia" w:ascii="宋体" w:hAnsi="宋体" w:eastAsia="宋体" w:cs="宋体"/>
          <w:color w:val="000000"/>
          <w:sz w:val="24"/>
          <w:szCs w:val="24"/>
          <w:highlight w:val="none"/>
        </w:rPr>
        <w:t xml:space="preserve">异常低价审查</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6.1 </w:t>
      </w:r>
      <w:r>
        <w:rPr>
          <w:rFonts w:hint="eastAsia" w:ascii="宋体" w:hAnsi="宋体" w:eastAsia="宋体" w:cs="宋体"/>
          <w:color w:val="000000"/>
          <w:sz w:val="24"/>
          <w:szCs w:val="24"/>
          <w:highlight w:val="none"/>
        </w:rPr>
        <w:t xml:space="preserve">评标过程中出现下列情形之一的，评标委员会应当启动异常低价投标审查程序：</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（1）投标报价低于全部通过符合性审查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%的，即投标报价&lt;全部通过符合性审查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（2）投标报价低于通过符合性审查的次低报价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%的，即投标报价&lt;通过符合性审查的次低报价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（4）评标委员会基于专业判断，认为</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报价过低，有可能影响产品质量或者不能诚信履约的其他情形。</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6.2 </w:t>
      </w:r>
      <w:r>
        <w:rPr>
          <w:rFonts w:hint="eastAsia" w:ascii="宋体" w:hAnsi="宋体" w:eastAsia="宋体" w:cs="宋体"/>
          <w:color w:val="000000"/>
          <w:sz w:val="24"/>
          <w:szCs w:val="24"/>
          <w:highlight w:val="none"/>
        </w:rPr>
        <w:t xml:space="preserve">评标委员会启动异常低价投标审查后，属于前述第（1）项至第（4）项情形的，应当要求相关</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的合理时间一般不少于30分钟。其中，属于第（3）项情形，</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已随投标文件一并提交相关书面说明及必要的证明材料的，在评标现场可不再重复提交。</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投标文件有下列情况之一的，在符合性审查时按照无效投标处理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（1）投标人在苏采云系统规定的时间内未成功解密电子投标文件；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（2）投标人未按照招标文件要求上传电子投标文件；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（3）报价超过招标文件中规定的预算金额或者最高限价的；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（4）不同投标人的投标文件由同一单位或者个人编制；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（5）不同投标人委托同一单位或者个人办理投标事宜；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（6）不同投标人的投标文件载明的项目管理成员或者联系人员为同一人；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（7）不同投标人的投标文件异常一致或者投标报价呈规律性差异；</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（8）不同投标人的投标文件相互混装；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）不同投标人的负责人为同一人或者存在控股、管理关系的；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）不同投标人的授权委托人（或法定代表人、项目经理、项目总监、项目负责人等）在招标文件发布日上月至投标截止日当月在同一单位缴纳社会保险的；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）未实质性响应招标文件要求的；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）属于投标邀请中拒绝参加本次采购活动投标人的；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）评标委员会</w:t>
      </w:r>
      <w:r>
        <w:rPr>
          <w:rFonts w:hint="eastAsia" w:ascii="宋体" w:hAnsi="宋体" w:eastAsia="宋体" w:cs="宋体"/>
          <w:color w:val="000000"/>
          <w:sz w:val="24"/>
          <w:szCs w:val="24"/>
          <w:highlight w:val="none"/>
          <w:lang w:val="en-US" w:eastAsia="zh-CN"/>
        </w:rPr>
        <w:t xml:space="preserve">启动</w:t>
      </w:r>
      <w:r>
        <w:rPr>
          <w:rFonts w:hint="eastAsia" w:ascii="宋体" w:hAnsi="宋体" w:eastAsia="宋体" w:cs="宋体"/>
          <w:color w:val="000000"/>
          <w:sz w:val="24"/>
          <w:szCs w:val="24"/>
          <w:highlight w:val="none"/>
        </w:rPr>
        <w:t xml:space="preserve">异常低价投标审查程序</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投标人不能提供书面说明、证明材料，或者提供的书面说明、证明材料不能证明其报价合理性的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）投标文件未按照招标文件要求加盖电子公章；</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不符合</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和招标文件规定的其他无效情形。</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有下列情形之一的予以废标，同时将废标理由通知所有投标人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（1）符合资格条件的投标人或者对招标文件作实质性响应的投标人不足三家的；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（3）投标人的报价均超过了采购预算或最高限价，采购人不能支付的；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评标委员会认为</w:t>
      </w:r>
      <w:r>
        <w:rPr>
          <w:rFonts w:hint="eastAsia" w:ascii="宋体" w:hAnsi="宋体" w:eastAsia="宋体" w:cs="宋体"/>
          <w:color w:val="000000"/>
          <w:sz w:val="24"/>
          <w:szCs w:val="24"/>
          <w:highlight w:val="none"/>
        </w:rPr>
        <w:t xml:space="preserve">招标文件存在歧义、重大缺陷，或者招标文件内容违反国家有关强制性规定的；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（6）预留份额的采购项目或采购包，通过发布公告方式邀请投标人后，符合资格条件的中小企业数量不足3家的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）因苏采云系统故障造成开标不成功。</w:t>
      </w:r>
      <w:r>
        <w:rPr>
          <w:rFonts w:hint="eastAsia" w:ascii="宋体" w:hAnsi="宋体" w:eastAsia="宋体" w:cs="宋体"/>
          <w:color w:val="000000"/>
          <w:sz w:val="24"/>
          <w:szCs w:val="24"/>
          <w:highlight w:val="none"/>
          <w:lang w:eastAsia="zh-CN"/>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如出现（</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）情形，招标活动失败，评审委员会应对招标文件是否存在不合理条款进行论证，并在评审报告中写明论证意见。</w:t>
      </w:r>
      <w:r>
        <w:rPr>
          <w:rFonts w:hint="eastAsia" w:ascii="宋体" w:hAnsi="宋体" w:eastAsia="宋体" w:cs="宋体"/>
          <w:b/>
          <w:bCs/>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投标截止时间结束参加投标的投标人不足三家的处理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22.2.2.10 未通过资格审查或符合性审查的投标人，采购代理机构将通过苏采云系统告知其具体原因，评标结束后不再接受有关询问。</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22.2.2.11 投标人在开、评标全过程中应保持通讯畅通，及时登录苏采云系统查阅、答复相关信息，并安排专人与交易中心及评委会联系。</w:t>
      </w:r>
      <w:r>
        <w:rPr>
          <w:rFonts w:hint="eastAsia" w:ascii="宋体" w:hAnsi="宋体" w:eastAsia="宋体" w:cs="宋体"/>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 投标文件的进一步评审</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评标委员会将允许修正投标文件中不构成重大偏离的、微小的、非正规的、不一致的或不规则的地方，但这些修改不能影响任何投标人相应的名次排列。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澄清有关问题。</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 对于投标文件中含义不明确、同类问题表述不一致或者有明显文字和计算错误的内容，评标委员</w:t>
      </w:r>
      <w:r>
        <w:rPr>
          <w:rFonts w:hint="eastAsia" w:ascii="宋体" w:hAnsi="宋体" w:eastAsia="宋体" w:cs="宋体"/>
          <w:color w:val="000000"/>
          <w:sz w:val="24"/>
          <w:szCs w:val="24"/>
          <w:highlight w:val="none"/>
          <w:lang w:val="en-US" w:eastAsia="zh-CN"/>
        </w:rPr>
        <w:t xml:space="preserve">会</w:t>
      </w:r>
      <w:r>
        <w:rPr>
          <w:rFonts w:hint="eastAsia" w:ascii="宋体" w:hAnsi="宋体" w:eastAsia="宋体" w:cs="宋体"/>
          <w:color w:val="000000"/>
          <w:sz w:val="24"/>
          <w:szCs w:val="24"/>
          <w:highlight w:val="none"/>
          <w:lang w:val="zh-CN"/>
        </w:rPr>
        <w:t xml:space="preserve">将通过苏采云系统向</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发出《澄清要求函》，接到《澄清要求函》的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 接到评标委员</w:t>
      </w:r>
      <w:r>
        <w:rPr>
          <w:rFonts w:hint="eastAsia" w:ascii="宋体" w:hAnsi="宋体" w:eastAsia="宋体" w:cs="宋体"/>
          <w:color w:val="000000"/>
          <w:sz w:val="24"/>
          <w:szCs w:val="24"/>
          <w:highlight w:val="none"/>
          <w:lang w:val="en-US" w:eastAsia="zh-CN"/>
        </w:rPr>
        <w:t xml:space="preserve">会</w:t>
      </w:r>
      <w:r>
        <w:rPr>
          <w:rFonts w:hint="eastAsia" w:ascii="宋体" w:hAnsi="宋体" w:eastAsia="宋体" w:cs="宋体"/>
          <w:color w:val="000000"/>
          <w:sz w:val="24"/>
          <w:szCs w:val="24"/>
          <w:highlight w:val="none"/>
        </w:rPr>
        <w:t xml:space="preserve">澄清、说明和补正要求的，投标人如未按规定作出澄清、说明和补正，其风险由投标人自行承担。</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评标方法和标准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22.3.1 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是指投标文件满足招标文件全部实质性要求，且按照评审因素的量化指标评审得分最高的投标人为中标候选人的评标方法。</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22.3.2 </w:t>
      </w:r>
      <w:r>
        <w:rPr>
          <w:rFonts w:hint="eastAsia" w:ascii="宋体" w:hAnsi="宋体" w:eastAsia="宋体" w:cs="宋体"/>
          <w:color w:val="000000"/>
          <w:sz w:val="24"/>
          <w:szCs w:val="24"/>
          <w:highlight w:val="none"/>
          <w:lang w:val="en-US" w:eastAsia="zh-CN"/>
        </w:rPr>
        <w:t xml:space="preserve">评审因素和评审标准</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文件第三章。</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23.确定中标人</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按以下第（</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）种方式确定中标人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（1）采购人</w:t>
      </w:r>
      <w:r>
        <w:rPr>
          <w:rFonts w:hint="eastAsia" w:ascii="宋体" w:hAnsi="宋体" w:eastAsia="宋体" w:cs="宋体"/>
          <w:color w:val="000000"/>
          <w:sz w:val="24"/>
          <w:szCs w:val="24"/>
          <w:highlight w:val="none"/>
          <w:lang w:val="en-US" w:eastAsia="zh-CN"/>
        </w:rPr>
        <w:t xml:space="preserve">授权</w:t>
      </w:r>
      <w:r>
        <w:rPr>
          <w:rFonts w:hint="eastAsia" w:ascii="宋体" w:hAnsi="宋体" w:eastAsia="宋体" w:cs="宋体"/>
          <w:color w:val="000000"/>
          <w:sz w:val="24"/>
          <w:szCs w:val="24"/>
          <w:highlight w:val="none"/>
        </w:rPr>
        <w:t xml:space="preserve">评标委员会直接确定排名第一的中标候选人为中标人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（2）采购人在评标委员会推荐的中标候选人中按顺序确定中标人。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种方式确定中标人的，代理机构自评审结束之日起</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个工作日内将评审报告送交采购人，采购人应当自收到评审报告之日起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个工作日内在评审报告推荐的中标候选人中按顺序确定中标人。</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中标候选人并列的，由采购人或者采购人委托评标委员会按照样品评审优劣的方式确定中标人，样品评审优劣</w:t>
      </w:r>
      <w:r>
        <w:rPr>
          <w:rFonts w:hint="eastAsia" w:ascii="宋体" w:hAnsi="宋体" w:eastAsia="宋体" w:cs="宋体"/>
          <w:color w:val="000000"/>
          <w:sz w:val="24"/>
          <w:szCs w:val="24"/>
          <w:highlight w:val="none"/>
          <w:lang w:val="en-US" w:eastAsia="zh-CN"/>
        </w:rPr>
        <w:t xml:space="preserve">相同的，</w:t>
      </w:r>
      <w:r>
        <w:rPr>
          <w:rFonts w:hint="eastAsia" w:ascii="宋体" w:hAnsi="宋体" w:eastAsia="宋体" w:cs="宋体"/>
          <w:color w:val="000000"/>
          <w:sz w:val="24"/>
          <w:szCs w:val="24"/>
          <w:highlight w:val="none"/>
        </w:rPr>
        <w:t xml:space="preserve">采取随机抽取的方式确定。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中标人确定之日起</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个工作日内，将在财政部门指定的政府采购信息发布媒体上公告</w:t>
      </w:r>
      <w:r>
        <w:rPr>
          <w:rFonts w:hint="eastAsia" w:ascii="宋体" w:hAnsi="宋体" w:eastAsia="宋体" w:cs="宋体"/>
          <w:color w:val="000000"/>
          <w:sz w:val="24"/>
          <w:szCs w:val="24"/>
          <w:highlight w:val="none"/>
          <w:lang w:eastAsia="zh-CN"/>
        </w:rPr>
        <w:t xml:space="preserve">，在公告中标结果的同时，采购人或者采购代理机构应当向中标人发出《中标通知书》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《中标通知书》对采购人和中标人具有同等法律效力。</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 《中标通知书》发出后，中标人无正当理由不与采购人签订合同的，应当依法承担法律责任。</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23.6 代理机构和评标委员会对未中标的投标人不作未中标原因的解释。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 所有投标文件不论中标与否均不退回。</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24.编写评审报告</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评标委员会根据全体评标成员签字的原始评标记录和评标结果编写评审报告。</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25.评标过程的保密与公正</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代理机构将采取必要措施，保证评标在严格保密的情况下进行。</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任何单位和个人不得非法干预、影响评标办法的确定，以及评标过程和结果。</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 采购代理机构和评标委员会不得向未中标的投标人解释未中标原因，也不公布评标过程中的相关细节。</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五、签订合同</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26.签订合同</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采购人不得向中标人提出任何不合理的要求作为签订合同的条件，不得与中标人私下订立背离合同实质性内容的协议。</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六、询问、质疑、投诉和诚实信用</w:t>
      </w:r>
      <w:r>
        <w:rPr>
          <w:rFonts w:hint="eastAsia" w:ascii="宋体" w:hAnsi="宋体" w:eastAsia="宋体" w:cs="宋体"/>
          <w:b/>
          <w:bCs/>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27.询问</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投标人对招标活动事项有疑问的，可以向代理机构或采购人提出询问，代理机构或采购人将在两个工作日内作出答复，但答复的内容不涉及商业秘密。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28.质疑</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投标人认为</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文件、采购过程和中标结果使自己的合法权益受到损害的，可以在知道或者应当知道其权益受到损害之日起七个工作日内，将质疑文件原件以书面形式送达代理机构。</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的质疑行为应符合财政部94号令相关规定，未参加采购活动的投标人或在采购活动中自身权益未受到损害的投标人所提出的质疑不予受理。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上述应知其权益受到损害之日是指：</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（1）对招标文件提出质疑的，为获取招标文件之日或招标文件公告期限届满之日起计算；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（2）对招标过程提出质疑的，自招标程序环节结束之日起计算；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（3）对中标结果提出质疑的，自中标结果公告期限届满之日起计算。</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在法定质疑期内应当一次性提出针对同一招标环节的质疑事项。</w:t>
      </w:r>
      <w:r>
        <w:rPr>
          <w:rFonts w:hint="eastAsia" w:ascii="宋体" w:hAnsi="宋体" w:eastAsia="宋体" w:cs="宋体"/>
          <w:color w:val="000000"/>
          <w:sz w:val="24"/>
          <w:szCs w:val="24"/>
          <w:highlight w:val="none"/>
          <w:lang w:val="en-US" w:eastAsia="zh-CN"/>
        </w:rPr>
        <w:t xml:space="preserve">质疑供应商</w:t>
      </w:r>
      <w:r>
        <w:rPr>
          <w:rFonts w:hint="eastAsia" w:ascii="宋体" w:hAnsi="宋体" w:eastAsia="宋体" w:cs="宋体"/>
          <w:color w:val="000000"/>
          <w:sz w:val="24"/>
          <w:szCs w:val="24"/>
          <w:highlight w:val="none"/>
          <w:lang w:val="zh-CN"/>
        </w:rPr>
        <w:t xml:space="preserve">如在法定期限内对同一采购程序环节提出多次质疑的，</w:t>
      </w:r>
      <w:r>
        <w:rPr>
          <w:rFonts w:hint="eastAsia" w:ascii="宋体" w:hAnsi="宋体" w:eastAsia="宋体" w:cs="宋体"/>
          <w:color w:val="000000"/>
          <w:sz w:val="24"/>
          <w:szCs w:val="24"/>
          <w:highlight w:val="none"/>
          <w:lang w:val="en-US" w:eastAsia="zh-CN"/>
        </w:rPr>
        <w:t xml:space="preserve">采购代理机构或采购人</w:t>
      </w:r>
      <w:r>
        <w:rPr>
          <w:rFonts w:hint="eastAsia" w:ascii="宋体" w:hAnsi="宋体" w:eastAsia="宋体" w:cs="宋体"/>
          <w:color w:val="000000"/>
          <w:sz w:val="24"/>
          <w:szCs w:val="24"/>
          <w:highlight w:val="none"/>
          <w:lang w:val="zh-CN"/>
        </w:rPr>
        <w:t xml:space="preserve">将只对</w:t>
      </w:r>
      <w:r>
        <w:rPr>
          <w:rFonts w:hint="eastAsia" w:ascii="宋体" w:hAnsi="宋体" w:eastAsia="宋体" w:cs="宋体"/>
          <w:color w:val="000000"/>
          <w:sz w:val="24"/>
          <w:szCs w:val="24"/>
          <w:highlight w:val="none"/>
          <w:lang w:val="en-US" w:eastAsia="zh-CN"/>
        </w:rPr>
        <w:t xml:space="preserve">质疑供应商</w:t>
      </w:r>
      <w:r>
        <w:rPr>
          <w:rFonts w:hint="eastAsia" w:ascii="宋体" w:hAnsi="宋体" w:eastAsia="宋体" w:cs="宋体"/>
          <w:color w:val="000000"/>
          <w:sz w:val="24"/>
          <w:szCs w:val="24"/>
          <w:highlight w:val="none"/>
          <w:lang w:val="zh-CN"/>
        </w:rPr>
        <w:t xml:space="preserve">第一次质疑作出答复。</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代理机构在收到投标人的质疑后将及时组织调查核实，在七个工作日内作出答复，答复的内容不涉及商业秘密。</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 代理机构遵循“谁过错谁负担”的原则，有过错的一方承担调查论证费用。</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29.投诉</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w:t>
      </w:r>
      <w:r>
        <w:rPr>
          <w:rFonts w:hint="eastAsia" w:ascii="宋体" w:hAnsi="宋体" w:eastAsia="宋体" w:cs="宋体"/>
          <w:color w:val="000000"/>
          <w:sz w:val="24"/>
          <w:szCs w:val="24"/>
          <w:highlight w:val="none"/>
          <w:lang w:eastAsia="zh-CN"/>
        </w:rPr>
        <w:t xml:space="preserve">质疑供应商</w:t>
      </w:r>
      <w:r>
        <w:rPr>
          <w:rFonts w:hint="eastAsia" w:ascii="宋体" w:hAnsi="宋体" w:eastAsia="宋体" w:cs="宋体"/>
          <w:color w:val="000000"/>
          <w:sz w:val="24"/>
          <w:szCs w:val="24"/>
          <w:highlight w:val="none"/>
        </w:rPr>
        <w:t xml:space="preserve">对代理机构的答复不满意，或代理机构未在规定的时间内作出答复的，可以在答复期满后十五个工作日内向采购项目同级财政部门投诉。</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30.诚实信用</w:t>
      </w:r>
      <w:r>
        <w:rPr>
          <w:rFonts w:hint="eastAsia" w:ascii="宋体" w:hAnsi="宋体" w:eastAsia="宋体" w:cs="宋体"/>
          <w:b/>
          <w:bCs/>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投标人之间不得相互串通投标报价，不得妨碍其他投标人的公平竞争，不得损害采购人和其他投标人的合法权益。</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ascii="宋体" w:hAnsi="宋体" w:eastAsia="宋体" w:cs="宋体"/>
          <w:color w:val="000000"/>
          <w:sz w:val="24"/>
          <w:szCs w:val="24"/>
          <w:highlight w:val="none"/>
          <w:lang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 投标人不得虚假承诺，否则，按照提供虚假材料谋取中标处理。</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30.5 投标人应自觉遵守开标、评标纪律，扰乱开标评标现场秩序的，属于失信行为，</w:t>
      </w:r>
      <w:r>
        <w:rPr>
          <w:rFonts w:hint="eastAsia" w:ascii="宋体" w:hAnsi="宋体" w:eastAsia="宋体" w:cs="宋体"/>
          <w:color w:val="000000"/>
          <w:sz w:val="24"/>
          <w:szCs w:val="24"/>
          <w:highlight w:val="none"/>
          <w:lang w:val="en-US" w:eastAsia="zh-CN"/>
        </w:rPr>
        <w:t xml:space="preserve">采购人或采购代理机构有权上报相关部门，并由相关部门按有关规定进行处理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r>
      <w:r/>
    </w:p>
    <w:p>
      <w:pPr>
        <w:pStyle w:val="1066"/>
        <w:jc w:val="center"/>
        <w:spacing w:line="360" w:lineRule="auto"/>
        <w:rPr>
          <w:rFonts w:hint="eastAsia" w:ascii="宋体" w:hAnsi="宋体" w:eastAsia="宋体" w:cs="宋体"/>
          <w:b/>
          <w:color w:val="000000"/>
          <w:sz w:val="36"/>
          <w:szCs w:val="36"/>
          <w:highlight w:val="none"/>
        </w:rPr>
        <w:sectPr>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color w:val="000000"/>
          <w:sz w:val="36"/>
          <w:szCs w:val="36"/>
          <w:highlight w:val="none"/>
        </w:rPr>
      </w:r>
      <w:r/>
    </w:p>
    <w:p>
      <w:pPr>
        <w:pStyle w:val="1066"/>
        <w:jc w:val="center"/>
        <w:spacing w:line="360" w:lineRule="auto"/>
        <w:rPr>
          <w:rFonts w:hint="eastAsia" w:ascii="宋体" w:hAnsi="宋体" w:eastAsia="宋体" w:cs="宋体"/>
          <w:color w:val="000000"/>
          <w:highlight w:val="none"/>
        </w:rPr>
        <w:outlineLvl w:val="0"/>
      </w:pPr>
      <w:r/>
      <w:bookmarkStart w:id="29" w:name="_Hlk119400608"/>
      <w:r>
        <w:rPr>
          <w:rFonts w:hint="eastAsia" w:ascii="宋体" w:hAnsi="宋体" w:eastAsia="宋体" w:cs="宋体"/>
          <w:b/>
          <w:color w:val="000000"/>
          <w:sz w:val="36"/>
          <w:szCs w:val="36"/>
          <w:highlight w:val="none"/>
        </w:rPr>
        <w:t xml:space="preserve">第三章  评标</w:t>
      </w:r>
      <w:r>
        <w:rPr>
          <w:rFonts w:hint="eastAsia" w:ascii="宋体" w:hAnsi="宋体" w:eastAsia="宋体" w:cs="宋体"/>
          <w:b/>
          <w:color w:val="000000"/>
          <w:sz w:val="36"/>
          <w:szCs w:val="36"/>
          <w:highlight w:val="none"/>
          <w:lang w:val="en-US" w:eastAsia="zh-CN"/>
        </w:rPr>
        <w:t xml:space="preserve">方法与评标</w:t>
      </w:r>
      <w:r>
        <w:rPr>
          <w:rFonts w:hint="eastAsia" w:ascii="宋体" w:hAnsi="宋体" w:eastAsia="宋体" w:cs="宋体"/>
          <w:b/>
          <w:color w:val="000000"/>
          <w:sz w:val="36"/>
          <w:szCs w:val="36"/>
          <w:highlight w:val="none"/>
        </w:rPr>
        <w:t xml:space="preserve">标准</w:t>
      </w:r>
      <w:r>
        <w:rPr>
          <w:rFonts w:hint="eastAsia" w:ascii="宋体" w:hAnsi="宋体" w:eastAsia="宋体" w:cs="宋体"/>
          <w:color w:val="000000"/>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、评标方法与定标原则</w:t>
      </w:r>
      <w:r>
        <w:rPr>
          <w:rFonts w:hint="eastAsia" w:ascii="宋体" w:hAnsi="宋体" w:eastAsia="宋体" w:cs="宋体"/>
          <w:color w:val="000000"/>
          <w:sz w:val="24"/>
          <w:szCs w:val="24"/>
          <w:highlight w:val="none"/>
        </w:rPr>
      </w:r>
      <w:r/>
    </w:p>
    <w:p>
      <w:pPr>
        <w:pStyle w:val="1066"/>
        <w:ind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1.评标方法：</w:t>
      </w:r>
      <w:r>
        <w:rPr>
          <w:rFonts w:hint="eastAsia" w:ascii="宋体" w:hAnsi="宋体" w:eastAsia="宋体" w:cs="宋体"/>
          <w:b/>
          <w:bCs/>
          <w:color w:val="000000"/>
          <w:sz w:val="24"/>
          <w:szCs w:val="24"/>
          <w:highlight w:val="none"/>
          <w:lang w:val="en-US" w:eastAsia="zh-CN"/>
        </w:rPr>
      </w:r>
      <w:r/>
    </w:p>
    <w:p>
      <w:pPr>
        <w:pStyle w:val="106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评委会将对确定为实质性响应招标文件要求的投标文件进行评价和比较，评标采用综合评分法。</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color w:val="000000"/>
          <w:sz w:val="24"/>
          <w:szCs w:val="24"/>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ascii="宋体" w:hAnsi="宋体" w:eastAsia="宋体" w:cs="宋体"/>
          <w:bCs/>
          <w:color w:val="000000"/>
          <w:highlight w:val="none"/>
        </w:rPr>
      </w:r>
      <w:r/>
    </w:p>
    <w:p>
      <w:pPr>
        <w:pStyle w:val="1066"/>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2.定标原则：</w:t>
      </w:r>
      <w:r>
        <w:rPr>
          <w:rFonts w:hint="eastAsia" w:ascii="宋体" w:hAnsi="宋体" w:eastAsia="宋体" w:cs="宋体"/>
          <w:color w:val="000000"/>
          <w:sz w:val="24"/>
          <w:szCs w:val="24"/>
          <w:highlight w:val="none"/>
        </w:rPr>
      </w:r>
      <w:r/>
    </w:p>
    <w:p>
      <w:pPr>
        <w:pStyle w:val="1066"/>
        <w:ind w:firstLine="480"/>
        <w:jc w:val="left"/>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color w:val="000000"/>
          <w:sz w:val="24"/>
          <w:szCs w:val="24"/>
          <w:highlight w:val="none"/>
        </w:rPr>
        <w:t xml:space="preserve">采购人在评标委员会推荐的中标候选人中按顺序确定中标人。中标候选人并列的，由采购人按照</w:t>
      </w:r>
      <w:r>
        <w:rPr>
          <w:rFonts w:hint="eastAsia" w:ascii="宋体" w:hAnsi="宋体" w:eastAsia="宋体" w:cs="宋体"/>
          <w:bCs/>
          <w:color w:val="000000"/>
          <w:highlight w:val="none"/>
          <w:u w:val="single"/>
        </w:rPr>
        <w:t xml:space="preserve">　</w:t>
      </w:r>
      <w:r>
        <w:rPr>
          <w:rFonts w:hint="eastAsia" w:ascii="宋体" w:hAnsi="宋体" w:cs="宋体"/>
          <w:bCs/>
          <w:color w:val="000000"/>
          <w:sz w:val="24"/>
          <w:szCs w:val="32"/>
          <w:highlight w:val="none"/>
          <w:u w:val="single"/>
          <w:lang w:val="en-US" w:eastAsia="zh-CN"/>
        </w:rPr>
        <w:t xml:space="preserve">样品</w:t>
      </w:r>
      <w:r>
        <w:rPr>
          <w:rFonts w:hint="eastAsia" w:ascii="宋体" w:hAnsi="宋体" w:cs="宋体"/>
          <w:bCs/>
          <w:color w:val="000000"/>
          <w:sz w:val="24"/>
          <w:szCs w:val="32"/>
          <w:highlight w:val="none"/>
          <w:u w:val="single"/>
          <w:lang w:val="en-US" w:eastAsia="zh-CN"/>
        </w:rPr>
        <w:t xml:space="preserve">评审</w:t>
      </w:r>
      <w:r>
        <w:rPr>
          <w:rFonts w:hint="eastAsia" w:ascii="宋体" w:hAnsi="宋体" w:eastAsia="宋体" w:cs="宋体"/>
          <w:bCs/>
          <w:color w:val="000000"/>
          <w:highlight w:val="none"/>
          <w:u w:val="single"/>
        </w:rPr>
        <w:t xml:space="preserve">　</w:t>
      </w:r>
      <w:r>
        <w:rPr>
          <w:rFonts w:hint="eastAsia" w:ascii="宋体" w:hAnsi="宋体" w:eastAsia="宋体" w:cs="宋体"/>
          <w:color w:val="000000"/>
          <w:sz w:val="24"/>
          <w:szCs w:val="24"/>
          <w:highlight w:val="none"/>
        </w:rPr>
        <w:t xml:space="preserve">优劣的方式确定中标人，样品评审优劣相同的，采取随机抽取的方式确定。</w:t>
      </w:r>
      <w:r>
        <w:rPr>
          <w:rFonts w:hint="eastAsia" w:ascii="宋体" w:hAnsi="宋体" w:eastAsia="宋体" w:cs="宋体"/>
          <w:bCs/>
          <w:color w:val="000000"/>
          <w:highlight w:val="none"/>
        </w:rPr>
      </w:r>
      <w:r/>
    </w:p>
    <w:p>
      <w:pPr>
        <w:pStyle w:val="1068"/>
        <w:ind w:firstLine="482"/>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、综合评分标准</w:t>
      </w:r>
      <w:r>
        <w:rPr>
          <w:rFonts w:hint="eastAsia" w:ascii="宋体" w:hAnsi="宋体" w:eastAsia="宋体" w:cs="宋体"/>
          <w:color w:val="000000"/>
          <w:sz w:val="24"/>
          <w:szCs w:val="24"/>
          <w:highlight w:val="none"/>
        </w:rPr>
      </w:r>
      <w:r/>
    </w:p>
    <w:p>
      <w:pPr>
        <w:pStyle w:val="1112"/>
        <w:ind w:firstLine="480"/>
        <w:pageBreakBefore w:val="0"/>
        <w:spacing w:line="360" w:lineRule="auto"/>
        <w:widowControl w:val="off"/>
        <w:tabs>
          <w:tab w:val="right" w:pos="8953"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rPr>
        <w:t xml:space="preserve">评标委员会将按下列评分具体办法和标准进行打分，总分值为100分。</w:t>
      </w:r>
      <w:r>
        <w:rPr>
          <w:rFonts w:hint="eastAsia" w:ascii="宋体" w:hAnsi="宋体" w:eastAsia="宋体" w:cs="宋体"/>
          <w:color w:val="000000"/>
          <w:sz w:val="24"/>
          <w:szCs w:val="24"/>
          <w:highlight w:val="none"/>
          <w:lang w:val="en-US" w:eastAsia="zh-CN"/>
        </w:rPr>
        <w:t xml:space="preserve">具体评分因素及评分明细如下：</w:t>
      </w:r>
      <w:r>
        <w:rPr>
          <w:rFonts w:hint="eastAsia" w:ascii="宋体" w:hAnsi="宋体" w:eastAsia="宋体" w:cs="宋体"/>
          <w:color w:val="000000"/>
          <w:sz w:val="24"/>
          <w:szCs w:val="24"/>
          <w:highlight w:val="none"/>
          <w:lang w:val="en-US" w:eastAsia="zh-CN"/>
        </w:rPr>
      </w:r>
      <w:r/>
    </w:p>
    <w:p>
      <w:pPr>
        <w:pStyle w:val="1112"/>
        <w:ind w:firstLine="482"/>
        <w:pageBreakBefore w:val="0"/>
        <w:spacing w:line="360" w:lineRule="auto"/>
        <w:widowControl w:val="off"/>
        <w:tabs>
          <w:tab w:val="right" w:pos="8953" w:leader="none"/>
        </w:tabs>
        <w:rPr>
          <w:rFonts w:hint="eastAsia" w:ascii="宋体" w:hAnsi="宋体" w:eastAsia="宋体" w:cs="宋体"/>
          <w:b/>
          <w:color w:val="000000"/>
          <w:highlight w:val="none"/>
        </w:rPr>
        <w:outlineLvl w:val="1"/>
      </w:pPr>
      <w:r>
        <w:rPr>
          <w:rFonts w:hint="eastAsia" w:ascii="宋体" w:hAnsi="宋体" w:eastAsia="宋体" w:cs="宋体"/>
          <w:b/>
          <w:bCs/>
          <w:color w:val="000000"/>
          <w:sz w:val="24"/>
          <w:szCs w:val="32"/>
          <w:highlight w:val="none"/>
          <w:lang w:val="en-US" w:eastAsia="zh-CN"/>
        </w:rPr>
        <w:t xml:space="preserve">包一</w:t>
      </w:r>
      <w:r>
        <w:rPr>
          <w:rFonts w:hint="eastAsia" w:ascii="宋体" w:hAnsi="宋体" w:eastAsia="宋体" w:cs="宋体"/>
          <w:b/>
          <w:color w:val="000000"/>
          <w:highlight w:val="none"/>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ascii="SimSun" w:hAnsi="SimSun" w:eastAsia="SimSun" w:cs="SimSun"/>
                <w:b w:val="0"/>
                <w:bCs w:val="0"/>
                <w:color w:val="000000"/>
                <w:sz w:val="24"/>
              </w:rPr>
              <w:t xml:space="preserve">投标产品全部响应即满足招标文件“第四章采购需求中（二）技术要求”的得8分，标▲项技术要求有负偏离的每项扣0.5分，其他参数有负偏离的每项扣0.1分，本项分数扣完为止。（标注▲的技术要求，</w:t>
            </w:r>
            <w:r>
              <w:rPr>
                <w:rFonts w:ascii="SimSun" w:hAnsi="SimSun" w:eastAsia="SimSun" w:cs="SimSun"/>
                <w:b w:val="0"/>
                <w:bCs w:val="0"/>
                <w:color w:val="000000"/>
                <w:sz w:val="24"/>
              </w:rPr>
              <w:t xml:space="preserve">无特别要求的，投标人须提供官网相关截图（含链接），或公开发行的产品彩页/产品说明书，或</w:t>
            </w:r>
            <w:r>
              <w:rPr>
                <w:rFonts w:ascii="SimSun" w:hAnsi="SimSun" w:eastAsia="SimSun" w:cs="SimSun"/>
                <w:b w:val="0"/>
                <w:bCs w:val="0"/>
                <w:color w:val="000000"/>
                <w:sz w:val="24"/>
              </w:rPr>
              <w:t xml:space="preserve">带有CMA标识的检测报告（封面可扫码查询且在对应检测机构官方网站的网址链接及有效查询截图，并加盖投标人公章。）。</w:t>
            </w:r>
            <w:r>
              <w:rPr>
                <w:rFonts w:ascii="SimSun" w:hAnsi="SimSun" w:eastAsia="SimSun" w:cs="SimSun"/>
                <w:b w:val="0"/>
                <w:bCs w:val="0"/>
                <w:color w:val="000000"/>
                <w:sz w:val="24"/>
              </w:rPr>
              <w:t xml:space="preserve">有具体要求的，应按照要求提供证明资料，并加盖投标人公章。</w:t>
            </w:r>
            <w:r>
              <w:rPr>
                <w:rFonts w:ascii="SimSun" w:hAnsi="SimSun" w:eastAsia="SimSun" w:cs="SimSun"/>
                <w:b w:val="0"/>
                <w:bCs w:val="0"/>
                <w:color w:val="000000"/>
                <w:sz w:val="24"/>
              </w:rPr>
              <w:t xml:space="preserve">）备注：检测报告中的产品名称可略有差异，以产品功能是否符合本次招标要求为准，具体由评委现场评审。</w:t>
            </w:r>
            <w:r>
              <w:rPr>
                <w:rFonts w:hint="eastAsia" w:ascii="宋体" w:hAnsi="宋体" w:eastAsia="宋体" w:cs="宋体"/>
                <w:b w:val="0"/>
                <w:bCs w:val="0"/>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包二</w:t>
      </w:r>
      <w:r>
        <w:rPr>
          <w:rFonts w:hint="eastAsia" w:ascii="宋体" w:hAnsi="宋体" w:eastAsia="宋体" w:cs="宋体"/>
          <w:b/>
          <w:color w:val="000000"/>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rPr>
                <w:rFonts w:ascii="SimSun" w:hAnsi="SimSun" w:eastAsia="SimSun" w:cs="SimSun"/>
                <w:b w:val="0"/>
                <w:bCs w:val="0"/>
                <w:color w:val="000000"/>
                <w:sz w:val="24"/>
              </w:rPr>
              <w:t xml:space="preserve">投标产品全部响应即满足招标文件“第四章采购需求中（二）技术要求”的得8分，标▲项技术要求有负偏离的每项扣0.5分，其他参数有负偏离的每项扣0.1分，本项分数扣完为止。（标注▲的技术要求，</w:t>
            </w:r>
            <w:r>
              <w:rPr>
                <w:rFonts w:ascii="SimSun" w:hAnsi="SimSun" w:eastAsia="SimSun" w:cs="SimSun"/>
                <w:b w:val="0"/>
                <w:bCs w:val="0"/>
                <w:color w:val="000000"/>
                <w:sz w:val="24"/>
              </w:rPr>
              <w:t xml:space="preserve">无特别要求的，投标人须提供官网相关截图（含链接），或公开发行的产品彩页/产品说明书，或</w:t>
            </w:r>
            <w:r>
              <w:rPr>
                <w:rFonts w:ascii="SimSun" w:hAnsi="SimSun" w:eastAsia="SimSun" w:cs="SimSun"/>
                <w:b w:val="0"/>
                <w:bCs w:val="0"/>
                <w:color w:val="000000"/>
                <w:sz w:val="24"/>
              </w:rPr>
              <w:t xml:space="preserve">带有CMA标识的检测报告（封面可扫码查询且在对应检测机构官方网站的网址链接及有效查询截图，并加盖投标人公章。）。</w:t>
            </w:r>
            <w:r>
              <w:rPr>
                <w:rFonts w:ascii="SimSun" w:hAnsi="SimSun" w:eastAsia="SimSun" w:cs="SimSun"/>
                <w:b w:val="0"/>
                <w:bCs w:val="0"/>
                <w:color w:val="000000"/>
                <w:sz w:val="24"/>
              </w:rPr>
              <w:t xml:space="preserve">有具体要求的，应按照要求提供证明资料，并加盖投标人公章。</w:t>
            </w:r>
            <w:r>
              <w:rPr>
                <w:rFonts w:ascii="SimSun" w:hAnsi="SimSun" w:eastAsia="SimSun" w:cs="SimSun"/>
                <w:b w:val="0"/>
                <w:bCs w:val="0"/>
                <w:color w:val="000000"/>
                <w:sz w:val="24"/>
              </w:rPr>
              <w:t xml:space="preserve">）备注：检测报告中的产品名称可略有差异，以产品功能是否符合本次招标要求为准，具体由评委现场评审。</w:t>
            </w:r>
            <w:r>
              <w:rPr>
                <w:b w:val="0"/>
                <w:bCs w:val="0"/>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包三</w:t>
      </w:r>
      <w:r>
        <w:rPr>
          <w:rFonts w:hint="eastAsia" w:ascii="宋体" w:hAnsi="宋体" w:eastAsia="宋体" w:cs="宋体"/>
          <w:b/>
          <w:color w:val="000000"/>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78"/>
        <w:gridCol w:w="739"/>
        <w:gridCol w:w="7658"/>
      </w:tblGrid>
      <w:tr>
        <w:trPr>
          <w:trHeight w:val="60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投标最低报价为评标基准价</w:t>
            </w: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技术参数响应情况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ascii="SimSun" w:hAnsi="SimSun" w:eastAsia="SimSun" w:cs="SimSun"/>
                <w:b w:val="0"/>
                <w:bCs w:val="0"/>
                <w:color w:val="000000"/>
                <w:sz w:val="24"/>
              </w:rPr>
              <w:t xml:space="preserve">投标产品全部响应即满足招标文件“第四章采购需求中（二）技术要求”的得8分，标▲项技术要求有负偏离的每项扣0.5分，其他参数有负偏离的每项扣0.1分，本项分数扣完为止。（标注▲的技术要求，</w:t>
            </w:r>
            <w:r>
              <w:rPr>
                <w:rFonts w:ascii="SimSun" w:hAnsi="SimSun" w:eastAsia="SimSun" w:cs="SimSun"/>
                <w:b w:val="0"/>
                <w:bCs w:val="0"/>
                <w:color w:val="000000"/>
                <w:sz w:val="24"/>
              </w:rPr>
              <w:t xml:space="preserve">无特别要求的，投标人须提供官网相关截图（含链接），或公开发行的产品彩页/产品说明书，或</w:t>
            </w:r>
            <w:r>
              <w:rPr>
                <w:rFonts w:ascii="SimSun" w:hAnsi="SimSun" w:eastAsia="SimSun" w:cs="SimSun"/>
                <w:b w:val="0"/>
                <w:bCs w:val="0"/>
                <w:color w:val="000000"/>
                <w:sz w:val="24"/>
              </w:rPr>
              <w:t xml:space="preserve">带有CMA标识的检测报告（封面可扫码查询且在对应检测机构官方网站的网址链接及有效查询截图，并加盖投标人公章。）。</w:t>
            </w:r>
            <w:r>
              <w:rPr>
                <w:rFonts w:ascii="SimSun" w:hAnsi="SimSun" w:eastAsia="SimSun" w:cs="SimSun"/>
                <w:b w:val="0"/>
                <w:bCs w:val="0"/>
                <w:color w:val="000000"/>
                <w:sz w:val="24"/>
              </w:rPr>
              <w:t xml:space="preserve">有具体要求的，应按照要求提供证明资料，并加盖投标人公章。</w:t>
            </w:r>
            <w:r>
              <w:rPr>
                <w:rFonts w:ascii="SimSun" w:hAnsi="SimSun" w:eastAsia="SimSun" w:cs="SimSun"/>
                <w:b w:val="0"/>
                <w:bCs w:val="0"/>
                <w:color w:val="000000"/>
                <w:sz w:val="24"/>
              </w:rPr>
              <w:t xml:space="preserve">）备注：检测报告中的产品名称可略有</w:t>
            </w:r>
            <w:r>
              <w:rPr>
                <w:rFonts w:ascii="SimSun" w:hAnsi="SimSun" w:eastAsia="SimSun" w:cs="SimSun"/>
                <w:color w:val="000000"/>
                <w:sz w:val="24"/>
              </w:rPr>
              <w:t xml:space="preserve">差异，以产品功能是否符合本次招标要求为准，具体由评委现场评审。</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样品评审</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制作工艺要求（满分4分）：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根据供应商提供的所有样品的制作工艺进行综合评审：</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接触部位光滑无毛刺，封边严密平整，涂层均匀无色差，零部件结合处严密牢固的，得4分；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接触部位光滑偶有少量毛刺，封边较为严密平整，涂层较均匀，基本无色差，零部件结合处较为严密牢固的，得2分；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接触部位光滑度一般，存在毛刺，封边严密平整度一般，涂层不够均匀存在多处色差，零部件结合处松动的，得1分；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接触面光滑度差，封边不严密平整，涂层不均匀且存在严重色差，零部件结合处明显松动或未按招标文件提供样品的，不得分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每一项均综合所有样品进行打分，只要有任一样品不符合该项工艺要求，该项即不得分；最高得4分。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主、辅材配件材质（满分4分）：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主、辅材配件材质优异、手感光滑，得4分；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主、辅材配件材质普通、手感一般，得2分；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主、辅材配件材质低劣、手感粗糙，得1分；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主、辅材配件材质差或者未按招标文件要求提供样品的，不得分。</w:t>
            </w:r>
            <w:r>
              <w:rPr>
                <w:rFonts w:hint="eastAsia" w:ascii="宋体" w:hAnsi="宋体" w:eastAsia="宋体" w:cs="宋体"/>
                <w:color w:val="000000"/>
                <w:sz w:val="24"/>
                <w:szCs w:val="24"/>
                <w:highlight w:val="none"/>
                <w:lang w:eastAsia="zh-CN"/>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牢固度（满分4分）：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紧密、牢固、承重强度高，得4分；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牢固性、承重强度较</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val="en-US" w:eastAsia="zh-CN"/>
              </w:rPr>
              <w:t xml:space="preserve">成品</w:t>
            </w:r>
            <w:r>
              <w:rPr>
                <w:rFonts w:hint="eastAsia" w:ascii="宋体" w:hAnsi="宋体" w:eastAsia="宋体" w:cs="宋体"/>
                <w:color w:val="000000"/>
                <w:sz w:val="24"/>
                <w:szCs w:val="24"/>
                <w:highlight w:val="none"/>
              </w:rPr>
              <w:t xml:space="preserve">牢固性、承重强度差或者未按招标文件要求提供样品的，不得分。</w:t>
            </w:r>
            <w:r>
              <w:rPr>
                <w:rFonts w:hint="eastAsia" w:ascii="宋体" w:hAnsi="宋体" w:eastAsia="宋体" w:cs="宋体"/>
                <w:color w:val="000000"/>
                <w:sz w:val="24"/>
                <w:szCs w:val="24"/>
                <w:highlight w:val="none"/>
              </w:rPr>
            </w:r>
            <w:r/>
          </w:p>
        </w:tc>
      </w:tr>
      <w:tr>
        <w:trPr>
          <w:trHeight w:val="9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气味（满分3分）：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无任何刺激性气味，得3分；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有细微刺激性气味，得2分；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有一点刺激性气味，得1分；</w:t>
            </w:r>
            <w:r>
              <w:rPr>
                <w:rFonts w:hint="eastAsia" w:ascii="宋体" w:hAnsi="宋体" w:eastAsia="宋体" w:cs="宋体"/>
                <w:color w:val="000000"/>
                <w:sz w:val="24"/>
                <w:szCs w:val="24"/>
                <w:highlight w:val="none"/>
              </w:rPr>
            </w:r>
            <w:r/>
          </w:p>
          <w:p>
            <w:pPr>
              <w:pStyle w:val="1066"/>
              <w:jc w:val="left"/>
              <w:keepLines w:val="0"/>
              <w:keepNext w:val="0"/>
              <w:pageBreakBefore w:val="0"/>
              <w:spacing w:before="0"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有明显刺激性气味或者未按招标文件要求提供样品的，不得分。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供应商履约能力</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供应商提供生产设备（包括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全自动数控电脑裁板锯</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自动封边机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加工中心</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光纤激光切割机</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全自动金属喷涂流水线）的设备图片及购买发票扫描件加盖公章，每提供一项得0.2分，最多得1分。（如所提供设备名称与本项要求不完全一致但功能相同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即1.裁板;2封边;3.钻孔；4.激光切管；5喷涂功能</w:t>
            </w:r>
            <w:r>
              <w:rPr>
                <w:rFonts w:hint="eastAsia" w:ascii="宋体" w:hAnsi="宋体" w:eastAsia="宋体" w:cs="宋体"/>
                <w:color w:val="000000"/>
                <w:sz w:val="24"/>
                <w:szCs w:val="24"/>
                <w:highlight w:val="none"/>
              </w:rPr>
              <w:t xml:space="preserve">，应提供相应证明材料并经评委认同后才可得分）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具有中国环境标志产品认证证书、家具中有害物质限量认证证书、家具防火阻燃产品认证证书，证书须包含与本次采购相关的木家具系列、钢木家具系列，齐全且合格的每个得1分，满分3分，其他不得分（提供有效证书复印件）。</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评委根据供应商提供2023年1月1日以来（以合同签订为准）承担过的类似项目</w:t>
            </w: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rPr>
              <w:t xml:space="preserve">进行综合评分，每提供1个合同得0.2分，本项最多得1分（提供合同复印件、合同对应任一付款阶段的发票复印件及合同对应验收单复印件加盖公章）。</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restart"/>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项目方案</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项目实施方案（4分）。评委根据供应商提供的项目实施方案进行综合评分：</w:t>
            </w:r>
            <w:r>
              <w:rPr>
                <w:rFonts w:hint="eastAsia" w:ascii="宋体" w:hAnsi="宋体" w:eastAsia="宋体" w:cs="宋体"/>
                <w:color w:val="000000"/>
                <w:sz w:val="24"/>
                <w:szCs w:val="24"/>
                <w:highlight w:val="none"/>
                <w:lang w:val="en-US" w:eastAsia="zh-CN" w:bidi="ar"/>
              </w:rPr>
              <w:t xml:space="preserve">包含(每项内容逐条阐述)：1、生产进度及管理措施；2、安全教育及培训计划；3、重难点分析；4、安全管理体系；</w:t>
            </w:r>
            <w:r>
              <w:rPr>
                <w:rFonts w:hint="eastAsia" w:ascii="宋体" w:hAnsi="宋体" w:eastAsia="宋体" w:cs="宋体"/>
                <w:color w:val="000000"/>
                <w:sz w:val="24"/>
                <w:szCs w:val="24"/>
                <w:highlight w:val="none"/>
                <w:lang w:val="en-US" w:eastAsia="zh-CN" w:bidi="ar"/>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（1）上述每项内容齐全、内容针对性强、应对措施有力、科学可行的，得4分；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质量保证方案及措施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评委</w:t>
            </w:r>
            <w:r>
              <w:rPr>
                <w:rFonts w:hint="eastAsia" w:ascii="宋体" w:hAnsi="宋体" w:eastAsia="宋体" w:cs="宋体"/>
                <w:color w:val="000000"/>
                <w:sz w:val="24"/>
                <w:szCs w:val="24"/>
                <w:highlight w:val="none"/>
              </w:rPr>
              <w:t xml:space="preserve">根据供应商提供的质量保证方案及措施进行综合</w:t>
            </w:r>
            <w:r>
              <w:rPr>
                <w:rFonts w:hint="eastAsia" w:ascii="宋体" w:hAnsi="宋体" w:eastAsia="宋体" w:cs="宋体"/>
                <w:color w:val="000000"/>
                <w:sz w:val="24"/>
                <w:szCs w:val="24"/>
                <w:highlight w:val="none"/>
                <w:lang w:val="en-US" w:eastAsia="zh-CN"/>
              </w:rPr>
              <w:t xml:space="preserve">评分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包含(每项内容逐条阐述)：1、生产质量控制措施；2、运输保障措施；3、现场安装保障措施；</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方案内容完整、详细，措施得力，可行性强且完全满足项目实际需求，得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方案内容完整，具有有效措施且有一定可行性，满足项目实际需求，得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方案内容略有欠缺，措施需进一步修改完善方可满足项目实际需求，得1分；</w:t>
            </w:r>
            <w:r>
              <w:rPr>
                <w:rFonts w:hint="eastAsia" w:ascii="宋体" w:hAnsi="宋体" w:eastAsia="宋体" w:cs="宋体"/>
                <w:color w:val="000000"/>
                <w:sz w:val="24"/>
                <w:szCs w:val="24"/>
                <w:highlight w:val="none"/>
                <w:lang w:eastAsia="zh-CN"/>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vMerge w:val="continue"/>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售后服务方案（3分）。评委根据供应商提供的售后服务方案进行综合评分：</w:t>
            </w:r>
            <w:r>
              <w:rPr>
                <w:rFonts w:hint="eastAsia" w:ascii="宋体" w:hAnsi="宋体" w:eastAsia="宋体" w:cs="宋体"/>
                <w:color w:val="000000"/>
                <w:sz w:val="24"/>
                <w:szCs w:val="24"/>
                <w:highlight w:val="none"/>
                <w:lang w:val="en-US" w:eastAsia="zh-CN" w:bidi="ar"/>
              </w:rPr>
              <w:t xml:space="preserve">包含(每项内容逐条阐述)：1、服务内容；2、响应时间；3、技术人员保障；4、质保期满后的服务。</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（1）上述每项内容齐全、针对性强、应对措施有力、科学可行的，得3分；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（2）上述每项内容齐全、针对性较强、应对措施较有力、较科学可行的，得2分；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（3）上述每项内容齐全、针对性一般得1分；</w:t>
            </w:r>
            <w:r>
              <w:rPr>
                <w:rFonts w:hint="eastAsia" w:ascii="宋体" w:hAnsi="宋体" w:eastAsia="宋体" w:cs="宋体"/>
                <w:color w:val="000000"/>
                <w:sz w:val="24"/>
                <w:szCs w:val="24"/>
                <w:highlight w:val="none"/>
              </w:rPr>
            </w:r>
            <w:r/>
          </w:p>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（4）上述每项内容不可行或缺项或未提供方案的不得分。</w:t>
            </w:r>
            <w:r>
              <w:rPr>
                <w:rFonts w:hint="eastAsia" w:ascii="宋体" w:hAnsi="宋体" w:eastAsia="宋体" w:cs="宋体"/>
                <w:color w:val="000000"/>
                <w:sz w:val="24"/>
                <w:szCs w:val="24"/>
                <w:highlight w:val="none"/>
              </w:rPr>
            </w:r>
            <w:r/>
          </w:p>
        </w:tc>
      </w:tr>
      <w:tr>
        <w:trPr>
          <w:trHeight w:val="720"/>
        </w:trPr>
        <w:tc>
          <w:tcPr>
            <w:tcMar>
              <w:left w:w="20" w:type="dxa"/>
              <w:top w:w="20" w:type="dxa"/>
              <w:right w:w="20" w:type="dxa"/>
              <w:bottom w:w="20" w:type="dxa"/>
            </w:tcMar>
            <w:tcW w:w="660" w:type="dxa"/>
            <w:vAlign w:val="center"/>
            <w:textDirection w:val="lrTb"/>
            <w:noWrap w:val="false"/>
          </w:tcPr>
          <w:p>
            <w:pPr>
              <w:pStyle w:val="1066"/>
              <w:jc w:val="center"/>
              <w:spacing w:line="315"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382"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Mar>
              <w:left w:w="20" w:type="dxa"/>
              <w:top w:w="20" w:type="dxa"/>
              <w:right w:w="20" w:type="dxa"/>
              <w:bottom w:w="20" w:type="dxa"/>
            </w:tcMar>
            <w:tcW w:w="3956" w:type="dxa"/>
            <w:vAlign w:val="top"/>
            <w:textDirection w:val="lrTb"/>
            <w:noWrap w:val="false"/>
          </w:tcPr>
          <w:p>
            <w:pPr>
              <w:pStyle w:val="1066"/>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投标产品属于财政部、生态环境部公布的“环境标志产品品目清单”范围内的，投标人提供国家确定的认证机构出具的、处于有效期内的该环保产品认证证书复印件的，有1个得0.5分，最多得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12"/>
        <w:spacing w:line="360" w:lineRule="auto"/>
        <w:tabs>
          <w:tab w:val="right" w:pos="8953" w:leader="none"/>
        </w:tabs>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r>
      <w:r/>
    </w:p>
    <w:p>
      <w:pPr>
        <w:pStyle w:val="1112"/>
        <w:ind w:firstLine="482"/>
        <w:keepLines w:val="0"/>
        <w:keepNext w:val="0"/>
        <w:pageBreakBefore w:val="0"/>
        <w:spacing w:line="360" w:lineRule="auto"/>
        <w:tabs>
          <w:tab w:val="right" w:pos="8953"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1</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小微型企业价格扣除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（1）本项目对小型和微型企业产品给予10%的扣除价格，用扣除后的价格参与评审。</w:t>
      </w:r>
      <w:r>
        <w:rPr>
          <w:rFonts w:hint="eastAsia" w:ascii="宋体" w:hAnsi="宋体" w:eastAsia="宋体" w:cs="宋体"/>
          <w:color w:val="000000"/>
          <w:sz w:val="24"/>
          <w:szCs w:val="32"/>
          <w:highlight w:val="none"/>
          <w:lang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需按照</w:t>
      </w:r>
      <w:r>
        <w:rPr>
          <w:rFonts w:hint="eastAsia" w:ascii="宋体" w:hAnsi="宋体" w:eastAsia="宋体" w:cs="宋体"/>
          <w:color w:val="000000"/>
          <w:sz w:val="24"/>
          <w:szCs w:val="32"/>
          <w:highlight w:val="none"/>
          <w:lang w:val="en-US" w:eastAsia="zh-CN"/>
        </w:rPr>
        <w:t xml:space="preserve">招标</w:t>
      </w:r>
      <w:r>
        <w:rPr>
          <w:rFonts w:hint="eastAsia" w:ascii="宋体" w:hAnsi="宋体" w:eastAsia="宋体" w:cs="宋体"/>
          <w:color w:val="000000"/>
          <w:sz w:val="24"/>
          <w:szCs w:val="32"/>
          <w:highlight w:val="none"/>
        </w:rPr>
        <w:t xml:space="preserve">文件的要求提供相应的《中小微企业声明函》。</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2</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残疾人福利单位价格扣除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color w:val="000000"/>
          <w:sz w:val="24"/>
          <w:szCs w:val="32"/>
          <w:highlight w:val="none"/>
        </w:rPr>
        <w:t xml:space="preserve">（1）本项目对残疾人福利性单位视同小型、微型企业，给予10%的价格扣除，用扣除后的价格参与评审。</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货物采购项目中产品制造商须为</w:t>
      </w:r>
      <w:r>
        <w:rPr>
          <w:rFonts w:hint="eastAsia" w:ascii="宋体" w:hAnsi="宋体" w:eastAsia="宋体" w:cs="宋体"/>
          <w:color w:val="000000"/>
          <w:sz w:val="24"/>
          <w:szCs w:val="32"/>
          <w:highlight w:val="none"/>
        </w:rPr>
        <w:t xml:space="preserve">残疾人福利性单位</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（2）残疾人福利单位需按照</w:t>
      </w:r>
      <w:r>
        <w:rPr>
          <w:rFonts w:hint="eastAsia" w:ascii="宋体" w:hAnsi="宋体" w:eastAsia="宋体" w:cs="宋体"/>
          <w:color w:val="000000"/>
          <w:sz w:val="24"/>
          <w:szCs w:val="32"/>
          <w:highlight w:val="none"/>
          <w:lang w:val="en-US" w:eastAsia="zh-CN"/>
        </w:rPr>
        <w:t xml:space="preserve">招标</w:t>
      </w:r>
      <w:r>
        <w:rPr>
          <w:rFonts w:hint="eastAsia" w:ascii="宋体" w:hAnsi="宋体" w:eastAsia="宋体" w:cs="宋体"/>
          <w:color w:val="000000"/>
          <w:sz w:val="24"/>
          <w:szCs w:val="32"/>
          <w:highlight w:val="none"/>
        </w:rPr>
        <w:t xml:space="preserve">文件的要求提供《残疾人福利性单位声明函》。</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（3）残疾人福利单位标准请参照《关于促进残疾人就业政府采购政策的通知》（财库〔2017〕141号）。</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b w:val="0"/>
          <w:bCs w:val="0"/>
          <w:color w:val="000000"/>
          <w:sz w:val="24"/>
          <w:szCs w:val="32"/>
          <w:highlight w:val="none"/>
        </w:rPr>
      </w:pPr>
      <w:r>
        <w:rPr>
          <w:rFonts w:hint="eastAsia" w:ascii="宋体" w:hAnsi="宋体" w:eastAsia="宋体" w:cs="宋体"/>
          <w:b w:val="0"/>
          <w:bCs w:val="0"/>
          <w:color w:val="000000"/>
          <w:sz w:val="24"/>
          <w:szCs w:val="32"/>
          <w:highlight w:val="none"/>
        </w:rPr>
        <w:t xml:space="preserve">3</w:t>
      </w:r>
      <w:r>
        <w:rPr>
          <w:rFonts w:hint="eastAsia" w:ascii="宋体" w:hAnsi="宋体" w:eastAsia="宋体" w:cs="宋体"/>
          <w:b w:val="0"/>
          <w:bCs w:val="0"/>
          <w:color w:val="000000"/>
          <w:sz w:val="24"/>
          <w:szCs w:val="32"/>
          <w:highlight w:val="none"/>
          <w:lang w:val="en-US" w:eastAsia="zh-CN"/>
        </w:rPr>
        <w:t xml:space="preserve">.</w:t>
      </w:r>
      <w:r>
        <w:rPr>
          <w:rFonts w:hint="eastAsia" w:ascii="宋体" w:hAnsi="宋体" w:eastAsia="宋体" w:cs="宋体"/>
          <w:b w:val="0"/>
          <w:bCs w:val="0"/>
          <w:color w:val="000000"/>
          <w:sz w:val="24"/>
          <w:szCs w:val="32"/>
          <w:highlight w:val="none"/>
        </w:rPr>
        <w:t xml:space="preserve">监狱和戒毒企业价格扣除</w:t>
      </w:r>
      <w:r>
        <w:rPr>
          <w:rFonts w:hint="eastAsia" w:ascii="宋体" w:hAnsi="宋体" w:eastAsia="宋体" w:cs="宋体"/>
          <w:b w:val="0"/>
          <w:bCs w:val="0"/>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货物采购项目中产品制造商须为监狱企业</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（2）监狱企业参加政府采购活动时，需提供由省级以上监狱管理局、戒毒管理局</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含新疆生产建设兵团</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出具的属于监狱企业的证明文件。</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如不提供上述证明文件，价格将不做相应扣除。</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（3）监狱企业标准请参照《关于政府采购支持监狱企业发展有关问题的通知》（财库〔2014〕68号）。</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残疾人福利单位、监狱企业属于小型、微型企业的，不重复享受政策。</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如本项目同意联合体投标或同意分包履行合同的</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联合体各方均为小型、微型企业（残疾人福利单位、监狱企业）的，联合体享受10%价格扣除，用扣除后的价格参与评审。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7</w:t>
      </w:r>
      <w:r>
        <w:rPr>
          <w:rFonts w:hint="eastAsia" w:ascii="宋体" w:hAnsi="宋体" w:eastAsia="宋体" w:cs="宋体"/>
          <w:color w:val="000000"/>
          <w:sz w:val="24"/>
          <w:szCs w:val="32"/>
          <w:highlight w:val="none"/>
          <w:lang w:val="en-US" w:eastAsia="zh-CN"/>
        </w:rPr>
        <w:t xml:space="preserve">.</w:t>
      </w:r>
      <w:r>
        <w:rPr>
          <w:rFonts w:hint="eastAsia" w:ascii="宋体" w:hAnsi="宋体" w:eastAsia="宋体" w:cs="宋体"/>
          <w:color w:val="000000"/>
          <w:sz w:val="24"/>
          <w:szCs w:val="32"/>
          <w:highlight w:val="none"/>
        </w:rPr>
        <w:t xml:space="preserve">采购本国产品的支持政策</w:t>
      </w:r>
      <w:r>
        <w:rPr>
          <w:rFonts w:hint="eastAsia" w:ascii="宋体" w:hAnsi="宋体" w:eastAsia="宋体" w:cs="宋体"/>
          <w:color w:val="000000"/>
          <w:sz w:val="24"/>
          <w:szCs w:val="32"/>
          <w:highlight w:val="none"/>
          <w:lang w:val="en-US" w:eastAsia="zh-CN"/>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lang w:val="en-US" w:eastAsia="zh-CN"/>
        </w:rPr>
        <w:t xml:space="preserve">2</w:t>
      </w:r>
      <w:r>
        <w:rPr>
          <w:rFonts w:hint="eastAsia" w:ascii="宋体" w:hAnsi="宋体" w:eastAsia="宋体" w:cs="宋体"/>
          <w:color w:val="000000"/>
          <w:sz w:val="24"/>
          <w:szCs w:val="32"/>
          <w:highlight w:val="none"/>
          <w:lang w:eastAsia="zh-CN"/>
        </w:rPr>
        <w:t xml:space="preserve">）</w:t>
      </w:r>
      <w:r>
        <w:rPr>
          <w:rFonts w:hint="eastAsia" w:ascii="宋体" w:hAnsi="宋体" w:eastAsia="宋体" w:cs="宋体"/>
          <w:color w:val="000000"/>
          <w:sz w:val="24"/>
          <w:szCs w:val="32"/>
          <w:highlight w:val="none"/>
        </w:rPr>
        <w:t xml:space="preserve">当采购项目或者采购包中含有多种产品，</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为该采购项目或者采购包提供的符合本国产品标准的产品成本之和占该供应商提供的全部产品成本之和的比例达到80%以上时</w:t>
      </w:r>
      <w:r>
        <w:rPr>
          <w:rFonts w:hint="eastAsia" w:ascii="宋体" w:hAnsi="宋体" w:eastAsia="宋体" w:cs="宋体"/>
          <w:b/>
          <w:bCs/>
          <w:color w:val="000000"/>
          <w:sz w:val="24"/>
          <w:szCs w:val="32"/>
          <w:highlight w:val="none"/>
        </w:rPr>
        <w:t xml:space="preserve">（</w:t>
      </w:r>
      <w:r>
        <w:rPr>
          <w:rFonts w:hint="eastAsia" w:ascii="宋体" w:hAnsi="宋体" w:eastAsia="宋体" w:cs="宋体"/>
          <w:b/>
          <w:bCs/>
          <w:color w:val="000000"/>
          <w:sz w:val="24"/>
          <w:szCs w:val="32"/>
          <w:highlight w:val="none"/>
          <w:lang w:val="en-US" w:eastAsia="zh-CN"/>
        </w:rPr>
        <w:t xml:space="preserve">投标人</w:t>
      </w:r>
      <w:r>
        <w:rPr>
          <w:rFonts w:hint="eastAsia" w:ascii="宋体" w:hAnsi="宋体" w:eastAsia="宋体" w:cs="宋体"/>
          <w:b/>
          <w:bCs/>
          <w:color w:val="000000"/>
          <w:sz w:val="24"/>
          <w:szCs w:val="32"/>
          <w:highlight w:val="none"/>
        </w:rPr>
        <w:t xml:space="preserve">需在“第六章 投标文件格式及附件”的“分项报价表”中填写比例数值）</w:t>
      </w:r>
      <w:r>
        <w:rPr>
          <w:rFonts w:hint="eastAsia" w:ascii="宋体" w:hAnsi="宋体" w:eastAsia="宋体" w:cs="宋体"/>
          <w:color w:val="000000"/>
          <w:sz w:val="24"/>
          <w:szCs w:val="32"/>
          <w:highlight w:val="none"/>
        </w:rPr>
        <w:t xml:space="preserve">，依法对该</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提供的全部产品给予价格评审优惠，即对该</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提供的全部产品的总报价给予20%的价格扣除，用扣除后的价格参与评审。</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未填写比例数值，或比例数值未达到80%的，将不享受本国产品价格评审优惠。</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③</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32"/>
          <w:highlight w:val="none"/>
        </w:rPr>
      </w:r>
      <w:r/>
    </w:p>
    <w:p>
      <w:pPr>
        <w:pStyle w:val="1066"/>
        <w:ind w:firstLine="480"/>
        <w:keepLines w:val="0"/>
        <w:keepNext w:val="0"/>
        <w:pageBreakBefore w:val="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④</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 w:val="24"/>
          <w:szCs w:val="32"/>
          <w:highlight w:val="none"/>
        </w:rPr>
        <w:t xml:space="preserve">⑤评标过程中，如发现</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在《声明函》内容含义不明确、同类事项与投标文件表述不一致或者有明显文字错误等情况的，评标委员会应当以书面形式要求</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32"/>
          <w:highlight w:val="none"/>
          <w:lang w:val="en-US" w:eastAsia="zh-CN"/>
        </w:rPr>
        <w:t xml:space="preserve">投标人</w:t>
      </w:r>
      <w:r>
        <w:rPr>
          <w:rFonts w:hint="eastAsia" w:ascii="宋体" w:hAnsi="宋体" w:eastAsia="宋体" w:cs="宋体"/>
          <w:color w:val="000000"/>
          <w:sz w:val="24"/>
          <w:szCs w:val="32"/>
          <w:highlight w:val="none"/>
        </w:rPr>
        <w:t xml:space="preserve">提供的相关产品视为不符合本国产品标准。</w:t>
      </w:r>
      <w:r>
        <w:rPr>
          <w:rFonts w:hint="eastAsia" w:ascii="宋体" w:hAnsi="宋体" w:eastAsia="宋体" w:cs="宋体"/>
          <w:b/>
          <w:bCs/>
          <w:color w:val="000000"/>
          <w:highlight w:val="none"/>
        </w:rPr>
      </w:r>
      <w:r/>
    </w:p>
    <w:p>
      <w:pPr>
        <w:pStyle w:val="1066"/>
        <w:jc w:val="center"/>
        <w:rPr>
          <w:rFonts w:hint="eastAsia" w:ascii="宋体" w:hAnsi="宋体" w:eastAsia="宋体" w:cs="宋体"/>
          <w:b/>
          <w:bCs/>
          <w:color w:val="000000"/>
          <w:sz w:val="36"/>
          <w:szCs w:val="36"/>
          <w:highlight w:val="none"/>
        </w:rPr>
        <w:sectPr>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36"/>
          <w:szCs w:val="36"/>
          <w:highlight w:val="none"/>
        </w:rPr>
      </w:r>
      <w:r/>
    </w:p>
    <w:p>
      <w:pPr>
        <w:pStyle w:val="1066"/>
        <w:numPr>
          <w:ilvl w:val="0"/>
          <w:numId w:val="0"/>
        </w:numPr>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lang w:val="en-US" w:eastAsia="zh-CN" w:bidi="ar-SA"/>
        </w:rPr>
        <w:t xml:space="preserve">第四章</w:t>
      </w:r>
      <w:r>
        <w:rPr>
          <w:rFonts w:hint="eastAsia" w:ascii="宋体" w:hAnsi="宋体" w:eastAsia="宋体" w:cs="宋体"/>
          <w:b/>
          <w:color w:val="000000"/>
          <w:sz w:val="36"/>
          <w:szCs w:val="36"/>
          <w:highlight w:val="none"/>
        </w:rPr>
        <w:t xml:space="preserve">采购项目需求</w:t>
      </w:r>
      <w:r>
        <w:rPr>
          <w:rFonts w:hint="eastAsia" w:ascii="宋体" w:hAnsi="宋体" w:eastAsia="宋体" w:cs="宋体"/>
          <w:b/>
          <w:color w:val="000000"/>
          <w:sz w:val="36"/>
          <w:szCs w:val="36"/>
          <w:highlight w:val="none"/>
        </w:rPr>
      </w:r>
      <w:r/>
    </w:p>
    <w:p>
      <w:pPr>
        <w:pStyle w:val="1066"/>
        <w:jc w:val="center"/>
        <w:spacing w:line="360" w:lineRule="auto"/>
        <w:rPr>
          <w:rFonts w:hint="eastAsia" w:ascii="宋体" w:hAnsi="宋体" w:eastAsia="宋体" w:cs="宋体"/>
          <w:b/>
          <w:color w:val="000000"/>
          <w:szCs w:val="21"/>
          <w:highlight w:val="none"/>
        </w:rPr>
        <w:outlineLvl w:val="0"/>
      </w:pPr>
      <w:r>
        <w:rPr>
          <w:rFonts w:hint="eastAsia" w:ascii="宋体" w:hAnsi="宋体" w:eastAsia="宋体" w:cs="宋体"/>
          <w:b/>
          <w:color w:val="000000"/>
          <w:szCs w:val="21"/>
          <w:highlight w:val="none"/>
        </w:rPr>
        <w:t xml:space="preserve">（本章</w:t>
      </w:r>
      <w:r>
        <w:rPr>
          <w:rFonts w:hint="eastAsia" w:ascii="宋体" w:hAnsi="宋体" w:eastAsia="宋体" w:cs="宋体"/>
          <w:color w:val="000000"/>
          <w:spacing w:val="18"/>
          <w:sz w:val="24"/>
          <w:highlight w:val="none"/>
        </w:rPr>
        <w:t xml:space="preserve">★</w:t>
      </w:r>
      <w:r>
        <w:rPr>
          <w:rFonts w:hint="eastAsia" w:ascii="宋体" w:hAnsi="宋体" w:eastAsia="宋体" w:cs="宋体"/>
          <w:b/>
          <w:color w:val="000000"/>
          <w:szCs w:val="21"/>
          <w:highlight w:val="none"/>
        </w:rPr>
        <w:t xml:space="preserve">均为实质性要求，</w:t>
      </w:r>
      <w:r>
        <w:rPr>
          <w:rFonts w:hint="eastAsia" w:ascii="宋体" w:hAnsi="宋体" w:cs="宋体"/>
          <w:b/>
          <w:color w:val="000000"/>
          <w:szCs w:val="21"/>
          <w:highlight w:val="none"/>
          <w:lang w:val="en-US" w:eastAsia="zh-CN"/>
        </w:rPr>
        <w:t xml:space="preserve">需在偏离表中逐一响应，</w:t>
      </w:r>
      <w:r>
        <w:rPr>
          <w:rFonts w:hint="eastAsia" w:ascii="宋体" w:hAnsi="宋体" w:eastAsia="宋体" w:cs="宋体"/>
          <w:b/>
          <w:color w:val="000000"/>
          <w:szCs w:val="21"/>
          <w:highlight w:val="none"/>
        </w:rPr>
        <w:t xml:space="preserve">不允许负偏离，</w:t>
      </w:r>
      <w:r>
        <w:rPr>
          <w:rFonts w:hint="eastAsia" w:ascii="宋体" w:hAnsi="宋体" w:cs="宋体"/>
          <w:b/>
          <w:color w:val="000000"/>
          <w:szCs w:val="21"/>
          <w:highlight w:val="none"/>
          <w:lang w:val="en-US" w:eastAsia="zh-CN"/>
        </w:rPr>
        <w:t xml:space="preserve">明确要求提供证明材料但未单独提供的，视为负偏离，</w:t>
      </w:r>
      <w:r>
        <w:rPr>
          <w:rFonts w:hint="eastAsia" w:ascii="宋体" w:hAnsi="宋体" w:eastAsia="宋体" w:cs="宋体"/>
          <w:b/>
          <w:color w:val="000000"/>
          <w:szCs w:val="21"/>
          <w:highlight w:val="none"/>
        </w:rPr>
        <w:t xml:space="preserve">作为无效</w:t>
      </w:r>
      <w:r>
        <w:rPr>
          <w:rFonts w:hint="eastAsia" w:ascii="宋体" w:hAnsi="宋体" w:cs="宋体"/>
          <w:b/>
          <w:color w:val="000000"/>
          <w:szCs w:val="21"/>
          <w:highlight w:val="none"/>
          <w:lang w:val="en-US" w:eastAsia="zh-CN"/>
        </w:rPr>
        <w:t xml:space="preserve">投标</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1066"/>
        <w:spacing w:line="360" w:lineRule="auto"/>
        <w:rPr>
          <w:rFonts w:hint="eastAsia" w:ascii="宋体" w:hAnsi="宋体" w:eastAsia="宋体" w:cs="宋体"/>
          <w:color w:val="000000"/>
          <w:highlight w:val="none"/>
          <w:lang w:val="en-US" w:eastAsia="zh-CN"/>
        </w:rPr>
        <w:outlineLvl w:val="1"/>
      </w:pPr>
      <w:r>
        <w:rPr>
          <w:rFonts w:hint="eastAsia" w:ascii="宋体" w:hAnsi="宋体" w:eastAsia="宋体" w:cs="宋体"/>
          <w:b/>
          <w:color w:val="000000"/>
          <w:sz w:val="28"/>
          <w:highlight w:val="none"/>
        </w:rPr>
        <w:t xml:space="preserve">第一部分 采购清单</w:t>
      </w: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包一：</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1,957,500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包二：</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109</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1,602,300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包三：</w:t>
      </w:r>
      <w:r>
        <w:rPr>
          <w:rFonts w:hint="eastAsia" w:ascii="宋体" w:hAnsi="宋体" w:eastAsia="宋体" w:cs="宋体"/>
          <w:b/>
          <w:color w:val="000000"/>
          <w:sz w:val="24"/>
          <w:szCs w:val="24"/>
          <w:highlight w:val="none"/>
          <w:lang w:val="en-US" w:eastAsia="zh-CN"/>
        </w:rPr>
      </w:r>
      <w:r/>
    </w:p>
    <w:tbl>
      <w:tblPr>
        <w:tblW w:w="4998"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912"/>
        <w:gridCol w:w="2581"/>
        <w:gridCol w:w="933"/>
        <w:gridCol w:w="778"/>
        <w:gridCol w:w="912"/>
        <w:gridCol w:w="1578"/>
        <w:gridCol w:w="1981"/>
      </w:tblGrid>
      <w:tr>
        <w:trPr>
          <w:trHeight w:val="540"/>
        </w:trPr>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3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8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47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81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单价</w:t>
            </w:r>
            <w:r>
              <w:rPr>
                <w:rFonts w:hint="eastAsia" w:ascii="宋体" w:hAnsi="宋体" w:eastAsia="宋体" w:cs="宋体"/>
                <w:b/>
                <w:color w:val="000000"/>
                <w:sz w:val="24"/>
                <w:szCs w:val="24"/>
                <w:highlight w:val="none"/>
                <w:lang w:val="en-US" w:eastAsia="zh-CN"/>
              </w:rPr>
              <w:t xml:space="preserve">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02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最高限价</w:t>
            </w:r>
            <w:r>
              <w:rPr>
                <w:rFonts w:hint="eastAsia" w:ascii="宋体" w:hAnsi="宋体" w:eastAsia="宋体" w:cs="宋体"/>
                <w:b/>
                <w:color w:val="000000"/>
                <w:sz w:val="24"/>
                <w:szCs w:val="24"/>
                <w:highlight w:val="none"/>
              </w:rPr>
              <w:t xml:space="preserve">(元)</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组合家具(3人位连体公寓组合床*2+公寓凳*6+衣柜*2)</w:t>
            </w:r>
            <w:r>
              <w:rPr>
                <w:rFonts w:hint="eastAsia" w:ascii="宋体" w:hAnsi="宋体" w:eastAsia="宋体" w:cs="宋体"/>
                <w:b/>
                <w:bCs/>
                <w:color w:val="000000"/>
                <w:sz w:val="24"/>
                <w:szCs w:val="24"/>
                <w:highlight w:val="none"/>
                <w:lang w:val="en-US" w:eastAsia="zh-CN"/>
              </w:rPr>
              <w:t xml:space="preserve">核心产品</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156</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2,340,000</w:t>
            </w:r>
            <w:r>
              <w:rPr>
                <w:rFonts w:hint="eastAsia" w:ascii="宋体" w:hAnsi="宋体" w:eastAsia="宋体" w:cs="宋体"/>
                <w:color w:val="000000"/>
                <w:sz w:val="24"/>
                <w:szCs w:val="24"/>
                <w:highlight w:val="none"/>
              </w:rPr>
            </w:r>
            <w:r/>
          </w:p>
        </w:tc>
      </w:tr>
      <w:tr>
        <w:trPr>
          <w:trHeight w:val="360"/>
        </w:trPr>
        <w:tc>
          <w:tcPr>
            <w:tcMar>
              <w:left w:w="20" w:type="dxa"/>
              <w:top w:w="20" w:type="dxa"/>
              <w:right w:w="20" w:type="dxa"/>
              <w:bottom w:w="20" w:type="dxa"/>
            </w:tcMar>
            <w:tcW w:w="471"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58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多功能组合柜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3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见技术参数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7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91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578"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2,500</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81"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100,000</w:t>
            </w:r>
            <w:r>
              <w:rPr>
                <w:rFonts w:hint="eastAsia" w:ascii="宋体" w:hAnsi="宋体" w:eastAsia="宋体" w:cs="宋体"/>
                <w:color w:val="000000"/>
                <w:sz w:val="24"/>
                <w:szCs w:val="24"/>
                <w:highlight w:val="none"/>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66"/>
        <w:spacing w:line="360" w:lineRule="auto"/>
        <w:rPr>
          <w:rFonts w:hint="eastAsia" w:ascii="宋体" w:hAnsi="宋体" w:eastAsia="宋体" w:cs="宋体"/>
          <w:b/>
          <w:bCs/>
          <w:color w:val="000000"/>
          <w:sz w:val="28"/>
          <w:szCs w:val="36"/>
          <w:highlight w:val="none"/>
          <w:lang w:val="zh-CN"/>
        </w:rPr>
      </w:pPr>
      <w:r>
        <w:rPr>
          <w:rFonts w:hint="eastAsia" w:ascii="宋体" w:hAnsi="宋体" w:eastAsia="宋体" w:cs="宋体"/>
          <w:b/>
          <w:bCs/>
          <w:color w:val="000000"/>
          <w:sz w:val="28"/>
          <w:szCs w:val="36"/>
          <w:highlight w:val="none"/>
          <w:lang w:val="zh-CN"/>
        </w:rPr>
      </w:r>
      <w:r/>
    </w:p>
    <w:p>
      <w:pPr>
        <w:pStyle w:val="1066"/>
        <w:spacing w:line="360" w:lineRule="auto"/>
        <w:rPr>
          <w:rFonts w:hint="eastAsia" w:ascii="宋体" w:hAnsi="宋体" w:eastAsia="宋体" w:cs="宋体"/>
          <w:b/>
          <w:bCs/>
          <w:color w:val="000000"/>
          <w:highlight w:val="none"/>
          <w:lang w:val="zh-CN"/>
        </w:rPr>
        <w:sectPr>
          <w:footerReference w:type="default" r:id="rId13"/>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highlight w:val="none"/>
          <w:lang w:val="zh-CN"/>
        </w:rPr>
      </w:r>
      <w:r/>
    </w:p>
    <w:p>
      <w:pPr>
        <w:pStyle w:val="1066"/>
        <w:spacing w:line="360" w:lineRule="auto"/>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第二部分技术参数</w:t>
      </w:r>
      <w:r>
        <w:rPr>
          <w:rFonts w:hint="eastAsia" w:ascii="宋体" w:hAnsi="宋体" w:eastAsia="宋体" w:cs="宋体"/>
          <w:b/>
          <w:bCs/>
          <w:color w:val="000000"/>
          <w:sz w:val="28"/>
          <w:szCs w:val="36"/>
          <w:highlight w:val="none"/>
          <w:lang w:val="en-US" w:eastAsia="zh-CN"/>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包一：</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1、规格≥4000*900*3000mm</w:t>
      </w:r>
      <w:r>
        <w:rPr>
          <w:rFonts w:hint="eastAsia" w:ascii="宋体" w:hAnsi="宋体" w:eastAsia="宋体" w:cs="宋体"/>
          <w:color w:val="000000"/>
          <w:sz w:val="24"/>
          <w:szCs w:val="32"/>
          <w:highlight w:val="none"/>
        </w:rPr>
      </w:r>
      <w:r/>
    </w:p>
    <w:p>
      <w:pPr>
        <w:pStyle w:val="1066"/>
        <w:numPr>
          <w:ilvl w:val="0"/>
          <w:numId w:val="1"/>
        </w:numPr>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立柱：边立柱采用≥70mm*70mm*1.2mm高频焊接闭口型管材，外立面带圆弧。中立柱采用≥80mm*40mm*1.2mm高频焊接闭口型管材，隐藏式卡扣连接，立柱上下均采用PP塑料静音内塞。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采用规格为≥1900*800*18mm的一体成型一级HDPE高密度聚乙烯新料中空吹塑板，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1900*700*760mm，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1900*260mm*1000mm；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w:t>
      </w:r>
      <w:r>
        <w:rPr>
          <w:rFonts w:hint="eastAsia" w:ascii="宋体" w:hAnsi="宋体" w:eastAsia="宋体" w:cs="宋体"/>
          <w:color w:val="000000"/>
          <w:sz w:val="24"/>
          <w:szCs w:val="32"/>
          <w:highlight w:val="none"/>
          <w:lang w:val="en-US" w:eastAsia="zh-CN"/>
        </w:rPr>
        <w:t xml:space="preserve">采用墙体原有电源点位直接接驳、固定式永久接线方式布线安装。</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16、书桌下储物格：尺寸≥1800*250*580mm，柜体采用≥18mmEO级三聚氰胺饰面刨花板（含背板），均分为三格，每隔中间加固定层板。底部采用≥50*20*1.2mm防潮钢架。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32"/>
          <w:highlight w:val="none"/>
        </w:rPr>
        <w:t xml:space="preserve">18、所有金属件焊接做到焊接平整、无虚焊、无明显焊疤、焊接处需打磨光滑，经除锈、酸洗磷化、陶化钝化等处理，表面采用环氧树脂静电喷涂粉末工艺。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highlight w:val="none"/>
        </w:rPr>
      </w:r>
      <w:r/>
    </w:p>
    <w:p>
      <w:pPr>
        <w:pStyle w:val="1066"/>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248275" cy="34988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48275" cy="349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3.2pt;height:275.5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57748" cy="40532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5.5pt;height:319.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规格≥950*600*2400mm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56.2pt;height:23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szCs w:val="32"/>
          <w:highlight w:val="none"/>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四、产品技术要求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w:t>
      </w:r>
      <w:r>
        <w:rPr>
          <w:rFonts w:ascii="SimSun" w:hAnsi="SimSun" w:eastAsia="SimSun" w:cs="SimSun"/>
          <w:b w:val="0"/>
          <w:bCs w:val="0"/>
          <w:color w:val="000000"/>
          <w:sz w:val="24"/>
        </w:rPr>
        <w:t xml:space="preserve">供应商须提供</w:t>
      </w:r>
      <w:r>
        <w:rPr>
          <w:rFonts w:ascii="SimSun" w:hAnsi="SimSun" w:eastAsia="SimSun" w:cs="SimSun"/>
          <w:b w:val="0"/>
          <w:bCs w:val="0"/>
          <w:color w:val="000000"/>
          <w:sz w:val="24"/>
        </w:rPr>
        <w:t xml:space="preserve">所投产品以下带CMA标识的</w:t>
      </w:r>
      <w:r>
        <w:rPr>
          <w:rFonts w:ascii="SimSun" w:hAnsi="SimSun" w:eastAsia="SimSun" w:cs="SimSun"/>
          <w:b w:val="0"/>
          <w:bCs w:val="0"/>
          <w:color w:val="000000"/>
          <w:sz w:val="24"/>
        </w:rPr>
        <w:t xml:space="preserve">检测报告，检测标准为上列产品使用标准中任一标准即可，下列每项检测内容须完整且检测结果为合格。</w:t>
      </w:r>
      <w:r>
        <w:rPr>
          <w:rFonts w:ascii="SimSun" w:hAnsi="SimSun" w:eastAsia="SimSun" w:cs="SimSun"/>
          <w:b w:val="0"/>
          <w:bCs w:val="0"/>
          <w:color w:val="000000"/>
          <w:sz w:val="24"/>
        </w:rPr>
        <w:t xml:space="preserve">检测内容缺少或不合格的视为负偏离。</w:t>
      </w:r>
      <w:r>
        <w:rPr>
          <w:rFonts w:hint="eastAsia" w:ascii="宋体" w:hAnsi="宋体" w:eastAsia="宋体" w:cs="宋体"/>
          <w:b w:val="0"/>
          <w:bCs w:val="0"/>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所有板材达到E0级及以上，达到阻燃B1级及以上。</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★导轨采用三节阻尼导轨，铰链采用阻尼铰链，须明确品牌。</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ascii="宋体" w:hAnsi="宋体" w:cs="宋体"/>
          <w:color w:val="000000"/>
          <w:sz w:val="24"/>
          <w:szCs w:val="32"/>
          <w:highlight w:val="none"/>
          <w:lang w:val="en-US" w:eastAsia="zh-CN"/>
        </w:rPr>
      </w:r>
      <w:r/>
    </w:p>
    <w:p>
      <w:pPr>
        <w:pStyle w:val="1066"/>
        <w:numPr>
          <w:ilvl w:val="0"/>
          <w:numId w:val="0"/>
        </w:numPr>
        <w:ind w:firstLine="0"/>
        <w:jc w:val="lef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ind w:left="0" w:firstLine="0"/>
        <w:jc w:val="left"/>
        <w:keepLines w:val="0"/>
        <w:keepNext w:val="0"/>
        <w:widowControl/>
        <w:rPr>
          <w:rFonts w:hint="eastAsia" w:ascii="方正仿宋_GB2312" w:hAnsi="方正仿宋_GB2312" w:eastAsia="方正仿宋_GB2312" w:cs="方正仿宋_GB2312"/>
          <w:i w:val="0"/>
          <w:iCs w:val="0"/>
          <w:caps w:val="0"/>
          <w:color w:val="000000"/>
          <w:spacing w:val="0"/>
          <w:sz w:val="20"/>
          <w:szCs w:val="20"/>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i w:val="0"/>
          <w:iCs w:val="0"/>
          <w:caps w:val="0"/>
          <w:color w:val="000000"/>
          <w:spacing w:val="0"/>
          <w:sz w:val="20"/>
          <w:szCs w:val="20"/>
          <w:highlight w:val="none"/>
          <w:lang w:val="en-US" w:eastAsia="zh-CN" w:bidi="ar"/>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包二：</w: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1、规格≥4200*900*3000mm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2、立柱：边立柱采用≥70mm*70mm*1.2mm高频焊接闭口型管材，外立面带圆弧。中立柱采用≥80mm*40mm*1.2mm高频焊接闭口型管材，隐藏式卡扣连接，立柱上下均采用PP塑料静音内塞。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w:t>
      </w:r>
      <w:r>
        <w:rPr>
          <w:rFonts w:hint="eastAsia" w:ascii="宋体" w:hAnsi="宋体" w:eastAsia="宋体" w:cs="宋体"/>
          <w:color w:val="000000"/>
          <w:sz w:val="24"/>
          <w:szCs w:val="32"/>
          <w:highlight w:val="none"/>
        </w:rPr>
        <w:t xml:space="preserve">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w:t>
      </w:r>
      <w:r>
        <w:rPr>
          <w:rFonts w:hint="eastAsia" w:ascii="宋体" w:hAnsi="宋体" w:eastAsia="宋体" w:cs="宋体"/>
          <w:color w:val="000000"/>
          <w:sz w:val="24"/>
          <w:szCs w:val="32"/>
          <w:highlight w:val="none"/>
        </w:rPr>
        <w:t xml:space="preserve">采用规格为≥1900*800*18mm的一体成型一级HDPE高密度聚乙烯新料中空吹塑板，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w:t>
      </w:r>
      <w:r>
        <w:rPr>
          <w:rFonts w:hint="eastAsia" w:ascii="宋体" w:hAnsi="宋体" w:eastAsia="宋体" w:cs="宋体"/>
          <w:color w:val="000000"/>
          <w:sz w:val="24"/>
          <w:szCs w:val="32"/>
          <w:highlight w:val="none"/>
        </w:rPr>
        <w:t xml:space="preserve">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14、书桌：尺寸≥2100*700*760mm，</w:t>
      </w:r>
      <w:r>
        <w:rPr>
          <w:rFonts w:hint="eastAsia" w:ascii="宋体" w:hAnsi="宋体" w:eastAsia="宋体" w:cs="宋体"/>
          <w:color w:val="000000"/>
          <w:sz w:val="24"/>
          <w:szCs w:val="32"/>
          <w:highlight w:val="none"/>
        </w:rPr>
        <w:t xml:space="preserve">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15、书架：尺寸≥2100*260mm*1000mm；</w:t>
      </w:r>
      <w:r>
        <w:rPr>
          <w:rFonts w:hint="eastAsia" w:ascii="宋体" w:hAnsi="宋体" w:eastAsia="宋体" w:cs="宋体"/>
          <w:color w:val="000000"/>
          <w:sz w:val="24"/>
          <w:szCs w:val="32"/>
          <w:highlight w:val="none"/>
        </w:rPr>
        <w:t xml:space="preserve">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一体式电源插座，采用墙体原有电源点位直接接驳、固定式永久接线方式布线安装。</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16、书桌下储物格：尺寸≥2000*250*580mm，</w:t>
      </w:r>
      <w:r>
        <w:rPr>
          <w:rFonts w:hint="eastAsia" w:ascii="宋体" w:hAnsi="宋体" w:eastAsia="宋体" w:cs="宋体"/>
          <w:color w:val="000000"/>
          <w:sz w:val="24"/>
          <w:szCs w:val="32"/>
          <w:highlight w:val="none"/>
        </w:rPr>
        <w:t xml:space="preserve">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w:t>
      </w:r>
      <w:r>
        <w:rPr>
          <w:rFonts w:hint="eastAsia" w:ascii="宋体" w:hAnsi="宋体" w:eastAsia="宋体" w:cs="宋体"/>
          <w:color w:val="000000"/>
          <w:sz w:val="24"/>
          <w:szCs w:val="32"/>
          <w:highlight w:val="none"/>
        </w:rPr>
        <w:t xml:space="preserve">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w:t>
      </w:r>
      <w:r>
        <w:rPr>
          <w:rFonts w:hint="eastAsia" w:ascii="宋体" w:hAnsi="宋体" w:eastAsia="宋体" w:cs="宋体"/>
          <w:color w:val="000000"/>
          <w:sz w:val="24"/>
          <w:szCs w:val="32"/>
          <w:highlight w:val="none"/>
        </w:rPr>
        <w:t xml:space="preserve">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514975" cy="36766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514975" cy="3676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4.2pt;height:289.5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rPr>
        <w:t xml:space="preserve">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657748" cy="4053281"/>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5.5pt;height:319.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32"/>
          <w:highlight w:val="none"/>
        </w:rPr>
        <w:t xml:space="preserve">规格≥950*600*2400mm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szCs w:val="32"/>
          <w:highlight w:val="none"/>
        </w:rPr>
        <w:t xml:space="preserve">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left"/>
        <w:spacing w:line="315" w:lineRule="exac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56.2pt;height:237.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四、产品技术要求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w:t>
      </w:r>
      <w:r>
        <w:rPr>
          <w:rFonts w:ascii="SimSun" w:hAnsi="SimSun" w:eastAsia="SimSun" w:cs="SimSun"/>
          <w:b w:val="0"/>
          <w:bCs w:val="0"/>
          <w:color w:val="000000"/>
          <w:sz w:val="24"/>
        </w:rPr>
        <w:t xml:space="preserve">供应商须提供</w:t>
      </w:r>
      <w:r>
        <w:rPr>
          <w:rFonts w:ascii="SimSun" w:hAnsi="SimSun" w:eastAsia="SimSun" w:cs="SimSun"/>
          <w:b w:val="0"/>
          <w:bCs w:val="0"/>
          <w:color w:val="000000"/>
          <w:sz w:val="24"/>
        </w:rPr>
        <w:t xml:space="preserve">所投产品以下带CMA标识的</w:t>
      </w:r>
      <w:r>
        <w:rPr>
          <w:rFonts w:ascii="SimSun" w:hAnsi="SimSun" w:eastAsia="SimSun" w:cs="SimSun"/>
          <w:b w:val="0"/>
          <w:bCs w:val="0"/>
          <w:color w:val="000000"/>
          <w:sz w:val="24"/>
        </w:rPr>
        <w:t xml:space="preserve">检测报告，检测标准为上列产品使用标准中任一标准即可，下列每项检测内容须完整且检测结果为合格。</w:t>
      </w:r>
      <w:r>
        <w:rPr>
          <w:rFonts w:ascii="SimSun" w:hAnsi="SimSun" w:eastAsia="SimSun" w:cs="SimSun"/>
          <w:b w:val="0"/>
          <w:bCs w:val="0"/>
          <w:color w:val="000000"/>
          <w:sz w:val="24"/>
        </w:rPr>
        <w:t xml:space="preserve">检测内容缺少或不合格的视为负偏离。</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★所有板材达到E0级及以上，达到阻燃B1级及以上。</w:t>
      </w:r>
      <w:r>
        <w:rPr>
          <w:rFonts w:hint="eastAsia" w:ascii="宋体" w:hAnsi="宋体" w:eastAsia="宋体" w:cs="宋体"/>
          <w:color w:val="000000"/>
          <w:sz w:val="24"/>
          <w:szCs w:val="24"/>
          <w:highlight w:val="none"/>
          <w:lang w:val="en-US"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★导轨采用三节阻尼导轨，铰链采用阻尼铰链，须明确品牌。</w:t>
      </w:r>
      <w:r>
        <w:rPr>
          <w:rFonts w:hint="eastAsia" w:ascii="宋体" w:hAnsi="宋体" w:eastAsia="宋体" w:cs="宋体"/>
          <w:color w:val="000000"/>
          <w:sz w:val="24"/>
          <w:szCs w:val="24"/>
          <w:highlight w:val="none"/>
          <w:lang w:val="en-US" w:eastAsia="zh-CN"/>
        </w:rPr>
      </w:r>
      <w:r/>
    </w:p>
    <w:p>
      <w:pPr>
        <w:pStyle w:val="1066"/>
        <w:ind w:firstLine="480"/>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color w:val="000000"/>
          <w:sz w:val="24"/>
          <w:szCs w:val="32"/>
          <w:highlight w:val="none"/>
        </w:rPr>
        <w:t xml:space="preserve">包三：</w: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一、3人位连体公寓组合床（含书桌书架）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1、规格≥4400*900*3000mm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2、立柱：</w:t>
      </w:r>
      <w:r>
        <w:rPr>
          <w:rFonts w:hint="eastAsia" w:ascii="宋体" w:hAnsi="宋体" w:eastAsia="宋体" w:cs="宋体"/>
          <w:color w:val="000000"/>
          <w:sz w:val="24"/>
          <w:szCs w:val="32"/>
          <w:highlight w:val="none"/>
        </w:rPr>
        <w:t xml:space="preserve">边立柱采用≥70mm*70mm*1.2mm高频焊接闭口型管材，外立面带圆弧。中立柱采用≥80mm*40mm*1.2mm高频焊接闭口型管材，隐藏式卡扣连接，立柱上下均采用PP塑料静音内塞。</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3、床厅：</w:t>
      </w:r>
      <w:r>
        <w:rPr>
          <w:rFonts w:hint="eastAsia" w:ascii="宋体" w:hAnsi="宋体" w:eastAsia="宋体" w:cs="宋体"/>
          <w:color w:val="000000"/>
          <w:sz w:val="24"/>
          <w:szCs w:val="32"/>
          <w:highlight w:val="none"/>
        </w:rPr>
        <w:t xml:space="preserve">采用≥80*30*1.2mm高频焊接闭口型管材，其中上下床一侧的上部前床厅底部安装铝合金轨道，固定方式为螺丝固定，不允许使用胶粘。</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4、床撑：采用≥25mm*25mm*1.2mm高频焊接闭口型管材，数量≥6根。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5、前护栏：</w:t>
      </w:r>
      <w:r>
        <w:rPr>
          <w:rFonts w:hint="eastAsia" w:ascii="宋体" w:hAnsi="宋体" w:eastAsia="宋体" w:cs="宋体"/>
          <w:color w:val="000000"/>
          <w:sz w:val="24"/>
          <w:szCs w:val="32"/>
          <w:highlight w:val="none"/>
        </w:rPr>
        <w:t xml:space="preserve">采用≥25mm*25mm*1.2mm高频焊接闭口型管材作为外框，内部镶嵌18mmE0级三聚氰胺饰面刨花板</w:t>
      </w:r>
      <w:r>
        <w:rPr>
          <w:rFonts w:hint="eastAsia" w:ascii="宋体" w:hAnsi="宋体" w:cs="宋体"/>
          <w:color w:val="000000"/>
          <w:highlight w:val="none"/>
          <w:lang w:eastAsia="zh-CN"/>
        </w:rPr>
        <w:t xml:space="preserve">，</w:t>
      </w:r>
      <w:r>
        <w:rPr>
          <w:rFonts w:hint="eastAsia" w:ascii="Segoe UI" w:hAnsi="Segoe UI" w:eastAsia="宋体" w:cs="Segoe UI"/>
          <w:i w:val="0"/>
          <w:iCs w:val="0"/>
          <w:caps w:val="0"/>
          <w:color w:val="000000"/>
          <w:spacing w:val="0"/>
          <w:sz w:val="22"/>
          <w:szCs w:val="22"/>
          <w:highlight w:val="none"/>
          <w:shd w:val="clear" w:color="auto" w:fill="ffffff"/>
          <w:lang w:val="en-US" w:eastAsia="zh-CN"/>
        </w:rPr>
        <w:t xml:space="preserve">达到阻燃</w:t>
      </w:r>
      <w:r>
        <w:rPr>
          <w:rFonts w:ascii="Segoe UI" w:hAnsi="Segoe UI" w:eastAsia="Segoe UI" w:cs="Segoe UI"/>
          <w:b/>
          <w:bCs/>
          <w:i w:val="0"/>
          <w:iCs w:val="0"/>
          <w:caps w:val="0"/>
          <w:color w:val="000000"/>
          <w:spacing w:val="0"/>
          <w:sz w:val="22"/>
          <w:szCs w:val="22"/>
          <w:highlight w:val="none"/>
          <w:shd w:val="clear" w:color="auto" w:fill="ffffff"/>
        </w:rPr>
        <w:t xml:space="preserve">B1级</w:t>
      </w:r>
      <w:r>
        <w:rPr>
          <w:rFonts w:hint="eastAsia" w:ascii="Segoe UI" w:hAnsi="Segoe UI" w:eastAsia="宋体" w:cs="Segoe UI"/>
          <w:b/>
          <w:bCs/>
          <w:i w:val="0"/>
          <w:iCs w:val="0"/>
          <w:caps w:val="0"/>
          <w:color w:val="000000"/>
          <w:spacing w:val="0"/>
          <w:sz w:val="22"/>
          <w:szCs w:val="22"/>
          <w:highlight w:val="none"/>
          <w:shd w:val="clear" w:color="auto" w:fill="ffffff"/>
          <w:lang w:val="en-US" w:eastAsia="zh-CN"/>
        </w:rPr>
        <w:t xml:space="preserve">及以上</w:t>
      </w:r>
      <w:r>
        <w:rPr>
          <w:rFonts w:hint="eastAsia" w:ascii="宋体" w:hAnsi="宋体" w:eastAsia="宋体" w:cs="宋体"/>
          <w:color w:val="000000"/>
          <w:sz w:val="24"/>
          <w:szCs w:val="32"/>
          <w:highlight w:val="none"/>
        </w:rPr>
        <w:t xml:space="preserve">。前护栏高度≥350mm，其嵌板内侧自带永久性的床褥上表面最大高度警示线，警示线距离护栏顶边≥250mm。外侧设有PP材质注塑成型的名牌插槽。护栏开口尺寸符合《省教育厅办公室关于印发学生宿舍用床安全栏板改造技术指南的通知》（苏教办发函〔2023〕16号）附件中相关规定。前护栏床头设置PP材质可平移开合对话窗口，外形采用跑道圆设计，上铺前护栏床头上方配置≥750*500*1.2mm钢制洞洞板，下铺前护栏床头上方配置≥850*500*1.2mm钢制洞洞板。</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6、后护栏：采用≥18mmEO级三聚氰胺饰面刨花板，高度≥200mm，长度铺满。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7、床头护栏：</w:t>
      </w:r>
      <w:r>
        <w:rPr>
          <w:rFonts w:hint="eastAsia" w:ascii="宋体" w:hAnsi="宋体" w:eastAsia="宋体" w:cs="宋体"/>
          <w:color w:val="000000"/>
          <w:sz w:val="24"/>
          <w:szCs w:val="32"/>
          <w:highlight w:val="none"/>
        </w:rPr>
        <w:t xml:space="preserve">采用≥25mm*25mm*1.2mm高频焊接D型闭口型管材外框，內嵌≥18mm厚EO级三聚氰胺饰面刨花板，护栏底管采用≥50mm*25mm*1.2mm高频焊接闭口型管材，管材左右两侧与立柱连接。床头护栏与前护栏高度相同，配置PU床头软靠，预埋螺母固定连接。</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8、床尾护栏：</w:t>
      </w:r>
      <w:r>
        <w:rPr>
          <w:rFonts w:hint="eastAsia" w:ascii="宋体" w:hAnsi="宋体" w:eastAsia="宋体" w:cs="宋体"/>
          <w:color w:val="000000"/>
          <w:sz w:val="24"/>
          <w:szCs w:val="32"/>
          <w:highlight w:val="none"/>
        </w:rPr>
        <w:t xml:space="preserve">下铺床尾护栏采用≥1200*810*1.2mm钢制洞洞板，上铺床尾护栏采用≥25mm*25mm*1.2mm高频焊接闭口型管材外框，內嵌≥18mmEO级三聚氰胺饰面刨花板，底管采用≥50mm*25mm*1.2mm高频焊接闭口型管材。</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9、</w:t>
      </w:r>
      <w:r>
        <w:rPr>
          <w:rFonts w:hint="eastAsia" w:ascii="宋体" w:hAnsi="宋体" w:eastAsia="宋体" w:cs="宋体"/>
          <w:color w:val="000000"/>
          <w:sz w:val="24"/>
          <w:szCs w:val="32"/>
          <w:highlight w:val="none"/>
        </w:rPr>
        <w:t xml:space="preserve">床后顶部上拉梁框架采用≥25mm*25mm*1.2mm的高频焊接闭口型管材，內嵌≥100*18mmEO级三聚氰胺饰面刨花板，并配备≥6个铝合金隐藏式挂衣钩。（下铺床位同样配备≥100*18mm的EO级三聚氰胺饰面刨花板，底部支撑采用≥25mm*25mm*1.2mm的高频焊接闭口型管材，并配备≥6个铝合金隐藏式挂衣钩。）挂衣钩经过圆角处理，无尖锐棱角。</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10、蚊帐杆：</w:t>
      </w:r>
      <w:r>
        <w:rPr>
          <w:rFonts w:hint="eastAsia" w:ascii="宋体" w:hAnsi="宋体" w:eastAsia="宋体" w:cs="宋体"/>
          <w:color w:val="000000"/>
          <w:sz w:val="24"/>
          <w:szCs w:val="32"/>
          <w:highlight w:val="none"/>
        </w:rPr>
        <w:t xml:space="preserve">采用≥25mm*25mm*1.2mm的高频焊接闭口型管材，底部安装铝合金轨道，固定方式为螺丝固定，不允许使用胶粘。配置横向管材2根、纵向管材4根，且中间蚊帐杆增设ø19*1.2mm支撑2根。</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11、床下储物柜:</w:t>
      </w:r>
      <w:r>
        <w:rPr>
          <w:rFonts w:hint="eastAsia" w:ascii="宋体" w:hAnsi="宋体" w:eastAsia="宋体" w:cs="宋体"/>
          <w:color w:val="000000"/>
          <w:sz w:val="24"/>
          <w:szCs w:val="32"/>
          <w:highlight w:val="none"/>
        </w:rPr>
        <w:t xml:space="preserve">配置三</w:t>
      </w:r>
      <w:r>
        <w:rPr>
          <w:rFonts w:hint="eastAsia" w:ascii="宋体" w:hAnsi="宋体" w:eastAsia="宋体" w:cs="宋体"/>
          <w:color w:val="000000"/>
          <w:sz w:val="24"/>
          <w:szCs w:val="32"/>
          <w:highlight w:val="none"/>
        </w:rPr>
        <w:t xml:space="preserve">个拉篮深度≥850mm，拉篮框架采用≥20*20*1.2mm高频焊接闭口型管材、支撑采用10根≥ø16*1.2mm 高频焊接闭口型管材，底部安装四个静音定向轮。行李架抽面板采用 18mmEO级三聚氰胺饰面刨花板，离地下方留自然缝隙方便抽拉，并在中间开一拉手孔，拉手孔安装PP塑料装饰盖，自带圆弧角，表面光滑、平整。两行李架相邻部位用≥50*20*1.2mm防潮钢架+≥18mm EO级三聚氰胺饰面刨花板封满防止物品掉落，靠中立柱一侧配置三个开放式储物格深度≥400mm,底部采用≥50*20*1.2mm防潮钢架。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lang w:eastAsia="zh-CN"/>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12、吹塑床板：采用规格为≥2000*800*18mm的一体成型一级HDPE高密度聚乙烯新料中空吹塑板，</w:t>
      </w:r>
      <w:r>
        <w:rPr>
          <w:rFonts w:hint="eastAsia" w:ascii="宋体" w:hAnsi="宋体" w:eastAsia="宋体" w:cs="宋体"/>
          <w:color w:val="000000"/>
          <w:sz w:val="24"/>
          <w:szCs w:val="32"/>
          <w:highlight w:val="none"/>
        </w:rPr>
        <w:t xml:space="preserve">板上设有透气孔，透气孔数量≥50个。床板放置在床撑上并固定，防止床板松动、产生异响。床铺面完成安装后，上表面高度不得高于床梃上沿。</w:t>
      </w:r>
      <w:r>
        <w:rPr>
          <w:rFonts w:hint="eastAsia" w:ascii="宋体" w:hAnsi="宋体" w:eastAsia="宋体" w:cs="宋体"/>
          <w:color w:val="000000"/>
          <w:sz w:val="24"/>
          <w:szCs w:val="32"/>
          <w:highlight w:val="none"/>
          <w:lang w:eastAsia="zh-CN"/>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13、爬梯：</w:t>
      </w:r>
      <w:r>
        <w:rPr>
          <w:rFonts w:hint="eastAsia" w:ascii="宋体" w:hAnsi="宋体" w:eastAsia="宋体" w:cs="宋体"/>
          <w:color w:val="000000"/>
          <w:sz w:val="24"/>
          <w:szCs w:val="32"/>
          <w:highlight w:val="none"/>
        </w:rPr>
        <w:t xml:space="preserve">主管采用≥30*50*1.2mm扁圆管。爬梯脚踏板采用一级HDPE高密度聚乙烯新料制作，每块板面设置荧光防滑圆点及防滑条纹，脚踏板宽度≥120mm,长度≥380mm，每块脚踏板底部采用≥30mm*20mm*1.2mm高频焊接闭口型管材支撑。</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14、书桌：尺寸≥2200*700*760mm，</w:t>
      </w:r>
      <w:r>
        <w:rPr>
          <w:rFonts w:hint="eastAsia" w:ascii="宋体" w:hAnsi="宋体" w:eastAsia="宋体" w:cs="宋体"/>
          <w:color w:val="000000"/>
          <w:sz w:val="24"/>
          <w:szCs w:val="32"/>
          <w:highlight w:val="none"/>
        </w:rPr>
        <w:t xml:space="preserve">立柱采用4根≥40*40*1.2mm高频焊接闭口型管材，支撑梁采用前后2根、左右2根≥40*20*1.2mm高频焊接闭口型管材。台面采用厚度≥25mmE0级刨花板双面≥0.8mm防火饰面板，台面前口鸭嘴边，桌面开三个60mm过线孔。桌面下配三个抽屉，深度≥400mm，采用≥18mmEO级三聚氰胺饰面刨花板，三节阻尼导轨≥400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15、书架：尺寸≥2200*260mm*1000mm；</w:t>
      </w:r>
      <w:r>
        <w:rPr>
          <w:rFonts w:hint="eastAsia" w:ascii="宋体" w:hAnsi="宋体" w:eastAsia="宋体" w:cs="宋体"/>
          <w:color w:val="000000"/>
          <w:sz w:val="24"/>
          <w:szCs w:val="32"/>
          <w:highlight w:val="none"/>
        </w:rPr>
        <w:t xml:space="preserve">书桌桌面上方配一层书架，采用≥18mmEO级三聚氰胺饰面刨花板分为三格，书架净深度≥240mm，净高度≥320mm。书架底部到书桌采用洞洞板，洞洞板采用厚度≥1.2mm冷轧钢板制作；侧板上配置一体式插座，内含阅读灯1个4000K色温、≥2个5孔插座、≥2个USB、≥1个开关</w:t>
      </w:r>
      <w:r>
        <w:rPr>
          <w:rFonts w:hint="eastAsia" w:ascii="宋体" w:hAnsi="宋体" w:cs="宋体"/>
          <w:color w:val="000000"/>
          <w:sz w:val="24"/>
          <w:szCs w:val="32"/>
          <w:highlight w:val="none"/>
          <w:lang w:eastAsia="zh-CN"/>
        </w:rPr>
        <w:t xml:space="preserve">，</w:t>
      </w:r>
      <w:r>
        <w:rPr>
          <w:rFonts w:hint="eastAsia" w:ascii="宋体" w:hAnsi="宋体" w:eastAsia="宋体" w:cs="宋体"/>
          <w:color w:val="000000"/>
          <w:sz w:val="24"/>
          <w:szCs w:val="24"/>
          <w:highlight w:val="none"/>
          <w:lang w:val="en-US" w:eastAsia="zh-CN" w:bidi="ar"/>
        </w:rPr>
        <w:t xml:space="preserve">一体式电源插座</w:t>
      </w:r>
      <w:r>
        <w:rPr>
          <w:rFonts w:hint="eastAsia" w:ascii="宋体" w:hAnsi="宋体" w:eastAsia="宋体" w:cs="宋体"/>
          <w:b w:val="0"/>
          <w:bCs w:val="0"/>
          <w:color w:val="000000"/>
          <w:sz w:val="24"/>
          <w:szCs w:val="24"/>
          <w:highlight w:val="none"/>
          <w:lang w:val="en-US" w:eastAsia="zh-CN" w:bidi="ar"/>
        </w:rPr>
        <w:t xml:space="preserve">，采用</w:t>
      </w:r>
      <w:r>
        <w:rPr>
          <w:rStyle w:val="1159"/>
          <w:rFonts w:hint="eastAsia" w:ascii="宋体" w:hAnsi="宋体" w:eastAsia="宋体" w:cs="宋体"/>
          <w:b w:val="0"/>
          <w:bCs w:val="0"/>
          <w:color w:val="000000"/>
          <w:sz w:val="24"/>
          <w:szCs w:val="24"/>
          <w:highlight w:val="none"/>
          <w:lang w:val="en-US" w:eastAsia="zh-CN" w:bidi="ar"/>
        </w:rPr>
        <w:t xml:space="preserve">墙体原有电源点位直接接驳、固定式永久接线方式</w:t>
      </w:r>
      <w:r>
        <w:rPr>
          <w:rFonts w:hint="eastAsia" w:ascii="宋体" w:hAnsi="宋体" w:eastAsia="宋体" w:cs="宋体"/>
          <w:b w:val="0"/>
          <w:bCs w:val="0"/>
          <w:color w:val="000000"/>
          <w:sz w:val="24"/>
          <w:szCs w:val="24"/>
          <w:highlight w:val="none"/>
          <w:lang w:val="en-US" w:eastAsia="zh-CN" w:bidi="ar"/>
        </w:rPr>
        <w:t xml:space="preserve">布线安装</w:t>
      </w:r>
      <w:r>
        <w:rPr>
          <w:rFonts w:hint="eastAsia" w:ascii="宋体" w:hAnsi="宋体" w:eastAsia="宋体" w:cs="宋体"/>
          <w:b w:val="0"/>
          <w:bCs w:val="0"/>
          <w:color w:val="000000"/>
          <w:sz w:val="24"/>
          <w:szCs w:val="32"/>
          <w:highlight w:val="none"/>
        </w:rPr>
        <w:t xml:space="preserve">。</w:t>
      </w:r>
      <w:r>
        <w:rPr>
          <w:rFonts w:hint="eastAsia" w:ascii="宋体" w:hAnsi="宋体" w:eastAsia="宋体" w:cs="宋体"/>
          <w:b w:val="0"/>
          <w:bCs w:val="0"/>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16、书桌下储物格：尺寸≥2100*250*580mm，</w:t>
      </w:r>
      <w:r>
        <w:rPr>
          <w:rFonts w:hint="eastAsia" w:ascii="宋体" w:hAnsi="宋体" w:eastAsia="宋体" w:cs="宋体"/>
          <w:color w:val="000000"/>
          <w:sz w:val="24"/>
          <w:szCs w:val="32"/>
          <w:highlight w:val="none"/>
        </w:rPr>
        <w:t xml:space="preserve">柜体采用≥18mmEO级三聚氰胺饰面刨花板（含背板），均分为三格，每隔中间加固定层板。底部采用≥50*20*1.2mm防潮钢架。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17、封边：</w:t>
      </w:r>
      <w:r>
        <w:rPr>
          <w:rFonts w:hint="eastAsia" w:ascii="宋体" w:hAnsi="宋体" w:eastAsia="宋体" w:cs="宋体"/>
          <w:color w:val="000000"/>
          <w:sz w:val="24"/>
          <w:szCs w:val="32"/>
          <w:highlight w:val="none"/>
        </w:rPr>
        <w:t xml:space="preserve">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18、</w:t>
      </w:r>
      <w:r>
        <w:rPr>
          <w:rFonts w:hint="eastAsia" w:ascii="宋体" w:hAnsi="宋体" w:eastAsia="宋体" w:cs="宋体"/>
          <w:color w:val="000000"/>
          <w:sz w:val="24"/>
          <w:szCs w:val="32"/>
          <w:highlight w:val="none"/>
        </w:rPr>
        <w:t xml:space="preserve">所有金属件焊接做到焊接平整、无虚焊、无明显焊疤、焊接处需打磨光滑，经除锈、酸洗磷化、陶化钝化等处理，表面采用环氧树脂静电喷涂粉末工艺。</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486400" cy="365760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486400" cy="3657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32.0pt;height:288.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二、公寓凳</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1、规格≥360mm*280mm*420mm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2、凳架：采用国标铝合金经大型铸造设备浇铸成型，完全防锈、防水、耐腐蚀，各边口应圆润光滑，表面采用塑粉喷涂工艺。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3、凳面板：采用高密度聚乙烯一级新料经大型中空吹塑设备一次制作成型，耐磨耐用。凳面中间设置椭圆形孔，方便手提移动。凳面板采用内嵌方式装入凳面边框中。</w:t>
      </w:r>
      <w:r>
        <w:rPr>
          <w:rFonts w:hint="eastAsia" w:ascii="宋体" w:hAnsi="宋体" w:eastAsia="宋体" w:cs="宋体"/>
          <w:color w:val="000000"/>
          <w:sz w:val="24"/>
          <w:szCs w:val="32"/>
          <w:highlight w:val="none"/>
        </w:rPr>
      </w:r>
      <w:r/>
    </w:p>
    <w:p>
      <w:pPr>
        <w:pStyle w:val="1066"/>
        <w:jc w:val="left"/>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5657748" cy="405328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657748" cy="40532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5.5pt;height:319.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三、衣柜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cs="宋体"/>
          <w:color w:val="000000"/>
          <w:sz w:val="24"/>
          <w:szCs w:val="32"/>
          <w:highlight w:val="none"/>
          <w:lang w:val="en-US" w:eastAsia="zh-CN"/>
        </w:rPr>
        <w:t xml:space="preserve">1、</w:t>
      </w:r>
      <w:r>
        <w:rPr>
          <w:rFonts w:hint="eastAsia" w:ascii="宋体" w:hAnsi="宋体" w:eastAsia="宋体" w:cs="宋体"/>
          <w:color w:val="000000"/>
          <w:sz w:val="24"/>
          <w:szCs w:val="32"/>
          <w:highlight w:val="none"/>
        </w:rPr>
        <w:t xml:space="preserve">规格≥950*600*2400mm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2、材质：所有板材均采用≥18mm EO级三聚氰胺饰面刨花板（包含背板），每个柜内1个中立板，2块活动层板，底部采用规格≥50*20*1.2mm的防潮钢架。</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cs="宋体"/>
          <w:color w:val="000000"/>
          <w:sz w:val="24"/>
          <w:szCs w:val="32"/>
          <w:highlight w:val="none"/>
          <w:lang w:val="en-US" w:eastAsia="zh-CN"/>
        </w:rPr>
        <w:t xml:space="preserve">铝合金锁盒</w:t>
      </w:r>
      <w:r>
        <w:rPr>
          <w:rFonts w:hint="eastAsia" w:ascii="宋体" w:hAnsi="宋体" w:eastAsia="宋体" w:cs="宋体"/>
          <w:color w:val="000000"/>
          <w:sz w:val="24"/>
          <w:szCs w:val="32"/>
          <w:highlight w:val="none"/>
        </w:rPr>
        <w:t xml:space="preserve">：拉手选用铝合金材质，柜门拉手配备锁舌，锁舌隐藏于拉手内部，不突出柜体，坚固耐用，接触面均采用圆角设计。</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4、五金配件含阻尼铰链、三合一连接等。</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5、挂衣杆：采用不锈钢材质，厚度≥1.5mm，直径≥25mm，两端配备挂衣托，要求安全稳固。</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6、封边：所有板材的可见面和不可见面部分均须进行四面封边，采用PUR热熔胶封边，封边条厚度均≥1.2mm，封边严密、平整，无脱胶现象，表面无胶渍。</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rPr>
      </w:r>
      <w:r/>
    </w:p>
    <w:p>
      <w:pPr>
        <w:pStyle w:val="1066"/>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mc:AlternateContent>
          <mc:Choice Requires="wpg">
            <w:drawing>
              <wp:inline xmlns:wp="http://schemas.openxmlformats.org/drawingml/2006/wordprocessingDrawing" distT="0" distB="0" distL="0" distR="0">
                <wp:extent cx="4524375" cy="30162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524375" cy="301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56.2pt;height:237.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4"/>
          <w:szCs w:val="32"/>
          <w:highlight w:val="none"/>
        </w:rPr>
      </w:r>
      <w:r/>
    </w:p>
    <w:p>
      <w:pPr>
        <w:pStyle w:val="1066"/>
        <w:ind w:firstLine="482"/>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rPr>
        <w:t xml:space="preserve">四、多功能组合柜</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1、规格≥1200*700*3000mm </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cs="宋体"/>
          <w:color w:val="000000"/>
          <w:sz w:val="24"/>
          <w:szCs w:val="24"/>
          <w:highlight w:val="none"/>
        </w:rPr>
        <w:t xml:space="preserve">★</w:t>
      </w:r>
      <w:r>
        <w:rPr>
          <w:rFonts w:hint="eastAsia" w:ascii="宋体" w:hAnsi="宋体" w:eastAsia="宋体" w:cs="宋体"/>
          <w:color w:val="000000"/>
          <w:sz w:val="24"/>
          <w:szCs w:val="32"/>
          <w:highlight w:val="none"/>
        </w:rPr>
        <w:t xml:space="preserve">2、组合柜柜脚采用≥40mm*40mm*1.5mm的方管制做，桌面板采用≥25mmE0级刨花板双面≥0.8mm防火饰面板，台面前口鸭嘴边。书架侧板采用≥25mmE0级三聚氰胺饰面刨花板，其余板材均采用≥18mmE0级三聚氰胺饰面刨花板。两人位组合柜桌面宽度≥700mm,上部柜体宽度≥550mm。</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3、门板、抽屉面板安装铝合金暗拉手，下门板配内嵌式铝合金锁盒，旋钮式挂锁设计，表面电镀或者喷涂处理，挂锁不外露，挂锁可单独配置。</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4、封边：所有板材可见面和不可见面部分均须四面封边，采用PUR热熔胶，封边条厚度均≥1.2mm，封边严密、平整、无脱胶、表面无胶渍。</w:t>
      </w:r>
      <w:r>
        <w:rPr>
          <w:rFonts w:hint="eastAsia" w:ascii="宋体" w:hAnsi="宋体" w:eastAsia="宋体" w:cs="宋体"/>
          <w:color w:val="000000"/>
          <w:sz w:val="24"/>
          <w:szCs w:val="32"/>
          <w:highlight w:val="none"/>
        </w:rPr>
      </w:r>
      <w:r/>
    </w:p>
    <w:p>
      <w:pPr>
        <w:pStyle w:val="1066"/>
        <w:ind w:firstLine="480"/>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32"/>
          <w:highlight w:val="none"/>
        </w:rPr>
        <w:t xml:space="preserve">5、安装完成后柜体与墙体必须用膨胀栓固定。</w:t>
      </w:r>
      <w:r>
        <w:rPr>
          <w:rFonts w:hint="eastAsia" w:ascii="宋体" w:hAnsi="宋体" w:eastAsia="宋体" w:cs="宋体"/>
          <w:color w:val="000000"/>
          <w:highlight w:val="none"/>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543525" cy="393587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543525" cy="393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36.5pt;height:309.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numPr>
          <w:ilvl w:val="0"/>
          <w:numId w:val="0"/>
        </w:numPr>
        <w:ind w:firstLine="482"/>
        <w:jc w:val="left"/>
        <w:keepLines w:val="0"/>
        <w:keepNext w:val="0"/>
        <w:pageBreakBefore w:val="0"/>
        <w:spacing w:line="360" w:lineRule="auto"/>
        <w:widowControl w:val="off"/>
        <w:rPr>
          <w:rFonts w:ascii="宋体" w:hAnsi="宋体" w:cs="宋体"/>
          <w:color w:val="000000"/>
          <w:sz w:val="24"/>
          <w:szCs w:val="32"/>
          <w:highlight w:val="none"/>
          <w:lang w:val="en-US" w:eastAsia="zh-CN"/>
        </w:rPr>
      </w:pPr>
      <w:r>
        <w:rPr>
          <w:rFonts w:hint="eastAsia" w:ascii="宋体" w:hAnsi="宋体" w:cs="宋体"/>
          <w:b/>
          <w:bCs/>
          <w:color w:val="000000"/>
          <w:sz w:val="24"/>
          <w:szCs w:val="32"/>
          <w:highlight w:val="none"/>
          <w:lang w:val="en-US" w:eastAsia="zh-CN"/>
        </w:rPr>
        <w:t xml:space="preserve">五、产品技术要求</w:t>
      </w:r>
      <w:r>
        <w:rPr>
          <w:rFonts w:ascii="宋体" w:hAnsi="宋体" w:cs="宋体"/>
          <w:color w:val="000000"/>
          <w:sz w:val="24"/>
          <w:szCs w:val="32"/>
          <w:highlight w:val="none"/>
          <w:lang w:val="en-US" w:eastAsia="zh-CN"/>
        </w:rPr>
      </w:r>
      <w:r/>
    </w:p>
    <w:p>
      <w:pPr>
        <w:pStyle w:val="1066"/>
        <w:ind w:firstLine="482"/>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（一）产品适用标准要求： </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投标人提供的所有原材料及成品均符合以上技术参数及以下检测标准要求，</w:t>
      </w:r>
      <w:r>
        <w:rPr>
          <w:rFonts w:hint="eastAsia" w:ascii="宋体" w:hAnsi="宋体" w:eastAsia="宋体" w:cs="宋体"/>
          <w:b w:val="0"/>
          <w:bCs w:val="0"/>
          <w:color w:val="000000"/>
          <w:sz w:val="24"/>
          <w:szCs w:val="24"/>
          <w:highlight w:val="none"/>
          <w:lang w:val="en-US" w:eastAsia="zh-CN"/>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3325-2024《金属家具通用技术条件》</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GB/T 3324-20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《木家具通用技术条件》</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3.GB/T 32487-2016《塑料家具通用技术条件》</w:t>
      </w:r>
      <w:r>
        <w:rPr>
          <w:rFonts w:hint="eastAsia" w:ascii="宋体" w:hAnsi="宋体" w:eastAsia="宋体" w:cs="宋体"/>
          <w:color w:val="000000"/>
          <w:sz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GB/T 15102-2017 《浸渍胶膜纸饰面纤维板和刨花板》</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GB/T</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39600-2021《人造板及其制品甲醛释放量分级》</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GB18580-2017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2025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《室內装饰装修材料人造板及其制品中甲醛释放限量》</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7.QB/T2189-2013《家具五金杯状暗铰链》</w:t>
      </w:r>
      <w:r>
        <w:rPr>
          <w:rFonts w:hint="eastAsia" w:ascii="宋体" w:hAnsi="宋体" w:eastAsia="宋体" w:cs="宋体"/>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QB/T2454-2013《家具五金抽屉导轨》</w:t>
      </w:r>
      <w:r>
        <w:rPr>
          <w:rFonts w:hint="eastAsia" w:ascii="宋体" w:hAnsi="宋体" w:eastAsia="宋体" w:cs="宋体"/>
          <w:b w:val="0"/>
          <w:bCs w:val="0"/>
          <w:color w:val="000000"/>
          <w:sz w:val="24"/>
          <w:szCs w:val="24"/>
          <w:highlight w:val="none"/>
        </w:rPr>
      </w:r>
      <w:r/>
    </w:p>
    <w:p>
      <w:pPr>
        <w:pStyle w:val="1066"/>
        <w:ind w:firstLine="480"/>
        <w:jc w:val="left"/>
        <w:keepLines w:val="0"/>
        <w:keepNext w:val="0"/>
        <w:pageBreakBefore w:val="0"/>
        <w:spacing w:line="360" w:lineRule="auto"/>
        <w:widowControl/>
        <w:rPr>
          <w:rStyle w:val="1159"/>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rPr>
        <w:t xml:space="preserve">9.</w:t>
      </w:r>
      <w:r>
        <w:rPr>
          <w:rStyle w:val="1159"/>
          <w:rFonts w:hint="eastAsia" w:ascii="宋体" w:hAnsi="宋体" w:eastAsia="宋体" w:cs="宋体"/>
          <w:b w:val="0"/>
          <w:bCs w:val="0"/>
          <w:color w:val="000000"/>
          <w:sz w:val="24"/>
          <w:szCs w:val="24"/>
          <w:highlight w:val="none"/>
          <w:lang w:val="en-US" w:eastAsia="zh-CN" w:bidi="ar"/>
        </w:rPr>
        <w:t xml:space="preserve">HG/T 2006-2022《热固性和热塑性粉末涂料》</w:t>
      </w:r>
      <w:r>
        <w:rPr>
          <w:rStyle w:val="1159"/>
          <w:rFonts w:hint="eastAsia" w:ascii="宋体" w:hAnsi="宋体" w:eastAsia="宋体" w:cs="宋体"/>
          <w:b w:val="0"/>
          <w:bCs w:val="0"/>
          <w:color w:val="000000"/>
          <w:sz w:val="24"/>
          <w:szCs w:val="24"/>
          <w:highlight w:val="none"/>
          <w:lang w:val="en-US" w:eastAsia="zh-CN" w:bidi="ar"/>
        </w:rPr>
      </w:r>
      <w:r/>
    </w:p>
    <w:p>
      <w:pPr>
        <w:pStyle w:val="1095"/>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rPr>
        <w:t xml:space="preserve">GB/T 10125-2021《人造气氛腐蚀试验 盐雾试验》</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rPr>
        <w:t xml:space="preserve">11.</w:t>
      </w:r>
      <w:r>
        <w:rPr>
          <w:rStyle w:val="1159"/>
          <w:rFonts w:hint="eastAsia" w:ascii="宋体" w:hAnsi="宋体" w:eastAsia="宋体" w:cs="宋体"/>
          <w:b w:val="0"/>
          <w:bCs w:val="0"/>
          <w:color w:val="000000"/>
          <w:sz w:val="24"/>
          <w:szCs w:val="24"/>
          <w:highlight w:val="none"/>
          <w:lang w:val="en-US" w:eastAsia="zh-CN" w:bidi="ar"/>
        </w:rPr>
        <w:t xml:space="preserve">GB/T 32223-2025《建筑门窗五金件 通用要求》</w:t>
      </w:r>
      <w:r>
        <w:rPr>
          <w:rFonts w:hint="eastAsia" w:ascii="宋体" w:hAnsi="宋体" w:eastAsia="宋体" w:cs="宋体"/>
          <w:b w:val="0"/>
          <w:bCs w:val="0"/>
          <w:color w:val="000000"/>
          <w:sz w:val="24"/>
          <w:szCs w:val="24"/>
          <w:highlight w:val="none"/>
        </w:rPr>
      </w:r>
      <w:r/>
    </w:p>
    <w:p>
      <w:pPr>
        <w:pStyle w:val="1095"/>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QB/T 4463-2025《家具用封边条》</w:t>
      </w:r>
      <w:r>
        <w:rPr>
          <w:rFonts w:hint="eastAsia" w:ascii="宋体" w:hAnsi="宋体" w:eastAsia="宋体" w:cs="宋体"/>
          <w:b w:val="0"/>
          <w:bCs w:val="0"/>
          <w:color w:val="000000"/>
          <w:sz w:val="24"/>
          <w:szCs w:val="24"/>
          <w:highlight w:val="none"/>
        </w:rPr>
      </w:r>
      <w:r/>
    </w:p>
    <w:p>
      <w:pPr>
        <w:pStyle w:val="1095"/>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GB 8624-2012《建筑材料及制品燃烧性能分级》</w:t>
      </w:r>
      <w:r>
        <w:rPr>
          <w:rFonts w:hint="eastAsia" w:ascii="宋体" w:hAnsi="宋体" w:eastAsia="宋体" w:cs="宋体"/>
          <w:b w:val="0"/>
          <w:bCs w:val="0"/>
          <w:color w:val="000000"/>
          <w:sz w:val="24"/>
          <w:szCs w:val="24"/>
          <w:highlight w:val="none"/>
          <w:lang w:val="en-US" w:eastAsia="zh-CN"/>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（二）</w:t>
      </w:r>
      <w:r>
        <w:rPr>
          <w:rFonts w:ascii="SimSun" w:hAnsi="SimSun" w:eastAsia="SimSun" w:cs="SimSun"/>
          <w:b w:val="0"/>
          <w:bCs w:val="0"/>
          <w:color w:val="000000"/>
          <w:sz w:val="24"/>
        </w:rPr>
        <w:t xml:space="preserve">供应商须提供</w:t>
      </w:r>
      <w:r>
        <w:rPr>
          <w:rFonts w:ascii="SimSun" w:hAnsi="SimSun" w:eastAsia="SimSun" w:cs="SimSun"/>
          <w:b w:val="0"/>
          <w:bCs w:val="0"/>
          <w:color w:val="000000"/>
          <w:sz w:val="24"/>
        </w:rPr>
        <w:t xml:space="preserve">所投产品以下带CMA标识的</w:t>
      </w:r>
      <w:r>
        <w:rPr>
          <w:rFonts w:ascii="SimSun" w:hAnsi="SimSun" w:eastAsia="SimSun" w:cs="SimSun"/>
          <w:b w:val="0"/>
          <w:bCs w:val="0"/>
          <w:color w:val="000000"/>
          <w:sz w:val="24"/>
        </w:rPr>
        <w:t xml:space="preserve">检测报告，检测标准为上列产品使用标准中任一标准即可，下列每项检测内容须完整且检测结果为合格。</w:t>
      </w:r>
      <w:r>
        <w:rPr>
          <w:rFonts w:ascii="SimSun" w:hAnsi="SimSun" w:eastAsia="SimSun" w:cs="SimSun"/>
          <w:b w:val="0"/>
          <w:bCs w:val="0"/>
          <w:color w:val="000000"/>
          <w:sz w:val="24"/>
        </w:rPr>
        <w:t xml:space="preserve">检测内容缺少或不合格的视为负偏离。</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三聚氰胺饰面刨花板（至少需包含：理化性能、甲醛释放量、TVOC项目）；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铰链（至少需包含需包含：过载、功能、耐腐蚀项目）；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导轨（至少需包含：过载、功能、耐腐蚀项目）；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塑粉（至少需包含：附着力、耐冲击性、抗盐雾性能项目）；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铝合金锁盒（至少需包含：硬度、冲击强度、耐腐蚀、附着力项目）；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封边条（至少需包含：理化性能、甲醛释放量、可溶性重金属项目）；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钢管（至少需包含：理化性、抗盐雾性能项目）；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highlight w:val="none"/>
        </w:rPr>
        <w:t xml:space="preserve">▲</w:t>
      </w:r>
      <w:r>
        <w:rPr>
          <w:rFonts w:hint="eastAsia" w:ascii="宋体" w:hAnsi="宋体" w:eastAsia="宋体" w:cs="宋体"/>
          <w:i w:val="0"/>
          <w:iCs w:val="0"/>
          <w:caps w:val="0"/>
          <w:color w:val="000000"/>
          <w:spacing w:val="0"/>
          <w:sz w:val="24"/>
          <w:szCs w:val="24"/>
          <w:highlight w:val="none"/>
          <w:lang w:val="en-US" w:eastAsia="zh-CN" w:bidi="ar"/>
        </w:rPr>
        <w:t xml:space="preserve">高密度聚乙烯床板（至少需包含：耐老化性、冲击强度、理化性能、有害物质限量项目）。</w:t>
      </w: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r>
      <w:r/>
    </w:p>
    <w:p>
      <w:pPr>
        <w:pStyle w:val="1066"/>
        <w:ind w:left="0" w:firstLine="480"/>
        <w:jc w:val="left"/>
        <w:keepLines w:val="0"/>
        <w:keepNext w:val="0"/>
        <w:pageBreakBefore w:val="0"/>
        <w:spacing w:line="360" w:lineRule="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
        </w:rPr>
        <w:t xml:space="preserve">（三）供应商须提供以下承诺（格式自拟）。</w:t>
      </w:r>
      <w:r>
        <w:rPr>
          <w:rFonts w:hint="eastAsia" w:ascii="宋体" w:hAnsi="宋体" w:eastAsia="宋体" w:cs="宋体"/>
          <w:i w:val="0"/>
          <w:iCs w:val="0"/>
          <w:caps w:val="0"/>
          <w:color w:val="000000"/>
          <w:spacing w:val="0"/>
          <w:sz w:val="24"/>
          <w:szCs w:val="24"/>
          <w:highlight w:val="none"/>
          <w:lang w:val="en-US" w:eastAsia="zh-CN" w:bidi="ar"/>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管材</w:t>
      </w:r>
      <w:r>
        <w:rPr>
          <w:rFonts w:hint="eastAsia" w:ascii="宋体" w:hAnsi="宋体" w:eastAsia="宋体" w:cs="宋体"/>
          <w:color w:val="000000"/>
          <w:sz w:val="24"/>
          <w:szCs w:val="24"/>
          <w:highlight w:val="none"/>
          <w:lang w:val="en-US" w:eastAsia="zh-CN"/>
        </w:rPr>
        <w:t xml:space="preserve">壁厚</w:t>
      </w:r>
      <w:r>
        <w:rPr>
          <w:rFonts w:hint="eastAsia" w:ascii="宋体" w:hAnsi="宋体" w:eastAsia="宋体" w:cs="宋体"/>
          <w:color w:val="000000"/>
          <w:sz w:val="24"/>
          <w:szCs w:val="24"/>
          <w:highlight w:val="none"/>
        </w:rPr>
        <w:t xml:space="preserve">≥1.2mm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所有板材达到E0级及以上，</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达到阻燃</w:t>
      </w:r>
      <w:r>
        <w:rPr>
          <w:rFonts w:hint="eastAsia" w:ascii="宋体" w:hAnsi="宋体" w:eastAsia="宋体" w:cs="宋体"/>
          <w:b w:val="0"/>
          <w:bCs w:val="0"/>
          <w:i w:val="0"/>
          <w:iCs w:val="0"/>
          <w:caps w:val="0"/>
          <w:color w:val="000000"/>
          <w:spacing w:val="0"/>
          <w:sz w:val="24"/>
          <w:szCs w:val="24"/>
          <w:highlight w:val="none"/>
          <w:shd w:val="clear" w:color="auto" w:fill="ffffff"/>
        </w:rPr>
        <w:t xml:space="preserve">B1级</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及以上</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43"/>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导轨采用三节阻尼导轨，铰链采用阻尼铰链，须明确品牌。</w:t>
      </w:r>
      <w:r>
        <w:rPr>
          <w:rFonts w:hint="eastAsia" w:ascii="宋体" w:hAnsi="宋体" w:eastAsia="宋体" w:cs="宋体"/>
          <w:b w:val="0"/>
          <w:bCs w:val="0"/>
          <w:color w:val="000000"/>
          <w:sz w:val="24"/>
          <w:szCs w:val="24"/>
          <w:highlight w:val="none"/>
        </w:rPr>
      </w:r>
      <w:r/>
    </w:p>
    <w:p>
      <w:pPr>
        <w:pStyle w:val="1066"/>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★所有板材的可见面和不可见面部分均须进行四面封边，采用PUR热熔胶封边，封边条厚度均≥1.2mm，封边严密、平整，无脱胶现象，表面无胶渍。</w:t>
      </w: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66"/>
        <w:spacing w:line="360" w:lineRule="auto"/>
        <w:rPr>
          <w:rFonts w:hint="eastAsia" w:ascii="宋体" w:hAnsi="宋体" w:eastAsia="宋体" w:cs="宋体"/>
          <w:b/>
          <w:bCs/>
          <w:color w:val="000000"/>
          <w:sz w:val="28"/>
          <w:szCs w:val="36"/>
          <w:highlight w:val="none"/>
          <w:lang w:val="en-US" w:eastAsia="zh-CN"/>
        </w:rPr>
        <w:sectPr>
          <w:footnotePr/>
          <w:endnotePr>
            <w:numFmt w:val="decimal"/>
          </w:endnotePr>
          <w:type w:val="continuous"/>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28"/>
          <w:szCs w:val="36"/>
          <w:highlight w:val="none"/>
          <w:lang w:val="en-US" w:eastAsia="zh-CN"/>
        </w:rPr>
        <w:br w:type="page" w:clear="all"/>
      </w:r>
      <w:r/>
    </w:p>
    <w:p>
      <w:pPr>
        <w:pStyle w:val="1066"/>
        <w:spacing w:line="360" w:lineRule="auto"/>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★第三部分 商务部分</w:t>
      </w:r>
      <w:r>
        <w:rPr>
          <w:rFonts w:hint="eastAsia" w:ascii="宋体" w:hAnsi="宋体" w:eastAsia="宋体" w:cs="宋体"/>
          <w:b/>
          <w:bCs/>
          <w:color w:val="000000"/>
          <w:sz w:val="28"/>
          <w:szCs w:val="36"/>
          <w:highlight w:val="none"/>
          <w:lang w:val="en-US" w:eastAsia="zh-CN"/>
        </w:rPr>
      </w:r>
      <w:r/>
    </w:p>
    <w:tbl>
      <w:tblPr>
        <w:tblW w:w="96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710"/>
        <w:gridCol w:w="7290"/>
      </w:tblGrid>
      <w:tr>
        <w:trPr>
          <w:trHeight w:val="556"/>
        </w:trPr>
        <w:tc>
          <w:tcPr>
            <w:tcW w:w="683"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商务条款名称</w:t>
            </w:r>
            <w:r>
              <w:rPr>
                <w:rFonts w:hint="eastAsia" w:ascii="宋体" w:hAnsi="宋体" w:eastAsia="宋体" w:cs="宋体"/>
                <w:b/>
                <w:color w:val="000000"/>
                <w:sz w:val="24"/>
                <w:szCs w:val="24"/>
                <w:highlight w:val="none"/>
              </w:rPr>
            </w:r>
            <w:r/>
          </w:p>
        </w:tc>
        <w:tc>
          <w:tcPr>
            <w:tcW w:w="7290" w:type="dxa"/>
            <w:vAlign w:val="center"/>
            <w:textDirection w:val="lrTb"/>
            <w:noWrap w:val="false"/>
          </w:tcPr>
          <w:p>
            <w:pPr>
              <w:pStyle w:val="106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商务条款的具体要求</w:t>
            </w:r>
            <w:r>
              <w:rPr>
                <w:rFonts w:hint="eastAsia" w:ascii="宋体" w:hAnsi="宋体" w:eastAsia="宋体" w:cs="宋体"/>
                <w:b/>
                <w:color w:val="000000"/>
                <w:sz w:val="24"/>
                <w:szCs w:val="24"/>
                <w:highlight w:val="none"/>
              </w:rPr>
            </w:r>
            <w:r/>
          </w:p>
        </w:tc>
      </w:tr>
      <w:tr>
        <w:trPr>
          <w:trHeight w:val="765"/>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合同主体与付款单位</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该项目合同主体与付款单位为：</w:t>
            </w:r>
            <w:r>
              <w:rPr>
                <w:rFonts w:hint="eastAsia" w:ascii="宋体" w:hAnsi="宋体" w:eastAsia="宋体" w:cs="宋体"/>
                <w:color w:val="000000"/>
                <w:sz w:val="24"/>
                <w:szCs w:val="24"/>
                <w:highlight w:val="none"/>
                <w:lang w:eastAsia="zh-CN"/>
              </w:rPr>
              <w:t xml:space="preserve">江苏海事职业技术学院</w:t>
            </w:r>
            <w:r>
              <w:rPr>
                <w:rFonts w:hint="eastAsia" w:ascii="宋体" w:hAnsi="宋体" w:eastAsia="宋体" w:cs="宋体"/>
                <w:color w:val="000000"/>
                <w:sz w:val="24"/>
                <w:szCs w:val="24"/>
                <w:highlight w:val="none"/>
                <w:lang w:eastAsia="zh-CN"/>
              </w:rPr>
            </w:r>
            <w:r/>
          </w:p>
        </w:tc>
      </w:tr>
      <w:tr>
        <w:trPr>
          <w:trHeight w:val="68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包一：自项目验收合格之日起120个月</w:t>
            </w:r>
            <w:r>
              <w:rPr>
                <w:rFonts w:hint="eastAsia" w:ascii="宋体" w:hAnsi="宋体" w:eastAsia="宋体" w:cs="宋体"/>
                <w:color w:val="000000"/>
                <w:sz w:val="24"/>
                <w:szCs w:val="24"/>
                <w:highlight w:val="none"/>
                <w:lang w:val="en-US" w:eastAsia="zh-CN"/>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自项目验收合格之日起120个月</w:t>
            </w:r>
            <w:r>
              <w:rPr>
                <w:rFonts w:hint="eastAsia" w:ascii="宋体" w:hAnsi="宋体" w:eastAsia="宋体" w:cs="宋体"/>
                <w:color w:val="000000"/>
                <w:sz w:val="24"/>
                <w:szCs w:val="24"/>
                <w:highlight w:val="none"/>
                <w:u w:val="none"/>
              </w:rPr>
            </w:r>
            <w:r/>
          </w:p>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自项目验收合格之日起120个月</w:t>
            </w:r>
            <w:r>
              <w:rPr>
                <w:rFonts w:hint="eastAsia" w:ascii="宋体" w:hAnsi="宋体" w:eastAsia="宋体" w:cs="宋体"/>
                <w:color w:val="000000"/>
                <w:sz w:val="24"/>
                <w:szCs w:val="24"/>
                <w:highlight w:val="none"/>
                <w:lang w:val="en-US" w:eastAsia="zh-CN"/>
              </w:rPr>
            </w:r>
            <w:r/>
          </w:p>
        </w:tc>
      </w:tr>
      <w:tr>
        <w:trPr>
          <w:trHeight w:val="68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交货期要求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包一：自合同签订之日起，20个日历日内完成拆旧、安装和调试工作</w:t>
            </w:r>
            <w:r>
              <w:rPr>
                <w:rFonts w:hint="eastAsia" w:ascii="宋体" w:hAnsi="宋体" w:eastAsia="宋体" w:cs="宋体"/>
                <w:color w:val="000000"/>
                <w:sz w:val="24"/>
                <w:szCs w:val="24"/>
                <w:highlight w:val="none"/>
                <w:lang w:val="en-US" w:eastAsia="zh-CN"/>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u w:val="none"/>
              </w:rPr>
            </w:r>
            <w:r/>
          </w:p>
          <w:p>
            <w:pPr>
              <w:pStyle w:val="1066"/>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rPr>
            </w:r>
            <w:r/>
          </w:p>
        </w:tc>
      </w:tr>
      <w:tr>
        <w:trPr>
          <w:trHeight w:val="907"/>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交货地点</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color w:val="000000"/>
                <w:sz w:val="24"/>
                <w:szCs w:val="24"/>
                <w:highlight w:val="none"/>
              </w:rPr>
            </w:r>
            <w:r/>
          </w:p>
        </w:tc>
      </w:tr>
      <w:tr>
        <w:trPr>
          <w:trHeight w:val="3826"/>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验收标准</w:t>
            </w:r>
            <w:r>
              <w:rPr>
                <w:rFonts w:hint="eastAsia" w:ascii="宋体" w:hAnsi="宋体" w:eastAsia="宋体" w:cs="宋体"/>
                <w:color w:val="000000"/>
                <w:sz w:val="24"/>
                <w:szCs w:val="24"/>
                <w:highlight w:val="none"/>
              </w:rPr>
            </w:r>
            <w:r/>
          </w:p>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与要求</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实施要求 </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(1)总体要求 </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1）所有家具必须严格按照招标文件“技术参数”要求进行制作安装，制作完成后供应商必须提供足够场所让所生产的成品家具有足够的透气通风时间，再包装送货进场安装。</w:t>
            </w:r>
            <w:r>
              <w:rPr>
                <w:rFonts w:hint="eastAsia" w:ascii="宋体" w:hAnsi="宋体" w:eastAsia="宋体" w:cs="宋体"/>
                <w:color w:val="000000"/>
                <w:sz w:val="24"/>
                <w:szCs w:val="24"/>
                <w:highlight w:val="none"/>
                <w:lang w:val="en-US" w:eastAsia="zh-CN"/>
              </w:rPr>
              <w:t xml:space="preserve">自合同签订之日起，20个日历日内完成拆旧、安装和调试工作</w:t>
            </w:r>
            <w:r>
              <w:rPr>
                <w:rFonts w:hint="eastAsia" w:ascii="宋体" w:hAnsi="宋体" w:eastAsia="宋体" w:cs="宋体"/>
                <w:color w:val="000000"/>
                <w:sz w:val="24"/>
                <w:szCs w:val="24"/>
                <w:highlight w:val="none"/>
                <w:lang w:val="en-US" w:eastAsia="zh-CN" w:bidi="ar"/>
              </w:rPr>
              <w:t xml:space="preserve">。安装方式便于维修，安装前须拆除搬运室内当前家具至指定地点，并用防雨布包裹好。拆旧搬运过程不得损坏原建筑墙地面，否则须恢复原状。家具安装必须整齐牢固，做到摇晃床铺、踩脚踏板、开启柜门等无声音。安装后即时清理打扫，垃圾带走。若使用过程中发现家具存在质量问题，校方可无条件要求供应商换货，由此造成的损失由供应商全部承担。本项目学校不提供安装工人餐饮、住宿服务。如未按招标要求供货，所造成的后果供应商自行负责。</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2）供应商应采取安全措施，确保安装安全。因本项目安装产生的人身安全问题均由供应商承担全部责任。</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3）货物的包装、运输应按国家规定执行，如因运输和卸货过程中造成损坏、丢失和发生严重后果，应由供应商负责补缺及承担责任。</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4）采购人使用该货物的任何一部分，当受第三方提出的侵犯其专利权、商标权或工业设计权的起诉时，一切后果由供应商负责。</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5）每种规格的家具在进行生产制作前须提前出样并经采购人确认后方可进行批量生产。</w:t>
            </w:r>
            <w:r>
              <w:rPr>
                <w:rFonts w:hint="eastAsia" w:ascii="宋体" w:hAnsi="宋体" w:eastAsia="宋体" w:cs="宋体"/>
                <w:b/>
                <w:bCs/>
                <w:color w:val="000000"/>
                <w:sz w:val="24"/>
                <w:szCs w:val="24"/>
                <w:highlight w:val="none"/>
                <w:lang w:val="en-US" w:eastAsia="zh-CN" w:bidi="ar"/>
              </w:rPr>
              <w:t xml:space="preserve">（提供承诺书加盖公章）</w:t>
            </w:r>
            <w:r>
              <w:rPr>
                <w:rFonts w:hint="eastAsia" w:ascii="宋体" w:hAnsi="宋体" w:eastAsia="宋体" w:cs="宋体"/>
                <w:color w:val="000000"/>
                <w:sz w:val="24"/>
                <w:szCs w:val="24"/>
                <w:highlight w:val="none"/>
              </w:rPr>
            </w:r>
            <w:r/>
          </w:p>
          <w:p>
            <w:pPr>
              <w:pStyle w:val="1066"/>
              <w:ind w:firstLine="0"/>
              <w:jc w:val="left"/>
              <w:keepLines w:val="0"/>
              <w:keepNext w:val="0"/>
              <w:pageBreakBefore w:val="0"/>
              <w:spacing w:line="240" w:lineRule="auto"/>
              <w:widowControl/>
              <w:rPr>
                <w:rFonts w:hint="eastAsia" w:ascii="宋体" w:hAnsi="宋体" w:eastAsia="宋体" w:cs="宋体"/>
                <w:i w:val="0"/>
                <w:color w:val="000000"/>
                <w:sz w:val="24"/>
                <w:szCs w:val="24"/>
                <w:highlight w:val="none"/>
                <w:u w:val="none"/>
                <w:lang w:bidi="ar"/>
              </w:rPr>
            </w:pPr>
            <w:r>
              <w:rPr>
                <w:rFonts w:hint="eastAsia" w:ascii="宋体" w:hAnsi="宋体" w:eastAsia="宋体" w:cs="宋体"/>
                <w:b w:val="0"/>
                <w:bCs w:val="0"/>
                <w:color w:val="000000"/>
                <w:sz w:val="24"/>
                <w:szCs w:val="24"/>
                <w:highlight w:val="none"/>
                <w:lang w:val="en-US" w:eastAsia="zh-CN" w:bidi="ar"/>
              </w:rPr>
              <w:t xml:space="preserve">6）项目整体</w:t>
            </w:r>
            <w:r>
              <w:rPr>
                <w:rFonts w:hint="eastAsia" w:ascii="宋体" w:hAnsi="宋体" w:eastAsia="宋体" w:cs="宋体"/>
                <w:b w:val="0"/>
                <w:bCs w:val="0"/>
                <w:i w:val="0"/>
                <w:color w:val="000000"/>
                <w:sz w:val="24"/>
                <w:szCs w:val="24"/>
                <w:highlight w:val="none"/>
                <w:u w:val="none"/>
                <w:lang w:bidi="ar"/>
              </w:rPr>
              <w:t xml:space="preserve">验收前</w:t>
            </w:r>
            <w:r>
              <w:rPr>
                <w:rFonts w:hint="eastAsia" w:ascii="宋体" w:hAnsi="宋体" w:eastAsia="宋体" w:cs="宋体"/>
                <w:b w:val="0"/>
                <w:bCs w:val="0"/>
                <w:i w:val="0"/>
                <w:color w:val="000000"/>
                <w:sz w:val="24"/>
                <w:szCs w:val="24"/>
                <w:highlight w:val="none"/>
                <w:u w:val="none"/>
                <w:lang w:eastAsia="zh-CN"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供应商应</w:t>
            </w:r>
            <w:r>
              <w:rPr>
                <w:rFonts w:hint="eastAsia" w:ascii="宋体" w:hAnsi="宋体" w:eastAsia="宋体" w:cs="宋体"/>
                <w:b w:val="0"/>
                <w:bCs w:val="0"/>
                <w:i w:val="0"/>
                <w:color w:val="000000"/>
                <w:sz w:val="24"/>
                <w:szCs w:val="24"/>
                <w:highlight w:val="none"/>
                <w:u w:val="none"/>
                <w:lang w:bidi="ar"/>
              </w:rPr>
              <w:t xml:space="preserve">提供合格的公寓家具抽样检测报告及合格的室内空气检测</w:t>
            </w:r>
            <w:r>
              <w:rPr>
                <w:rFonts w:hint="eastAsia" w:ascii="宋体" w:hAnsi="宋体" w:eastAsia="宋体" w:cs="宋体"/>
                <w:b w:val="0"/>
                <w:bCs w:val="0"/>
                <w:i w:val="0"/>
                <w:color w:val="000000"/>
                <w:sz w:val="24"/>
                <w:szCs w:val="24"/>
                <w:highlight w:val="none"/>
                <w:u w:val="none"/>
                <w:lang w:val="en-US" w:eastAsia="zh-CN" w:bidi="ar"/>
              </w:rPr>
              <w:t xml:space="preserve">纸质</w:t>
            </w:r>
            <w:r>
              <w:rPr>
                <w:rFonts w:hint="eastAsia" w:ascii="宋体" w:hAnsi="宋体" w:eastAsia="宋体" w:cs="宋体"/>
                <w:b w:val="0"/>
                <w:bCs w:val="0"/>
                <w:i w:val="0"/>
                <w:color w:val="000000"/>
                <w:sz w:val="24"/>
                <w:szCs w:val="24"/>
                <w:highlight w:val="none"/>
                <w:u w:val="none"/>
                <w:lang w:bidi="ar"/>
              </w:rPr>
              <w:t xml:space="preserve">报告（</w:t>
            </w:r>
            <w:r>
              <w:rPr>
                <w:rFonts w:hint="eastAsia" w:ascii="宋体" w:hAnsi="宋体" w:eastAsia="宋体" w:cs="宋体"/>
                <w:b w:val="0"/>
                <w:bCs w:val="0"/>
                <w:i w:val="0"/>
                <w:color w:val="000000"/>
                <w:sz w:val="24"/>
                <w:szCs w:val="24"/>
                <w:highlight w:val="none"/>
                <w:u w:val="none"/>
                <w:lang w:val="en-US" w:eastAsia="zh-CN" w:bidi="ar"/>
              </w:rPr>
              <w:t xml:space="preserve">采购人随机</w:t>
            </w:r>
            <w:r>
              <w:rPr>
                <w:rFonts w:hint="eastAsia" w:ascii="宋体" w:hAnsi="宋体" w:eastAsia="宋体" w:cs="宋体"/>
                <w:b w:val="0"/>
                <w:bCs w:val="0"/>
                <w:i w:val="0"/>
                <w:color w:val="000000"/>
                <w:sz w:val="24"/>
                <w:szCs w:val="24"/>
                <w:highlight w:val="none"/>
                <w:u w:val="none"/>
                <w:lang w:bidi="ar"/>
              </w:rPr>
              <w:t xml:space="preserve">抽样房间不少于5%）</w:t>
            </w:r>
            <w:r>
              <w:rPr>
                <w:rFonts w:hint="eastAsia" w:ascii="宋体" w:hAnsi="宋体" w:eastAsia="宋体" w:cs="宋体"/>
                <w:b w:val="0"/>
                <w:bCs w:val="0"/>
                <w:i w:val="0"/>
                <w:color w:val="000000"/>
                <w:sz w:val="24"/>
                <w:szCs w:val="24"/>
                <w:highlight w:val="none"/>
                <w:u w:val="none"/>
                <w:lang w:eastAsia="zh-CN"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检测及报告等相关费用由供应商承担</w:t>
            </w:r>
            <w:r>
              <w:rPr>
                <w:rFonts w:hint="eastAsia" w:ascii="宋体" w:hAnsi="宋体" w:eastAsia="宋体" w:cs="宋体"/>
                <w:b w:val="0"/>
                <w:bCs w:val="0"/>
                <w:i w:val="0"/>
                <w:color w:val="000000"/>
                <w:sz w:val="24"/>
                <w:szCs w:val="24"/>
                <w:highlight w:val="none"/>
                <w:u w:val="none"/>
                <w:lang w:bidi="ar"/>
              </w:rPr>
              <w:t xml:space="preserve">，</w:t>
            </w:r>
            <w:r>
              <w:rPr>
                <w:rFonts w:hint="eastAsia" w:ascii="宋体" w:hAnsi="宋体" w:eastAsia="宋体" w:cs="宋体"/>
                <w:b w:val="0"/>
                <w:bCs w:val="0"/>
                <w:i w:val="0"/>
                <w:color w:val="000000"/>
                <w:sz w:val="24"/>
                <w:szCs w:val="24"/>
                <w:highlight w:val="none"/>
                <w:u w:val="none"/>
                <w:lang w:val="en-US" w:eastAsia="zh-CN" w:bidi="ar"/>
              </w:rPr>
              <w:t xml:space="preserve">全部安装完成后10个日历天内提供</w:t>
            </w:r>
            <w:r>
              <w:rPr>
                <w:rFonts w:hint="eastAsia" w:ascii="宋体" w:hAnsi="宋体" w:eastAsia="宋体" w:cs="宋体"/>
                <w:b w:val="0"/>
                <w:bCs w:val="0"/>
                <w:i w:val="0"/>
                <w:color w:val="000000"/>
                <w:sz w:val="24"/>
                <w:szCs w:val="24"/>
                <w:highlight w:val="none"/>
                <w:u w:val="none"/>
                <w:lang w:bidi="ar"/>
              </w:rPr>
              <w:t xml:space="preserve">合格的检测报告，否则按违约处理。</w:t>
            </w:r>
            <w:r>
              <w:rPr>
                <w:rFonts w:hint="eastAsia" w:ascii="宋体" w:hAnsi="宋体" w:eastAsia="宋体" w:cs="宋体"/>
                <w:b/>
                <w:bCs/>
                <w:color w:val="000000"/>
                <w:sz w:val="24"/>
                <w:szCs w:val="24"/>
                <w:highlight w:val="none"/>
                <w:lang w:val="en-US" w:eastAsia="zh-CN" w:bidi="ar"/>
              </w:rPr>
              <w:t xml:space="preserve">（提供承诺书加盖公章）</w:t>
            </w:r>
            <w:r>
              <w:rPr>
                <w:rFonts w:hint="eastAsia" w:ascii="宋体" w:hAnsi="宋体" w:eastAsia="宋体" w:cs="宋体"/>
                <w:i w:val="0"/>
                <w:color w:val="000000"/>
                <w:sz w:val="24"/>
                <w:szCs w:val="24"/>
                <w:highlight w:val="none"/>
                <w:u w:val="none"/>
                <w:lang w:bidi="ar"/>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(2)质量要求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为了确保家具产品的质量，采购人将有权自行组织人员对家具生产过程进行随时检查，供应商须无条件配合。在供应商备齐原材料后，采购人有权对原材料采购情况进行查验，并随机抽取原材料带回采购人所在地进行检测。如不满足招、投标文件的要求，必须更换符合要求的原材料。如拒不更换或未在采购人规定的时间内更换的采购人将有权终止合同。</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2）货到并安装完毕后，采购人将对家具的外观、规格对照清单要求进行验收，并对所有品类家具各随机抽取一件至检验单</w:t>
            </w:r>
            <w:r>
              <w:rPr>
                <w:rFonts w:hint="eastAsia" w:ascii="宋体" w:hAnsi="宋体" w:eastAsia="宋体" w:cs="宋体"/>
                <w:color w:val="000000"/>
                <w:sz w:val="24"/>
                <w:szCs w:val="24"/>
                <w:highlight w:val="none"/>
                <w:lang w:val="en-US" w:eastAsia="zh-CN" w:bidi="ar"/>
              </w:rPr>
              <w:t xml:space="preserve">位或政府产品质量监督部门授权的第三方检测机构按照下述“成品检测报告”中的要求进行检测(相关运输及检测费用由供应商承担)。如质量达不到国家标准要求：对于情况不严重(除组合床外的其他品类家具之一不合格的)将由供应商整改，采购人将相应扣除5%－10%的合同金额；如果情况严重(组合床或其他品类家具≧2种不合格的)，采购人除相应扣除10%的合同金额外，还将责成供应商全部更换相应品类家具，直到达到质量标准为止，由此造成的全部损失均由供应商承担，同时供应商还须提供保证采购人顺利开学交货的应急处理措施，确保采购人顺利开学。</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3）本项目提供质保十年(含)以上(质保期的计算自所有家具设备安装调试到位并通过验收合格后开始)，质保费用包含在投标总价中。</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4）供应商对于一切可能影响供货、投标报价的因素所需费用已在签约合同价中充分考虑。供应商任何以家具安装现场为由提出额外的赔偿、补偿、增加用和延长家具交付期等要求，采购人均不予采纳。</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(3)质保(维保)及售后要求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1）质保期内，每年寒暑假各进行一次的全面检修(包含是否有螺丝松动，钢材脱焊等故障，并及时维修到位)，质保期内更换损坏零部件，以上所有服务费用包含在投标总价中。</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2）供应商中标后提供售后服务承诺书，包括质保期、质量问题处理方法。</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3）供应商接到报修请求，维修在2小时内响应，4小时内维修人员到达现场，必要时向采购人提供应急备用产品。</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4）质保期结束后，供应商提供终生服务，在货物的设计使用寿命周期内，供应商能保证采购人更换到原厂正宗的备件材料，确保产品的正常使用。</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5）质保期内维修(人为因素除外)费用包含在投标总价中。质保期外提供不高于市场价格的终身维护。中标后提供质保期后配件价格明细表。</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(4)其他要求</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家具样式颜色：生产前，须提供样品并经采购人确认许可后，方可组织生产。生产前还须至现场进行尺寸复核。部分房型放置家具位置存在柱子和插座，要求生产厂家根据现场情况做出合理避让，定制生产，保证美观性和空间利用率，颜色由采购方选定。</w:t>
            </w:r>
            <w:r>
              <w:rPr>
                <w:rFonts w:hint="eastAsia" w:ascii="宋体" w:hAnsi="宋体" w:eastAsia="宋体" w:cs="宋体"/>
                <w:color w:val="000000"/>
                <w:sz w:val="24"/>
                <w:szCs w:val="24"/>
                <w:highlight w:val="none"/>
              </w:rPr>
            </w:r>
            <w:r/>
          </w:p>
          <w:p>
            <w:pPr>
              <w:pStyle w:val="1066"/>
              <w:jc w:val="left"/>
              <w:keepLines w:val="0"/>
              <w:keepNext w:val="0"/>
              <w:pageBreakBefore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2）铭牌标识：学生公寓组合床须按采购方要求的款式、材质制作铭牌编码，床护栏明显位置具有学生信息卡插槽功能。</w:t>
            </w:r>
            <w:r>
              <w:rPr>
                <w:rFonts w:hint="eastAsia" w:ascii="宋体" w:hAnsi="宋体" w:eastAsia="宋体" w:cs="宋体"/>
                <w:color w:val="000000"/>
                <w:sz w:val="24"/>
                <w:szCs w:val="24"/>
                <w:highlight w:val="none"/>
              </w:rPr>
            </w:r>
            <w:r/>
          </w:p>
          <w:p>
            <w:pPr>
              <w:pStyle w:val="1066"/>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bidi="ar"/>
              </w:rPr>
              <w:t xml:space="preserve">3）送货要求：做好家具包装，防止表面划痕，如划痕家具数量超过总量5%，采购人将予以拒收。</w:t>
            </w:r>
            <w:r>
              <w:rPr>
                <w:rFonts w:hint="eastAsia" w:ascii="宋体" w:hAnsi="宋体" w:eastAsia="宋体" w:cs="宋体"/>
                <w:b/>
                <w:bCs/>
                <w:color w:val="000000"/>
                <w:sz w:val="24"/>
                <w:szCs w:val="24"/>
                <w:highlight w:val="none"/>
              </w:rPr>
            </w:r>
            <w:r/>
          </w:p>
        </w:tc>
      </w:tr>
      <w:tr>
        <w:trPr>
          <w:trHeight w:val="90"/>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tc>
        <w:tc>
          <w:tcPr>
            <w:tcW w:w="7290" w:type="dxa"/>
            <w:vAlign w:val="center"/>
            <w:textDirection w:val="lrTb"/>
            <w:noWrap w:val="false"/>
          </w:tcPr>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包一：</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before="0" w:after="0" w:line="24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交纳合同金额的10%作为履约保证金。 </w:t>
            </w:r>
            <w:r>
              <w:rPr>
                <w:rFonts w:hint="eastAsia" w:ascii="宋体" w:hAnsi="宋体" w:eastAsia="宋体" w:cs="宋体"/>
                <w:b/>
                <w:bCs/>
                <w:color w:val="000000"/>
                <w:sz w:val="24"/>
                <w:szCs w:val="24"/>
                <w:highlight w:val="none"/>
              </w:rPr>
            </w:r>
            <w:r/>
          </w:p>
        </w:tc>
      </w:tr>
      <w:tr>
        <w:trPr>
          <w:trHeight w:val="1558"/>
        </w:trPr>
        <w:tc>
          <w:tcPr>
            <w:tcW w:w="683"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71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付款条件</w:t>
            </w:r>
            <w:r>
              <w:rPr>
                <w:rFonts w:hint="eastAsia" w:ascii="宋体" w:hAnsi="宋体" w:eastAsia="宋体" w:cs="宋体"/>
                <w:color w:val="000000"/>
                <w:sz w:val="24"/>
                <w:szCs w:val="24"/>
                <w:highlight w:val="none"/>
              </w:rPr>
            </w:r>
            <w:r/>
          </w:p>
        </w:tc>
        <w:tc>
          <w:tcPr>
            <w:tcW w:w="7290" w:type="dxa"/>
            <w:vAlign w:val="center"/>
            <w:textDirection w:val="lrTb"/>
            <w:noWrap w:val="false"/>
          </w:tcPr>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包一：</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包二：</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包三：</w:t>
            </w:r>
            <w:r>
              <w:rPr>
                <w:rFonts w:hint="eastAsia" w:ascii="宋体" w:hAnsi="宋体" w:eastAsia="宋体" w:cs="宋体"/>
                <w:color w:val="000000"/>
                <w:sz w:val="24"/>
                <w:szCs w:val="24"/>
                <w:highlight w:val="none"/>
                <w:u w:val="none"/>
              </w:rPr>
            </w:r>
            <w:r/>
          </w:p>
          <w:p>
            <w:pPr>
              <w:pStyle w:val="1066"/>
              <w:jc w:val="left"/>
              <w:keepLines w:val="0"/>
              <w:keepNext w:val="0"/>
              <w:pageBreakBefore w:val="0"/>
              <w:spacing w:line="24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验收合格后，一次性付款至100％。</w:t>
            </w:r>
            <w:r>
              <w:rPr>
                <w:rFonts w:hint="eastAsia" w:ascii="宋体" w:hAnsi="宋体" w:eastAsia="宋体" w:cs="宋体"/>
                <w:color w:val="000000"/>
                <w:sz w:val="24"/>
                <w:szCs w:val="24"/>
                <w:highlight w:val="none"/>
                <w:u w:val="none"/>
                <w:lang w:val="en-US" w:eastAsia="zh-CN"/>
              </w:rPr>
            </w:r>
            <w:r/>
          </w:p>
        </w:tc>
      </w:tr>
    </w:tbl>
    <w:p>
      <w:pPr>
        <w:pStyle w:val="1066"/>
        <w:ind w:firstLine="420"/>
        <w:jc w:val="left"/>
        <w:spacing w:line="315"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066"/>
        <w:rPr>
          <w:rFonts w:hint="eastAsia" w:ascii="宋体" w:hAnsi="宋体" w:eastAsia="宋体" w:cs="宋体"/>
          <w:color w:val="000000"/>
          <w:sz w:val="36"/>
          <w:szCs w:val="36"/>
          <w:highlight w:val="none"/>
          <w:lang w:val="zh-CN"/>
        </w:rPr>
      </w:pPr>
      <w:r/>
      <w:bookmarkEnd w:id="29"/>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第四部分 样品部分</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r>
      <w:r/>
    </w:p>
    <w:p>
      <w:pPr>
        <w:pStyle w:val="1066"/>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请供应商按本项目技术参数和工艺要求，现场提供以下实物样品（具体评审办法详见第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 评标方法与评标标准），样品尺寸</w:t>
      </w:r>
      <w:r>
        <w:rPr>
          <w:rFonts w:hint="eastAsia" w:ascii="宋体" w:hAnsi="宋体" w:cs="宋体"/>
          <w:color w:val="000000"/>
          <w:sz w:val="24"/>
          <w:szCs w:val="24"/>
          <w:highlight w:val="none"/>
          <w:lang w:val="en-US" w:eastAsia="zh-CN"/>
        </w:rPr>
        <w:t xml:space="preserve">为最小尺寸要求，</w:t>
      </w:r>
      <w:r>
        <w:rPr>
          <w:rFonts w:hint="eastAsia" w:ascii="宋体" w:hAnsi="宋体" w:eastAsia="宋体" w:cs="宋体"/>
          <w:color w:val="000000"/>
          <w:sz w:val="24"/>
          <w:szCs w:val="24"/>
          <w:highlight w:val="none"/>
        </w:rPr>
        <w:t xml:space="preserve">见下表。样品的各部件连接应紧密可靠，无松动、异响等情况，细节处理精细，无锐角毛边。</w:t>
      </w:r>
      <w:r>
        <w:rPr>
          <w:rFonts w:hint="eastAsia" w:ascii="宋体" w:hAnsi="宋体" w:eastAsia="宋体" w:cs="宋体"/>
          <w:color w:val="000000"/>
          <w:sz w:val="24"/>
          <w:szCs w:val="24"/>
          <w:highlight w:val="none"/>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供应商无论参与几个分包，</w:t>
      </w:r>
      <w:r>
        <w:rPr>
          <w:rStyle w:val="1159"/>
          <w:rFonts w:ascii="宋体" w:hAnsi="宋体" w:eastAsia="宋体" w:cs="宋体"/>
          <w:color w:val="000000"/>
          <w:sz w:val="24"/>
          <w:szCs w:val="24"/>
          <w:highlight w:val="none"/>
          <w:lang w:val="en-US" w:eastAsia="zh-CN" w:bidi="ar"/>
        </w:rPr>
        <w:t xml:space="preserve">仅需提供一套样品</w:t>
      </w:r>
      <w:r>
        <w:rPr>
          <w:rFonts w:ascii="宋体" w:hAnsi="宋体" w:eastAsia="宋体" w:cs="宋体"/>
          <w:color w:val="000000"/>
          <w:sz w:val="24"/>
          <w:szCs w:val="24"/>
          <w:highlight w:val="none"/>
          <w:lang w:val="en-US" w:eastAsia="zh-CN" w:bidi="ar"/>
        </w:rPr>
        <w:t xml:space="preserve">，样品标准统一按以下规则执行：</w:t>
      </w:r>
      <w:r>
        <w:rPr>
          <w:color w:val="000000"/>
          <w:highlight w:val="none"/>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 仅参与单个分包的，按该分包对应的样品要求提供样品；</w:t>
      </w:r>
      <w:r>
        <w:rPr>
          <w:color w:val="000000"/>
          <w:highlight w:val="none"/>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2. 参与两个分包的，统一按</w:t>
      </w:r>
      <w:r>
        <w:rPr>
          <w:rStyle w:val="1159"/>
          <w:rFonts w:ascii="宋体" w:hAnsi="宋体" w:eastAsia="宋体" w:cs="宋体"/>
          <w:color w:val="000000"/>
          <w:sz w:val="24"/>
          <w:szCs w:val="24"/>
          <w:highlight w:val="none"/>
          <w:lang w:val="en-US" w:eastAsia="zh-CN" w:bidi="ar"/>
        </w:rPr>
        <w:t xml:space="preserve">包</w:t>
      </w:r>
      <w:r>
        <w:rPr>
          <w:rStyle w:val="1159"/>
          <w:rFonts w:hint="eastAsia" w:ascii="宋体" w:hAnsi="宋体" w:eastAsia="宋体" w:cs="宋体"/>
          <w:color w:val="000000"/>
          <w:sz w:val="24"/>
          <w:szCs w:val="24"/>
          <w:highlight w:val="none"/>
          <w:lang w:val="en-US" w:eastAsia="zh-CN" w:bidi="ar"/>
        </w:rPr>
        <w:t xml:space="preserve">号数最大的分包</w:t>
      </w:r>
      <w:r>
        <w:rPr>
          <w:rFonts w:ascii="宋体" w:hAnsi="宋体" w:eastAsia="宋体" w:cs="宋体"/>
          <w:color w:val="000000"/>
          <w:sz w:val="24"/>
          <w:szCs w:val="24"/>
          <w:highlight w:val="none"/>
          <w:lang w:val="en-US" w:eastAsia="zh-CN" w:bidi="ar"/>
        </w:rPr>
        <w:t xml:space="preserve">的样品要求提供样品</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①参与包1、包2的，按包2样品要求提供样品；</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color w:val="000000"/>
          <w:sz w:val="24"/>
          <w:szCs w:val="24"/>
          <w:highlight w:val="none"/>
          <w:lang w:val="en-US" w:eastAsia="zh-CN" w:bidi="ar"/>
        </w:rPr>
        <w:t xml:space="preserve">参与包1、包3的，按包3样品要求提供样品；</w:t>
      </w:r>
      <w:r>
        <w:rPr>
          <w:rFonts w:hint="eastAsia"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③参与包2、包3的，按包3样品要求提供样品；</w:t>
      </w:r>
      <w:r>
        <w:rPr>
          <w:rFonts w:ascii="宋体" w:hAnsi="宋体" w:eastAsia="宋体" w:cs="宋体"/>
          <w:color w:val="000000"/>
          <w:sz w:val="24"/>
          <w:szCs w:val="24"/>
          <w:highlight w:val="none"/>
          <w:lang w:val="en-US" w:eastAsia="zh-CN" w:bidi="ar"/>
        </w:rPr>
      </w:r>
      <w:r/>
    </w:p>
    <w:p>
      <w:pPr>
        <w:pStyle w:val="1066"/>
        <w:ind w:firstLine="480"/>
        <w:jc w:val="left"/>
        <w:keepLines w:val="0"/>
        <w:keepNext w:val="0"/>
        <w:pageBreakBefore w:val="0"/>
        <w:spacing w:line="360" w:lineRule="auto"/>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3. 参与全部3个分包的，按</w:t>
      </w:r>
      <w:r>
        <w:rPr>
          <w:rFonts w:hint="eastAsia" w:ascii="宋体" w:hAnsi="宋体" w:eastAsia="宋体" w:cs="宋体"/>
          <w:b/>
          <w:bCs/>
          <w:color w:val="000000"/>
          <w:sz w:val="24"/>
          <w:szCs w:val="24"/>
          <w:highlight w:val="none"/>
          <w:lang w:val="en-US" w:eastAsia="zh-CN" w:bidi="ar"/>
        </w:rPr>
        <w:t xml:space="preserve">包</w:t>
      </w:r>
      <w:r>
        <w:rPr>
          <w:rStyle w:val="1159"/>
          <w:rFonts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
        </w:rPr>
        <w:t xml:space="preserve">样品要求提供样品。</w:t>
      </w:r>
      <w:r>
        <w:rPr>
          <w:color w:val="000000"/>
          <w:highlight w:val="none"/>
        </w:rPr>
      </w:r>
      <w:r/>
    </w:p>
    <w:p>
      <w:pPr>
        <w:pStyle w:val="1143"/>
        <w:rPr>
          <w:rFonts w:hint="eastAsia"/>
          <w:color w:val="000000"/>
          <w:highlight w:val="none"/>
        </w:rPr>
      </w:pPr>
      <w:r>
        <w:rPr>
          <w:rFonts w:hint="eastAsia"/>
          <w:color w:val="000000"/>
          <w:highlight w:val="none"/>
        </w:rPr>
      </w:r>
      <w:r/>
    </w:p>
    <w:p>
      <w:pPr>
        <w:pStyle w:val="10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包一：</w:t>
      </w:r>
      <w:r>
        <w:rPr>
          <w:rFonts w:hint="eastAsia" w:ascii="宋体" w:hAnsi="宋体" w:eastAsia="宋体" w:cs="宋体"/>
          <w:b/>
          <w:color w:val="000000"/>
          <w:sz w:val="24"/>
          <w:szCs w:val="24"/>
          <w:highlight w:val="none"/>
          <w:lang w:val="en-US" w:eastAsia="zh-CN"/>
        </w:rPr>
      </w:r>
      <w:r/>
    </w:p>
    <w:tbl>
      <w:tblPr>
        <w:tblW w:w="4997"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4"/>
        <w:gridCol w:w="2463"/>
        <w:gridCol w:w="3774"/>
        <w:gridCol w:w="1194"/>
        <w:gridCol w:w="1078"/>
      </w:tblGrid>
      <w:tr>
        <w:trPr>
          <w:trHeight w:val="540"/>
        </w:trPr>
        <w:tc>
          <w:tcPr>
            <w:tcMar>
              <w:left w:w="20" w:type="dxa"/>
              <w:top w:w="20" w:type="dxa"/>
              <w:right w:w="20" w:type="dxa"/>
              <w:bottom w:w="20" w:type="dxa"/>
            </w:tcMar>
            <w:tcW w:w="6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17"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5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73" w:type="dxa"/>
            <w:vAlign w:val="center"/>
            <w:textDirection w:val="lrTb"/>
            <w:noWrap w:val="false"/>
          </w:tcPr>
          <w:p>
            <w:pPr>
              <w:pStyle w:val="1066"/>
              <w:jc w:val="center"/>
              <w:spacing w:line="273" w:lineRule="exact"/>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大样（1、2、3）</w:t>
            </w:r>
            <w:r>
              <w:rPr>
                <w:rFonts w:ascii="宋体" w:hAnsi="宋体" w:eastAsia="宋体" w:cs="宋体"/>
                <w:b/>
                <w:color w:val="000000"/>
                <w:sz w:val="24"/>
                <w:szCs w:val="24"/>
                <w:highlight w:val="none"/>
                <w:lang w:val="en-US" w:eastAsia="zh-CN"/>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≥4000*900*3000mm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73" w:type="dxa"/>
            <w:vAlign w:val="center"/>
            <w:textDirection w:val="lrTb"/>
            <w:noWrap w:val="false"/>
          </w:tcPr>
          <w:p>
            <w:pPr>
              <w:pStyle w:val="1066"/>
              <w:jc w:val="center"/>
              <w:tabs>
                <w:tab w:val="left" w:pos="4239"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小样（4、5、6、7）</w:t>
            </w:r>
            <w:r>
              <w:rPr>
                <w:rFonts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边</w:t>
            </w:r>
            <w:r>
              <w:rPr>
                <w:rFonts w:hint="eastAsia" w:ascii="宋体" w:hAnsi="宋体" w:cs="宋体"/>
                <w:color w:val="000000"/>
                <w:sz w:val="24"/>
                <w:highlight w:val="none"/>
              </w:rPr>
              <w:t xml:space="preserve">立柱</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ascii="宋体" w:hAnsi="宋体" w:cs="宋体"/>
                <w:color w:val="000000"/>
                <w:sz w:val="24"/>
                <w:highlight w:val="none"/>
              </w:rPr>
              <w:t xml:space="preserve">长度</w:t>
            </w:r>
            <w:r>
              <w:rPr>
                <w:rFonts w:hint="eastAsia" w:ascii="宋体" w:hAnsi="宋体" w:cs="宋体"/>
                <w:color w:val="000000"/>
                <w:sz w:val="24"/>
                <w:highlight w:val="none"/>
              </w:rPr>
              <w:t xml:space="preserve">≥</w:t>
            </w:r>
            <w:r>
              <w:rPr>
                <w:rFonts w:ascii="宋体" w:hAnsi="宋体" w:cs="宋体"/>
                <w:color w:val="000000"/>
                <w:sz w:val="24"/>
                <w:highlight w:val="none"/>
              </w:rPr>
              <w:t xml:space="preserve">300mm，喷塑处理</w:t>
            </w:r>
            <w:r>
              <w:rPr>
                <w:rFonts w:hint="eastAsia" w:ascii="宋体" w:hAnsi="宋体" w:cs="宋体"/>
                <w:color w:val="000000"/>
                <w:sz w:val="24"/>
                <w:highlight w:val="none"/>
              </w:rPr>
              <w:t xml:space="preserve">部分介于样品30%-70%之间</w:t>
            </w:r>
            <w:r>
              <w:rPr>
                <w:rFonts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段</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床厅</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ascii="宋体" w:hAnsi="宋体" w:cs="宋体"/>
                <w:color w:val="000000"/>
                <w:sz w:val="24"/>
                <w:highlight w:val="none"/>
              </w:rPr>
              <w:t xml:space="preserve">长度</w:t>
            </w:r>
            <w:r>
              <w:rPr>
                <w:rFonts w:hint="eastAsia" w:ascii="宋体" w:hAnsi="宋体" w:cs="宋体"/>
                <w:color w:val="000000"/>
                <w:sz w:val="24"/>
                <w:highlight w:val="none"/>
              </w:rPr>
              <w:t xml:space="preserve">≥</w:t>
            </w:r>
            <w:r>
              <w:rPr>
                <w:rFonts w:ascii="宋体" w:hAnsi="宋体" w:cs="宋体"/>
                <w:color w:val="000000"/>
                <w:sz w:val="24"/>
                <w:highlight w:val="none"/>
              </w:rPr>
              <w:t xml:space="preserve">300mm，喷塑处理</w:t>
            </w:r>
            <w:r>
              <w:rPr>
                <w:rFonts w:hint="eastAsia" w:ascii="宋体" w:hAnsi="宋体" w:cs="宋体"/>
                <w:color w:val="000000"/>
                <w:sz w:val="24"/>
                <w:highlight w:val="none"/>
              </w:rPr>
              <w:t xml:space="preserve">部分介于样品30%-70%之间</w:t>
            </w:r>
            <w:r>
              <w:rPr>
                <w:rFonts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三聚氰胺饰面刨花板</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尺寸</w:t>
            </w:r>
            <w:r>
              <w:rPr>
                <w:rFonts w:hint="eastAsia" w:ascii="宋体" w:hAnsi="宋体" w:cs="宋体"/>
                <w:color w:val="000000"/>
                <w:sz w:val="24"/>
                <w:highlight w:val="none"/>
              </w:rPr>
              <w:t xml:space="preserve">≥</w:t>
            </w:r>
            <w:r>
              <w:rPr>
                <w:rFonts w:ascii="宋体" w:hAnsi="宋体" w:cs="宋体"/>
                <w:color w:val="000000"/>
                <w:sz w:val="24"/>
                <w:highlight w:val="none"/>
              </w:rPr>
              <w:t xml:space="preserve">300*300*18mm</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E0级</w:t>
            </w:r>
            <w:r>
              <w:rPr>
                <w:rFonts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块</w:t>
            </w:r>
            <w:r>
              <w:rPr>
                <w:rFonts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SA"/>
              </w:rPr>
            </w:r>
            <w:r/>
          </w:p>
        </w:tc>
      </w:tr>
      <w:tr>
        <w:trPr>
          <w:trHeight w:val="360"/>
        </w:trPr>
        <w:tc>
          <w:tcPr>
            <w:tcMar>
              <w:left w:w="20" w:type="dxa"/>
              <w:top w:w="20" w:type="dxa"/>
              <w:right w:w="20" w:type="dxa"/>
              <w:bottom w:w="20" w:type="dxa"/>
            </w:tcMar>
            <w:tcW w:w="602" w:type="dxa"/>
            <w:vAlign w:val="center"/>
            <w:textDirection w:val="lrTb"/>
            <w:noWrap w:val="false"/>
          </w:tcPr>
          <w:p>
            <w:pPr>
              <w:pStyle w:val="1066"/>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Mar>
              <w:left w:w="20" w:type="dxa"/>
              <w:top w:w="20" w:type="dxa"/>
              <w:right w:w="20" w:type="dxa"/>
              <w:bottom w:w="20" w:type="dxa"/>
            </w:tcMar>
            <w:tcW w:w="1273"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ascii="宋体" w:hAnsi="宋体" w:cs="宋体"/>
                <w:color w:val="000000"/>
                <w:sz w:val="24"/>
                <w:highlight w:val="none"/>
              </w:rPr>
              <w:t xml:space="preserve">导轨、铰链、铝合金</w:t>
            </w:r>
            <w:r>
              <w:rPr>
                <w:rFonts w:hint="eastAsia" w:ascii="宋体" w:hAnsi="宋体" w:cs="宋体"/>
                <w:color w:val="000000"/>
                <w:sz w:val="24"/>
                <w:highlight w:val="none"/>
                <w:lang w:val="en-US" w:eastAsia="zh-CN"/>
              </w:rPr>
              <w:t xml:space="preserve">锁盒</w:t>
            </w:r>
            <w:r>
              <w:rPr>
                <w:rFonts w:ascii="宋体" w:hAnsi="宋体" w:cs="宋体"/>
                <w:color w:val="000000"/>
                <w:sz w:val="24"/>
                <w:highlight w:val="none"/>
              </w:rPr>
              <w:t xml:space="preserve">等五金小样</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1951"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617"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5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0" w:firstLine="0"/>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br w:type="page" w:clear="all"/>
      </w:r>
      <w:r>
        <w:rPr>
          <w:rFonts w:hint="eastAsia" w:ascii="宋体" w:hAnsi="宋体" w:eastAsia="宋体" w:cs="宋体"/>
          <w:b/>
          <w:color w:val="000000"/>
          <w:sz w:val="24"/>
          <w:highlight w:val="none"/>
          <w:lang w:val="en-US" w:eastAsia="zh-CN"/>
        </w:rPr>
        <w:t xml:space="preserve">包二：</w:t>
      </w:r>
      <w:r>
        <w:rPr>
          <w:rFonts w:hint="eastAsia" w:ascii="宋体" w:hAnsi="宋体" w:eastAsia="宋体" w:cs="宋体"/>
          <w:b/>
          <w:color w:val="000000"/>
          <w:sz w:val="24"/>
          <w:szCs w:val="24"/>
          <w:highlight w:val="none"/>
          <w:lang w:val="en-US" w:eastAsia="zh-CN"/>
        </w:rPr>
      </w:r>
      <w:r/>
    </w:p>
    <w:tbl>
      <w:tblPr>
        <w:tblW w:w="4992"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9"/>
        <w:gridCol w:w="2354"/>
        <w:gridCol w:w="3885"/>
        <w:gridCol w:w="1198"/>
        <w:gridCol w:w="1058"/>
      </w:tblGrid>
      <w:tr>
        <w:trPr>
          <w:trHeight w:val="540"/>
        </w:trPr>
        <w:tc>
          <w:tcPr>
            <w:tcMar>
              <w:left w:w="20" w:type="dxa"/>
              <w:top w:w="20" w:type="dxa"/>
              <w:right w:w="20" w:type="dxa"/>
              <w:bottom w:w="20" w:type="dxa"/>
            </w:tcMar>
            <w:tcW w:w="60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64" w:type="dxa"/>
            <w:vAlign w:val="center"/>
            <w:textDirection w:val="lrTb"/>
            <w:noWrap w:val="false"/>
          </w:tcPr>
          <w:p>
            <w:pPr>
              <w:pStyle w:val="1066"/>
              <w:jc w:val="center"/>
              <w:spacing w:line="273"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大样（1、2、3）</w:t>
            </w:r>
            <w:r>
              <w:rPr>
                <w:rFonts w:hint="eastAsia" w:ascii="宋体" w:hAnsi="宋体" w:eastAsia="宋体" w:cs="宋体"/>
                <w:b/>
                <w:color w:val="000000"/>
                <w:sz w:val="24"/>
                <w:szCs w:val="24"/>
                <w:highlight w:val="none"/>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≥4200*900*3000mm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6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小样（4、5、6、7）</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边</w:t>
            </w:r>
            <w:r>
              <w:rPr>
                <w:rFonts w:hint="eastAsia" w:ascii="宋体" w:hAnsi="宋体" w:eastAsia="宋体" w:cs="宋体"/>
                <w:color w:val="000000"/>
                <w:sz w:val="24"/>
                <w:highlight w:val="none"/>
              </w:rPr>
              <w:t xml:space="preserve">立柱</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ind w:firstLine="0"/>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床厅</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ind w:firstLine="0"/>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三聚氰胺饰面刨花板</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尺寸≥300*300*18mm</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E0级</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18"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导轨、铰链、铝合金</w:t>
            </w:r>
            <w:r>
              <w:rPr>
                <w:rFonts w:hint="eastAsia" w:ascii="宋体" w:hAnsi="宋体" w:eastAsia="宋体" w:cs="宋体"/>
                <w:color w:val="000000"/>
                <w:sz w:val="24"/>
                <w:highlight w:val="none"/>
                <w:lang w:val="en-US" w:eastAsia="zh-CN"/>
              </w:rPr>
              <w:t xml:space="preserve">锁盒</w:t>
            </w:r>
            <w:r>
              <w:rPr>
                <w:rFonts w:hint="eastAsia" w:ascii="宋体" w:hAnsi="宋体" w:eastAsia="宋体" w:cs="宋体"/>
                <w:color w:val="000000"/>
                <w:sz w:val="24"/>
                <w:highlight w:val="none"/>
              </w:rPr>
              <w:t xml:space="preserve">等五金小样</w:t>
            </w:r>
            <w:r>
              <w:rPr>
                <w:rFonts w:hint="eastAsia" w:ascii="宋体" w:hAnsi="宋体" w:eastAsia="宋体" w:cs="宋体"/>
                <w:color w:val="000000"/>
                <w:sz w:val="24"/>
                <w:highlight w:val="none"/>
              </w:rPr>
            </w:r>
            <w:r/>
          </w:p>
        </w:tc>
        <w:tc>
          <w:tcPr>
            <w:tcMar>
              <w:left w:w="20" w:type="dxa"/>
              <w:top w:w="20" w:type="dxa"/>
              <w:right w:w="20" w:type="dxa"/>
              <w:bottom w:w="20" w:type="dxa"/>
            </w:tcMar>
            <w:tcW w:w="2010"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bl>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5"/>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524"/>
        <w:ind w:left="646" w:hanging="504"/>
        <w:jc w:val="left"/>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highlight w:val="none"/>
          <w:lang w:val="en-US" w:eastAsia="zh-CN"/>
        </w:rPr>
        <w:t xml:space="preserve">包三：</w:t>
      </w:r>
      <w:r>
        <w:rPr>
          <w:rFonts w:hint="eastAsia" w:ascii="宋体" w:hAnsi="宋体" w:eastAsia="宋体" w:cs="宋体"/>
          <w:b/>
          <w:color w:val="000000"/>
          <w:sz w:val="24"/>
          <w:szCs w:val="24"/>
          <w:highlight w:val="none"/>
          <w:lang w:val="en-US" w:eastAsia="zh-CN"/>
        </w:rPr>
      </w:r>
      <w:r/>
    </w:p>
    <w:tbl>
      <w:tblPr>
        <w:tblW w:w="4992" w:type="pct"/>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169"/>
        <w:gridCol w:w="2370"/>
        <w:gridCol w:w="3869"/>
        <w:gridCol w:w="1198"/>
        <w:gridCol w:w="1058"/>
      </w:tblGrid>
      <w:tr>
        <w:trPr>
          <w:trHeight w:val="540"/>
        </w:trPr>
        <w:tc>
          <w:tcPr>
            <w:tcMar>
              <w:left w:w="20" w:type="dxa"/>
              <w:top w:w="20" w:type="dxa"/>
              <w:right w:w="20" w:type="dxa"/>
              <w:bottom w:w="20" w:type="dxa"/>
            </w:tcMar>
            <w:tcW w:w="605"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名称</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规格</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单位</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540"/>
        </w:trPr>
        <w:tc>
          <w:tcPr>
            <w:gridSpan w:val="5"/>
            <w:tcMar>
              <w:left w:w="20" w:type="dxa"/>
              <w:top w:w="20" w:type="dxa"/>
              <w:right w:w="20" w:type="dxa"/>
              <w:bottom w:w="20" w:type="dxa"/>
            </w:tcMar>
            <w:tcW w:w="9664" w:type="dxa"/>
            <w:vAlign w:val="center"/>
            <w:textDirection w:val="lrTb"/>
            <w:noWrap w:val="false"/>
          </w:tcPr>
          <w:p>
            <w:pPr>
              <w:pStyle w:val="1066"/>
              <w:jc w:val="center"/>
              <w:spacing w:line="273"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大样（1、2、3、4）</w:t>
            </w:r>
            <w:r>
              <w:rPr>
                <w:rFonts w:hint="eastAsia" w:ascii="宋体" w:hAnsi="宋体" w:eastAsia="宋体" w:cs="宋体"/>
                <w:b/>
                <w:color w:val="000000"/>
                <w:sz w:val="24"/>
                <w:szCs w:val="24"/>
                <w:highlight w:val="none"/>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3人位连体公寓组合床（含书桌书架）</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≥4400*900*3000mm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公寓凳</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≥360mm*280mm*420mm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张</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衣柜</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≥950*600*2400mm</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多功能组合柜</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≥1200*700*3000mm</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r>
      <w:tr>
        <w:trPr>
          <w:trHeight w:val="360"/>
        </w:trPr>
        <w:tc>
          <w:tcPr>
            <w:gridSpan w:val="5"/>
            <w:tcMar>
              <w:left w:w="20" w:type="dxa"/>
              <w:top w:w="20" w:type="dxa"/>
              <w:right w:w="20" w:type="dxa"/>
              <w:bottom w:w="20" w:type="dxa"/>
            </w:tcMar>
            <w:tcW w:w="966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小样（5、6、7、8）</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边</w:t>
            </w:r>
            <w:r>
              <w:rPr>
                <w:rFonts w:hint="eastAsia" w:ascii="宋体" w:hAnsi="宋体" w:eastAsia="宋体" w:cs="宋体"/>
                <w:color w:val="000000"/>
                <w:sz w:val="24"/>
                <w:highlight w:val="none"/>
              </w:rPr>
              <w:t xml:space="preserve">立柱</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left"/>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边立柱</w:t>
            </w:r>
            <w:r>
              <w:rPr>
                <w:rFonts w:hint="eastAsia" w:ascii="宋体" w:hAnsi="宋体" w:eastAsia="宋体" w:cs="宋体"/>
                <w:color w:val="000000"/>
                <w:sz w:val="24"/>
                <w:szCs w:val="24"/>
                <w:highlight w:val="none"/>
                <w:lang w:val="en-US" w:eastAsia="zh-CN"/>
              </w:rPr>
              <w:t xml:space="preserve">尺寸</w:t>
            </w:r>
            <w:r>
              <w:rPr>
                <w:rFonts w:hint="eastAsia" w:ascii="宋体" w:hAnsi="宋体" w:eastAsia="宋体" w:cs="宋体"/>
                <w:color w:val="000000"/>
                <w:sz w:val="24"/>
                <w:szCs w:val="24"/>
                <w:highlight w:val="none"/>
              </w:rPr>
              <w:t xml:space="preserve">≥70mm*70mm*1.2mm高频焊接闭口型管材</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床厅</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both"/>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床厅尺寸</w:t>
            </w:r>
            <w:r>
              <w:rPr>
                <w:rFonts w:hint="eastAsia" w:ascii="宋体" w:hAnsi="宋体" w:eastAsia="宋体" w:cs="宋体"/>
                <w:color w:val="000000"/>
                <w:sz w:val="24"/>
                <w:szCs w:val="24"/>
                <w:highlight w:val="none"/>
              </w:rPr>
              <w:t xml:space="preserve">≥80*30*1.2mm高频焊接闭口型管材</w:t>
            </w:r>
            <w:r>
              <w:rPr>
                <w:rFonts w:hint="eastAsia" w:ascii="宋体" w:hAnsi="宋体" w:eastAsia="宋体" w:cs="宋体"/>
                <w:color w:val="000000"/>
                <w:sz w:val="24"/>
                <w:highlight w:val="none"/>
              </w:rPr>
              <w:t xml:space="preserve">长度≥300mm，喷塑处理部分介于样品30%-70%之间；</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段</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454"/>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三聚氰胺饰面刨花板</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both"/>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尺寸≥300*300*18mm</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E0级</w:t>
            </w: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r>
        <w:trPr>
          <w:trHeight w:val="360"/>
        </w:trPr>
        <w:tc>
          <w:tcPr>
            <w:tcMar>
              <w:left w:w="20" w:type="dxa"/>
              <w:top w:w="20" w:type="dxa"/>
              <w:right w:w="20" w:type="dxa"/>
              <w:bottom w:w="20" w:type="dxa"/>
            </w:tcMar>
            <w:tcW w:w="605"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1226"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导轨、铰链、铝合金</w:t>
            </w:r>
            <w:r>
              <w:rPr>
                <w:rFonts w:hint="eastAsia" w:ascii="宋体" w:hAnsi="宋体" w:eastAsia="宋体" w:cs="宋体"/>
                <w:color w:val="000000"/>
                <w:sz w:val="24"/>
                <w:highlight w:val="none"/>
                <w:lang w:val="en-US" w:eastAsia="zh-CN"/>
              </w:rPr>
              <w:t xml:space="preserve">锁盒</w:t>
            </w:r>
            <w:r>
              <w:rPr>
                <w:rFonts w:hint="eastAsia" w:ascii="宋体" w:hAnsi="宋体" w:eastAsia="宋体" w:cs="宋体"/>
                <w:color w:val="000000"/>
                <w:sz w:val="24"/>
                <w:highlight w:val="none"/>
              </w:rPr>
              <w:t xml:space="preserve">等五金小样</w:t>
            </w:r>
            <w:r>
              <w:rPr>
                <w:rFonts w:hint="eastAsia" w:ascii="宋体" w:hAnsi="宋体" w:eastAsia="宋体" w:cs="宋体"/>
                <w:color w:val="000000"/>
                <w:sz w:val="24"/>
                <w:highlight w:val="none"/>
              </w:rPr>
            </w:r>
            <w:r/>
          </w:p>
        </w:tc>
        <w:tc>
          <w:tcPr>
            <w:tcMar>
              <w:left w:w="20" w:type="dxa"/>
              <w:top w:w="20" w:type="dxa"/>
              <w:right w:w="20" w:type="dxa"/>
              <w:bottom w:w="20" w:type="dxa"/>
            </w:tcMar>
            <w:tcW w:w="2002" w:type="dxa"/>
            <w:vAlign w:val="center"/>
            <w:textDirection w:val="lrTb"/>
            <w:noWrap w:val="false"/>
          </w:tcPr>
          <w:p>
            <w:pPr>
              <w:pStyle w:val="1066"/>
              <w:jc w:val="center"/>
              <w:spacing w:line="273"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20" w:type="dxa"/>
              <w:top w:w="20" w:type="dxa"/>
              <w:right w:w="20" w:type="dxa"/>
              <w:bottom w:w="20" w:type="dxa"/>
            </w:tcMar>
            <w:tcW w:w="620" w:type="dxa"/>
            <w:vAlign w:val="center"/>
            <w:textDirection w:val="lrTb"/>
            <w:noWrap w:val="false"/>
          </w:tcPr>
          <w:p>
            <w:pPr>
              <w:pStyle w:val="10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套</w:t>
            </w:r>
            <w:r>
              <w:rPr>
                <w:rFonts w:hint="eastAsia" w:ascii="宋体" w:hAnsi="宋体" w:eastAsia="宋体" w:cs="宋体"/>
                <w:color w:val="000000"/>
                <w:sz w:val="24"/>
                <w:szCs w:val="24"/>
                <w:highlight w:val="none"/>
              </w:rPr>
            </w:r>
            <w:r/>
          </w:p>
        </w:tc>
        <w:tc>
          <w:tcPr>
            <w:tcMar>
              <w:left w:w="20" w:type="dxa"/>
              <w:top w:w="20" w:type="dxa"/>
              <w:right w:w="20" w:type="dxa"/>
              <w:bottom w:w="20" w:type="dxa"/>
            </w:tcMar>
            <w:tcW w:w="544" w:type="dxa"/>
            <w:vAlign w:val="center"/>
            <w:textDirection w:val="lrTb"/>
            <w:noWrap w:val="false"/>
          </w:tcPr>
          <w:p>
            <w:pPr>
              <w:pStyle w:val="10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r>
            <w:r/>
          </w:p>
        </w:tc>
      </w:tr>
    </w:tbl>
    <w:p>
      <w:pPr>
        <w:pStyle w:val="1066"/>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r>
      <w:r/>
    </w:p>
    <w:p>
      <w:pPr>
        <w:pStyle w:val="10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highlight w:val="none"/>
        </w:rPr>
        <w:t xml:space="preserve">样品递交要求</w:t>
      </w:r>
      <w:r>
        <w:rPr>
          <w:rFonts w:hint="eastAsia" w:ascii="宋体" w:hAnsi="宋体" w:eastAsia="宋体" w:cs="宋体"/>
          <w:color w:val="000000"/>
          <w:sz w:val="24"/>
          <w:highlight w:val="none"/>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（1）样品提交及安装完成时间：</w:t>
      </w:r>
      <w:r>
        <w:rPr>
          <w:rFonts w:ascii="SimSun" w:hAnsi="SimSun" w:eastAsia="SimSun" w:cs="SimSun"/>
          <w:b w:val="0"/>
          <w:bCs w:val="0"/>
          <w:color w:val="000000"/>
          <w:sz w:val="24"/>
          <w:highlight w:val="white"/>
        </w:rPr>
        <w:t xml:space="preserve">2026年6月17日</w:t>
      </w:r>
      <w:r>
        <w:rPr>
          <w:rFonts w:ascii="SimSun" w:hAnsi="SimSun" w:eastAsia="SimSun" w:cs="SimSun"/>
          <w:b w:val="0"/>
          <w:bCs w:val="0"/>
          <w:color w:val="000000"/>
          <w:sz w:val="24"/>
          <w:highlight w:val="white"/>
        </w:rPr>
        <w:t xml:space="preserve">9:00起至18:00止，</w:t>
      </w:r>
      <w:r>
        <w:rPr>
          <w:rFonts w:ascii="SimSun" w:hAnsi="SimSun" w:eastAsia="SimSun" w:cs="SimSun"/>
          <w:b w:val="0"/>
          <w:bCs w:val="0"/>
          <w:color w:val="000000"/>
          <w:sz w:val="24"/>
          <w:highlight w:val="white"/>
        </w:rPr>
        <w:t xml:space="preserve">2026年6月18日</w:t>
      </w:r>
      <w:r>
        <w:rPr>
          <w:rFonts w:ascii="SimSun" w:hAnsi="SimSun" w:eastAsia="SimSun" w:cs="SimSun"/>
          <w:b w:val="0"/>
          <w:bCs w:val="0"/>
          <w:color w:val="000000"/>
          <w:sz w:val="24"/>
          <w:highlight w:val="white"/>
        </w:rPr>
        <w:t xml:space="preserve">9:00起至9:30止，截止时间为安装完成时间，请供应商自行做好时间安排。</w:t>
      </w:r>
      <w:r>
        <w:rPr>
          <w:b w:val="0"/>
          <w:bCs w:val="0"/>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（2）样品递交地点：江苏省南京市江宁区格致路309号大数据楼大报告厅。</w:t>
      </w:r>
      <w:r>
        <w:rPr>
          <w:b w:val="0"/>
          <w:bCs w:val="0"/>
        </w:rPr>
      </w:r>
      <w:r/>
    </w:p>
    <w:p>
      <w:pPr>
        <w:ind w:left="0" w:right="0" w:firstLine="48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联系人：袁工，电话：13851676917。</w:t>
      </w:r>
      <w:r>
        <w:rPr>
          <w:b w:val="0"/>
          <w:bCs w:val="0"/>
        </w:rPr>
      </w:r>
      <w:r/>
    </w:p>
    <w:p>
      <w:pPr>
        <w:pStyle w:val="1066"/>
        <w:ind w:firstLine="480"/>
        <w:keepLines w:val="0"/>
        <w:keepNext w:val="0"/>
        <w:pageBreakBefore w:val="0"/>
        <w:spacing w:line="360" w:lineRule="auto"/>
        <w:widowControl w:val="off"/>
        <w:rPr>
          <w:rFonts w:ascii="宋体" w:hAnsi="宋体" w:eastAsia="宋体" w:cs="宋体"/>
          <w:color w:val="000000" w:themeColor="text1"/>
          <w:sz w:val="24"/>
          <w:highlight w:val="white"/>
        </w:rPr>
      </w:pPr>
      <w:r>
        <w:rPr>
          <w:rFonts w:ascii="SimSun" w:hAnsi="SimSun" w:eastAsia="SimSun" w:cs="SimSun"/>
          <w:b w:val="0"/>
          <w:bCs w:val="0"/>
          <w:color w:val="000000"/>
          <w:sz w:val="24"/>
          <w:highlight w:val="white"/>
        </w:rPr>
        <w:t xml:space="preserve">（3）入校申请：因学校管理需要，供应商需提前进行入校申请，请在</w:t>
      </w:r>
      <w:r>
        <w:rPr>
          <w:rFonts w:ascii="SimSun" w:hAnsi="SimSun" w:eastAsia="SimSun" w:cs="SimSun"/>
          <w:b w:val="0"/>
          <w:bCs w:val="0"/>
          <w:color w:val="000000"/>
          <w:sz w:val="24"/>
          <w:highlight w:val="white"/>
        </w:rPr>
        <w:t xml:space="preserve">2026年6月16日</w:t>
      </w:r>
      <w:r>
        <w:rPr>
          <w:rFonts w:ascii="SimSun" w:hAnsi="SimSun" w:eastAsia="SimSun" w:cs="SimSun"/>
          <w:b w:val="0"/>
          <w:bCs w:val="0"/>
          <w:color w:val="000000"/>
          <w:sz w:val="24"/>
          <w:highlight w:val="white"/>
        </w:rPr>
        <w:t xml:space="preserve">12:00前联系招标代理机构进行入校申请。</w:t>
      </w:r>
      <w:r>
        <w:rPr>
          <w:b w:val="0"/>
          <w:bCs w:val="0"/>
          <w:color w:val="000000" w:themeColor="text1"/>
          <w:highlight w:val="whit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）投标人递交样品时应服从现场工作人员要求，爱护现场公共财物，对交样区财物造成损害的，应</w:t>
      </w:r>
      <w:r>
        <w:rPr>
          <w:rFonts w:hint="eastAsia" w:ascii="宋体" w:hAnsi="宋体" w:eastAsia="宋体" w:cs="宋体"/>
          <w:color w:val="000000"/>
          <w:sz w:val="24"/>
          <w:highlight w:val="none"/>
        </w:rPr>
        <w:t xml:space="preserve">当赔偿。各投标供应商应将样品至指定地点按要求递交样品并签到，签到完成后即离开现场，不得逗留，不得翻看他人样品及进行拍照，投标人如出现违法违规行为的，视为未提交样品并按照相应法律追究责任。各供应商应同时提交加盖投标人公章的A4纸张，密封在小信封中并将小信封粘贴在样品上，供应商递交的样品上及小信封外不得显示投标人名称及其他明显能识别投标人的标识，未按要求递交小信封、样品显示投标人名称及有其他明显能识别投标人的标识的，一律视为未递交样品。各供应商应根据现场要求对自身递交的样品进行整体遮盖，未遮盖的视同未递交样品。</w:t>
      </w:r>
      <w:r>
        <w:rPr>
          <w:rFonts w:hint="eastAsia" w:ascii="宋体" w:hAnsi="宋体" w:eastAsia="宋体" w:cs="宋体"/>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样品须符合招标文件的要求，详见采购需求。样品所有费用由供应商自行承担，中标供应商的样品作为验收依据。</w:t>
      </w:r>
      <w:r>
        <w:rPr>
          <w:rFonts w:hint="eastAsia" w:ascii="宋体" w:hAnsi="宋体" w:eastAsia="宋体" w:cs="宋体"/>
          <w:color w:val="000000"/>
          <w:sz w:val="24"/>
          <w:highlight w:val="none"/>
        </w:rPr>
      </w:r>
      <w:r/>
    </w:p>
    <w:p>
      <w:pPr>
        <w:pStyle w:val="1066"/>
        <w:ind w:firstLine="480"/>
        <w:keepLines w:val="0"/>
        <w:keepNext w:val="0"/>
        <w:pageBreakBefore w:val="0"/>
        <w:spacing w:line="360" w:lineRule="auto"/>
        <w:widowControl w:val="off"/>
        <w:rPr>
          <w:rFonts w:hint="eastAsia" w:ascii="宋体" w:hAnsi="宋体" w:eastAsia="宋体" w:cs="宋体"/>
          <w:color w:val="000000"/>
          <w:sz w:val="36"/>
          <w:szCs w:val="36"/>
          <w:highlight w:val="none"/>
          <w:lang w:val="zh-CN"/>
        </w:rPr>
      </w:pPr>
      <w:r>
        <w:rPr>
          <w:rFonts w:hint="eastAsia" w:ascii="宋体" w:hAnsi="宋体" w:eastAsia="宋体" w:cs="宋体"/>
          <w:color w:val="000000"/>
          <w:sz w:val="24"/>
          <w:highlight w:val="none"/>
        </w:rPr>
        <w:t xml:space="preserve">样品的退还：评审结束后</w:t>
      </w:r>
      <w:r>
        <w:rPr>
          <w:rFonts w:hint="eastAsia" w:ascii="宋体" w:hAnsi="宋体" w:eastAsia="宋体" w:cs="宋体"/>
          <w:bCs/>
          <w:color w:val="000000"/>
          <w:sz w:val="24"/>
          <w:highlight w:val="none"/>
        </w:rPr>
        <w:t xml:space="preserve">中标样品</w:t>
      </w:r>
      <w:r>
        <w:rPr>
          <w:rFonts w:hint="eastAsia" w:ascii="宋体" w:hAnsi="宋体" w:eastAsia="宋体" w:cs="宋体"/>
          <w:color w:val="000000"/>
          <w:sz w:val="24"/>
          <w:highlight w:val="none"/>
        </w:rPr>
        <w:t xml:space="preserve">由采购人运送到指定地点并封存，采购人应做好全工程的监督工作并确保样品存放安全。质疑期结束后，未中标样品由</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通知退还。各投标人应在接到退还通知后，</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个小时内将样品搬离现场，超过2天未搬离的，由采购人或</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处置。</w:t>
      </w:r>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numPr>
          <w:ilvl w:val="0"/>
          <w:numId w:val="0"/>
        </w:numPr>
        <w:ind w:left="0" w:firstLine="0"/>
        <w:jc w:val="center"/>
        <w:spacing w:line="360" w:lineRule="auto"/>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36"/>
          <w:szCs w:val="36"/>
          <w:highlight w:val="none"/>
          <w:lang w:val="zh-CN" w:eastAsia="zh-CN" w:bidi="ar-SA"/>
        </w:rPr>
        <w:t xml:space="preserve">第五章</w:t>
      </w:r>
      <w:r>
        <w:rPr>
          <w:rFonts w:hint="eastAsia" w:ascii="宋体" w:hAnsi="宋体" w:eastAsia="宋体" w:cs="宋体"/>
          <w:color w:val="000000"/>
          <w:sz w:val="36"/>
          <w:szCs w:val="36"/>
          <w:highlight w:val="none"/>
          <w:lang w:val="zh-CN"/>
        </w:rPr>
        <w:t xml:space="preserve">合同主要条款及格式</w:t>
      </w:r>
      <w:r>
        <w:rPr>
          <w:rFonts w:hint="eastAsia" w:ascii="宋体" w:hAnsi="宋体" w:eastAsia="宋体" w:cs="宋体"/>
          <w:color w:val="000000"/>
          <w:sz w:val="36"/>
          <w:szCs w:val="36"/>
          <w:highlight w:val="none"/>
          <w:lang w:val="zh-CN"/>
        </w:rPr>
      </w:r>
      <w:r/>
    </w:p>
    <w:p>
      <w:pPr>
        <w:pStyle w:val="1066"/>
        <w:numPr>
          <w:ilvl w:val="0"/>
          <w:numId w:val="0"/>
        </w:numPr>
        <w:ind w:firstLine="480"/>
        <w:jc w:val="both"/>
        <w:keepLines w:val="0"/>
        <w:keepNext w:val="0"/>
        <w:pageBreakBefore w:val="0"/>
        <w:spacing w:line="360" w:lineRule="auto"/>
        <w:widowControl w:val="off"/>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24"/>
          <w:szCs w:val="32"/>
          <w:highlight w:val="none"/>
        </w:rPr>
        <w:t xml:space="preserve">以下为中标后签订本项目合同的通用条款，中标人不得提出实质性的修改，关于专用条款将由采购人与中标人结合本项目具体情况协商后签订。</w:t>
      </w:r>
      <w:r>
        <w:rPr>
          <w:rFonts w:hint="eastAsia" w:ascii="宋体" w:hAnsi="宋体" w:eastAsia="宋体" w:cs="宋体"/>
          <w:color w:val="000000"/>
          <w:sz w:val="36"/>
          <w:szCs w:val="36"/>
          <w:highlight w:val="none"/>
          <w:lang w:val="zh-CN"/>
        </w:rPr>
      </w:r>
      <w:r/>
    </w:p>
    <w:p>
      <w:pPr>
        <w:pStyle w:val="1101"/>
        <w:ind w:left="1996"/>
        <w:spacing w:before="114" w:line="225" w:lineRule="auto"/>
        <w:rPr>
          <w:rFonts w:hint="eastAsia" w:ascii="宋体" w:hAnsi="宋体" w:eastAsia="宋体" w:cs="宋体"/>
          <w:color w:val="000000"/>
          <w:sz w:val="35"/>
          <w:szCs w:val="35"/>
          <w:highlight w:val="none"/>
        </w:rPr>
        <w:outlineLvl w:val="1"/>
      </w:pPr>
      <w:r>
        <w:rPr>
          <w:rFonts w:hint="eastAsia" w:ascii="宋体" w:hAnsi="宋体" w:eastAsia="宋体" w:cs="宋体"/>
          <w:b/>
          <w:bCs/>
          <w:color w:val="000000"/>
          <w:spacing w:val="6"/>
          <w:sz w:val="35"/>
          <w:szCs w:val="35"/>
          <w:highlight w:val="none"/>
        </w:rPr>
        <w:t xml:space="preserve">江苏海事职业技术学院货物采购合同</w:t>
      </w:r>
      <w:r>
        <w:rPr>
          <w:rFonts w:hint="eastAsia" w:ascii="宋体" w:hAnsi="宋体" w:eastAsia="宋体" w:cs="宋体"/>
          <w:color w:val="000000"/>
          <w:sz w:val="35"/>
          <w:szCs w:val="35"/>
          <w:highlight w:val="none"/>
        </w:rPr>
      </w:r>
      <w:r/>
    </w:p>
    <w:p>
      <w:pPr>
        <w:pStyle w:val="1066"/>
        <w:spacing w:line="47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01"/>
        <w:ind w:left="482"/>
        <w:jc w:val="left"/>
        <w:spacing w:before="65" w:line="341" w:lineRule="auto"/>
        <w:tabs>
          <w:tab w:val="left" w:pos="4252" w:leader="none"/>
        </w:tabs>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6"/>
          <w:sz w:val="21"/>
          <w:szCs w:val="21"/>
          <w:highlight w:val="none"/>
        </w:rPr>
        <w:t xml:space="preserve">甲方（采购人</w:t>
      </w: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6"/>
          <w:sz w:val="21"/>
          <w:szCs w:val="21"/>
          <w:highlight w:val="none"/>
          <w:u w:val="single"/>
        </w:rPr>
        <w:t xml:space="preserve">江苏海事职业技术学院</w:t>
      </w:r>
      <w:r>
        <w:rPr>
          <w:rFonts w:hint="eastAsia" w:ascii="宋体" w:hAnsi="宋体" w:eastAsia="宋体" w:cs="宋体"/>
          <w:color w:val="000000"/>
          <w:spacing w:val="1"/>
          <w:sz w:val="21"/>
          <w:szCs w:val="21"/>
          <w:highlight w:val="non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pacing w:val="8"/>
          <w:sz w:val="21"/>
          <w:szCs w:val="21"/>
          <w:highlight w:val="none"/>
        </w:rPr>
        <w:t xml:space="preserve">乙方（供应商</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pacing w:val="8"/>
          <w:sz w:val="21"/>
          <w:szCs w:val="21"/>
          <w:highlight w:val="none"/>
        </w:rPr>
        <w:t xml:space="preserve">合同编号：</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r>
      <w:r/>
    </w:p>
    <w:p>
      <w:pPr>
        <w:pStyle w:val="1101"/>
        <w:ind w:left="482" w:right="5490" w:firstLine="26"/>
        <w:spacing w:before="65" w:line="342" w:lineRule="auto"/>
        <w:tabs>
          <w:tab w:val="left" w:pos="4252"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签订时间：</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66"/>
        <w:spacing w:line="339"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01"/>
        <w:ind w:firstLine="460"/>
        <w:jc w:val="left"/>
        <w:spacing w:before="65"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根据《中华人民共和国政府采购法》、《中华人民共和国民法典</w:t>
      </w:r>
      <w:r>
        <w:rPr>
          <w:rFonts w:hint="eastAsia" w:ascii="宋体" w:hAnsi="宋体" w:eastAsia="宋体" w:cs="宋体"/>
          <w:color w:val="000000"/>
          <w:spacing w:val="9"/>
          <w:sz w:val="21"/>
          <w:szCs w:val="21"/>
          <w:highlight w:val="none"/>
        </w:rPr>
        <w:t xml:space="preserve">》等法律、法规规定，按照</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9"/>
          <w:sz w:val="21"/>
          <w:szCs w:val="21"/>
          <w:highlight w:val="none"/>
        </w:rPr>
        <w:t xml:space="preserve">采购文件、投标（响应）</w:t>
      </w:r>
      <w:r>
        <w:rPr>
          <w:rFonts w:hint="eastAsia" w:ascii="宋体" w:hAnsi="宋体" w:eastAsia="宋体" w:cs="宋体"/>
          <w:color w:val="000000"/>
          <w:spacing w:val="8"/>
          <w:sz w:val="21"/>
          <w:szCs w:val="21"/>
          <w:highlight w:val="none"/>
        </w:rPr>
        <w:t xml:space="preserve">文件规定条款和中标（成交）供</w:t>
      </w:r>
      <w:r>
        <w:rPr>
          <w:rFonts w:hint="eastAsia" w:ascii="宋体" w:hAnsi="宋体" w:eastAsia="宋体" w:cs="宋体"/>
          <w:color w:val="000000"/>
          <w:spacing w:val="9"/>
          <w:sz w:val="21"/>
          <w:szCs w:val="21"/>
          <w:highlight w:val="none"/>
        </w:rPr>
        <w:t xml:space="preserve">应商承诺，甲方向乙方购置相关货物。本着诚实守信、友好协商的原则签署本合同。</w:t>
      </w:r>
      <w:r>
        <w:rPr>
          <w:rFonts w:hint="eastAsia" w:ascii="宋体" w:hAnsi="宋体" w:eastAsia="宋体" w:cs="宋体"/>
          <w:color w:val="000000"/>
          <w:sz w:val="21"/>
          <w:szCs w:val="21"/>
          <w:highlight w:val="none"/>
        </w:rPr>
      </w:r>
      <w:r/>
    </w:p>
    <w:p>
      <w:pPr>
        <w:pStyle w:val="1101"/>
        <w:ind w:left="81"/>
        <w:spacing w:before="48" w:line="219"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1.货物清单及金额</w:t>
      </w:r>
      <w:r>
        <w:rPr>
          <w:rFonts w:hint="eastAsia" w:ascii="宋体" w:hAnsi="宋体" w:eastAsia="宋体" w:cs="宋体"/>
          <w:color w:val="000000"/>
          <w:sz w:val="21"/>
          <w:szCs w:val="21"/>
          <w:highlight w:val="none"/>
        </w:rPr>
      </w:r>
      <w:r/>
    </w:p>
    <w:p>
      <w:pPr>
        <w:pStyle w:val="1066"/>
        <w:spacing w:line="1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1521"/>
        <w:tblW w:w="94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9"/>
        <w:gridCol w:w="1823"/>
        <w:gridCol w:w="1469"/>
        <w:gridCol w:w="1342"/>
        <w:gridCol w:w="1210"/>
        <w:gridCol w:w="1020"/>
        <w:gridCol w:w="1020"/>
        <w:gridCol w:w="1022"/>
      </w:tblGrid>
      <w:tr>
        <w:trPr>
          <w:trHeight w:val="497"/>
        </w:trPr>
        <w:tc>
          <w:tcPr>
            <w:tcW w:w="529" w:type="dxa"/>
            <w:vAlign w:val="top"/>
            <w:textDirection w:val="lrTb"/>
            <w:noWrap w:val="false"/>
          </w:tcPr>
          <w:p>
            <w:pPr>
              <w:pStyle w:val="1520"/>
              <w:spacing w:before="142"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序号</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产品名称</w:t>
            </w: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品牌</w:t>
            </w:r>
            <w:r>
              <w:rPr>
                <w:rFonts w:hint="eastAsia" w:ascii="宋体" w:hAnsi="宋体" w:eastAsia="宋体" w:cs="宋体"/>
                <w:color w:val="000000"/>
                <w:sz w:val="21"/>
                <w:szCs w:val="21"/>
                <w:highlight w:val="none"/>
              </w:rPr>
            </w:r>
            <w:r/>
          </w:p>
        </w:tc>
        <w:tc>
          <w:tcPr>
            <w:tcW w:w="1342" w:type="dxa"/>
            <w:vAlign w:val="top"/>
            <w:textDirection w:val="lrTb"/>
            <w:noWrap w:val="false"/>
          </w:tcPr>
          <w:p>
            <w:pPr>
              <w:pStyle w:val="1520"/>
              <w:jc w:val="center"/>
              <w:spacing w:before="143"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规格</w:t>
            </w:r>
            <w:r>
              <w:rPr>
                <w:rFonts w:hint="eastAsia" w:ascii="宋体" w:hAnsi="宋体" w:eastAsia="宋体" w:cs="宋体"/>
                <w:color w:val="000000"/>
                <w:sz w:val="21"/>
                <w:szCs w:val="21"/>
                <w:highlight w:val="none"/>
              </w:rPr>
            </w:r>
            <w:r/>
          </w:p>
        </w:tc>
        <w:tc>
          <w:tcPr>
            <w:tcW w:w="1210" w:type="dxa"/>
            <w:vAlign w:val="top"/>
            <w:textDirection w:val="lrTb"/>
            <w:noWrap w:val="false"/>
          </w:tcPr>
          <w:p>
            <w:pPr>
              <w:pStyle w:val="1520"/>
              <w:jc w:val="center"/>
              <w:spacing w:before="142"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型号</w:t>
            </w: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520"/>
              <w:jc w:val="center"/>
              <w:spacing w:before="143"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单位</w:t>
            </w: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520"/>
              <w:jc w:val="center"/>
              <w:spacing w:before="143" w:line="227"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单价</w:t>
            </w:r>
            <w:r>
              <w:rPr>
                <w:rFonts w:hint="eastAsia" w:ascii="宋体" w:hAnsi="宋体" w:eastAsia="宋体" w:cs="宋体"/>
                <w:color w:val="000000"/>
                <w:sz w:val="21"/>
                <w:szCs w:val="21"/>
                <w:highlight w:val="none"/>
              </w:rPr>
            </w:r>
            <w:r/>
          </w:p>
        </w:tc>
        <w:tc>
          <w:tcPr>
            <w:tcW w:w="1022" w:type="dxa"/>
            <w:vAlign w:val="top"/>
            <w:textDirection w:val="lrTb"/>
            <w:noWrap w:val="false"/>
          </w:tcPr>
          <w:p>
            <w:pPr>
              <w:pStyle w:val="1520"/>
              <w:jc w:val="left"/>
              <w:spacing w:before="143" w:line="227" w:lineRule="auto"/>
              <w:tabs>
                <w:tab w:val="left" w:pos="320" w:leader="none"/>
              </w:tabs>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ab/>
            </w:r>
            <w:r>
              <w:rPr>
                <w:rFonts w:hint="eastAsia" w:ascii="宋体" w:hAnsi="宋体" w:eastAsia="宋体" w:cs="宋体"/>
                <w:color w:val="000000"/>
                <w:spacing w:val="3"/>
                <w:sz w:val="21"/>
                <w:szCs w:val="21"/>
                <w:highlight w:val="none"/>
                <w:lang w:val="en-US" w:eastAsia="zh-CN"/>
              </w:rPr>
              <w:t xml:space="preserve">总价</w:t>
            </w:r>
            <w:r>
              <w:rPr>
                <w:rFonts w:hint="eastAsia" w:ascii="宋体" w:hAnsi="宋体" w:eastAsia="宋体" w:cs="宋体"/>
                <w:color w:val="000000"/>
                <w:spacing w:val="3"/>
                <w:sz w:val="21"/>
                <w:szCs w:val="21"/>
                <w:highlight w:val="none"/>
                <w:lang w:val="en-US" w:eastAsia="zh-CN"/>
              </w:rPr>
            </w:r>
            <w:r/>
          </w:p>
        </w:tc>
      </w:tr>
      <w:tr>
        <w:trPr>
          <w:trHeight w:val="589"/>
        </w:trPr>
        <w:tc>
          <w:tcPr>
            <w:tcW w:w="529" w:type="dxa"/>
            <w:vAlign w:val="top"/>
            <w:textDirection w:val="lrTb"/>
            <w:noWrap w:val="false"/>
          </w:tcPr>
          <w:p>
            <w:pPr>
              <w:pStyle w:val="1520"/>
              <w:ind w:left="233"/>
              <w:spacing w:before="218"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621" w:right="37" w:hanging="580"/>
              <w:spacing w:before="5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5"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3"/>
        </w:trPr>
        <w:tc>
          <w:tcPr>
            <w:tcW w:w="529" w:type="dxa"/>
            <w:vAlign w:val="top"/>
            <w:textDirection w:val="lrTb"/>
            <w:noWrap w:val="false"/>
          </w:tcPr>
          <w:p>
            <w:pPr>
              <w:pStyle w:val="1520"/>
              <w:ind w:left="220"/>
              <w:spacing w:before="17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1"/>
              <w:spacing w:before="139" w:line="22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9"/>
        </w:trPr>
        <w:tc>
          <w:tcPr>
            <w:tcW w:w="529" w:type="dxa"/>
            <w:vAlign w:val="top"/>
            <w:textDirection w:val="lrTb"/>
            <w:noWrap w:val="false"/>
          </w:tcPr>
          <w:p>
            <w:pPr>
              <w:pStyle w:val="1520"/>
              <w:ind w:left="222"/>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10" w:right="62" w:hanging="345"/>
              <w:spacing w:before="51" w:line="24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8"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7"/>
              <w:spacing w:before="222"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202" w:right="62" w:hanging="137"/>
              <w:spacing w:before="5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89"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3"/>
        </w:trPr>
        <w:tc>
          <w:tcPr>
            <w:tcW w:w="529" w:type="dxa"/>
            <w:vAlign w:val="top"/>
            <w:textDirection w:val="lrTb"/>
            <w:noWrap w:val="false"/>
          </w:tcPr>
          <w:p>
            <w:pPr>
              <w:pStyle w:val="1520"/>
              <w:ind w:left="222"/>
              <w:spacing w:before="174" w:line="1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31"/>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520"/>
              <w:ind w:left="356"/>
              <w:spacing w:before="139"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38"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9"/>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196" w:right="63" w:hanging="132"/>
              <w:spacing w:before="5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202"/>
              <w:spacing w:before="188" w:line="23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8"/>
        </w:trPr>
        <w:tc>
          <w:tcPr>
            <w:tcW w:w="529" w:type="dxa"/>
            <w:vAlign w:val="top"/>
            <w:textDirection w:val="lrTb"/>
            <w:noWrap w:val="false"/>
          </w:tcPr>
          <w:p>
            <w:pPr>
              <w:pStyle w:val="1520"/>
              <w:ind w:left="223"/>
              <w:spacing w:before="221" w:line="1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406" w:right="89" w:hanging="314"/>
              <w:spacing w:before="51" w:line="241"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6"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90"/>
        </w:trPr>
        <w:tc>
          <w:tcPr>
            <w:tcW w:w="529" w:type="dxa"/>
            <w:vAlign w:val="top"/>
            <w:textDirection w:val="lrTb"/>
            <w:noWrap w:val="false"/>
          </w:tcPr>
          <w:p>
            <w:pPr>
              <w:pStyle w:val="1520"/>
              <w:ind w:left="218"/>
              <w:spacing w:before="221" w:line="18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823" w:type="dxa"/>
            <w:vAlign w:val="top"/>
            <w:textDirection w:val="lrTb"/>
            <w:noWrap w:val="false"/>
          </w:tcPr>
          <w:p>
            <w:pPr>
              <w:pStyle w:val="1520"/>
              <w:ind w:left="514" w:right="20" w:hanging="492"/>
              <w:spacing w:before="5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1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0" w:type="dxa"/>
            <w:vAlign w:val="top"/>
            <w:textDirection w:val="lrTb"/>
            <w:noWrap w:val="false"/>
          </w:tcPr>
          <w:p>
            <w:pPr>
              <w:pStyle w:val="1520"/>
              <w:ind w:left="186"/>
              <w:spacing w:before="188" w:line="22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22"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gridSpan w:val="2"/>
            <w:tcW w:w="2352" w:type="dxa"/>
            <w:vAlign w:val="center"/>
            <w:textDirection w:val="lrTb"/>
            <w:noWrap w:val="false"/>
          </w:tcPr>
          <w:p>
            <w:pPr>
              <w:pStyle w:val="1066"/>
              <w:jc w:val="center"/>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备注</w:t>
            </w:r>
            <w:r>
              <w:rPr>
                <w:rFonts w:hint="eastAsia" w:ascii="宋体" w:hAnsi="宋体" w:eastAsia="宋体" w:cs="宋体"/>
                <w:color w:val="000000"/>
                <w:szCs w:val="21"/>
                <w:highlight w:val="none"/>
              </w:rPr>
            </w:r>
            <w:r/>
          </w:p>
        </w:tc>
        <w:tc>
          <w:tcPr>
            <w:gridSpan w:val="6"/>
            <w:tcW w:w="7083" w:type="dxa"/>
            <w:vAlign w:val="center"/>
            <w:textDirection w:val="lrTb"/>
            <w:noWrap w:val="false"/>
          </w:tcPr>
          <w:p>
            <w:pPr>
              <w:pStyle w:val="10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1.1 本合同价款是货物设计、制造、包装</w:t>
      </w:r>
      <w:r>
        <w:rPr>
          <w:rFonts w:hint="eastAsia" w:ascii="宋体" w:hAnsi="宋体" w:eastAsia="宋体" w:cs="宋体"/>
          <w:color w:val="000000"/>
          <w:spacing w:val="8"/>
          <w:sz w:val="21"/>
          <w:szCs w:val="21"/>
          <w:highlight w:val="none"/>
        </w:rPr>
        <w:t xml:space="preserve">、仓储、运输装缷、保险、安装、调试及其材料及验收合</w:t>
      </w:r>
      <w:r>
        <w:rPr>
          <w:rFonts w:hint="eastAsia" w:ascii="宋体" w:hAnsi="宋体" w:eastAsia="宋体" w:cs="宋体"/>
          <w:color w:val="000000"/>
          <w:spacing w:val="9"/>
          <w:sz w:val="21"/>
          <w:szCs w:val="21"/>
          <w:highlight w:val="none"/>
        </w:rPr>
        <w:t xml:space="preserve">格之前保管及保修期内备品备件、专用工具、伴随服务、技术图纸资料、人员培训发生的所有含税费用、</w:t>
      </w:r>
      <w:r>
        <w:rPr>
          <w:rFonts w:hint="eastAsia" w:ascii="宋体" w:hAnsi="宋体" w:eastAsia="宋体" w:cs="宋体"/>
          <w:color w:val="000000"/>
          <w:spacing w:val="10"/>
          <w:sz w:val="21"/>
          <w:szCs w:val="21"/>
          <w:highlight w:val="none"/>
        </w:rPr>
        <w:t xml:space="preserve"> 支付给员工的工资和国家强制缴纳的各种社</w:t>
      </w:r>
      <w:r>
        <w:rPr>
          <w:rFonts w:hint="eastAsia" w:ascii="宋体" w:hAnsi="宋体" w:eastAsia="宋体" w:cs="宋体"/>
          <w:color w:val="000000"/>
          <w:spacing w:val="9"/>
          <w:sz w:val="21"/>
          <w:szCs w:val="21"/>
          <w:highlight w:val="none"/>
        </w:rPr>
        <w:t xml:space="preserve">会保障资金，以及投标人认为需要的其他费用等。</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 本合同价款还包含乙方应当提供的伴随服务/售后服务费用。</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7"/>
          <w:sz w:val="21"/>
          <w:szCs w:val="21"/>
          <w:highlight w:val="none"/>
        </w:rPr>
        <w:t xml:space="preserve">1.3 本合同执行期间合同价格不变。</w:t>
      </w:r>
      <w:r>
        <w:rPr>
          <w:rFonts w:hint="eastAsia" w:ascii="宋体" w:hAnsi="宋体" w:eastAsia="宋体" w:cs="宋体"/>
          <w:color w:val="000000"/>
          <w:sz w:val="21"/>
          <w:szCs w:val="21"/>
          <w:highlight w:val="none"/>
        </w:rPr>
      </w:r>
      <w:r/>
    </w:p>
    <w:p>
      <w:pPr>
        <w:pStyle w:val="1101"/>
        <w:ind w:firstLine="410"/>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3"/>
          <w:sz w:val="21"/>
          <w:szCs w:val="21"/>
          <w:highlight w:val="none"/>
        </w:rPr>
        <w:t xml:space="preserve">2.组成本合同的有关文件</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2.1 组成本合同的有关文件下列关于政府采购号标的招投标文件或与本次采购活动方式相适应的文</w:t>
      </w:r>
      <w:r>
        <w:rPr>
          <w:rFonts w:hint="eastAsia" w:ascii="宋体" w:hAnsi="宋体" w:eastAsia="宋体" w:cs="宋体"/>
          <w:color w:val="000000"/>
          <w:spacing w:val="10"/>
          <w:sz w:val="21"/>
          <w:szCs w:val="21"/>
          <w:highlight w:val="none"/>
        </w:rPr>
        <w:t xml:space="preserve">件及有关附件是本合同不可分割的组成部分，与本合同</w:t>
      </w:r>
      <w:r>
        <w:rPr>
          <w:rFonts w:hint="eastAsia" w:ascii="宋体" w:hAnsi="宋体" w:eastAsia="宋体" w:cs="宋体"/>
          <w:color w:val="000000"/>
          <w:spacing w:val="9"/>
          <w:sz w:val="21"/>
          <w:szCs w:val="21"/>
          <w:highlight w:val="none"/>
        </w:rPr>
        <w:t xml:space="preserve">具有同等法律效力，这些文件包括但不限于：</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（1）乙方提供的响应文件和报价表；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（2）供货一览表；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（3）交货一览表；</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（4）技术规格响应表；</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（5）乙方承诺；</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（6）服务承诺；</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（7）成交通知书；</w:t>
      </w:r>
      <w:r>
        <w:rPr>
          <w:rFonts w:hint="eastAsia" w:ascii="宋体" w:hAnsi="宋体" w:eastAsia="宋体" w:cs="宋体"/>
          <w:color w:val="000000"/>
          <w:sz w:val="21"/>
          <w:szCs w:val="21"/>
          <w:highlight w:val="none"/>
        </w:rPr>
      </w:r>
      <w:r/>
    </w:p>
    <w:p>
      <w:pPr>
        <w:pStyle w:val="1101"/>
        <w:ind w:firstLine="43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（8）</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4"/>
          <w:sz w:val="21"/>
          <w:szCs w:val="21"/>
          <w:highlight w:val="none"/>
        </w:rPr>
        <w:t xml:space="preserve">甲乙双方商定的其他文件等。</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3.权利保证</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3.1 乙方应保证甲方在使用该货物或其任何一部分时不受第三方提出侵犯</w:t>
      </w:r>
      <w:r>
        <w:rPr>
          <w:rFonts w:hint="eastAsia" w:ascii="宋体" w:hAnsi="宋体" w:eastAsia="宋体" w:cs="宋体"/>
          <w:color w:val="000000"/>
          <w:spacing w:val="8"/>
          <w:sz w:val="21"/>
          <w:szCs w:val="21"/>
          <w:highlight w:val="none"/>
        </w:rPr>
        <w:t xml:space="preserve">其专利权、版权、商标权或</w:t>
      </w:r>
      <w:r>
        <w:rPr>
          <w:rFonts w:hint="eastAsia" w:ascii="宋体" w:hAnsi="宋体" w:eastAsia="宋体" w:cs="宋体"/>
          <w:color w:val="000000"/>
          <w:spacing w:val="9"/>
          <w:sz w:val="21"/>
          <w:szCs w:val="21"/>
          <w:highlight w:val="none"/>
        </w:rPr>
        <w:t xml:space="preserve">其他权利的起诉。一旦出现侵权，乙方应承担全部责任。</w:t>
      </w:r>
      <w:r>
        <w:rPr>
          <w:rFonts w:hint="eastAsia" w:ascii="宋体" w:hAnsi="宋体" w:eastAsia="宋体" w:cs="宋体"/>
          <w:color w:val="000000"/>
          <w:sz w:val="21"/>
          <w:szCs w:val="21"/>
          <w:highlight w:val="none"/>
        </w:rPr>
      </w:r>
      <w:r/>
    </w:p>
    <w:p>
      <w:pPr>
        <w:pStyle w:val="1101"/>
        <w:ind w:firstLine="406"/>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4"/>
          <w:sz w:val="21"/>
          <w:szCs w:val="21"/>
          <w:highlight w:val="none"/>
        </w:rPr>
        <w:t xml:space="preserve">4.质量保证</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4.1 免费质保期：</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4.2</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5"/>
          <w:sz w:val="21"/>
          <w:szCs w:val="21"/>
          <w:highlight w:val="none"/>
        </w:rPr>
        <w:t xml:space="preserve">乙方所提供的货物的技术规格应与招</w:t>
      </w:r>
      <w:r>
        <w:rPr>
          <w:rFonts w:hint="eastAsia" w:ascii="宋体" w:hAnsi="宋体" w:eastAsia="宋体" w:cs="宋体"/>
          <w:color w:val="000000"/>
          <w:spacing w:val="4"/>
          <w:sz w:val="21"/>
          <w:szCs w:val="21"/>
          <w:highlight w:val="none"/>
        </w:rPr>
        <w:t xml:space="preserve">标文件规定的技术规格及所附的“技术规格响应表</w:t>
      </w:r>
      <w:r>
        <w:rPr>
          <w:rFonts w:hint="eastAsia" w:ascii="宋体" w:hAnsi="宋体" w:eastAsia="宋体" w:cs="宋体"/>
          <w:color w:val="000000"/>
          <w:spacing w:val="-73"/>
          <w:sz w:val="21"/>
          <w:szCs w:val="21"/>
          <w:highlight w:val="none"/>
        </w:rPr>
        <w:t xml:space="preserve"> </w:t>
      </w:r>
      <w:r>
        <w:rPr>
          <w:rFonts w:hint="eastAsia" w:ascii="宋体" w:hAnsi="宋体" w:eastAsia="宋体" w:cs="宋体"/>
          <w:color w:val="000000"/>
          <w:spacing w:val="4"/>
          <w:sz w:val="21"/>
          <w:szCs w:val="21"/>
          <w:highlight w:val="none"/>
        </w:rPr>
        <w:t xml:space="preserve">”相一致；</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若技术性能无特殊说明，则按国家有关部门最新颁布的标准及规范为准。</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4.3 乙方应保证货物是全新、未使用过的原装合格正品，并完全符合合同规定的质量</w:t>
      </w:r>
      <w:r>
        <w:rPr>
          <w:rFonts w:hint="eastAsia" w:ascii="宋体" w:hAnsi="宋体" w:eastAsia="宋体" w:cs="宋体"/>
          <w:color w:val="000000"/>
          <w:spacing w:val="8"/>
          <w:sz w:val="21"/>
          <w:szCs w:val="21"/>
          <w:highlight w:val="none"/>
        </w:rPr>
        <w:t xml:space="preserve">、规格和性能的</w:t>
      </w:r>
      <w:r>
        <w:rPr>
          <w:rFonts w:hint="eastAsia" w:ascii="宋体" w:hAnsi="宋体" w:eastAsia="宋体" w:cs="宋体"/>
          <w:color w:val="000000"/>
          <w:spacing w:val="9"/>
          <w:sz w:val="21"/>
          <w:szCs w:val="21"/>
          <w:highlight w:val="none"/>
        </w:rPr>
        <w:t xml:space="preserve">要求。乙方应保证其提供的货物在正确安装、正常使用和保养条件下，在其使用寿命内具有良好的性能。货物验收后，在质量保证期内，乙方应对由于设计、工艺或材料的缺陷所发生的任何不足或故障负责，所</w:t>
      </w:r>
      <w:r>
        <w:rPr>
          <w:rFonts w:hint="eastAsia" w:ascii="宋体" w:hAnsi="宋体" w:eastAsia="宋体" w:cs="宋体"/>
          <w:color w:val="000000"/>
          <w:spacing w:val="7"/>
          <w:sz w:val="21"/>
          <w:szCs w:val="21"/>
          <w:highlight w:val="none"/>
        </w:rPr>
        <w:t xml:space="preserve">需费用由乙方承担。</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5.包装要求</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5.1 除合同另有规定外，乙方提供的全部货物均应按标准保护措施进行包</w:t>
      </w:r>
      <w:r>
        <w:rPr>
          <w:rFonts w:hint="eastAsia" w:ascii="宋体" w:hAnsi="宋体" w:eastAsia="宋体" w:cs="宋体"/>
          <w:color w:val="000000"/>
          <w:spacing w:val="8"/>
          <w:sz w:val="21"/>
          <w:szCs w:val="21"/>
          <w:highlight w:val="none"/>
        </w:rPr>
        <w:t xml:space="preserve">装。该包装应适应于远距离</w:t>
      </w:r>
      <w:r>
        <w:rPr>
          <w:rFonts w:hint="eastAsia" w:ascii="宋体" w:hAnsi="宋体" w:eastAsia="宋体" w:cs="宋体"/>
          <w:color w:val="000000"/>
          <w:spacing w:val="9"/>
          <w:sz w:val="21"/>
          <w:szCs w:val="21"/>
          <w:highlight w:val="none"/>
        </w:rPr>
        <w:t xml:space="preserve">运输、防潮、防震、防锈和防野蛮装卸，以确保货物安全无损运抵指定地点。由于包装不善所引起的货物</w:t>
      </w:r>
      <w:r>
        <w:rPr>
          <w:rFonts w:hint="eastAsia" w:ascii="宋体" w:hAnsi="宋体" w:eastAsia="宋体" w:cs="宋体"/>
          <w:color w:val="000000"/>
          <w:spacing w:val="7"/>
          <w:sz w:val="21"/>
          <w:szCs w:val="21"/>
          <w:highlight w:val="none"/>
        </w:rPr>
        <w:t xml:space="preserve">损失均由乙方承担。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5.2 每一包装单元内应附详细的装箱单和质量合格凭证。</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6.交货时间</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7.交货地点</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8.验收</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8.1 免费质保期：</w:t>
      </w:r>
      <w:r>
        <w:rPr>
          <w:rFonts w:hint="eastAsia" w:ascii="宋体" w:hAnsi="宋体" w:eastAsia="宋体" w:cs="宋体"/>
          <w:color w:val="000000"/>
          <w:spacing w:val="5"/>
          <w:sz w:val="21"/>
          <w:szCs w:val="21"/>
          <w:highlight w:val="none"/>
        </w:rPr>
        <w:t xml:space="preserve">详见招标文件第四章</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8.2 乙方交付的货物应当完全符合本合同或者招投标文件所规定的货物、数量和规</w:t>
      </w:r>
      <w:r>
        <w:rPr>
          <w:rFonts w:hint="eastAsia" w:ascii="宋体" w:hAnsi="宋体" w:eastAsia="宋体" w:cs="宋体"/>
          <w:color w:val="000000"/>
          <w:spacing w:val="8"/>
          <w:sz w:val="21"/>
          <w:szCs w:val="21"/>
          <w:highlight w:val="none"/>
        </w:rPr>
        <w:t xml:space="preserve">格要求。乙方提供的货物不符合招投标文件和合同规定的，</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8"/>
          <w:sz w:val="21"/>
          <w:szCs w:val="21"/>
          <w:highlight w:val="none"/>
        </w:rPr>
        <w:t xml:space="preserve">甲方有权拒收货物，由此引起的风险，由乙方承担。</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8.3 货物的到货验收包括：型号、规格、数量、外观质量、及货物包装是</w:t>
      </w:r>
      <w:r>
        <w:rPr>
          <w:rFonts w:hint="eastAsia" w:ascii="宋体" w:hAnsi="宋体" w:eastAsia="宋体" w:cs="宋体"/>
          <w:color w:val="000000"/>
          <w:spacing w:val="8"/>
          <w:sz w:val="21"/>
          <w:szCs w:val="21"/>
          <w:highlight w:val="none"/>
        </w:rPr>
        <w:t xml:space="preserve">否完好。</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8.4 乙方应将所提供货物的装箱清单、用户手册、原厂保修卡、随机资料及配件、</w:t>
      </w:r>
      <w:r>
        <w:rPr>
          <w:rFonts w:hint="eastAsia" w:ascii="宋体" w:hAnsi="宋体" w:eastAsia="宋体" w:cs="宋体"/>
          <w:color w:val="000000"/>
          <w:spacing w:val="8"/>
          <w:sz w:val="21"/>
          <w:szCs w:val="21"/>
          <w:highlight w:val="none"/>
        </w:rPr>
        <w:t xml:space="preserve">随机工具等交付给</w:t>
      </w:r>
      <w:r>
        <w:rPr>
          <w:rFonts w:hint="eastAsia" w:ascii="宋体" w:hAnsi="宋体" w:eastAsia="宋体" w:cs="宋体"/>
          <w:color w:val="000000"/>
          <w:spacing w:val="9"/>
          <w:sz w:val="21"/>
          <w:szCs w:val="21"/>
          <w:highlight w:val="none"/>
        </w:rPr>
        <w:t xml:space="preserve">甲方；乙方不能完整交付货物及本款规定的单证和工具的，视为未按合同约定交货，乙方负责补齐，因此</w:t>
      </w:r>
      <w:r>
        <w:rPr>
          <w:rFonts w:hint="eastAsia" w:ascii="宋体" w:hAnsi="宋体" w:eastAsia="宋体" w:cs="宋体"/>
          <w:color w:val="000000"/>
          <w:spacing w:val="6"/>
          <w:sz w:val="21"/>
          <w:szCs w:val="21"/>
          <w:highlight w:val="none"/>
        </w:rPr>
        <w:t xml:space="preserve">导致逾期交付的，</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6"/>
          <w:sz w:val="21"/>
          <w:szCs w:val="21"/>
          <w:highlight w:val="none"/>
        </w:rPr>
        <w:t xml:space="preserve">由乙方承担相关的违约责任。</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8.5 货物和系统调试验收的标准：按行业通行标准、厂方出厂标准和乙方投标文件</w:t>
      </w:r>
      <w:r>
        <w:rPr>
          <w:rFonts w:hint="eastAsia" w:ascii="宋体" w:hAnsi="宋体" w:eastAsia="宋体" w:cs="宋体"/>
          <w:color w:val="000000"/>
          <w:spacing w:val="8"/>
          <w:sz w:val="21"/>
          <w:szCs w:val="21"/>
          <w:highlight w:val="none"/>
        </w:rPr>
        <w:t xml:space="preserve">的承诺（详见合同</w:t>
      </w:r>
      <w:r>
        <w:rPr>
          <w:rFonts w:hint="eastAsia" w:ascii="宋体" w:hAnsi="宋体" w:eastAsia="宋体" w:cs="宋体"/>
          <w:color w:val="000000"/>
          <w:spacing w:val="7"/>
          <w:sz w:val="21"/>
          <w:szCs w:val="21"/>
          <w:highlight w:val="none"/>
        </w:rPr>
        <w:t xml:space="preserve">附件载明的标准，并不低于国家相关标准）。</w:t>
      </w:r>
      <w:r>
        <w:rPr>
          <w:rFonts w:hint="eastAsia" w:ascii="宋体" w:hAnsi="宋体" w:eastAsia="宋体" w:cs="宋体"/>
          <w:color w:val="000000"/>
          <w:sz w:val="21"/>
          <w:szCs w:val="21"/>
          <w:highlight w:val="none"/>
        </w:rPr>
      </w:r>
      <w:r/>
    </w:p>
    <w:p>
      <w:pPr>
        <w:pStyle w:val="1101"/>
        <w:ind w:firstLine="410"/>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3"/>
          <w:sz w:val="21"/>
          <w:szCs w:val="21"/>
          <w:highlight w:val="none"/>
        </w:rPr>
        <w:t xml:space="preserve">9.伴随服务／售后服务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9.1 乙方应按照国家有关法律法规规章和“三包</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8"/>
          <w:sz w:val="21"/>
          <w:szCs w:val="21"/>
          <w:highlight w:val="none"/>
        </w:rPr>
        <w:t xml:space="preserve">”规定以及</w:t>
      </w:r>
      <w:r>
        <w:rPr>
          <w:rFonts w:hint="eastAsia" w:ascii="宋体" w:hAnsi="宋体" w:eastAsia="宋体" w:cs="宋体"/>
          <w:color w:val="000000"/>
          <w:spacing w:val="7"/>
          <w:sz w:val="21"/>
          <w:szCs w:val="21"/>
          <w:highlight w:val="none"/>
        </w:rPr>
        <w:t xml:space="preserve">合同所附的“服务承诺</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7"/>
          <w:sz w:val="21"/>
          <w:szCs w:val="21"/>
          <w:highlight w:val="none"/>
        </w:rPr>
        <w:t xml:space="preserve">”提供服务。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9.2 除前款规定外，乙方还应提供下列服务：</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（1）货物的现场安装、调试和/或启动监督；</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（2）就货物的安装、启动、运行及维护等对甲方人员</w:t>
      </w:r>
      <w:r>
        <w:rPr>
          <w:rFonts w:hint="eastAsia" w:ascii="宋体" w:hAnsi="宋体" w:eastAsia="宋体" w:cs="宋体"/>
          <w:color w:val="000000"/>
          <w:spacing w:val="8"/>
          <w:sz w:val="21"/>
          <w:szCs w:val="21"/>
          <w:highlight w:val="none"/>
        </w:rPr>
        <w:t xml:space="preserve">进行免费培训。</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9.3 若招标文件中不包含有关伴随服务或售后服务的承诺，双方</w:t>
      </w:r>
      <w:r>
        <w:rPr>
          <w:rFonts w:hint="eastAsia" w:ascii="宋体" w:hAnsi="宋体" w:eastAsia="宋体" w:cs="宋体"/>
          <w:color w:val="000000"/>
          <w:spacing w:val="8"/>
          <w:sz w:val="21"/>
          <w:szCs w:val="21"/>
          <w:highlight w:val="none"/>
        </w:rPr>
        <w:t xml:space="preserve">作如下约定：</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8"/>
          <w:sz w:val="21"/>
          <w:szCs w:val="21"/>
          <w:highlight w:val="none"/>
        </w:rPr>
        <w:t xml:space="preserve">乙方应为甲方提供免费培训服务，并指派专人负责与甲方联系售后服务事宜。主要培训内容为货物的基本结构、性能、主要部件的构造及处理，</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8"/>
          <w:sz w:val="21"/>
          <w:szCs w:val="21"/>
          <w:highlight w:val="none"/>
        </w:rPr>
        <w:t xml:space="preserve">日常使用操作、保养与管理、常见故障的排除、紧急情</w:t>
      </w:r>
      <w:r>
        <w:rPr>
          <w:rFonts w:hint="eastAsia" w:ascii="宋体" w:hAnsi="宋体" w:eastAsia="宋体" w:cs="宋体"/>
          <w:color w:val="000000"/>
          <w:spacing w:val="9"/>
          <w:sz w:val="21"/>
          <w:szCs w:val="21"/>
          <w:highlight w:val="none"/>
        </w:rPr>
        <w:t xml:space="preserve">况的处理等，如甲方未使用过同类型货物，乙方还需就货物的功能对甲方人员进行相应的技术培训，培训</w:t>
      </w:r>
      <w:r>
        <w:rPr>
          <w:rFonts w:hint="eastAsia" w:ascii="宋体" w:hAnsi="宋体" w:eastAsia="宋体" w:cs="宋体"/>
          <w:color w:val="000000"/>
          <w:spacing w:val="8"/>
          <w:sz w:val="21"/>
          <w:szCs w:val="21"/>
          <w:highlight w:val="none"/>
        </w:rPr>
        <w:t xml:space="preserve">地点主要在货物安装现场或由甲方安排。</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 所购货物按乙方投标承诺提供免费维护和质量保证，保修费</w:t>
      </w:r>
      <w:r>
        <w:rPr>
          <w:rFonts w:hint="eastAsia" w:ascii="宋体" w:hAnsi="宋体" w:eastAsia="宋体" w:cs="宋体"/>
          <w:color w:val="000000"/>
          <w:spacing w:val="8"/>
          <w:sz w:val="21"/>
          <w:szCs w:val="21"/>
          <w:highlight w:val="none"/>
        </w:rPr>
        <w:t xml:space="preserve">用计入总价。</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（3） 保修期内，乙方负责对其提供的货物整机进行维修和系统维护，不再收取</w:t>
      </w:r>
      <w:r>
        <w:rPr>
          <w:rFonts w:hint="eastAsia" w:ascii="宋体" w:hAnsi="宋体" w:eastAsia="宋体" w:cs="宋体"/>
          <w:color w:val="000000"/>
          <w:spacing w:val="8"/>
          <w:sz w:val="21"/>
          <w:szCs w:val="21"/>
          <w:highlight w:val="none"/>
        </w:rPr>
        <w:t xml:space="preserve">任何费用，但不可抗力（如火灾、雷击等）造成的故障除外。</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（4） 货物故障报修的响应时间按乙方投标承诺执行。</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（5） 若货物故障在检修</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35"/>
          <w:sz w:val="21"/>
          <w:szCs w:val="21"/>
          <w:highlight w:val="none"/>
          <w:u w:val="single"/>
        </w:rPr>
        <w:t xml:space="preserve"> </w:t>
      </w:r>
      <w:r>
        <w:rPr>
          <w:rFonts w:hint="eastAsia" w:ascii="宋体" w:hAnsi="宋体" w:eastAsia="宋体" w:cs="宋体"/>
          <w:color w:val="000000"/>
          <w:spacing w:val="8"/>
          <w:sz w:val="21"/>
          <w:szCs w:val="21"/>
          <w:highlight w:val="none"/>
        </w:rPr>
        <w:t xml:space="preserve">工作小时后仍无法排除，乙方应免费提供不低于故障货</w:t>
      </w:r>
      <w:r>
        <w:rPr>
          <w:rFonts w:hint="eastAsia" w:ascii="宋体" w:hAnsi="宋体" w:eastAsia="宋体" w:cs="宋体"/>
          <w:color w:val="000000"/>
          <w:spacing w:val="7"/>
          <w:sz w:val="21"/>
          <w:szCs w:val="21"/>
          <w:highlight w:val="none"/>
        </w:rPr>
        <w:t xml:space="preserve">物规</w:t>
      </w:r>
      <w:r>
        <w:rPr>
          <w:rFonts w:hint="eastAsia" w:ascii="宋体" w:hAnsi="宋体" w:eastAsia="宋体" w:cs="宋体"/>
          <w:color w:val="000000"/>
          <w:spacing w:val="9"/>
          <w:sz w:val="21"/>
          <w:szCs w:val="21"/>
          <w:highlight w:val="none"/>
        </w:rPr>
        <w:t xml:space="preserve">格型号档次的备用货物供甲方使用，直至故障货物修复。</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（6） 所有货物保修服务方式均为乙方上门保修，即由乙方派员到货物使用现场</w:t>
      </w:r>
      <w:r>
        <w:rPr>
          <w:rFonts w:hint="eastAsia" w:ascii="宋体" w:hAnsi="宋体" w:eastAsia="宋体" w:cs="宋体"/>
          <w:color w:val="000000"/>
          <w:spacing w:val="8"/>
          <w:sz w:val="21"/>
          <w:szCs w:val="21"/>
          <w:highlight w:val="none"/>
        </w:rPr>
        <w:t xml:space="preserve">维修，由此产生的一</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8"/>
          <w:sz w:val="21"/>
          <w:szCs w:val="21"/>
          <w:highlight w:val="none"/>
        </w:rPr>
        <w:t xml:space="preserve">切费用均由乙方承担。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3"/>
      </w:pPr>
      <w:r>
        <w:rPr>
          <w:rFonts w:hint="eastAsia" w:ascii="宋体" w:hAnsi="宋体" w:eastAsia="宋体" w:cs="宋体"/>
          <w:color w:val="000000"/>
          <w:spacing w:val="8"/>
          <w:sz w:val="21"/>
          <w:szCs w:val="21"/>
          <w:highlight w:val="none"/>
        </w:rPr>
        <w:t xml:space="preserve">（7） 保修期后的货物维护由双方协商再定。</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10.履约保证金</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乙方交纳合同金额的10%作为本合同的履约保证金。 </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11.合同款支付</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pacing w:val="7"/>
          <w:sz w:val="21"/>
          <w:szCs w:val="21"/>
          <w:highlight w:val="none"/>
        </w:rPr>
        <w:outlineLvl w:val="2"/>
      </w:pPr>
      <w:r>
        <w:rPr>
          <w:rFonts w:hint="eastAsia" w:ascii="宋体" w:hAnsi="宋体" w:eastAsia="宋体" w:cs="宋体"/>
          <w:color w:val="000000"/>
          <w:spacing w:val="7"/>
          <w:sz w:val="21"/>
          <w:szCs w:val="21"/>
          <w:highlight w:val="none"/>
        </w:rPr>
        <w:t xml:space="preserve">11.1 本合同项下所有款项均以人民币支付。</w:t>
      </w:r>
      <w:r>
        <w:rPr>
          <w:rFonts w:hint="eastAsia" w:ascii="宋体" w:hAnsi="宋体" w:eastAsia="宋体" w:cs="宋体"/>
          <w:color w:val="000000"/>
          <w:spacing w:val="7"/>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11.2 本合同项下的采购资金由甲方自行支付，乙方向甲方开具发票。</w:t>
      </w:r>
      <w:r>
        <w:rPr>
          <w:rFonts w:hint="eastAsia" w:ascii="宋体" w:hAnsi="宋体" w:eastAsia="宋体" w:cs="宋体"/>
          <w:color w:val="000000"/>
          <w:sz w:val="21"/>
          <w:szCs w:val="21"/>
          <w:highlight w:val="none"/>
        </w:rPr>
      </w:r>
      <w:r/>
    </w:p>
    <w:p>
      <w:pPr>
        <w:pStyle w:val="1101"/>
        <w:ind w:firstLine="43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3"/>
          <w:sz w:val="21"/>
          <w:szCs w:val="21"/>
          <w:highlight w:val="none"/>
        </w:rPr>
        <w:t xml:space="preserve">11.3 付款条件：</w:t>
      </w:r>
      <w:r>
        <w:rPr>
          <w:rFonts w:hint="eastAsia" w:ascii="宋体" w:hAnsi="宋体" w:eastAsia="宋体" w:cs="宋体"/>
          <w:color w:val="000000"/>
          <w:sz w:val="21"/>
          <w:szCs w:val="21"/>
          <w:highlight w:val="none"/>
        </w:rPr>
      </w:r>
      <w:r/>
    </w:p>
    <w:p>
      <w:pPr>
        <w:pStyle w:val="1066"/>
        <w:ind w:firstLine="420"/>
        <w:jc w:val="left"/>
        <w:spacing w:line="315" w:lineRule="exact"/>
        <w:rPr>
          <w:rFonts w:hint="eastAsia" w:ascii="宋体" w:hAnsi="宋体" w:eastAsia="宋体" w:cs="宋体"/>
          <w:color w:val="000000"/>
          <w:highlight w:val="none"/>
        </w:rPr>
      </w:pPr>
      <w:r>
        <w:rPr>
          <w:rFonts w:hint="eastAsia" w:ascii="宋体" w:hAnsi="宋体" w:eastAsia="宋体" w:cs="宋体"/>
          <w:color w:val="000000"/>
          <w:sz w:val="21"/>
          <w:highlight w:val="none"/>
          <w:u w:val="none"/>
        </w:rPr>
        <w:t xml:space="preserve">验收合格后，一次性付款至100％。</w:t>
      </w:r>
      <w:r>
        <w:rPr>
          <w:rFonts w:hint="eastAsia" w:ascii="宋体" w:hAnsi="宋体" w:eastAsia="宋体" w:cs="宋体"/>
          <w:color w:val="000000"/>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11.4</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7"/>
          <w:sz w:val="21"/>
          <w:szCs w:val="21"/>
          <w:highlight w:val="none"/>
        </w:rPr>
        <w:t xml:space="preserve">中标人需向招标人提供符合国家规定的相应数额的增值税发票。</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12.违约责任</w:t>
      </w:r>
      <w:r>
        <w:rPr>
          <w:rFonts w:hint="eastAsia" w:ascii="宋体" w:hAnsi="宋体" w:eastAsia="宋体" w:cs="宋体"/>
          <w:color w:val="000000"/>
          <w:sz w:val="21"/>
          <w:szCs w:val="21"/>
          <w:highlight w:val="none"/>
        </w:rPr>
      </w:r>
      <w:r/>
    </w:p>
    <w:p>
      <w:pPr>
        <w:pStyle w:val="1101"/>
        <w:ind w:firstLine="428"/>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2"/>
          <w:sz w:val="21"/>
          <w:szCs w:val="21"/>
          <w:highlight w:val="none"/>
        </w:rPr>
        <w:t xml:space="preserve">12.1</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2"/>
          <w:sz w:val="21"/>
          <w:szCs w:val="21"/>
          <w:highlight w:val="none"/>
        </w:rPr>
        <w:t xml:space="preserve">甲方违约责任</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12.1.1</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5"/>
          <w:sz w:val="21"/>
          <w:szCs w:val="21"/>
          <w:highlight w:val="none"/>
        </w:rPr>
        <w:t xml:space="preserve">甲方未按合同规定的期限向乙方支付货款的，每逾期</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5"/>
          <w:sz w:val="21"/>
          <w:szCs w:val="21"/>
          <w:highlight w:val="none"/>
        </w:rPr>
        <w:t xml:space="preserve">天甲方向乙方偿付欠款总额的</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‰滞纳</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7"/>
          <w:sz w:val="21"/>
          <w:szCs w:val="21"/>
          <w:highlight w:val="none"/>
        </w:rPr>
        <w:t xml:space="preserve">金，但累计滞纳金总额不超过欠款总额的</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7"/>
          <w:sz w:val="21"/>
          <w:szCs w:val="21"/>
          <w:highlight w:val="none"/>
          <w:u w:val="single"/>
        </w:rPr>
        <w:t xml:space="preserve">5</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z w:val="21"/>
          <w:szCs w:val="21"/>
          <w:highlight w:val="none"/>
        </w:rPr>
      </w:r>
      <w:r/>
    </w:p>
    <w:p>
      <w:pPr>
        <w:pStyle w:val="1101"/>
        <w:ind w:firstLine="43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3"/>
          <w:sz w:val="21"/>
          <w:szCs w:val="21"/>
          <w:highlight w:val="none"/>
        </w:rPr>
        <w:t xml:space="preserve">12.2</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3"/>
          <w:sz w:val="21"/>
          <w:szCs w:val="21"/>
          <w:highlight w:val="none"/>
        </w:rPr>
        <w:t xml:space="preserve">乙方违约责任</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12.2.1 如乙方不能交付货物、完成安装调试的，</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8"/>
          <w:sz w:val="21"/>
          <w:szCs w:val="21"/>
          <w:highlight w:val="none"/>
        </w:rPr>
        <w:t xml:space="preserve">甲方有权扣留全部履约保</w:t>
      </w:r>
      <w:r>
        <w:rPr>
          <w:rFonts w:hint="eastAsia" w:ascii="宋体" w:hAnsi="宋体" w:eastAsia="宋体" w:cs="宋体"/>
          <w:color w:val="000000"/>
          <w:spacing w:val="7"/>
          <w:sz w:val="21"/>
          <w:szCs w:val="21"/>
          <w:highlight w:val="none"/>
        </w:rPr>
        <w:t xml:space="preserve">证金；同时乙方应向甲方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6"/>
          <w:sz w:val="21"/>
          <w:szCs w:val="21"/>
          <w:highlight w:val="none"/>
        </w:rPr>
        <w:t xml:space="preserve">支付合同总价</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6"/>
          <w:sz w:val="21"/>
          <w:szCs w:val="21"/>
          <w:highlight w:val="none"/>
          <w:u w:val="single"/>
        </w:rPr>
        <w:t xml:space="preserve">5</w:t>
      </w:r>
      <w:r>
        <w:rPr>
          <w:rFonts w:hint="eastAsia" w:ascii="宋体" w:hAnsi="宋体" w:eastAsia="宋体" w:cs="宋体"/>
          <w:color w:val="000000"/>
          <w:spacing w:val="6"/>
          <w:sz w:val="21"/>
          <w:szCs w:val="21"/>
          <w:highlight w:val="none"/>
        </w:rPr>
        <w:t xml:space="preserve">%的违约金。</w:t>
      </w:r>
      <w:r>
        <w:rPr>
          <w:rFonts w:hint="eastAsia" w:ascii="宋体" w:hAnsi="宋体" w:eastAsia="宋体" w:cs="宋体"/>
          <w:color w:val="000000"/>
          <w:sz w:val="21"/>
          <w:szCs w:val="21"/>
          <w:highlight w:val="none"/>
        </w:rPr>
      </w:r>
      <w:r/>
    </w:p>
    <w:p>
      <w:pPr>
        <w:pStyle w:val="1101"/>
        <w:ind w:firstLine="440"/>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12.2.2</w:t>
      </w:r>
      <w:r>
        <w:rPr>
          <w:rFonts w:hint="eastAsia" w:ascii="宋体" w:hAnsi="宋体" w:eastAsia="宋体" w:cs="宋体"/>
          <w:color w:val="000000"/>
          <w:spacing w:val="46"/>
          <w:sz w:val="21"/>
          <w:szCs w:val="21"/>
          <w:highlight w:val="none"/>
        </w:rPr>
        <w:t xml:space="preserve"> </w:t>
      </w:r>
      <w:r>
        <w:rPr>
          <w:rFonts w:hint="eastAsia" w:ascii="宋体" w:hAnsi="宋体" w:eastAsia="宋体" w:cs="宋体"/>
          <w:color w:val="000000"/>
          <w:spacing w:val="5"/>
          <w:sz w:val="21"/>
          <w:szCs w:val="21"/>
          <w:highlight w:val="none"/>
        </w:rPr>
        <w:t xml:space="preserve">乙方逾期交付的，每逾期</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rPr>
        <w:t xml:space="preserve">天，乙方向甲方偿付合同总额的</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‰的滞纳金。如乙方逾期交付达</w:t>
      </w:r>
      <w:r>
        <w:rPr>
          <w:rFonts w:hint="eastAsia" w:ascii="宋体" w:hAnsi="宋体" w:eastAsia="宋体" w:cs="宋体"/>
          <w:color w:val="000000"/>
          <w:spacing w:val="6"/>
          <w:sz w:val="21"/>
          <w:szCs w:val="21"/>
          <w:highlight w:val="none"/>
          <w:u w:val="single"/>
        </w:rPr>
        <w:t xml:space="preserve">10</w:t>
      </w:r>
      <w:r>
        <w:rPr>
          <w:rFonts w:hint="eastAsia" w:ascii="宋体" w:hAnsi="宋体" w:eastAsia="宋体" w:cs="宋体"/>
          <w:color w:val="000000"/>
          <w:spacing w:val="-22"/>
          <w:sz w:val="21"/>
          <w:szCs w:val="21"/>
          <w:highlight w:val="none"/>
          <w:u w:val="single"/>
        </w:rPr>
        <w:t xml:space="preserve"> </w:t>
      </w:r>
      <w:r>
        <w:rPr>
          <w:rFonts w:hint="eastAsia" w:ascii="宋体" w:hAnsi="宋体" w:eastAsia="宋体" w:cs="宋体"/>
          <w:color w:val="000000"/>
          <w:spacing w:val="6"/>
          <w:sz w:val="21"/>
          <w:szCs w:val="21"/>
          <w:highlight w:val="none"/>
        </w:rPr>
        <w:t xml:space="preserve">天，</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6"/>
          <w:sz w:val="21"/>
          <w:szCs w:val="21"/>
          <w:highlight w:val="none"/>
        </w:rPr>
        <w:t xml:space="preserve">甲方有权解除合同，解除合同的通知自到达乙方时生效。</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12.2.3 乙方所交付的货物品种、型号、规格不符合合同规定的，甲方有</w:t>
      </w:r>
      <w:r>
        <w:rPr>
          <w:rFonts w:hint="eastAsia" w:ascii="宋体" w:hAnsi="宋体" w:eastAsia="宋体" w:cs="宋体"/>
          <w:color w:val="000000"/>
          <w:spacing w:val="7"/>
          <w:sz w:val="21"/>
          <w:szCs w:val="21"/>
          <w:highlight w:val="none"/>
        </w:rPr>
        <w:t xml:space="preserve">权拒收。</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7"/>
          <w:sz w:val="21"/>
          <w:szCs w:val="21"/>
          <w:highlight w:val="none"/>
        </w:rPr>
        <w:t xml:space="preserve">甲方拒收的，乙方</w:t>
      </w:r>
      <w:r>
        <w:rPr>
          <w:rFonts w:hint="eastAsia" w:ascii="宋体" w:hAnsi="宋体" w:eastAsia="宋体" w:cs="宋体"/>
          <w:color w:val="000000"/>
          <w:spacing w:val="8"/>
          <w:sz w:val="21"/>
          <w:szCs w:val="21"/>
          <w:highlight w:val="none"/>
        </w:rPr>
        <w:t xml:space="preserve">应向甲方支付货款总额</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8"/>
          <w:sz w:val="21"/>
          <w:szCs w:val="21"/>
          <w:highlight w:val="none"/>
          <w:u w:val="single"/>
        </w:rPr>
        <w:t xml:space="preserve">5</w:t>
      </w:r>
      <w:r>
        <w:rPr>
          <w:rFonts w:hint="eastAsia" w:ascii="宋体" w:hAnsi="宋体" w:eastAsia="宋体" w:cs="宋体"/>
          <w:color w:val="000000"/>
          <w:spacing w:val="8"/>
          <w:sz w:val="21"/>
          <w:szCs w:val="21"/>
          <w:highlight w:val="none"/>
        </w:rPr>
        <w:t xml:space="preserve">%的违约金。甲方未拒收的，交易中心发现后将向</w:t>
      </w:r>
      <w:r>
        <w:rPr>
          <w:rFonts w:hint="eastAsia" w:ascii="宋体" w:hAnsi="宋体" w:eastAsia="宋体" w:cs="宋体"/>
          <w:color w:val="000000"/>
          <w:spacing w:val="7"/>
          <w:sz w:val="21"/>
          <w:szCs w:val="21"/>
          <w:highlight w:val="none"/>
        </w:rPr>
        <w:t xml:space="preserve">有关部门反映，并责成乙方按照</w:t>
      </w:r>
      <w:r>
        <w:rPr>
          <w:rFonts w:hint="eastAsia" w:ascii="宋体" w:hAnsi="宋体" w:eastAsia="宋体" w:cs="宋体"/>
          <w:color w:val="000000"/>
          <w:spacing w:val="9"/>
          <w:sz w:val="21"/>
          <w:szCs w:val="21"/>
          <w:highlight w:val="none"/>
        </w:rPr>
        <w:t xml:space="preserve">采购结果提供货物和服务，同时视情给予不退还部分或全部履约保证金、暂停一至三年参加江苏海事职业</w:t>
      </w:r>
      <w:r>
        <w:rPr>
          <w:rFonts w:hint="eastAsia" w:ascii="宋体" w:hAnsi="宋体" w:eastAsia="宋体" w:cs="宋体"/>
          <w:color w:val="000000"/>
          <w:spacing w:val="8"/>
          <w:sz w:val="21"/>
          <w:szCs w:val="21"/>
          <w:highlight w:val="none"/>
        </w:rPr>
        <w:t xml:space="preserve">技术学院的政府采购活动的处理。</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12.2.4 在乙方承诺的或国家规定的质量保证期内（取两者中最长的期限</w:t>
      </w:r>
      <w:r>
        <w:rPr>
          <w:rFonts w:hint="eastAsia" w:ascii="宋体" w:hAnsi="宋体" w:eastAsia="宋体" w:cs="宋体"/>
          <w:color w:val="000000"/>
          <w:spacing w:val="23"/>
          <w:sz w:val="21"/>
          <w:szCs w:val="21"/>
          <w:highlight w:val="none"/>
        </w:rPr>
        <w:t xml:space="preserve">），</w:t>
      </w:r>
      <w:r>
        <w:rPr>
          <w:rFonts w:hint="eastAsia" w:ascii="宋体" w:hAnsi="宋体" w:eastAsia="宋体" w:cs="宋体"/>
          <w:color w:val="000000"/>
          <w:spacing w:val="8"/>
          <w:sz w:val="21"/>
          <w:szCs w:val="21"/>
          <w:highlight w:val="none"/>
        </w:rPr>
        <w:t xml:space="preserve">如经乙方两次维修或更</w:t>
      </w:r>
      <w:r>
        <w:rPr>
          <w:rFonts w:hint="eastAsia" w:ascii="宋体" w:hAnsi="宋体" w:eastAsia="宋体" w:cs="宋体"/>
          <w:color w:val="000000"/>
          <w:spacing w:val="5"/>
          <w:sz w:val="21"/>
          <w:szCs w:val="21"/>
          <w:highlight w:val="none"/>
        </w:rPr>
        <w:t xml:space="preserve">换，货物仍不能达到合同约定的质量标准，甲方有权退货，乙方应退回全部货款，并按第</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5"/>
          <w:sz w:val="21"/>
          <w:szCs w:val="21"/>
          <w:highlight w:val="none"/>
        </w:rPr>
        <w:t xml:space="preserve">款处理，同时，</w:t>
      </w:r>
      <w:r>
        <w:rPr>
          <w:rFonts w:hint="eastAsia" w:ascii="宋体" w:hAnsi="宋体" w:eastAsia="宋体" w:cs="宋体"/>
          <w:color w:val="000000"/>
          <w:spacing w:val="8"/>
          <w:sz w:val="21"/>
          <w:szCs w:val="21"/>
          <w:highlight w:val="none"/>
        </w:rPr>
        <w:t xml:space="preserve">乙方还须赔偿甲方因此遭受的损失。</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12.2.5 乙方未按本合同第</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7"/>
          <w:sz w:val="21"/>
          <w:szCs w:val="21"/>
          <w:highlight w:val="none"/>
        </w:rPr>
        <w:t xml:space="preserve">8</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7"/>
          <w:sz w:val="21"/>
          <w:szCs w:val="21"/>
          <w:highlight w:val="none"/>
        </w:rPr>
        <w:t xml:space="preserve">条的规定向甲方交付履约保证金的，应按应交付履约保证金的100%向甲</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方支付违约金，该违约金的支付不影响乙方应承担的其他违约责任。</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12.2.6</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6"/>
          <w:sz w:val="21"/>
          <w:szCs w:val="21"/>
          <w:highlight w:val="none"/>
        </w:rPr>
        <w:t xml:space="preserve">乙方未按本合同的规定和“服务承诺</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6"/>
          <w:sz w:val="21"/>
          <w:szCs w:val="21"/>
          <w:highlight w:val="none"/>
        </w:rPr>
        <w:t xml:space="preserve">”提</w:t>
      </w:r>
      <w:r>
        <w:rPr>
          <w:rFonts w:hint="eastAsia" w:ascii="宋体" w:hAnsi="宋体" w:eastAsia="宋体" w:cs="宋体"/>
          <w:color w:val="000000"/>
          <w:spacing w:val="5"/>
          <w:sz w:val="21"/>
          <w:szCs w:val="21"/>
          <w:highlight w:val="none"/>
        </w:rPr>
        <w:t xml:space="preserve">供伴随服务/售后服务的，应按合同总价款的</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5"/>
          <w:sz w:val="21"/>
          <w:szCs w:val="21"/>
          <w:highlight w:val="none"/>
          <w:u w:val="single"/>
        </w:rPr>
        <w:t xml:space="preserve">5</w:t>
      </w:r>
      <w:r>
        <w:rPr>
          <w:rFonts w:hint="eastAsia" w:ascii="宋体" w:hAnsi="宋体" w:eastAsia="宋体" w:cs="宋体"/>
          <w:color w:val="000000"/>
          <w:spacing w:val="5"/>
          <w:sz w:val="21"/>
          <w:szCs w:val="21"/>
          <w:highlight w:val="none"/>
        </w:rPr>
        <w:t xml:space="preserve">%向甲</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7"/>
          <w:sz w:val="21"/>
          <w:szCs w:val="21"/>
          <w:highlight w:val="none"/>
        </w:rPr>
        <w:t xml:space="preserve">方承担违约责任。</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12.2.7 乙方在承担上述</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8"/>
          <w:sz w:val="21"/>
          <w:szCs w:val="21"/>
          <w:highlight w:val="none"/>
        </w:rPr>
        <w:t xml:space="preserve">2-5</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8"/>
          <w:sz w:val="21"/>
          <w:szCs w:val="21"/>
          <w:highlight w:val="none"/>
        </w:rPr>
        <w:t xml:space="preserve">款一项或多项违约责任后，仍应继续履行合同规定的义务（甲方解除合</w:t>
      </w:r>
      <w:r>
        <w:rPr>
          <w:rFonts w:hint="eastAsia" w:ascii="宋体" w:hAnsi="宋体" w:eastAsia="宋体" w:cs="宋体"/>
          <w:color w:val="000000"/>
          <w:spacing w:val="6"/>
          <w:sz w:val="21"/>
          <w:szCs w:val="21"/>
          <w:highlight w:val="none"/>
        </w:rPr>
        <w:t xml:space="preserve">同的除外）。甲方未能及时追究乙方的任何一项违约责任并不表明甲方放弃追究乙方该项或其他违</w:t>
      </w:r>
      <w:r>
        <w:rPr>
          <w:rFonts w:hint="eastAsia" w:ascii="宋体" w:hAnsi="宋体" w:eastAsia="宋体" w:cs="宋体"/>
          <w:color w:val="000000"/>
          <w:spacing w:val="5"/>
          <w:sz w:val="21"/>
          <w:szCs w:val="21"/>
          <w:highlight w:val="none"/>
        </w:rPr>
        <w:t xml:space="preserve">约责任。</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12.2.8 乙方投标属虚假承诺，或经权威部门监测提供的货物不</w:t>
      </w:r>
      <w:r>
        <w:rPr>
          <w:rFonts w:hint="eastAsia" w:ascii="宋体" w:hAnsi="宋体" w:eastAsia="宋体" w:cs="宋体"/>
          <w:color w:val="000000"/>
          <w:spacing w:val="8"/>
          <w:sz w:val="21"/>
          <w:szCs w:val="21"/>
          <w:highlight w:val="none"/>
        </w:rPr>
        <w:t xml:space="preserve">能满足招标文件要求，或是由于乙方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的过错造成合同无法继续履行的，乙方履约保证金不予退还外，还应向甲方支付不少于合同总价</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9"/>
          <w:sz w:val="21"/>
          <w:szCs w:val="21"/>
          <w:highlight w:val="none"/>
          <w:u w:val="single"/>
        </w:rPr>
        <w:t xml:space="preserve">30</w:t>
      </w:r>
      <w:r>
        <w:rPr>
          <w:rFonts w:hint="eastAsia" w:ascii="宋体" w:hAnsi="宋体" w:eastAsia="宋体" w:cs="宋体"/>
          <w:color w:val="000000"/>
          <w:spacing w:val="9"/>
          <w:sz w:val="21"/>
          <w:szCs w:val="21"/>
          <w:highlight w:val="none"/>
        </w:rPr>
        <w:t xml:space="preserve">%赔偿</w:t>
      </w:r>
      <w:r>
        <w:rPr>
          <w:rFonts w:hint="eastAsia" w:ascii="宋体" w:hAnsi="宋体" w:eastAsia="宋体" w:cs="宋体"/>
          <w:color w:val="000000"/>
          <w:spacing w:val="-1"/>
          <w:sz w:val="21"/>
          <w:szCs w:val="21"/>
          <w:highlight w:val="none"/>
        </w:rPr>
        <w:t xml:space="preserve">金。</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13.合同的变更和终止</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13.1 除《政府采购法》第</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8"/>
          <w:sz w:val="21"/>
          <w:szCs w:val="21"/>
          <w:highlight w:val="none"/>
        </w:rPr>
        <w:t xml:space="preserve">50</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8"/>
          <w:sz w:val="21"/>
          <w:szCs w:val="21"/>
          <w:highlight w:val="none"/>
        </w:rPr>
        <w:t xml:space="preserve">条第二款规定的情形外，本合同一经签</w:t>
      </w:r>
      <w:r>
        <w:rPr>
          <w:rFonts w:hint="eastAsia" w:ascii="宋体" w:hAnsi="宋体" w:eastAsia="宋体" w:cs="宋体"/>
          <w:color w:val="000000"/>
          <w:spacing w:val="7"/>
          <w:sz w:val="21"/>
          <w:szCs w:val="21"/>
          <w:highlight w:val="none"/>
        </w:rPr>
        <w:t xml:space="preserve">订，甲乙双方不得擅自变更、中</w:t>
      </w:r>
      <w:r>
        <w:rPr>
          <w:rFonts w:hint="eastAsia" w:ascii="宋体" w:hAnsi="宋体" w:eastAsia="宋体" w:cs="宋体"/>
          <w:color w:val="000000"/>
          <w:spacing w:val="6"/>
          <w:sz w:val="21"/>
          <w:szCs w:val="21"/>
          <w:highlight w:val="none"/>
        </w:rPr>
        <w:t xml:space="preserve">止或终止合同。</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13.2 除发生法律规定的不能预见、不能避免并不能克服的客观情况外，甲乙双方不得放</w:t>
      </w:r>
      <w:r>
        <w:rPr>
          <w:rFonts w:hint="eastAsia" w:ascii="宋体" w:hAnsi="宋体" w:eastAsia="宋体" w:cs="宋体"/>
          <w:color w:val="000000"/>
          <w:spacing w:val="8"/>
          <w:sz w:val="21"/>
          <w:szCs w:val="21"/>
          <w:highlight w:val="none"/>
        </w:rPr>
        <w:t xml:space="preserve">弃或拒绝履</w:t>
      </w:r>
      <w:r>
        <w:rPr>
          <w:rFonts w:hint="eastAsia" w:ascii="宋体" w:hAnsi="宋体" w:eastAsia="宋体" w:cs="宋体"/>
          <w:color w:val="000000"/>
          <w:spacing w:val="9"/>
          <w:sz w:val="21"/>
          <w:szCs w:val="21"/>
          <w:highlight w:val="none"/>
        </w:rPr>
        <w:t xml:space="preserve">行合同。乙方放弃或拒绝履行合同，保证金不予退还，在三年内不得参加江苏海事职业技术学院组织的政</w:t>
      </w:r>
      <w:r>
        <w:rPr>
          <w:rFonts w:hint="eastAsia" w:ascii="宋体" w:hAnsi="宋体" w:eastAsia="宋体" w:cs="宋体"/>
          <w:color w:val="000000"/>
          <w:spacing w:val="6"/>
          <w:sz w:val="21"/>
          <w:szCs w:val="21"/>
          <w:highlight w:val="none"/>
        </w:rPr>
        <w:t xml:space="preserve">府采购活动。</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14.合同的转让</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14.1 乙方不得擅自部分或全部转让其应履行</w:t>
      </w:r>
      <w:r>
        <w:rPr>
          <w:rFonts w:hint="eastAsia" w:ascii="宋体" w:hAnsi="宋体" w:eastAsia="宋体" w:cs="宋体"/>
          <w:color w:val="000000"/>
          <w:spacing w:val="7"/>
          <w:sz w:val="21"/>
          <w:szCs w:val="21"/>
          <w:highlight w:val="none"/>
        </w:rPr>
        <w:t xml:space="preserve">的合同义务。</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b/>
          <w:bCs/>
          <w:color w:val="000000"/>
          <w:spacing w:val="-6"/>
          <w:sz w:val="21"/>
          <w:szCs w:val="21"/>
          <w:highlight w:val="none"/>
        </w:rPr>
        <w:outlineLvl w:val="1"/>
      </w:pPr>
      <w:r>
        <w:rPr>
          <w:rFonts w:hint="eastAsia" w:ascii="宋体" w:hAnsi="宋体" w:eastAsia="宋体" w:cs="宋体"/>
          <w:b/>
          <w:bCs/>
          <w:color w:val="000000"/>
          <w:spacing w:val="-6"/>
          <w:sz w:val="21"/>
          <w:szCs w:val="21"/>
          <w:highlight w:val="none"/>
        </w:rPr>
        <w:t xml:space="preserve">15.争议的解决</w:t>
      </w:r>
      <w:r>
        <w:rPr>
          <w:rFonts w:hint="eastAsia" w:ascii="宋体" w:hAnsi="宋体" w:eastAsia="宋体" w:cs="宋体"/>
          <w:b/>
          <w:bCs/>
          <w:color w:val="000000"/>
          <w:spacing w:val="-6"/>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15.1 因货物的质量问题发生争议的，应当邀请国家认可的质量检测机构对货物质量进行</w:t>
      </w:r>
      <w:r>
        <w:rPr>
          <w:rFonts w:hint="eastAsia" w:ascii="宋体" w:hAnsi="宋体" w:eastAsia="宋体" w:cs="宋体"/>
          <w:color w:val="000000"/>
          <w:spacing w:val="8"/>
          <w:sz w:val="21"/>
          <w:szCs w:val="21"/>
          <w:highlight w:val="none"/>
        </w:rPr>
        <w:t xml:space="preserve">鉴定。货物</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符合标准的，鉴定费由甲方承担；货物不符合质量标准的，鉴定费由乙方承担。</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15.2 因履行本合同引起的或与本合同有关的争议，</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8"/>
          <w:sz w:val="21"/>
          <w:szCs w:val="21"/>
          <w:highlight w:val="none"/>
        </w:rPr>
        <w:t xml:space="preserve">甲、乙双方应首先通过友好协商解决，如果协商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6"/>
          <w:sz w:val="21"/>
          <w:szCs w:val="21"/>
          <w:highlight w:val="none"/>
        </w:rPr>
        <w:t xml:space="preserve">不能解决争议，则采取以下第（</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76"/>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1</w:t>
      </w:r>
      <w:r>
        <w:rPr>
          <w:rFonts w:hint="eastAsia" w:ascii="宋体" w:hAnsi="宋体" w:eastAsia="宋体" w:cs="宋体"/>
          <w:color w:val="000000"/>
          <w:spacing w:val="6"/>
          <w:sz w:val="21"/>
          <w:szCs w:val="21"/>
          <w:highlight w:val="none"/>
        </w:rPr>
        <w:t xml:space="preserve">）种方式解决争议：</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（1）向甲方所在地有管辖权的人民法院提起诉讼；</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（2）向南京仲裁委员会按其仲裁规则申请仲裁。</w:t>
      </w:r>
      <w:r>
        <w:rPr>
          <w:rFonts w:hint="eastAsia" w:ascii="宋体" w:hAnsi="宋体" w:eastAsia="宋体" w:cs="宋体"/>
          <w:color w:val="000000"/>
          <w:sz w:val="21"/>
          <w:szCs w:val="21"/>
          <w:highlight w:val="none"/>
        </w:rPr>
      </w:r>
      <w:r/>
    </w:p>
    <w:p>
      <w:pPr>
        <w:pStyle w:val="1101"/>
        <w:ind w:firstLine="398"/>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6"/>
          <w:sz w:val="21"/>
          <w:szCs w:val="21"/>
          <w:highlight w:val="none"/>
        </w:rPr>
        <w:t xml:space="preserve">16.诚实信用</w:t>
      </w:r>
      <w:r>
        <w:rPr>
          <w:rFonts w:hint="eastAsia" w:ascii="宋体" w:hAnsi="宋体" w:eastAsia="宋体" w:cs="宋体"/>
          <w:color w:val="000000"/>
          <w:sz w:val="21"/>
          <w:szCs w:val="21"/>
          <w:highlight w:val="none"/>
        </w:rPr>
      </w:r>
      <w:r/>
    </w:p>
    <w:p>
      <w:pPr>
        <w:pStyle w:val="1101"/>
        <w:ind w:firstLine="456"/>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16.1 乙方应诚实信用，严格按照招标文件要求和投标承诺履行合同，不向甲方进行商业</w:t>
      </w:r>
      <w:r>
        <w:rPr>
          <w:rFonts w:hint="eastAsia" w:ascii="宋体" w:hAnsi="宋体" w:eastAsia="宋体" w:cs="宋体"/>
          <w:color w:val="000000"/>
          <w:spacing w:val="8"/>
          <w:sz w:val="21"/>
          <w:szCs w:val="21"/>
          <w:highlight w:val="none"/>
        </w:rPr>
        <w:t xml:space="preserve">贿赂或者提</w:t>
      </w:r>
      <w:r>
        <w:rPr>
          <w:rFonts w:hint="eastAsia" w:ascii="宋体" w:hAnsi="宋体" w:eastAsia="宋体" w:cs="宋体"/>
          <w:color w:val="000000"/>
          <w:spacing w:val="7"/>
          <w:sz w:val="21"/>
          <w:szCs w:val="21"/>
          <w:highlight w:val="none"/>
        </w:rPr>
        <w:t xml:space="preserve">供不正当利益。</w:t>
      </w:r>
      <w:r>
        <w:rPr>
          <w:rFonts w:hint="eastAsia" w:ascii="宋体" w:hAnsi="宋体" w:eastAsia="宋体" w:cs="宋体"/>
          <w:color w:val="000000"/>
          <w:sz w:val="21"/>
          <w:szCs w:val="21"/>
          <w:highlight w:val="none"/>
        </w:rPr>
      </w:r>
      <w:r/>
    </w:p>
    <w:p>
      <w:pPr>
        <w:pStyle w:val="1101"/>
        <w:ind w:firstLine="402"/>
        <w:jc w:val="left"/>
        <w:spacing w:after="0" w:line="360" w:lineRule="auto"/>
        <w:rPr>
          <w:rFonts w:hint="eastAsia" w:ascii="宋体" w:hAnsi="宋体" w:eastAsia="宋体" w:cs="宋体"/>
          <w:color w:val="000000"/>
          <w:sz w:val="21"/>
          <w:szCs w:val="21"/>
          <w:highlight w:val="none"/>
        </w:rPr>
        <w:outlineLvl w:val="1"/>
      </w:pPr>
      <w:r>
        <w:rPr>
          <w:rFonts w:hint="eastAsia" w:ascii="宋体" w:hAnsi="宋体" w:eastAsia="宋体" w:cs="宋体"/>
          <w:b/>
          <w:bCs/>
          <w:color w:val="000000"/>
          <w:spacing w:val="-5"/>
          <w:sz w:val="21"/>
          <w:szCs w:val="21"/>
          <w:highlight w:val="none"/>
        </w:rPr>
        <w:t xml:space="preserve">17.合同生效及其它</w:t>
      </w:r>
      <w:r>
        <w:rPr>
          <w:rFonts w:hint="eastAsia" w:ascii="宋体" w:hAnsi="宋体" w:eastAsia="宋体" w:cs="宋体"/>
          <w:color w:val="000000"/>
          <w:sz w:val="21"/>
          <w:szCs w:val="21"/>
          <w:highlight w:val="none"/>
        </w:rPr>
      </w:r>
      <w:r/>
    </w:p>
    <w:p>
      <w:pPr>
        <w:pStyle w:val="1101"/>
        <w:ind w:firstLine="444"/>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17.1 本合同自签订之日起生效。</w:t>
      </w:r>
      <w:r>
        <w:rPr>
          <w:rFonts w:hint="eastAsia" w:ascii="宋体" w:hAnsi="宋体" w:eastAsia="宋体" w:cs="宋体"/>
          <w:color w:val="000000"/>
          <w:sz w:val="21"/>
          <w:szCs w:val="21"/>
          <w:highlight w:val="none"/>
        </w:rPr>
      </w:r>
      <w:r/>
    </w:p>
    <w:p>
      <w:pPr>
        <w:pStyle w:val="1101"/>
        <w:ind w:firstLine="448"/>
        <w:jc w:val="left"/>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17.2 本合同一式</w:t>
      </w:r>
      <w:r>
        <w:rPr>
          <w:rFonts w:hint="eastAsia" w:ascii="宋体" w:hAnsi="宋体" w:eastAsia="宋体" w:cs="宋体"/>
          <w:color w:val="000000"/>
          <w:spacing w:val="7"/>
          <w:sz w:val="21"/>
          <w:szCs w:val="21"/>
          <w:highlight w:val="none"/>
          <w:u w:val="single"/>
        </w:rPr>
        <w:t xml:space="preserve">陆</w:t>
      </w:r>
      <w:r>
        <w:rPr>
          <w:rFonts w:hint="eastAsia" w:ascii="宋体" w:hAnsi="宋体" w:eastAsia="宋体" w:cs="宋体"/>
          <w:color w:val="000000"/>
          <w:spacing w:val="7"/>
          <w:sz w:val="21"/>
          <w:szCs w:val="21"/>
          <w:highlight w:val="none"/>
        </w:rPr>
        <w:t xml:space="preserve">份，</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7"/>
          <w:sz w:val="21"/>
          <w:szCs w:val="21"/>
          <w:highlight w:val="none"/>
        </w:rPr>
        <w:t xml:space="preserve">自甲、乙双方法定代表人或其授权代表签名并加盖单位印</w:t>
      </w:r>
      <w:r>
        <w:rPr>
          <w:rFonts w:hint="eastAsia" w:ascii="宋体" w:hAnsi="宋体" w:eastAsia="宋体" w:cs="宋体"/>
          <w:color w:val="000000"/>
          <w:spacing w:val="6"/>
          <w:sz w:val="21"/>
          <w:szCs w:val="21"/>
          <w:highlight w:val="none"/>
        </w:rPr>
        <w:t xml:space="preserve">章（注：</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6"/>
          <w:sz w:val="21"/>
          <w:szCs w:val="21"/>
          <w:highlight w:val="none"/>
        </w:rPr>
        <w:t xml:space="preserve">甲方加盖</w:t>
      </w:r>
      <w:r>
        <w:rPr>
          <w:rFonts w:hint="eastAsia" w:ascii="宋体" w:hAnsi="宋体" w:eastAsia="宋体" w:cs="宋体"/>
          <w:color w:val="000000"/>
          <w:spacing w:val="9"/>
          <w:sz w:val="21"/>
          <w:szCs w:val="21"/>
          <w:highlight w:val="none"/>
        </w:rPr>
        <w:t xml:space="preserve">单位印章为甲方单位经济合同专用章）之日起生效，甲方持有</w:t>
      </w:r>
      <w:r>
        <w:rPr>
          <w:rFonts w:hint="eastAsia" w:ascii="宋体" w:hAnsi="宋体" w:eastAsia="宋体" w:cs="宋体"/>
          <w:color w:val="000000"/>
          <w:spacing w:val="9"/>
          <w:sz w:val="21"/>
          <w:szCs w:val="21"/>
          <w:highlight w:val="none"/>
          <w:u w:val="single"/>
        </w:rPr>
        <w:t xml:space="preserve">伍</w:t>
      </w:r>
      <w:r>
        <w:rPr>
          <w:rFonts w:hint="eastAsia" w:ascii="宋体" w:hAnsi="宋体" w:eastAsia="宋体" w:cs="宋体"/>
          <w:color w:val="000000"/>
          <w:spacing w:val="9"/>
          <w:sz w:val="21"/>
          <w:szCs w:val="21"/>
          <w:highlight w:val="none"/>
        </w:rPr>
        <w:t xml:space="preserve">份，乙方持有</w:t>
      </w:r>
      <w:r>
        <w:rPr>
          <w:rFonts w:hint="eastAsia" w:ascii="宋体" w:hAnsi="宋体" w:eastAsia="宋体" w:cs="宋体"/>
          <w:color w:val="000000"/>
          <w:spacing w:val="9"/>
          <w:sz w:val="21"/>
          <w:szCs w:val="21"/>
          <w:highlight w:val="none"/>
          <w:u w:val="single"/>
        </w:rPr>
        <w:t xml:space="preserve">壹</w:t>
      </w:r>
      <w:r>
        <w:rPr>
          <w:rFonts w:hint="eastAsia" w:ascii="宋体" w:hAnsi="宋体" w:eastAsia="宋体" w:cs="宋体"/>
          <w:color w:val="000000"/>
          <w:spacing w:val="9"/>
          <w:sz w:val="21"/>
          <w:szCs w:val="21"/>
          <w:highlight w:val="none"/>
        </w:rPr>
        <w:t xml:space="preserve">份。</w:t>
      </w:r>
      <w:r>
        <w:rPr>
          <w:rFonts w:hint="eastAsia" w:ascii="宋体" w:hAnsi="宋体" w:eastAsia="宋体" w:cs="宋体"/>
          <w:color w:val="000000"/>
          <w:sz w:val="21"/>
          <w:szCs w:val="21"/>
          <w:highlight w:val="none"/>
        </w:rPr>
      </w:r>
      <w:r/>
    </w:p>
    <w:p>
      <w:pPr>
        <w:pStyle w:val="1101"/>
        <w:ind w:firstLine="452"/>
        <w:jc w:val="left"/>
        <w:spacing w:after="0"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pacing w:val="8"/>
          <w:sz w:val="21"/>
          <w:szCs w:val="21"/>
          <w:highlight w:val="none"/>
        </w:rPr>
        <w:t xml:space="preserve">17.3 本合同应按照中华人民共和国的现行法</w:t>
      </w:r>
      <w:r>
        <w:rPr>
          <w:rFonts w:hint="eastAsia" w:ascii="宋体" w:hAnsi="宋体" w:eastAsia="宋体" w:cs="宋体"/>
          <w:color w:val="000000"/>
          <w:spacing w:val="7"/>
          <w:sz w:val="21"/>
          <w:szCs w:val="21"/>
          <w:highlight w:val="none"/>
        </w:rPr>
        <w:t xml:space="preserve">律进行解释。</w:t>
      </w:r>
      <w:r>
        <w:rPr>
          <w:rFonts w:hint="eastAsia" w:ascii="宋体" w:hAnsi="宋体" w:eastAsia="宋体" w:cs="宋体"/>
          <w:color w:val="000000"/>
          <w:sz w:val="21"/>
          <w:szCs w:val="21"/>
          <w:highlight w:val="none"/>
        </w:rPr>
      </w:r>
      <w:r/>
    </w:p>
    <w:tbl>
      <w:tblPr>
        <w:tblStyle w:val="1521"/>
        <w:tblW w:w="97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77"/>
        <w:gridCol w:w="4877"/>
      </w:tblGrid>
      <w:tr>
        <w:trPr>
          <w:trHeight w:val="1335"/>
        </w:trPr>
        <w:tc>
          <w:tcPr>
            <w:tcW w:w="4877" w:type="dxa"/>
            <w:vAlign w:val="top"/>
            <w:textDirection w:val="lrTb"/>
            <w:noWrap w:val="false"/>
          </w:tcPr>
          <w:p>
            <w:pPr>
              <w:pStyle w:val="1520"/>
              <w:ind w:left="52"/>
              <w:spacing w:before="259"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甲方（公章</w:t>
            </w:r>
            <w:r>
              <w:rPr>
                <w:rFonts w:hint="eastAsia" w:ascii="宋体" w:hAnsi="宋体" w:eastAsia="宋体" w:cs="宋体"/>
                <w:color w:val="000000"/>
                <w:spacing w:val="21"/>
                <w:sz w:val="21"/>
                <w:szCs w:val="21"/>
                <w:highlight w:val="none"/>
                <w:lang w:eastAsia="zh-CN"/>
              </w:rPr>
              <w:t xml:space="preserve">）：</w:t>
            </w:r>
            <w:r>
              <w:rPr>
                <w:rFonts w:hint="eastAsia" w:ascii="宋体" w:hAnsi="宋体" w:eastAsia="宋体" w:cs="宋体"/>
                <w:color w:val="000000"/>
                <w:spacing w:val="6"/>
                <w:sz w:val="21"/>
                <w:szCs w:val="21"/>
                <w:highlight w:val="none"/>
                <w:lang w:eastAsia="zh-CN"/>
              </w:rPr>
              <w:t xml:space="preserve">江苏海事职业技术学院</w:t>
            </w:r>
            <w:r>
              <w:rPr>
                <w:rFonts w:hint="eastAsia" w:ascii="宋体" w:hAnsi="宋体" w:eastAsia="宋体" w:cs="宋体"/>
                <w:color w:val="000000"/>
                <w:sz w:val="21"/>
                <w:szCs w:val="21"/>
                <w:highlight w:val="none"/>
                <w:lang w:eastAsia="zh-CN"/>
              </w:rPr>
            </w:r>
            <w:r/>
          </w:p>
          <w:p>
            <w:pPr>
              <w:pStyle w:val="1066"/>
              <w:spacing w:line="27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2966"/>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年</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2"/>
                <w:sz w:val="21"/>
                <w:szCs w:val="21"/>
                <w:highlight w:val="none"/>
              </w:rPr>
              <w:t xml:space="preserve">月</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2"/>
                <w:sz w:val="21"/>
                <w:szCs w:val="21"/>
                <w:highlight w:val="none"/>
              </w:rPr>
              <w:t xml:space="preserve">日</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40"/>
              <w:spacing w:before="259"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乙方（公章）</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1066"/>
              <w:spacing w:line="27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2963"/>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年</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2"/>
                <w:sz w:val="21"/>
                <w:szCs w:val="21"/>
                <w:highlight w:val="none"/>
              </w:rPr>
              <w:t xml:space="preserve">月</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2"/>
                <w:sz w:val="21"/>
                <w:szCs w:val="21"/>
                <w:highlight w:val="none"/>
              </w:rPr>
              <w:t xml:space="preserve">日</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7"/>
              <w:spacing w:before="255"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单位地址：江苏省南京市江宁区格致路</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309</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号</w:t>
            </w:r>
            <w:r>
              <w:rPr>
                <w:rFonts w:hint="eastAsia" w:ascii="宋体" w:hAnsi="宋体" w:eastAsia="宋体" w:cs="宋体"/>
                <w:color w:val="000000"/>
                <w:sz w:val="21"/>
                <w:szCs w:val="21"/>
                <w:highlight w:val="none"/>
                <w:lang w:eastAsia="zh-CN"/>
              </w:rPr>
            </w:r>
            <w:r/>
          </w:p>
        </w:tc>
        <w:tc>
          <w:tcPr>
            <w:tcW w:w="4877" w:type="dxa"/>
            <w:vAlign w:val="top"/>
            <w:textDirection w:val="lrTb"/>
            <w:noWrap w:val="false"/>
          </w:tcPr>
          <w:p>
            <w:pPr>
              <w:pStyle w:val="1520"/>
              <w:ind w:left="24"/>
              <w:spacing w:before="255"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单位地址：</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41"/>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邮政编码：215009</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38"/>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邮政编码：</w:t>
            </w:r>
            <w:r>
              <w:rPr>
                <w:rFonts w:hint="eastAsia" w:ascii="宋体" w:hAnsi="宋体" w:eastAsia="宋体" w:cs="宋体"/>
                <w:color w:val="000000"/>
                <w:sz w:val="21"/>
                <w:szCs w:val="21"/>
                <w:highlight w:val="none"/>
              </w:rPr>
            </w:r>
            <w:r/>
          </w:p>
        </w:tc>
      </w:tr>
      <w:tr>
        <w:trPr>
          <w:trHeight w:val="1443"/>
        </w:trPr>
        <w:tc>
          <w:tcPr>
            <w:tcW w:w="4877" w:type="dxa"/>
            <w:vAlign w:val="top"/>
            <w:textDirection w:val="lrTb"/>
            <w:noWrap w:val="false"/>
          </w:tcPr>
          <w:p>
            <w:pPr>
              <w:pStyle w:val="1520"/>
              <w:ind w:left="26"/>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法定代表人（或委托代理人）</w:t>
            </w:r>
            <w:r>
              <w:rPr>
                <w:rFonts w:hint="eastAsia" w:ascii="宋体" w:hAnsi="宋体" w:eastAsia="宋体" w:cs="宋体"/>
                <w:color w:val="000000"/>
                <w:sz w:val="21"/>
                <w:szCs w:val="21"/>
                <w:highlight w:val="none"/>
              </w:rPr>
            </w:r>
            <w:r/>
          </w:p>
          <w:p>
            <w:pPr>
              <w:pStyle w:val="1066"/>
              <w:spacing w:line="4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35"/>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（签字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56"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法定代表人（或委托代理人）</w:t>
            </w:r>
            <w:r>
              <w:rPr>
                <w:rFonts w:hint="eastAsia" w:ascii="宋体" w:hAnsi="宋体" w:eastAsia="宋体" w:cs="宋体"/>
                <w:color w:val="000000"/>
                <w:sz w:val="21"/>
                <w:szCs w:val="21"/>
                <w:highlight w:val="none"/>
              </w:rPr>
            </w:r>
            <w:r/>
          </w:p>
          <w:p>
            <w:pPr>
              <w:pStyle w:val="1066"/>
              <w:spacing w:line="4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520"/>
              <w:ind w:left="33"/>
              <w:spacing w:before="65" w:line="22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（签字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6"/>
              <w:spacing w:before="257"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联系人：</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57"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联系人：</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50"/>
              <w:spacing w:before="260"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电话：</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47"/>
              <w:spacing w:before="260" w:line="23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电话：</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6"/>
              <w:spacing w:before="260"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开户银行：</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3"/>
              <w:spacing w:before="260"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开户银行：</w:t>
            </w:r>
            <w:r>
              <w:rPr>
                <w:rFonts w:hint="eastAsia" w:ascii="宋体" w:hAnsi="宋体" w:eastAsia="宋体" w:cs="宋体"/>
                <w:color w:val="000000"/>
                <w:sz w:val="21"/>
                <w:szCs w:val="21"/>
                <w:highlight w:val="none"/>
              </w:rPr>
            </w:r>
            <w:r/>
          </w:p>
        </w:tc>
      </w:tr>
      <w:tr>
        <w:trPr>
          <w:trHeight w:val="724"/>
        </w:trPr>
        <w:tc>
          <w:tcPr>
            <w:tcW w:w="4877" w:type="dxa"/>
            <w:vAlign w:val="top"/>
            <w:textDirection w:val="lrTb"/>
            <w:noWrap w:val="false"/>
          </w:tcPr>
          <w:p>
            <w:pPr>
              <w:pStyle w:val="1520"/>
              <w:ind w:left="29"/>
              <w:spacing w:before="261"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账号：</w:t>
            </w:r>
            <w:r>
              <w:rPr>
                <w:rFonts w:hint="eastAsia" w:ascii="宋体" w:hAnsi="宋体" w:eastAsia="宋体" w:cs="宋体"/>
                <w:color w:val="000000"/>
                <w:sz w:val="21"/>
                <w:szCs w:val="21"/>
                <w:highlight w:val="none"/>
              </w:rPr>
            </w:r>
            <w:r/>
          </w:p>
        </w:tc>
        <w:tc>
          <w:tcPr>
            <w:tcW w:w="4877" w:type="dxa"/>
            <w:vAlign w:val="top"/>
            <w:textDirection w:val="lrTb"/>
            <w:noWrap w:val="false"/>
          </w:tcPr>
          <w:p>
            <w:pPr>
              <w:pStyle w:val="1520"/>
              <w:ind w:left="26"/>
              <w:spacing w:before="261" w:line="23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账号：</w:t>
            </w:r>
            <w:r>
              <w:rPr>
                <w:rFonts w:hint="eastAsia" w:ascii="宋体" w:hAnsi="宋体" w:eastAsia="宋体" w:cs="宋体"/>
                <w:color w:val="000000"/>
                <w:sz w:val="21"/>
                <w:szCs w:val="21"/>
                <w:highlight w:val="none"/>
              </w:rPr>
            </w:r>
            <w:r/>
          </w:p>
        </w:tc>
      </w:tr>
      <w:tr>
        <w:trPr>
          <w:trHeight w:val="732"/>
        </w:trPr>
        <w:tc>
          <w:tcPr>
            <w:tcW w:w="4877" w:type="dxa"/>
            <w:vAlign w:val="top"/>
            <w:textDirection w:val="lrTb"/>
            <w:noWrap w:val="false"/>
          </w:tcPr>
          <w:p>
            <w:pPr>
              <w:pStyle w:val="10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7" w:type="dxa"/>
            <w:vAlign w:val="top"/>
            <w:textDirection w:val="lrTb"/>
            <w:noWrap w:val="false"/>
          </w:tcPr>
          <w:p>
            <w:pPr>
              <w:pStyle w:val="1520"/>
              <w:ind w:left="23"/>
              <w:spacing w:before="261" w:line="22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联行号：</w:t>
            </w:r>
            <w:r>
              <w:rPr>
                <w:rFonts w:hint="eastAsia" w:ascii="宋体" w:hAnsi="宋体" w:eastAsia="宋体" w:cs="宋体"/>
                <w:color w:val="000000"/>
                <w:sz w:val="21"/>
                <w:szCs w:val="21"/>
                <w:highlight w:val="none"/>
              </w:rPr>
            </w:r>
            <w:r/>
          </w:p>
        </w:tc>
      </w:tr>
    </w:tbl>
    <w:p>
      <w:pPr>
        <w:pStyle w:val="1066"/>
        <w:rPr>
          <w:rFonts w:hint="eastAsia" w:ascii="宋体" w:hAnsi="宋体" w:eastAsia="宋体" w:cs="宋体"/>
          <w:color w:val="000000"/>
          <w:sz w:val="36"/>
          <w:szCs w:val="36"/>
          <w:highlight w:val="none"/>
          <w:lang w:val="zh-CN"/>
        </w:rPr>
      </w:pPr>
      <w:r>
        <w:rPr>
          <w:rFonts w:hint="eastAsia" w:ascii="宋体" w:hAnsi="宋体" w:eastAsia="宋体" w:cs="宋体"/>
          <w:color w:val="000000"/>
          <w:sz w:val="36"/>
          <w:szCs w:val="36"/>
          <w:highlight w:val="none"/>
          <w:lang w:val="zh-CN"/>
        </w:rPr>
        <w:br w:type="page" w:clear="all"/>
      </w:r>
      <w:r>
        <w:rPr>
          <w:rFonts w:hint="eastAsia" w:ascii="宋体" w:hAnsi="宋体" w:eastAsia="宋体" w:cs="宋体"/>
          <w:color w:val="000000"/>
          <w:sz w:val="36"/>
          <w:szCs w:val="36"/>
          <w:highlight w:val="none"/>
          <w:lang w:val="zh-CN"/>
        </w:rPr>
      </w:r>
      <w:r/>
    </w:p>
    <w:p>
      <w:pPr>
        <w:pStyle w:val="1066"/>
        <w:jc w:val="center"/>
        <w:spacing w:line="360" w:lineRule="auto"/>
        <w:rPr>
          <w:rFonts w:hint="eastAsia" w:ascii="宋体" w:hAnsi="宋体" w:eastAsia="宋体" w:cs="宋体"/>
          <w:color w:val="000000"/>
          <w:sz w:val="36"/>
          <w:szCs w:val="36"/>
          <w:highlight w:val="none"/>
          <w:lang w:val="zh-CN"/>
        </w:rPr>
        <w:outlineLvl w:val="0"/>
      </w:pPr>
      <w:r>
        <w:rPr>
          <w:rFonts w:hint="eastAsia" w:ascii="宋体" w:hAnsi="宋体" w:eastAsia="宋体" w:cs="宋体"/>
          <w:color w:val="000000"/>
          <w:sz w:val="36"/>
          <w:szCs w:val="36"/>
          <w:highlight w:val="none"/>
          <w:lang w:val="zh-CN"/>
        </w:rPr>
        <w:t xml:space="preserve">第六章</w:t>
      </w: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lang w:val="zh-CN"/>
        </w:rPr>
        <w:t xml:space="preserve">投标文件格式及附件</w:t>
      </w:r>
      <w:r>
        <w:rPr>
          <w:rFonts w:hint="eastAsia" w:ascii="宋体" w:hAnsi="宋体" w:eastAsia="宋体" w:cs="宋体"/>
          <w:color w:val="000000"/>
          <w:sz w:val="36"/>
          <w:szCs w:val="36"/>
          <w:highlight w:val="none"/>
          <w:lang w:val="zh-CN"/>
        </w:rPr>
      </w:r>
      <w:r/>
    </w:p>
    <w:p>
      <w:pPr>
        <w:pStyle w:val="1066"/>
        <w:jc w:val="left"/>
        <w:spacing w:line="360" w:lineRule="auto"/>
        <w:rPr>
          <w:rFonts w:hint="eastAsia" w:ascii="宋体" w:hAnsi="宋体" w:eastAsia="宋体" w:cs="宋体"/>
          <w:color w:val="000000"/>
          <w:sz w:val="24"/>
          <w:highlight w:val="none"/>
          <w:lang w:val="zh-CN"/>
        </w:rPr>
        <w:outlineLvl w:val="1"/>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zh-CN"/>
        </w:rPr>
      </w:r>
      <w:r/>
    </w:p>
    <w:p>
      <w:pPr>
        <w:pStyle w:val="1066"/>
        <w:jc w:val="left"/>
        <w:spacing w:line="360" w:lineRule="auto"/>
        <w:rPr>
          <w:rFonts w:hint="eastAsia" w:ascii="宋体" w:hAnsi="宋体" w:eastAsia="宋体" w:cs="宋体"/>
          <w:color w:val="000000"/>
          <w:sz w:val="24"/>
          <w:highlight w:val="none"/>
          <w:lang w:val="zh-CN"/>
        </w:rPr>
        <w:outlineLvl w:val="1"/>
      </w:pPr>
      <w:r>
        <w:rPr>
          <w:rFonts w:hint="eastAsia" w:ascii="宋体" w:hAnsi="宋体" w:eastAsia="宋体" w:cs="宋体"/>
          <w:color w:val="000000"/>
          <w:sz w:val="24"/>
          <w:highlight w:val="none"/>
          <w:lang w:val="zh-CN"/>
        </w:rPr>
        <w:t xml:space="preserve">1.本部分内容仅提供格式参考。</w:t>
      </w:r>
      <w:r>
        <w:rPr>
          <w:rFonts w:hint="eastAsia" w:ascii="宋体" w:hAnsi="宋体" w:eastAsia="宋体" w:cs="宋体"/>
          <w:color w:val="000000"/>
          <w:sz w:val="24"/>
          <w:highlight w:val="none"/>
          <w:lang w:val="zh-CN"/>
        </w:rPr>
      </w:r>
      <w:r/>
    </w:p>
    <w:p>
      <w:pPr>
        <w:pStyle w:val="1066"/>
        <w:jc w:val="left"/>
        <w:spacing w:line="360" w:lineRule="auto"/>
        <w:rPr>
          <w:rFonts w:hint="eastAsia" w:ascii="宋体" w:hAnsi="宋体" w:eastAsia="宋体" w:cs="宋体"/>
          <w:color w:val="000000"/>
          <w:sz w:val="36"/>
          <w:szCs w:val="36"/>
          <w:highlight w:val="none"/>
          <w:lang w:val="zh-CN"/>
        </w:rPr>
        <w:outlineLvl w:val="1"/>
      </w:pPr>
      <w:r>
        <w:rPr>
          <w:rFonts w:hint="eastAsia" w:ascii="宋体" w:hAnsi="宋体" w:eastAsia="宋体" w:cs="宋体"/>
          <w:color w:val="000000"/>
          <w:sz w:val="24"/>
          <w:highlight w:val="none"/>
          <w:lang w:val="zh-CN"/>
        </w:rPr>
        <w:t xml:space="preserve">2.所附表格中要求回答的全部问题和信息都必须正面回答。</w:t>
      </w:r>
      <w:r>
        <w:rPr>
          <w:rFonts w:hint="eastAsia" w:ascii="宋体" w:hAnsi="宋体" w:eastAsia="宋体" w:cs="宋体"/>
          <w:color w:val="000000"/>
          <w:sz w:val="36"/>
          <w:szCs w:val="36"/>
          <w:highlight w:val="none"/>
          <w:lang w:val="zh-CN"/>
        </w:rPr>
      </w:r>
      <w:r/>
    </w:p>
    <w:p>
      <w:pPr>
        <w:pStyle w:val="1066"/>
        <w:ind w:left="560"/>
        <w:jc w:val="center"/>
        <w:spacing w:line="240" w:lineRule="atLeast"/>
        <w:rPr>
          <w:rFonts w:hint="eastAsia" w:ascii="宋体" w:hAnsi="宋体" w:eastAsia="宋体" w:cs="宋体"/>
          <w:b/>
          <w:bCs/>
          <w:color w:val="000000"/>
          <w:sz w:val="36"/>
          <w:szCs w:val="36"/>
          <w:highlight w:val="none"/>
          <w:lang w:val="zh-CN"/>
        </w:rPr>
        <w:sectPr>
          <w:footerReference w:type="default" r:id="rId14"/>
          <w:footnotePr/>
          <w:endnotePr>
            <w:numFmt w:val="decimal"/>
          </w:endnotePr>
          <w:type w:val="nextPage"/>
          <w:pgSz w:w="11906" w:h="16838" w:orient="portrait"/>
          <w:pgMar w:top="850" w:right="850" w:bottom="850" w:left="1417" w:header="340" w:footer="720" w:gutter="0"/>
          <w:cols w:num="1" w:sep="0" w:space="1701" w:equalWidth="1"/>
          <w:docGrid w:linePitch="360"/>
        </w:sectPr>
      </w:pPr>
      <w:r>
        <w:rPr>
          <w:rFonts w:hint="eastAsia" w:ascii="宋体" w:hAnsi="宋体" w:eastAsia="宋体" w:cs="宋体"/>
          <w:b/>
          <w:bCs/>
          <w:color w:val="000000"/>
          <w:sz w:val="36"/>
          <w:szCs w:val="36"/>
          <w:highlight w:val="none"/>
          <w:lang w:val="zh-CN"/>
        </w:rPr>
      </w:r>
      <w:r/>
    </w:p>
    <w:p>
      <w:pPr>
        <w:pStyle w:val="1066"/>
        <w:rPr>
          <w:rFonts w:hint="eastAsia" w:ascii="宋体" w:hAnsi="宋体" w:eastAsia="宋体" w:cs="宋体"/>
          <w:b/>
          <w:color w:val="000000"/>
          <w:sz w:val="72"/>
          <w:highlight w:val="none"/>
        </w:rPr>
      </w:pPr>
      <w:r>
        <w:rPr>
          <w:rFonts w:hint="eastAsia" w:ascii="宋体" w:hAnsi="宋体" w:eastAsia="宋体" w:cs="宋体"/>
          <w:b/>
          <w:bCs/>
          <w:color w:val="000000"/>
          <w:sz w:val="32"/>
          <w:szCs w:val="32"/>
          <w:highlight w:val="none"/>
          <w:lang w:val="zh-CN"/>
        </w:rPr>
        <w:t xml:space="preserve">投标文件封面格式：</w:t>
      </w:r>
      <w:r>
        <w:rPr>
          <w:rFonts w:hint="eastAsia" w:ascii="宋体" w:hAnsi="宋体" w:eastAsia="宋体" w:cs="宋体"/>
          <w:b/>
          <w:color w:val="000000"/>
          <w:sz w:val="72"/>
          <w:highlight w:val="none"/>
        </w:rPr>
      </w:r>
      <w:r/>
    </w:p>
    <w:p>
      <w:pPr>
        <w:pStyle w:val="1066"/>
        <w:jc w:val="right"/>
        <w:rPr>
          <w:rFonts w:hint="eastAsia" w:ascii="宋体" w:hAnsi="宋体" w:eastAsia="宋体" w:cs="宋体"/>
          <w:b/>
          <w:color w:val="000000"/>
          <w:sz w:val="72"/>
          <w:highlight w:val="none"/>
        </w:rPr>
      </w:pPr>
      <w:r>
        <w:rPr>
          <w:rFonts w:hint="eastAsia" w:ascii="宋体" w:hAnsi="宋体" w:eastAsia="宋体" w:cs="宋体"/>
          <w:b/>
          <w:color w:val="000000"/>
          <w:sz w:val="48"/>
          <w:szCs w:val="20"/>
          <w:highlight w:val="none"/>
        </w:rPr>
        <w:t xml:space="preserve">正本/副本</w:t>
      </w: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1066"/>
        <w:ind w:firstLine="3708"/>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包号：</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包编号： </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包号名称： </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投标人名称：（加盖电子公章）</w:t>
      </w:r>
      <w:r>
        <w:rPr>
          <w:rFonts w:hint="eastAsia" w:ascii="宋体" w:hAnsi="宋体" w:eastAsia="宋体" w:cs="宋体"/>
          <w:b/>
          <w:color w:val="000000"/>
          <w:sz w:val="36"/>
          <w:highlight w:val="none"/>
        </w:rPr>
      </w:r>
      <w:r/>
    </w:p>
    <w:p>
      <w:pPr>
        <w:pStyle w:val="106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日      期：</w:t>
      </w:r>
      <w:r>
        <w:rPr>
          <w:rFonts w:hint="eastAsia" w:ascii="宋体" w:hAnsi="宋体" w:eastAsia="宋体" w:cs="宋体"/>
          <w:b/>
          <w:color w:val="000000"/>
          <w:sz w:val="36"/>
          <w:highlight w:val="none"/>
        </w:rPr>
      </w:r>
      <w:r/>
    </w:p>
    <w:p>
      <w:pPr>
        <w:pStyle w:val="1066"/>
        <w:jc w:val="center"/>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6"/>
          <w:highlight w:val="non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1101"/>
        <w:jc w:val="center"/>
        <w:spacing w:after="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rPr>
        <w:t xml:space="preserve">（注：投标人根据附件编制投标文件并制作目录）</w:t>
      </w:r>
      <w:r>
        <w:rPr>
          <w:rFonts w:hint="eastAsia" w:ascii="宋体" w:hAnsi="宋体" w:eastAsia="宋体" w:cs="宋体"/>
          <w:color w:val="000000"/>
          <w:sz w:val="28"/>
          <w:szCs w:val="28"/>
          <w:highlight w:val="none"/>
        </w:rPr>
      </w:r>
      <w:r/>
    </w:p>
    <w:p>
      <w:pPr>
        <w:pStyle w:val="1066"/>
        <w:jc w:val="left"/>
        <w:spacing w:line="360" w:lineRule="auto"/>
        <w:rPr>
          <w:rFonts w:hint="eastAsia" w:ascii="宋体" w:hAnsi="宋体" w:eastAsia="宋体" w:cs="宋体"/>
          <w:b/>
          <w:color w:val="000000"/>
          <w:szCs w:val="21"/>
          <w:highlight w:val="none"/>
          <w:lang w:val="zh-CN"/>
        </w:rPr>
        <w:sectPr>
          <w:footnotePr/>
          <w:endnotePr>
            <w:numFmt w:val="decimal"/>
          </w:endnotePr>
          <w:type w:val="nextPage"/>
          <w:pgSz w:w="11906" w:h="16838" w:orient="portrait"/>
          <w:pgMar w:top="850" w:right="850" w:bottom="850" w:left="1417" w:header="850" w:footer="720" w:gutter="0"/>
          <w:cols w:num="1" w:sep="0" w:space="1701" w:equalWidth="1"/>
          <w:docGrid w:linePitch="360"/>
        </w:sectPr>
      </w:pPr>
      <w:r>
        <w:rPr>
          <w:rFonts w:hint="eastAsia" w:ascii="宋体" w:hAnsi="宋体" w:eastAsia="宋体" w:cs="宋体"/>
          <w:b/>
          <w:color w:val="000000"/>
          <w:szCs w:val="21"/>
          <w:highlight w:val="none"/>
          <w:lang w:val="zh-CN"/>
        </w:rPr>
      </w:r>
      <w:r/>
    </w:p>
    <w:p>
      <w:pPr>
        <w:pStyle w:val="1068"/>
        <w:ind w:firstLine="0"/>
        <w:keepLines/>
        <w:keepNext/>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8"/>
          <w:szCs w:val="28"/>
          <w:highlight w:val="none"/>
        </w:rPr>
        <w:t xml:space="preserve">目录一、</w:t>
      </w:r>
      <w:r>
        <w:rPr>
          <w:rFonts w:hint="eastAsia" w:ascii="宋体" w:hAnsi="宋体" w:eastAsia="宋体" w:cs="宋体"/>
          <w:color w:val="000000"/>
          <w:sz w:val="28"/>
          <w:szCs w:val="28"/>
          <w:highlight w:val="none"/>
          <w:lang w:val="en-US" w:eastAsia="zh-CN"/>
        </w:rPr>
        <w:t xml:space="preserve">开标一览表</w:t>
      </w:r>
      <w:r>
        <w:rPr>
          <w:rFonts w:hint="eastAsia" w:ascii="宋体" w:hAnsi="宋体" w:eastAsia="宋体" w:cs="宋体"/>
          <w:color w:val="000000"/>
          <w:highlight w:val="none"/>
          <w:lang w:val="en-US" w:eastAsia="zh-CN"/>
        </w:rPr>
      </w:r>
      <w:r/>
    </w:p>
    <w:p>
      <w:pPr>
        <w:pStyle w:val="1066"/>
        <w:ind w:left="0" w:firstLine="0"/>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开标一览表（总价）</w:t>
      </w:r>
      <w:r>
        <w:rPr>
          <w:rFonts w:hint="eastAsia" w:ascii="宋体" w:hAnsi="宋体" w:eastAsia="宋体" w:cs="宋体"/>
          <w:b/>
          <w:bCs/>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投标人全称（CA</w:t>
      </w:r>
      <w:r>
        <w:rPr>
          <w:rFonts w:hint="eastAsia" w:ascii="宋体" w:hAnsi="宋体" w:eastAsia="宋体" w:cs="宋体"/>
          <w:color w:val="000000"/>
          <w:sz w:val="28"/>
          <w:szCs w:val="28"/>
          <w:highlight w:val="none"/>
          <w:lang w:val="en-US" w:eastAsia="zh-CN"/>
        </w:rPr>
        <w:t xml:space="preserve">公</w:t>
      </w:r>
      <w:r>
        <w:rPr>
          <w:rFonts w:hint="eastAsia" w:ascii="宋体" w:hAnsi="宋体" w:eastAsia="宋体" w:cs="宋体"/>
          <w:color w:val="000000"/>
          <w:sz w:val="28"/>
          <w:szCs w:val="28"/>
          <w:highlight w:val="none"/>
        </w:rPr>
        <w:t xml:space="preserve">章）：</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分包号</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bl>
      <w:tblPr>
        <w:tblStyle w:val="11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投标项目名称</w:t>
            </w:r>
            <w:r>
              <w:rPr>
                <w:rFonts w:hint="eastAsia" w:ascii="宋体" w:hAnsi="宋体" w:eastAsia="宋体" w:cs="宋体"/>
                <w:color w:val="000000"/>
                <w:sz w:val="28"/>
                <w:szCs w:val="28"/>
                <w:highlight w:val="none"/>
                <w:vertAlign w:val="baseline"/>
                <w:lang w:val="en-US" w:eastAsia="zh-CN"/>
              </w:rPr>
            </w:r>
            <w:r/>
          </w:p>
        </w:tc>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总价（小写）</w:t>
            </w:r>
            <w:r>
              <w:rPr>
                <w:rFonts w:hint="eastAsia" w:ascii="宋体" w:hAnsi="宋体" w:eastAsia="宋体" w:cs="宋体"/>
                <w:color w:val="000000"/>
                <w:sz w:val="28"/>
                <w:szCs w:val="28"/>
                <w:highlight w:val="none"/>
                <w:vertAlign w:val="baseline"/>
                <w:lang w:val="en-US" w:eastAsia="zh-CN"/>
              </w:rPr>
            </w:r>
            <w:r/>
          </w:p>
        </w:tc>
      </w:tr>
      <w:tr>
        <w:trPr>
          <w:trHeight w:val="794"/>
        </w:trPr>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464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u w:val="single"/>
                <w:vertAlign w:val="baseline"/>
                <w:lang w:val="en-US" w:eastAsia="zh-CN"/>
              </w:rPr>
              <w:t xml:space="preserve">          </w:t>
            </w:r>
            <w:r>
              <w:rPr>
                <w:rFonts w:hint="eastAsia" w:ascii="宋体" w:hAnsi="宋体" w:eastAsia="宋体" w:cs="宋体"/>
                <w:color w:val="000000"/>
                <w:sz w:val="28"/>
                <w:szCs w:val="28"/>
                <w:highlight w:val="none"/>
                <w:vertAlign w:val="baseline"/>
                <w:lang w:val="en-US" w:eastAsia="zh-CN"/>
              </w:rPr>
              <w:t xml:space="preserve">元</w:t>
            </w:r>
            <w:r>
              <w:rPr>
                <w:rFonts w:hint="eastAsia" w:ascii="宋体" w:hAnsi="宋体" w:eastAsia="宋体" w:cs="宋体"/>
                <w:color w:val="000000"/>
                <w:sz w:val="28"/>
                <w:szCs w:val="28"/>
                <w:highlight w:val="none"/>
                <w:vertAlign w:val="baseline"/>
                <w:lang w:val="en-US" w:eastAsia="zh-CN"/>
              </w:rPr>
            </w:r>
            <w:r/>
          </w:p>
        </w:tc>
      </w:tr>
    </w:tbl>
    <w:p>
      <w:pPr>
        <w:pStyle w:val="1066"/>
        <w:jc w:val="righ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年   月    日</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目录</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、投标分项报价表</w:t>
      </w:r>
      <w:r>
        <w:rPr>
          <w:rFonts w:hint="eastAsia" w:ascii="宋体" w:hAnsi="宋体" w:eastAsia="宋体" w:cs="宋体"/>
          <w:color w:val="000000"/>
          <w:highlight w:val="none"/>
        </w:rPr>
      </w:r>
      <w:r/>
    </w:p>
    <w:p>
      <w:pPr>
        <w:pStyle w:val="1066"/>
        <w:ind w:left="0" w:firstLine="0"/>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投标分项报价表（货物）</w:t>
      </w:r>
      <w:r>
        <w:rPr>
          <w:rFonts w:hint="eastAsia" w:ascii="宋体" w:hAnsi="宋体" w:eastAsia="宋体" w:cs="宋体"/>
          <w:b/>
          <w:bCs/>
          <w:color w:val="000000"/>
          <w:sz w:val="28"/>
          <w:szCs w:val="28"/>
          <w:highlight w:val="none"/>
          <w:lang w:val="en-US" w:eastAsia="zh-CN"/>
        </w:rPr>
      </w:r>
      <w:r/>
    </w:p>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1066"/>
        <w:rPr>
          <w:rFonts w:hint="eastAsia" w:ascii="宋体" w:hAnsi="宋体" w:eastAsia="宋体" w:cs="宋体"/>
          <w:b/>
          <w:bCs/>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b/>
          <w:bCs/>
          <w:color w:val="000000"/>
          <w:sz w:val="28"/>
          <w:szCs w:val="28"/>
          <w:highlight w:val="none"/>
          <w:lang w:val="en-US" w:eastAsia="zh-CN"/>
        </w:rPr>
      </w:r>
      <w:r/>
    </w:p>
    <w:tbl>
      <w:tblPr>
        <w:tblStyle w:val="11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1327"/>
        <w:gridCol w:w="1327"/>
        <w:gridCol w:w="1327"/>
        <w:gridCol w:w="1327"/>
        <w:gridCol w:w="1327"/>
        <w:gridCol w:w="1327"/>
      </w:tblGrid>
      <w:tr>
        <w:trPr/>
        <w:tc>
          <w:tcPr>
            <w:tcW w:w="1326" w:type="dxa"/>
            <w:vAlign w:val="center"/>
            <w:vMerge w:val="restart"/>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序号</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1</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2</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3</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4</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5</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6</w:t>
            </w: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vMerge w:val="continue"/>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分项货物名称</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交付期</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分项单位</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数量</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分项单价</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分项总价</w:t>
            </w: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1</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2</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3</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4</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tcW w:w="132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5</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gridSpan w:val="6"/>
            <w:tcW w:w="7961"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投标总报价（人民币：元）</w:t>
            </w:r>
            <w:r>
              <w:rPr>
                <w:rFonts w:hint="eastAsia" w:ascii="宋体" w:hAnsi="宋体" w:eastAsia="宋体" w:cs="宋体"/>
                <w:color w:val="000000"/>
                <w:sz w:val="28"/>
                <w:szCs w:val="28"/>
                <w:highlight w:val="none"/>
                <w:vertAlign w:val="baseline"/>
                <w:lang w:val="en-US" w:eastAsia="zh-CN"/>
              </w:rPr>
            </w:r>
            <w:r/>
          </w:p>
        </w:tc>
        <w:tc>
          <w:tcPr>
            <w:tcW w:w="1327"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r>
            <w:r/>
          </w:p>
        </w:tc>
      </w:tr>
      <w:tr>
        <w:trPr/>
        <w:tc>
          <w:tcPr>
            <w:gridSpan w:val="7"/>
            <w:tcW w:w="9288"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rPr>
              <w:t xml:space="preserve">本</w:t>
            </w:r>
            <w:r>
              <w:rPr>
                <w:rFonts w:hint="eastAsia" w:ascii="宋体" w:hAnsi="宋体" w:eastAsia="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中提供的符合本国产品标准的产品成本之和占该</w:t>
            </w:r>
            <w:r>
              <w:rPr>
                <w:rFonts w:hint="eastAsia" w:ascii="宋体" w:hAnsi="宋体" w:eastAsia="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提供的全部产品成本之和的比例为</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vertAlign w:val="baseline"/>
                <w:lang w:val="en-US" w:eastAsia="zh-CN"/>
              </w:rPr>
            </w:r>
            <w:r/>
          </w:p>
        </w:tc>
      </w:tr>
    </w:tbl>
    <w:p>
      <w:pPr>
        <w:pStyle w:val="1066"/>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投标人全称（CA</w:t>
      </w:r>
      <w:r>
        <w:rPr>
          <w:rFonts w:hint="eastAsia" w:ascii="宋体" w:hAnsi="宋体" w:eastAsia="宋体" w:cs="宋体"/>
          <w:color w:val="000000"/>
          <w:sz w:val="28"/>
          <w:szCs w:val="28"/>
          <w:highlight w:val="none"/>
          <w:lang w:val="en-US" w:eastAsia="zh-CN"/>
        </w:rPr>
        <w:t xml:space="preserve">公</w:t>
      </w:r>
      <w:r>
        <w:rPr>
          <w:rFonts w:hint="eastAsia" w:ascii="宋体" w:hAnsi="宋体" w:eastAsia="宋体" w:cs="宋体"/>
          <w:color w:val="000000"/>
          <w:sz w:val="28"/>
          <w:szCs w:val="28"/>
          <w:highlight w:val="none"/>
        </w:rPr>
        <w:t xml:space="preserve">章）：</w:t>
      </w:r>
      <w:r>
        <w:rPr>
          <w:rFonts w:hint="eastAsia" w:ascii="宋体" w:hAnsi="宋体" w:eastAsia="宋体" w:cs="宋体"/>
          <w:color w:val="000000"/>
          <w:sz w:val="28"/>
          <w:szCs w:val="28"/>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firstLine="0"/>
        <w:keepLines/>
        <w:keepNext/>
        <w:pageBreakBefore w:val="0"/>
        <w:spacing w:before="0"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highlight w:val="none"/>
          <w:lang w:val="en-US" w:eastAsia="zh-CN"/>
        </w:rPr>
        <w:t xml:space="preserve">目录三、投标函</w:t>
      </w:r>
      <w:r>
        <w:rPr>
          <w:rFonts w:hint="eastAsia" w:ascii="宋体" w:hAnsi="宋体" w:eastAsia="宋体" w:cs="宋体"/>
          <w:color w:val="000000"/>
          <w:sz w:val="24"/>
          <w:szCs w:val="24"/>
          <w:highlight w:val="none"/>
          <w:lang w:eastAsia="zh-CN"/>
        </w:rPr>
      </w:r>
      <w:r/>
    </w:p>
    <w:p>
      <w:pPr>
        <w:pStyle w:val="1066"/>
        <w:ind w:left="0" w:firstLine="0"/>
        <w:jc w:val="center"/>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投标函</w:t>
      </w:r>
      <w:r>
        <w:rPr>
          <w:rFonts w:hint="eastAsia" w:ascii="宋体" w:hAnsi="宋体" w:eastAsia="宋体" w:cs="宋体"/>
          <w:b/>
          <w:bCs/>
          <w:color w:val="000000"/>
          <w:sz w:val="24"/>
          <w:szCs w:val="24"/>
          <w:highlight w:val="none"/>
          <w:lang w:eastAsia="zh-CN"/>
        </w:rPr>
      </w:r>
      <w:r/>
    </w:p>
    <w:p>
      <w:pPr>
        <w:pStyle w:val="1066"/>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江苏海事职业技术学院</w:t>
      </w:r>
      <w:r>
        <w:rPr>
          <w:rFonts w:hint="eastAsia" w:ascii="宋体" w:hAnsi="宋体" w:eastAsia="宋体" w:cs="宋体"/>
          <w:color w:val="000000"/>
          <w:sz w:val="24"/>
          <w:szCs w:val="24"/>
          <w:highlight w:val="none"/>
          <w:lang w:eastAsia="zh-CN"/>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（项目名称、项目编号）投标邀请，正式授权下述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（签字人姓名、职务）代表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据此函，签字人兹宣布声明和承诺如下：</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1.我公司的资格条件符合政府采购法和本次招标要求，我公司同意并向贵方提供了与投标有关的所有证据和资料。</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2.我公司已详细审阅全部招标文件及其有效补充文件，放弃对招标文件任何误解的权利</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提交投标文件后，不对招标文件本身提出质疑。否则，属于不诚信和故意扰乱政府采购活动行为，我们将无条件接受处罚。</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.我公司同意从规定的开标日期起遵循本投标文件，并在规定的投标有效期期满之前均具有约束力。</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.一旦我公司中标，将根据招标文件的规定严格履行合同，并保证</w:t>
      </w:r>
      <w:r>
        <w:rPr>
          <w:rFonts w:hint="eastAsia" w:ascii="宋体" w:hAnsi="宋体" w:eastAsia="宋体" w:cs="宋体"/>
          <w:color w:val="000000"/>
          <w:sz w:val="24"/>
          <w:szCs w:val="24"/>
          <w:highlight w:val="none"/>
          <w:lang w:val="en-US" w:eastAsia="zh-CN"/>
        </w:rPr>
        <w:t xml:space="preserve">在合同履行期内完成本项目所述内容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.我公司决不提供虚假材料谋取中标、决不采取不正当手段诋毁、排挤其他投标人、决不与采购人、</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本次</w:t>
      </w:r>
      <w:r>
        <w:rPr>
          <w:rFonts w:hint="eastAsia" w:ascii="宋体" w:hAnsi="宋体" w:eastAsia="宋体" w:cs="宋体"/>
          <w:color w:val="000000"/>
          <w:sz w:val="24"/>
          <w:szCs w:val="24"/>
          <w:highlight w:val="none"/>
        </w:rPr>
        <w:t xml:space="preserve">投标有关的正式联系方式为：</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固定电话：</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投标人授权代表姓名（签字）：</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w:t>
      </w:r>
      <w:r>
        <w:rPr>
          <w:rFonts w:hint="eastAsia" w:ascii="宋体" w:hAnsi="宋体" w:eastAsia="宋体" w:cs="宋体"/>
          <w:color w:val="000000"/>
          <w:sz w:val="24"/>
          <w:szCs w:val="24"/>
          <w:highlight w:val="none"/>
        </w:rPr>
      </w:r>
      <w:r/>
    </w:p>
    <w:p>
      <w:pPr>
        <w:pStyle w:val="1066"/>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firstLine="0"/>
        <w:keepLines/>
        <w:keepNext/>
        <w:pageBreakBefore w:val="0"/>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目录</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、法定代表人身份证明格式或法定代表人授权书格式</w:t>
      </w:r>
      <w:r>
        <w:rPr>
          <w:rFonts w:hint="eastAsia" w:ascii="宋体" w:hAnsi="宋体" w:eastAsia="宋体" w:cs="宋体"/>
          <w:color w:val="000000"/>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法定代表人身份证明（无授权委托的</w:t>
      </w:r>
      <w:r>
        <w:rPr>
          <w:rFonts w:hint="eastAsia" w:ascii="宋体" w:hAnsi="宋体" w:eastAsia="宋体" w:cs="宋体"/>
          <w:b/>
          <w:bCs/>
          <w:color w:val="000000"/>
          <w:sz w:val="28"/>
          <w:szCs w:val="36"/>
          <w:highlight w:val="none"/>
          <w:lang w:val="en-US" w:eastAsia="zh-CN"/>
        </w:rPr>
        <w:t xml:space="preserve">须</w:t>
      </w:r>
      <w:r>
        <w:rPr>
          <w:rFonts w:hint="eastAsia" w:ascii="宋体" w:hAnsi="宋体" w:eastAsia="宋体" w:cs="宋体"/>
          <w:b/>
          <w:bCs/>
          <w:color w:val="000000"/>
          <w:sz w:val="28"/>
          <w:szCs w:val="36"/>
          <w:highlight w:val="none"/>
        </w:rPr>
        <w:t xml:space="preserve">提供）</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地址：</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姓名：          性别：        年龄：           职务：            </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身份证号码：</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系</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（投标人名称）的法定代表人。</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特此证明。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法定代表人：（签字或盖章）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附：法定代表人身份证复印件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1066"/>
        <w:ind w:firstLine="0"/>
        <w:jc w:val="center"/>
        <w:keepLines w:val="0"/>
        <w:keepNext w:val="0"/>
        <w:pageBreakBefore w:val="0"/>
        <w:widowControl w:val="off"/>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法定代表人授权委托书</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eastAsia="zh-CN"/>
        </w:rPr>
        <w:t xml:space="preserve">江苏海事职业技术学院</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本授权书声明：注册于</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（投标人住址）的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（投标人名称）法定代表人</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（法定代表人姓名、职务）代表我公司授权在下面签字的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（投标人代表姓名、职务）为我公司的合法代理人，就贵方组织的</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（项目名称、项目编号）投标，以我公司名义处理一切与之有关的事务。</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本授权书于</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日签字生效，特此声明。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法定代表人（签字</w:t>
      </w:r>
      <w:r>
        <w:rPr>
          <w:rFonts w:hint="eastAsia" w:ascii="宋体" w:hAnsi="宋体" w:eastAsia="宋体" w:cs="宋体"/>
          <w:color w:val="000000"/>
          <w:sz w:val="28"/>
          <w:szCs w:val="36"/>
          <w:highlight w:val="none"/>
          <w:lang w:val="en-US" w:eastAsia="zh-CN"/>
        </w:rPr>
        <w:t xml:space="preserve">或盖章</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授权委托人（签字</w:t>
      </w:r>
      <w:r>
        <w:rPr>
          <w:rFonts w:hint="eastAsia" w:ascii="宋体" w:hAnsi="宋体" w:eastAsia="宋体" w:cs="宋体"/>
          <w:color w:val="000000"/>
          <w:sz w:val="28"/>
          <w:szCs w:val="36"/>
          <w:highlight w:val="none"/>
          <w:lang w:val="en-US" w:eastAsia="zh-CN"/>
        </w:rPr>
        <w:t xml:space="preserve">或盖章</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日期：</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年</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月</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法定代表人身份证复印件：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授权委托人身份证复印件：</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val="en-US" w:eastAsia="zh-CN"/>
        </w:rPr>
        <w:t xml:space="preserve">投标人或分支机构近半年内任意一个月为</w:t>
      </w:r>
      <w:r>
        <w:rPr>
          <w:rFonts w:hint="eastAsia" w:ascii="宋体" w:hAnsi="宋体" w:eastAsia="宋体" w:cs="宋体"/>
          <w:color w:val="000000"/>
          <w:sz w:val="28"/>
          <w:szCs w:val="36"/>
          <w:highlight w:val="none"/>
        </w:rPr>
        <w:t xml:space="preserve">授权委托人</w:t>
      </w:r>
      <w:r>
        <w:rPr>
          <w:rFonts w:hint="eastAsia" w:ascii="宋体" w:hAnsi="宋体" w:eastAsia="宋体" w:cs="宋体"/>
          <w:color w:val="000000"/>
          <w:sz w:val="28"/>
          <w:szCs w:val="36"/>
          <w:highlight w:val="none"/>
          <w:lang w:val="en-US" w:eastAsia="zh-CN"/>
        </w:rPr>
        <w:t xml:space="preserve">缴纳</w:t>
      </w:r>
      <w:r>
        <w:rPr>
          <w:rFonts w:hint="eastAsia" w:ascii="宋体" w:hAnsi="宋体" w:eastAsia="宋体" w:cs="宋体"/>
          <w:color w:val="000000"/>
          <w:sz w:val="28"/>
          <w:szCs w:val="36"/>
          <w:highlight w:val="none"/>
        </w:rPr>
        <w:t xml:space="preserve">社保</w:t>
      </w:r>
      <w:r>
        <w:rPr>
          <w:rFonts w:hint="eastAsia" w:ascii="宋体" w:hAnsi="宋体" w:eastAsia="宋体" w:cs="宋体"/>
          <w:color w:val="000000"/>
          <w:sz w:val="28"/>
          <w:szCs w:val="36"/>
          <w:highlight w:val="none"/>
          <w:lang w:val="en-US" w:eastAsia="zh-CN"/>
        </w:rPr>
        <w:t xml:space="preserve">的</w:t>
      </w:r>
      <w:r>
        <w:rPr>
          <w:rFonts w:hint="eastAsia" w:ascii="宋体" w:hAnsi="宋体" w:eastAsia="宋体" w:cs="宋体"/>
          <w:color w:val="000000"/>
          <w:sz w:val="28"/>
          <w:szCs w:val="36"/>
          <w:highlight w:val="none"/>
        </w:rPr>
        <w:t xml:space="preserve">证明：</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目录五、资格证明文件</w:t>
      </w:r>
      <w:r>
        <w:rPr>
          <w:rFonts w:hint="eastAsia" w:ascii="宋体" w:hAnsi="宋体" w:eastAsia="宋体" w:cs="宋体"/>
          <w:color w:val="000000"/>
          <w:highlight w:val="none"/>
          <w:lang w:val="en-US" w:eastAsia="zh-CN"/>
        </w:rPr>
      </w:r>
      <w:r/>
    </w:p>
    <w:p>
      <w:pPr>
        <w:pStyle w:val="1066"/>
        <w:ind w:left="0" w:firstLine="0"/>
        <w:jc w:val="center"/>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资格证明文件</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1.具有独立承担民事责任的能力（提供法人或者其他组织的营业执照，自然人的身份证明）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2.具有良好的商业信誉和健全的财务会计制度（提供以下三种材料的任意一种，复印件加盖公章）：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①2025年度或2024年度的经第三方会计师事务所审计的财务报告复印件（包括报告及报表等内容，并由注册会计师签名、盖章以及会计师事务所盖章）；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②提交投标文件截止日前六个月内基本开户银行出具的资信证明；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③提交投标文件截止时间前六个月内任意一个月的财务状况记录（至少包括资产负债表和损益表，并加盖公章）。</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3.具有履行合同所必需的设备和专业技术能力（根据项目需求提供履行合同所必需的设备和专业技术能力的声明</w:t>
      </w:r>
      <w:r>
        <w:rPr>
          <w:rFonts w:hint="eastAsia" w:ascii="宋体" w:hAnsi="宋体" w:cs="宋体"/>
          <w:color w:val="000000"/>
          <w:sz w:val="28"/>
          <w:szCs w:val="36"/>
          <w:highlight w:val="none"/>
          <w:lang w:val="en-US" w:eastAsia="zh-CN"/>
        </w:rPr>
        <w:t xml:space="preserve">及</w:t>
      </w:r>
      <w:r>
        <w:rPr>
          <w:rFonts w:hint="eastAsia" w:ascii="宋体" w:hAnsi="宋体" w:eastAsia="宋体" w:cs="宋体"/>
          <w:color w:val="000000"/>
          <w:sz w:val="28"/>
          <w:szCs w:val="36"/>
          <w:highlight w:val="none"/>
          <w:lang w:val="en-US" w:eastAsia="zh-CN"/>
        </w:rPr>
        <w:t xml:space="preserve">证明材料）</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ind w:left="0" w:firstLine="0"/>
        <w:jc w:val="center"/>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rPr>
        <w:t xml:space="preserve">具备履行合同所必需的设备和专业技术能力的声明</w:t>
      </w:r>
      <w:r>
        <w:rPr>
          <w:rFonts w:hint="eastAsia" w:ascii="宋体" w:hAnsi="宋体" w:eastAsia="宋体" w:cs="宋体"/>
          <w:b/>
          <w:bCs/>
          <w:color w:val="000000"/>
          <w:sz w:val="28"/>
          <w:szCs w:val="36"/>
          <w:highlight w:val="none"/>
        </w:rPr>
      </w:r>
      <w:r/>
    </w:p>
    <w:p>
      <w:pPr>
        <w:pStyle w:val="1066"/>
        <w:rPr>
          <w:rFonts w:hint="eastAsia" w:ascii="宋体" w:hAnsi="宋体" w:eastAsia="宋体" w:cs="宋体"/>
          <w:color w:val="000000"/>
          <w:sz w:val="28"/>
          <w:szCs w:val="36"/>
          <w:highlight w:val="none"/>
          <w:lang w:eastAsia="zh-CN"/>
        </w:rPr>
      </w:pPr>
      <w:r>
        <w:rPr>
          <w:rFonts w:hint="eastAsia" w:ascii="宋体" w:hAnsi="宋体" w:eastAsia="宋体" w:cs="宋体"/>
          <w:color w:val="000000"/>
          <w:sz w:val="28"/>
          <w:szCs w:val="36"/>
          <w:highlight w:val="none"/>
          <w:lang w:eastAsia="zh-CN"/>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lang w:eastAsia="zh-CN"/>
        </w:rPr>
        <w:t xml:space="preserve">江苏海事职业技术学院</w:t>
      </w:r>
      <w:r>
        <w:rPr>
          <w:rFonts w:hint="eastAsia" w:ascii="宋体" w:hAnsi="宋体" w:eastAsia="宋体" w:cs="宋体"/>
          <w:color w:val="000000"/>
          <w:sz w:val="28"/>
          <w:szCs w:val="36"/>
          <w:highlight w:val="none"/>
        </w:rPr>
        <w:t xml:space="preserve">：</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我公司</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u w:val="single"/>
          <w:lang w:val="zh-CN"/>
        </w:rPr>
        <w:t xml:space="preserve">投标人</w:t>
      </w:r>
      <w:r>
        <w:rPr>
          <w:rFonts w:hint="eastAsia" w:ascii="宋体" w:hAnsi="宋体" w:eastAsia="宋体" w:cs="宋体"/>
          <w:color w:val="000000"/>
          <w:sz w:val="28"/>
          <w:szCs w:val="36"/>
          <w:highlight w:val="none"/>
          <w:u w:val="single"/>
        </w:rPr>
        <w:t xml:space="preserve">名称）</w:t>
      </w:r>
      <w:r>
        <w:rPr>
          <w:rFonts w:hint="eastAsia" w:ascii="宋体" w:hAnsi="宋体" w:eastAsia="宋体" w:cs="宋体"/>
          <w:color w:val="000000"/>
          <w:sz w:val="28"/>
          <w:szCs w:val="36"/>
          <w:highlight w:val="none"/>
        </w:rPr>
        <w:t xml:space="preserve">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主要设备有：</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。（若有）</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主要专业技术能力有：</w:t>
      </w:r>
      <w:r>
        <w:rPr>
          <w:rFonts w:hint="eastAsia" w:ascii="宋体" w:hAnsi="宋体" w:eastAsia="宋体" w:cs="宋体"/>
          <w:color w:val="000000"/>
          <w:sz w:val="28"/>
          <w:szCs w:val="36"/>
          <w:highlight w:val="none"/>
          <w:u w:val="single"/>
        </w:rPr>
        <w:t xml:space="preserve">                  </w:t>
      </w:r>
      <w:r>
        <w:rPr>
          <w:rFonts w:hint="eastAsia" w:ascii="宋体" w:hAnsi="宋体" w:eastAsia="宋体" w:cs="宋体"/>
          <w:color w:val="000000"/>
          <w:sz w:val="28"/>
          <w:szCs w:val="36"/>
          <w:highlight w:val="none"/>
        </w:rPr>
        <w:t xml:space="preserve">。（若有）</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投标人名称：（盖章）</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rPr>
      </w:pPr>
      <w:r>
        <w:rPr>
          <w:rFonts w:hint="eastAsia" w:ascii="宋体" w:hAnsi="宋体" w:eastAsia="宋体" w:cs="宋体"/>
          <w:color w:val="000000"/>
          <w:sz w:val="28"/>
          <w:szCs w:val="36"/>
          <w:highlight w:val="none"/>
        </w:rPr>
        <w:t xml:space="preserve">日期：   年   月  日</w:t>
      </w:r>
      <w:r>
        <w:rPr>
          <w:rFonts w:hint="eastAsia" w:ascii="宋体" w:hAnsi="宋体" w:eastAsia="宋体" w:cs="宋体"/>
          <w:color w:val="000000"/>
          <w:sz w:val="28"/>
          <w:szCs w:val="36"/>
          <w:highlight w:val="none"/>
        </w:rPr>
      </w:r>
      <w:r/>
    </w:p>
    <w:p>
      <w:pPr>
        <w:pStyle w:val="1066"/>
        <w:rPr>
          <w:rFonts w:hint="eastAsia" w:ascii="宋体" w:hAnsi="宋体" w:eastAsia="宋体" w:cs="宋体"/>
          <w:color w:val="000000"/>
          <w:sz w:val="28"/>
          <w:szCs w:val="36"/>
          <w:highlight w:val="none"/>
          <w:lang w:val="zh-CN"/>
        </w:rPr>
      </w:pPr>
      <w:r>
        <w:rPr>
          <w:rFonts w:hint="eastAsia" w:ascii="宋体" w:hAnsi="宋体" w:eastAsia="宋体" w:cs="宋体"/>
          <w:color w:val="000000"/>
          <w:sz w:val="28"/>
          <w:szCs w:val="36"/>
          <w:highlight w:val="none"/>
        </w:rPr>
        <w:t xml:space="preserve">其他证明材料及文件：（如果</w:t>
      </w:r>
      <w:r>
        <w:rPr>
          <w:rFonts w:hint="eastAsia" w:ascii="宋体" w:hAnsi="宋体" w:eastAsia="宋体" w:cs="宋体"/>
          <w:color w:val="000000"/>
          <w:sz w:val="28"/>
          <w:szCs w:val="36"/>
          <w:highlight w:val="none"/>
          <w:lang w:val="zh-CN"/>
        </w:rPr>
        <w:t xml:space="preserve">投标人</w:t>
      </w:r>
      <w:r>
        <w:rPr>
          <w:rFonts w:hint="eastAsia" w:ascii="宋体" w:hAnsi="宋体" w:eastAsia="宋体" w:cs="宋体"/>
          <w:color w:val="000000"/>
          <w:sz w:val="28"/>
          <w:szCs w:val="36"/>
          <w:highlight w:val="none"/>
        </w:rPr>
        <w:t xml:space="preserve">认为需要提供的话）</w:t>
      </w:r>
      <w:r>
        <w:rPr>
          <w:rFonts w:hint="eastAsia" w:ascii="宋体" w:hAnsi="宋体" w:eastAsia="宋体" w:cs="宋体"/>
          <w:color w:val="000000"/>
          <w:sz w:val="28"/>
          <w:szCs w:val="36"/>
          <w:highlight w:val="none"/>
          <w:lang w:val="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color w:val="000000"/>
          <w:sz w:val="28"/>
          <w:szCs w:val="36"/>
          <w:highlight w:val="none"/>
          <w:lang w:val="en-US" w:eastAsia="zh-C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5.参加本次采购活动前三年内，在经营活动中没有重大违法记录（提供参加本次采购活动前三年内在经营活动中没有重大违法记录的书面声明）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ind w:left="0" w:firstLine="0"/>
        <w:jc w:val="center"/>
        <w:rPr>
          <w:rFonts w:hint="eastAsia" w:ascii="宋体" w:hAnsi="宋体" w:eastAsia="宋体" w:cs="宋体"/>
          <w:b/>
          <w:bCs/>
          <w:color w:val="000000"/>
          <w:sz w:val="28"/>
          <w:szCs w:val="36"/>
          <w:highlight w:val="none"/>
          <w:lang w:val="en-US" w:eastAsia="zh-CN"/>
        </w:rPr>
      </w:pPr>
      <w:r>
        <w:rPr>
          <w:rFonts w:hint="eastAsia" w:ascii="宋体" w:hAnsi="宋体" w:eastAsia="宋体" w:cs="宋体"/>
          <w:b/>
          <w:bCs/>
          <w:color w:val="000000"/>
          <w:sz w:val="28"/>
          <w:szCs w:val="36"/>
          <w:highlight w:val="none"/>
          <w:lang w:val="en-US" w:eastAsia="zh-CN"/>
        </w:rPr>
        <w:t xml:space="preserve">无重大违法记录声明</w:t>
      </w:r>
      <w:r>
        <w:rPr>
          <w:rFonts w:hint="eastAsia" w:ascii="宋体" w:hAnsi="宋体" w:eastAsia="宋体" w:cs="宋体"/>
          <w:b/>
          <w:bCs/>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江苏海事职业技术学院：</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我公司</w:t>
      </w:r>
      <w:r>
        <w:rPr>
          <w:rFonts w:hint="eastAsia" w:ascii="宋体" w:hAnsi="宋体" w:eastAsia="宋体" w:cs="宋体"/>
          <w:color w:val="000000"/>
          <w:sz w:val="28"/>
          <w:szCs w:val="36"/>
          <w:highlight w:val="none"/>
          <w:u w:val="single"/>
          <w:lang w:val="en-US" w:eastAsia="zh-CN"/>
        </w:rPr>
        <w:t xml:space="preserve">            （投标人名称）</w:t>
      </w:r>
      <w:r>
        <w:rPr>
          <w:rFonts w:hint="eastAsia" w:ascii="宋体" w:hAnsi="宋体" w:eastAsia="宋体" w:cs="宋体"/>
          <w:color w:val="000000"/>
          <w:sz w:val="28"/>
          <w:szCs w:val="36"/>
          <w:highlight w:val="none"/>
          <w:lang w:val="en-US" w:eastAsia="zh-CN"/>
        </w:rPr>
        <w:t xml:space="preserve">郑重声明：</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参加政府采购活动前3年内在经营活动中</w:t>
      </w:r>
      <w:r>
        <w:rPr>
          <w:rFonts w:hint="eastAsia" w:ascii="宋体" w:hAnsi="宋体" w:eastAsia="宋体" w:cs="宋体"/>
          <w:color w:val="000000"/>
          <w:sz w:val="28"/>
          <w:szCs w:val="36"/>
          <w:highlight w:val="none"/>
          <w:u w:val="single"/>
          <w:lang w:val="en-US" w:eastAsia="zh-CN"/>
        </w:rPr>
        <w:t xml:space="preserve">     </w:t>
      </w:r>
      <w:r>
        <w:rPr>
          <w:rFonts w:hint="eastAsia" w:ascii="宋体" w:hAnsi="宋体" w:eastAsia="宋体" w:cs="宋体"/>
          <w:color w:val="000000"/>
          <w:sz w:val="28"/>
          <w:szCs w:val="36"/>
          <w:highlight w:val="none"/>
          <w:lang w:val="en-US" w:eastAsia="zh-CN"/>
        </w:rPr>
        <w:t xml:space="preserve">（在下划线上如实填写：有或没有）重大违法记录。</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（说明：政府采购法第二十二条第一款第五项所称重大违法记录，是指投标人因违法经营受到刑事处罚或者责令停产停业、吊销许可证或者执照、较大数额罚款等行政处罚。）</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r>
      <w:r/>
    </w:p>
    <w:p>
      <w:pPr>
        <w:pStyle w:val="1066"/>
        <w:jc w:val="right"/>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投标人名称（盖章）：               </w:t>
      </w:r>
      <w:r>
        <w:rPr>
          <w:rFonts w:hint="eastAsia" w:ascii="宋体" w:hAnsi="宋体" w:eastAsia="宋体" w:cs="宋体"/>
          <w:color w:val="000000"/>
          <w:sz w:val="28"/>
          <w:szCs w:val="36"/>
          <w:highlight w:val="none"/>
          <w:lang w:val="en-US" w:eastAsia="zh-CN"/>
        </w:rPr>
      </w:r>
      <w:r/>
    </w:p>
    <w:p>
      <w:pPr>
        <w:pStyle w:val="1066"/>
        <w:jc w:val="right"/>
        <w:rPr>
          <w:rFonts w:hint="eastAsia" w:ascii="宋体" w:hAnsi="宋体" w:eastAsia="宋体" w:cs="宋体"/>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t xml:space="preserve">日期：     年  月  日</w:t>
      </w:r>
      <w:r>
        <w:rPr>
          <w:rFonts w:hint="eastAsia" w:ascii="宋体" w:hAnsi="宋体" w:eastAsia="宋体" w:cs="宋体"/>
          <w:color w:val="000000"/>
          <w:sz w:val="28"/>
          <w:szCs w:val="36"/>
          <w:highlight w:val="none"/>
          <w:lang w:val="en-US" w:eastAsia="zh-CN"/>
        </w:rPr>
      </w:r>
      <w:r/>
    </w:p>
    <w:p>
      <w:pPr>
        <w:pStyle w:val="1066"/>
        <w:rPr>
          <w:rFonts w:hint="eastAsia" w:ascii="宋体" w:hAnsi="宋体" w:eastAsia="宋体" w:cs="宋体"/>
          <w:b/>
          <w:bCs/>
          <w:color w:val="000000"/>
          <w:sz w:val="28"/>
          <w:szCs w:val="36"/>
          <w:highlight w:val="none"/>
          <w:lang w:val="en-US" w:eastAsia="zh-CN"/>
        </w:rPr>
      </w:pPr>
      <w:r>
        <w:rPr>
          <w:rFonts w:hint="eastAsia" w:ascii="宋体" w:hAnsi="宋体" w:eastAsia="宋体" w:cs="宋体"/>
          <w:color w:val="000000"/>
          <w:sz w:val="28"/>
          <w:szCs w:val="36"/>
          <w:highlight w:val="none"/>
          <w:lang w:val="en-US" w:eastAsia="zh-CN"/>
        </w:rPr>
        <w:br w:type="page" w:clear="all"/>
      </w:r>
      <w:r>
        <w:rPr>
          <w:rFonts w:hint="eastAsia" w:ascii="宋体" w:hAnsi="宋体" w:eastAsia="宋体" w:cs="宋体"/>
          <w:b/>
          <w:bCs/>
          <w:color w:val="000000"/>
          <w:sz w:val="28"/>
          <w:szCs w:val="36"/>
          <w:highlight w:val="none"/>
          <w:lang w:val="en-US" w:eastAsia="zh-CN"/>
        </w:rPr>
      </w:r>
      <w:r/>
    </w:p>
    <w:p>
      <w:pPr>
        <w:pStyle w:val="1068"/>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目录六、技术</w:t>
      </w:r>
      <w:r>
        <w:rPr>
          <w:rFonts w:hint="eastAsia" w:ascii="宋体" w:hAnsi="宋体" w:eastAsia="宋体" w:cs="宋体"/>
          <w:color w:val="000000"/>
          <w:highlight w:val="none"/>
          <w:lang w:val="en-US" w:eastAsia="zh-CN"/>
        </w:rPr>
        <w:t xml:space="preserve">条款偏离</w:t>
      </w:r>
      <w:r>
        <w:rPr>
          <w:rFonts w:hint="eastAsia" w:ascii="宋体" w:hAnsi="宋体" w:eastAsia="宋体" w:cs="宋体"/>
          <w:color w:val="000000"/>
          <w:highlight w:val="none"/>
          <w:lang w:val="zh-CN"/>
        </w:rPr>
        <w:t xml:space="preserve">表格式</w:t>
      </w:r>
      <w:r>
        <w:rPr>
          <w:rFonts w:hint="eastAsia" w:ascii="宋体" w:hAnsi="宋体" w:eastAsia="宋体" w:cs="宋体"/>
          <w:color w:val="000000"/>
          <w:highlight w:val="none"/>
          <w:lang w:val="zh-CN"/>
        </w:rPr>
      </w:r>
      <w:r/>
    </w:p>
    <w:p>
      <w:pPr>
        <w:pStyle w:val="1066"/>
        <w:ind w:left="0" w:firstLine="0"/>
        <w:jc w:val="center"/>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技术条款偏离表</w:t>
      </w:r>
      <w:r>
        <w:rPr>
          <w:rFonts w:hint="eastAsia" w:ascii="宋体" w:hAnsi="宋体" w:eastAsia="宋体" w:cs="宋体"/>
          <w:b/>
          <w:bCs/>
          <w:color w:val="000000"/>
          <w:sz w:val="28"/>
          <w:szCs w:val="28"/>
          <w:highlight w:val="none"/>
          <w:lang w:val="zh-CN"/>
        </w:rPr>
      </w:r>
      <w:r/>
    </w:p>
    <w:tbl>
      <w:tblPr>
        <w:tblW w:w="4999"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项目名称：</w:t>
            </w:r>
            <w:r>
              <w:rPr>
                <w:rFonts w:hint="eastAsia" w:ascii="宋体" w:hAnsi="宋体" w:eastAsia="宋体" w:cs="宋体"/>
                <w:color w:val="000000"/>
                <w:sz w:val="28"/>
                <w:szCs w:val="28"/>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项目编号：</w:t>
            </w: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序号</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招标要求的技术条款</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投标响应</w:t>
            </w: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偏离</w:t>
            </w: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bl>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投标人名称：                 （盖章）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说明：</w:t>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t xml:space="preserve">如果行数不够，请自行增加；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eastAsia="zh-CN"/>
        </w:rPr>
        <w:t xml:space="preserve">2.</w:t>
      </w:r>
      <w:r>
        <w:rPr>
          <w:rFonts w:hint="eastAsia" w:ascii="宋体" w:hAnsi="宋体" w:eastAsia="宋体" w:cs="宋体"/>
          <w:color w:val="000000"/>
          <w:sz w:val="28"/>
          <w:szCs w:val="28"/>
          <w:highlight w:val="none"/>
          <w:lang w:val="zh-CN"/>
        </w:rPr>
        <w:t xml:space="preserve">投标人应</w:t>
      </w:r>
      <w:r>
        <w:rPr>
          <w:rFonts w:hint="eastAsia" w:ascii="宋体" w:hAnsi="宋体" w:eastAsia="宋体" w:cs="宋体"/>
          <w:color w:val="000000"/>
          <w:sz w:val="28"/>
          <w:szCs w:val="28"/>
          <w:highlight w:val="none"/>
          <w:lang w:val="en-US" w:eastAsia="zh-CN"/>
        </w:rPr>
        <w:t xml:space="preserve">针对第四章采购需求的技术部分内容</w:t>
      </w:r>
      <w:r>
        <w:rPr>
          <w:rFonts w:hint="eastAsia" w:ascii="宋体" w:hAnsi="宋体" w:eastAsia="宋体" w:cs="宋体"/>
          <w:color w:val="000000"/>
          <w:sz w:val="28"/>
          <w:szCs w:val="28"/>
          <w:highlight w:val="none"/>
          <w:lang w:val="zh-CN"/>
        </w:rPr>
        <w:t xml:space="preserve">逐一说明。</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附：证明材料1，证明材料2……（如招标文件要求提供佐证材料的，须将证明材料列于技术条款偏离表之下）</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br w:type="page" w:clear="all"/>
      </w:r>
      <w:r>
        <w:rPr>
          <w:rFonts w:hint="eastAsia" w:ascii="宋体" w:hAnsi="宋体" w:eastAsia="宋体" w:cs="宋体"/>
          <w:color w:val="000000"/>
          <w:sz w:val="28"/>
          <w:szCs w:val="28"/>
          <w:highlight w:val="none"/>
          <w:lang w:val="zh-CN"/>
        </w:rPr>
      </w:r>
      <w:r/>
    </w:p>
    <w:p>
      <w:pPr>
        <w:pStyle w:val="1068"/>
        <w:ind w:left="0" w:firstLine="0"/>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目录七、商务条款</w:t>
      </w:r>
      <w:r>
        <w:rPr>
          <w:rFonts w:hint="eastAsia" w:ascii="宋体" w:hAnsi="宋体" w:eastAsia="宋体" w:cs="宋体"/>
          <w:color w:val="000000"/>
          <w:highlight w:val="none"/>
          <w:lang w:val="en-US" w:eastAsia="zh-CN"/>
        </w:rPr>
        <w:t xml:space="preserve">偏离</w:t>
      </w:r>
      <w:r>
        <w:rPr>
          <w:rFonts w:hint="eastAsia" w:ascii="宋体" w:hAnsi="宋体" w:eastAsia="宋体" w:cs="宋体"/>
          <w:color w:val="000000"/>
          <w:highlight w:val="none"/>
          <w:lang w:val="zh-CN"/>
        </w:rPr>
        <w:t xml:space="preserve">表格式</w:t>
      </w:r>
      <w:r>
        <w:rPr>
          <w:rFonts w:hint="eastAsia" w:ascii="宋体" w:hAnsi="宋体" w:eastAsia="宋体" w:cs="宋体"/>
          <w:color w:val="000000"/>
          <w:highlight w:val="none"/>
          <w:lang w:val="zh-CN"/>
        </w:rPr>
      </w:r>
      <w:r/>
    </w:p>
    <w:p>
      <w:pPr>
        <w:pStyle w:val="1066"/>
        <w:ind w:left="0" w:firstLine="0"/>
        <w:jc w:val="center"/>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商务条款</w:t>
      </w:r>
      <w:r>
        <w:rPr>
          <w:rFonts w:hint="eastAsia" w:ascii="宋体" w:hAnsi="宋体" w:eastAsia="宋体" w:cs="宋体"/>
          <w:b/>
          <w:bCs/>
          <w:color w:val="000000"/>
          <w:sz w:val="28"/>
          <w:szCs w:val="28"/>
          <w:highlight w:val="none"/>
          <w:lang w:val="en-US" w:eastAsia="zh-CN"/>
        </w:rPr>
        <w:t xml:space="preserve">偏离</w:t>
      </w:r>
      <w:r>
        <w:rPr>
          <w:rFonts w:hint="eastAsia" w:ascii="宋体" w:hAnsi="宋体" w:eastAsia="宋体" w:cs="宋体"/>
          <w:b/>
          <w:bCs/>
          <w:color w:val="000000"/>
          <w:sz w:val="28"/>
          <w:szCs w:val="28"/>
          <w:highlight w:val="none"/>
          <w:lang w:val="zh-CN"/>
        </w:rPr>
        <w:t xml:space="preserve">表</w:t>
      </w:r>
      <w:r>
        <w:rPr>
          <w:rFonts w:hint="eastAsia" w:ascii="宋体" w:hAnsi="宋体" w:eastAsia="宋体" w:cs="宋体"/>
          <w:b/>
          <w:bCs/>
          <w:color w:val="000000"/>
          <w:sz w:val="28"/>
          <w:szCs w:val="28"/>
          <w:highlight w:val="none"/>
          <w:lang w:val="zh-CN"/>
        </w:rPr>
      </w:r>
      <w:r/>
    </w:p>
    <w:tbl>
      <w:tblPr>
        <w:tblW w:w="49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项目名称：</w:t>
            </w:r>
            <w:r>
              <w:rPr>
                <w:rFonts w:hint="eastAsia" w:ascii="宋体" w:hAnsi="宋体" w:eastAsia="宋体" w:cs="宋体"/>
                <w:color w:val="000000"/>
                <w:sz w:val="28"/>
                <w:szCs w:val="28"/>
                <w:highlight w:val="none"/>
                <w:lang w:val="zh-CN"/>
              </w:rPr>
            </w:r>
            <w:r/>
          </w:p>
        </w:tc>
        <w:tc>
          <w:tcPr>
            <w:gridSpan w:val="2"/>
            <w:tcW w:w="465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项目编号：</w:t>
            </w: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序号</w:t>
            </w: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招标文件要求的商务条款</w:t>
            </w: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投标响应</w:t>
            </w: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jc w:val="center"/>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偏离</w:t>
            </w: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r>
        <w:trPr>
          <w:trHeight w:val="284"/>
        </w:trPr>
        <w:tc>
          <w:tcPr>
            <w:tcW w:w="618"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820"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1694"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c>
          <w:tcPr>
            <w:tcW w:w="866" w:type="dxa"/>
            <w:vAlign w:val="center"/>
            <w:textDirection w:val="lrTb"/>
            <w:noWrap w:val="false"/>
          </w:tcPr>
          <w:p>
            <w:pPr>
              <w:pStyle w:val="1066"/>
              <w:ind w:firstLine="0"/>
              <w:keepLines w:val="0"/>
              <w:keepNext w:val="0"/>
              <w:pageBreakBefore w:val="0"/>
              <w:spacing w:line="24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tc>
      </w:tr>
    </w:tbl>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投标人名称：                 （盖章）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说明：</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zh-CN"/>
        </w:rPr>
        <w:t xml:space="preserve">如果行数不够，请自行增加。</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t xml:space="preserve">投标人应</w:t>
      </w:r>
      <w:r>
        <w:rPr>
          <w:rFonts w:hint="eastAsia" w:ascii="宋体" w:hAnsi="宋体" w:eastAsia="宋体" w:cs="宋体"/>
          <w:color w:val="000000"/>
          <w:sz w:val="28"/>
          <w:szCs w:val="28"/>
          <w:highlight w:val="none"/>
          <w:lang w:val="en-US" w:eastAsia="zh-CN"/>
        </w:rPr>
        <w:t xml:space="preserve">针对第四章采购需求的商务部分内容</w:t>
      </w:r>
      <w:r>
        <w:rPr>
          <w:rFonts w:hint="eastAsia" w:ascii="宋体" w:hAnsi="宋体" w:eastAsia="宋体" w:cs="宋体"/>
          <w:color w:val="000000"/>
          <w:sz w:val="28"/>
          <w:szCs w:val="28"/>
          <w:highlight w:val="none"/>
          <w:lang w:val="zh-CN"/>
        </w:rPr>
        <w:t xml:space="preserve">逐一说明。</w:t>
      </w: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附：证明材料1，证明材料2……（如招标文件要求提供佐证材料的，须将证明材料列于商务条款偏离表之下）</w:t>
      </w:r>
      <w:r>
        <w:rPr>
          <w:rFonts w:hint="eastAsia" w:ascii="宋体" w:hAnsi="宋体" w:eastAsia="宋体" w:cs="宋体"/>
          <w:color w:val="000000"/>
          <w:sz w:val="28"/>
          <w:szCs w:val="28"/>
          <w:highlight w:val="none"/>
          <w:lang w:val="en-US" w:eastAsia="zh-CN"/>
        </w:rPr>
      </w:r>
      <w:r/>
    </w:p>
    <w:p>
      <w:pPr>
        <w:pStyle w:val="1066"/>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1066"/>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目录八</w:t>
      </w:r>
      <w:r>
        <w:rPr>
          <w:rFonts w:hint="eastAsia" w:ascii="宋体" w:hAnsi="宋体" w:eastAsia="宋体" w:cs="宋体"/>
          <w:color w:val="000000"/>
          <w:highlight w:val="none"/>
        </w:rPr>
        <w:t xml:space="preserve">、政府采购政策功能</w:t>
      </w:r>
      <w:r>
        <w:rPr>
          <w:rFonts w:hint="eastAsia" w:ascii="宋体" w:hAnsi="宋体" w:eastAsia="宋体" w:cs="宋体"/>
          <w:color w:val="000000"/>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中小企业声明函（货物）</w:t>
      </w:r>
      <w:r>
        <w:rPr>
          <w:rFonts w:hint="eastAsia" w:ascii="宋体" w:hAnsi="宋体" w:eastAsia="宋体" w:cs="宋体"/>
          <w:b/>
          <w:bCs/>
          <w:color w:val="000000"/>
          <w:sz w:val="24"/>
          <w:szCs w:val="24"/>
          <w:highlight w:val="none"/>
          <w:lang w:val="zh-CN"/>
        </w:rPr>
      </w:r>
      <w:r/>
    </w:p>
    <w:p>
      <w:pPr>
        <w:pStyle w:val="1066"/>
        <w:ind w:left="0"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（项目名称）采购活动，提供的货物全部由符合政策要求的中小企业制造。相关企业（含联合体中的中小企业、签订分包意向协议的中小企业） 的具体情况如下：</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（采购文件中明确的所属行业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i/>
          <w:iCs/>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（采购文件中明确的所属行业</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i/>
          <w:iCs/>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本企业</w:t>
      </w:r>
      <w:r>
        <w:rPr>
          <w:rFonts w:hint="eastAsia" w:ascii="宋体" w:hAnsi="宋体" w:eastAsia="宋体" w:cs="宋体"/>
          <w:color w:val="000000"/>
          <w:sz w:val="24"/>
          <w:szCs w:val="24"/>
          <w:highlight w:val="none"/>
        </w:rPr>
        <w:t xml:space="preserve">对上述声明内容的真实性负责。如有虚假，将依法承担相应责任。</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注2：从业人员、营业收入、资产总额填报上一年度数据，无上一年度数据的新成立企业可不填报。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注3：投标人如不提供此声明函，</w:t>
      </w:r>
      <w:r>
        <w:rPr>
          <w:rFonts w:hint="eastAsia" w:ascii="宋体" w:hAnsi="宋体" w:eastAsia="宋体" w:cs="宋体"/>
          <w:color w:val="000000"/>
          <w:sz w:val="24"/>
          <w:szCs w:val="24"/>
          <w:highlight w:val="none"/>
          <w:lang w:val="en-US" w:eastAsia="zh-CN"/>
        </w:rPr>
        <w:t xml:space="preserve">不享受中小企业扶持政策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066"/>
        <w:ind w:left="0" w:firstLine="0"/>
        <w:jc w:val="both"/>
        <w:keepLines w:val="0"/>
        <w:keepNext w:val="0"/>
        <w:pageBreakBefore w:val="0"/>
        <w:spacing w:line="360" w:lineRule="auto"/>
        <w:widowControl w:val="off"/>
        <w:rPr>
          <w:rFonts w:hint="eastAsia" w:ascii="宋体" w:hAnsi="宋体" w:eastAsia="宋体" w:cs="宋体"/>
          <w:b/>
          <w:bCs/>
          <w:color w:val="000000"/>
          <w:sz w:val="24"/>
          <w:szCs w:val="32"/>
          <w:highlight w:val="none"/>
          <w:lang w:val="en-US"/>
        </w:rPr>
      </w:pPr>
      <w:r>
        <w:rPr>
          <w:rFonts w:hint="eastAsia" w:ascii="宋体" w:hAnsi="宋体" w:eastAsia="宋体" w:cs="宋体"/>
          <w:b/>
          <w:bCs/>
          <w:color w:val="000000"/>
          <w:sz w:val="24"/>
          <w:szCs w:val="32"/>
          <w:highlight w:val="none"/>
          <w:lang w:val="en-US"/>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（二）</w:t>
      </w:r>
      <w:r>
        <w:rPr>
          <w:rFonts w:hint="eastAsia" w:ascii="宋体" w:hAnsi="宋体" w:eastAsia="宋体" w:cs="宋体"/>
          <w:b/>
          <w:bCs/>
          <w:color w:val="000000"/>
          <w:sz w:val="24"/>
          <w:szCs w:val="32"/>
          <w:highlight w:val="none"/>
          <w:lang w:val="en-US"/>
        </w:rPr>
        <w:t xml:space="preserve">残疾人福利性单位声明函</w:t>
      </w:r>
      <w:r>
        <w:rPr>
          <w:rFonts w:hint="eastAsia" w:ascii="宋体" w:hAnsi="宋体" w:eastAsia="宋体" w:cs="宋体"/>
          <w:b/>
          <w:bCs/>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32"/>
          <w:highlight w:val="none"/>
          <w:lang w:eastAsia="zh-CN"/>
        </w:rPr>
        <w:t xml:space="preserve">〔2017〕141号</w:t>
      </w:r>
      <w:r>
        <w:rPr>
          <w:rFonts w:hint="eastAsia" w:ascii="宋体" w:hAnsi="宋体" w:eastAsia="宋体" w:cs="宋体"/>
          <w:color w:val="000000"/>
          <w:sz w:val="24"/>
          <w:szCs w:val="32"/>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我公司对上述声明的真实性负责。如有虚假，将依法承担相应责任。</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ind w:firstLine="0"/>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单位名称：（盖章）</w:t>
      </w:r>
      <w:r>
        <w:rPr>
          <w:rFonts w:hint="eastAsia" w:ascii="宋体" w:hAnsi="宋体" w:eastAsia="宋体" w:cs="宋体"/>
          <w:color w:val="000000"/>
          <w:sz w:val="24"/>
          <w:szCs w:val="32"/>
          <w:highlight w:val="none"/>
          <w:lang w:val="en-US" w:eastAsia="zh-CN"/>
        </w:rPr>
      </w:r>
      <w:r/>
    </w:p>
    <w:p>
      <w:pPr>
        <w:pStyle w:val="1066"/>
        <w:ind w:firstLine="0"/>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日期：</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注：非残疾人福利性单位无须提供。</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（三）属于监狱企业的证明文件</w:t>
      </w:r>
      <w:r>
        <w:rPr>
          <w:rFonts w:hint="eastAsia" w:ascii="宋体" w:hAnsi="宋体" w:eastAsia="宋体" w:cs="宋体"/>
          <w:b/>
          <w:bCs/>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提供由省级以上监狱管理局、戒毒管理局（含新疆生产建设兵团）出具的属于监狱企业的证明文件。</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t xml:space="preserve">注：非监狱企业无须提供。</w:t>
      </w: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br w:type="page" w:clear="all"/>
      </w:r>
      <w:r>
        <w:rPr>
          <w:rFonts w:hint="eastAsia" w:ascii="宋体" w:hAnsi="宋体" w:eastAsia="宋体" w:cs="宋体"/>
          <w:color w:val="000000"/>
          <w:sz w:val="24"/>
          <w:szCs w:val="32"/>
          <w:highlight w:val="none"/>
        </w:rPr>
      </w:r>
      <w:r/>
    </w:p>
    <w:p>
      <w:pPr>
        <w:pStyle w:val="1066"/>
        <w:ind w:left="0" w:firstLine="0"/>
        <w:jc w:val="center"/>
        <w:keepLines w:val="0"/>
        <w:keepNext w:val="0"/>
        <w:pageBreakBefore w:val="0"/>
        <w:spacing w:line="360" w:lineRule="auto"/>
        <w:widowControl w:val="off"/>
        <w:rPr>
          <w:rFonts w:hint="eastAsia" w:ascii="宋体" w:hAnsi="宋体" w:eastAsia="宋体" w:cs="宋体"/>
          <w:b/>
          <w:bCs/>
          <w:color w:val="000000"/>
          <w:sz w:val="24"/>
          <w:szCs w:val="32"/>
          <w:highlight w:val="none"/>
          <w:lang w:val="en-US" w:eastAsia="zh-CN"/>
        </w:rPr>
      </w:pPr>
      <w:r>
        <w:rPr>
          <w:rFonts w:hint="eastAsia" w:ascii="宋体" w:hAnsi="宋体" w:eastAsia="宋体" w:cs="宋体"/>
          <w:b/>
          <w:bCs/>
          <w:color w:val="000000"/>
          <w:sz w:val="24"/>
          <w:szCs w:val="32"/>
          <w:highlight w:val="none"/>
          <w:lang w:val="en-US" w:eastAsia="zh-CN"/>
        </w:rPr>
        <w:t xml:space="preserve">（四）关于符合本国产品标准的声明函</w:t>
      </w:r>
      <w:r>
        <w:rPr>
          <w:rFonts w:hint="eastAsia" w:ascii="宋体" w:hAnsi="宋体" w:eastAsia="宋体" w:cs="宋体"/>
          <w:b/>
          <w:bCs/>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lang w:val="en-US" w:eastAsia="zh-CN"/>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b/>
          <w:bCs/>
          <w:color w:val="000000"/>
          <w:sz w:val="24"/>
          <w:szCs w:val="32"/>
          <w:highlight w:val="none"/>
          <w:u w:val="single"/>
        </w:rPr>
        <w:t xml:space="preserve">（产品名称1）</w:t>
      </w:r>
      <w:r>
        <w:rPr>
          <w:rFonts w:hint="eastAsia" w:ascii="宋体" w:hAnsi="宋体" w:eastAsia="宋体" w:cs="宋体"/>
          <w:b/>
          <w:bCs/>
          <w:color w:val="000000"/>
          <w:sz w:val="24"/>
          <w:szCs w:val="32"/>
          <w:highlight w:val="none"/>
          <w:u w:val="single"/>
          <w:vertAlign w:val="superscript"/>
        </w:rPr>
        <w:t xml:space="preserve">1</w:t>
      </w:r>
      <w:r>
        <w:rPr>
          <w:rFonts w:hint="eastAsia" w:ascii="宋体" w:hAnsi="宋体" w:eastAsia="宋体" w:cs="宋体"/>
          <w:color w:val="000000"/>
          <w:sz w:val="24"/>
          <w:szCs w:val="32"/>
          <w:highlight w:val="none"/>
        </w:rPr>
        <w:t xml:space="preserve">，生产厂为</w:t>
      </w:r>
      <w:r>
        <w:rPr>
          <w:rFonts w:hint="eastAsia" w:ascii="宋体" w:hAnsi="宋体" w:eastAsia="宋体" w:cs="宋体"/>
          <w:b/>
          <w:bCs/>
          <w:color w:val="000000"/>
          <w:sz w:val="24"/>
          <w:szCs w:val="32"/>
          <w:highlight w:val="none"/>
          <w:u w:val="single"/>
        </w:rPr>
        <w:t xml:space="preserve">（厂名）</w:t>
      </w:r>
      <w:r>
        <w:rPr>
          <w:rFonts w:hint="eastAsia" w:ascii="宋体" w:hAnsi="宋体" w:eastAsia="宋体" w:cs="宋体"/>
          <w:b/>
          <w:bCs/>
          <w:color w:val="000000"/>
          <w:sz w:val="24"/>
          <w:szCs w:val="32"/>
          <w:highlight w:val="none"/>
          <w:u w:val="single"/>
          <w:vertAlign w:val="superscript"/>
        </w:rPr>
        <w:t xml:space="preserve">2</w:t>
      </w:r>
      <w:r>
        <w:rPr>
          <w:rFonts w:hint="eastAsia" w:ascii="宋体" w:hAnsi="宋体" w:eastAsia="宋体" w:cs="宋体"/>
          <w:color w:val="000000"/>
          <w:sz w:val="24"/>
          <w:szCs w:val="32"/>
          <w:highlight w:val="none"/>
        </w:rPr>
        <w:t xml:space="preserve">，厂址为</w:t>
      </w:r>
      <w:r>
        <w:rPr>
          <w:rFonts w:hint="eastAsia" w:ascii="宋体" w:hAnsi="宋体" w:eastAsia="宋体" w:cs="宋体"/>
          <w:b/>
          <w:bCs/>
          <w:color w:val="000000"/>
          <w:sz w:val="24"/>
          <w:szCs w:val="32"/>
          <w:highlight w:val="none"/>
          <w:u w:val="single"/>
        </w:rPr>
        <w:t xml:space="preserve">（生产厂址）</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的中国境内生产的组件成本占比≥</w:t>
      </w:r>
      <w:r>
        <w:rPr>
          <w:rFonts w:hint="eastAsia" w:ascii="宋体" w:hAnsi="宋体" w:eastAsia="宋体" w:cs="宋体"/>
          <w:b/>
          <w:bCs/>
          <w:strike/>
          <w:color w:val="000000"/>
          <w:sz w:val="24"/>
          <w:szCs w:val="32"/>
          <w:highlight w:val="none"/>
          <w:u w:val="single"/>
        </w:rPr>
        <w:t xml:space="preserve">（规定比例）</w:t>
      </w:r>
      <w:r>
        <w:rPr>
          <w:rFonts w:hint="eastAsia" w:ascii="宋体" w:hAnsi="宋体" w:eastAsia="宋体" w:cs="宋体"/>
          <w:b/>
          <w:bCs/>
          <w:strike/>
          <w:color w:val="000000"/>
          <w:sz w:val="24"/>
          <w:szCs w:val="32"/>
          <w:highlight w:val="none"/>
          <w:u w:val="single"/>
          <w:vertAlign w:val="superscript"/>
        </w:rPr>
        <w:t xml:space="preserve">3</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（关键组件）</w:t>
      </w:r>
      <w:r>
        <w:rPr>
          <w:rFonts w:hint="eastAsia" w:ascii="宋体" w:hAnsi="宋体" w:eastAsia="宋体" w:cs="宋体"/>
          <w:b/>
          <w:bCs/>
          <w:strike/>
          <w:color w:val="000000"/>
          <w:sz w:val="24"/>
          <w:szCs w:val="32"/>
          <w:highlight w:val="none"/>
          <w:u w:val="single"/>
          <w:vertAlign w:val="superscript"/>
        </w:rPr>
        <w:t xml:space="preserve">4</w:t>
      </w:r>
      <w:r>
        <w:rPr>
          <w:rFonts w:hint="eastAsia" w:ascii="宋体" w:hAnsi="宋体" w:eastAsia="宋体" w:cs="宋体"/>
          <w:color w:val="000000"/>
          <w:sz w:val="24"/>
          <w:szCs w:val="32"/>
          <w:highlight w:val="none"/>
        </w:rPr>
        <w:t xml:space="preserve">在中国境内生产。</w:t>
      </w:r>
      <w:r>
        <w:rPr>
          <w:rFonts w:hint="eastAsia" w:ascii="宋体" w:hAnsi="宋体" w:eastAsia="宋体" w:cs="宋体"/>
          <w:b/>
          <w:bCs/>
          <w:strike/>
          <w:color w:val="000000"/>
          <w:sz w:val="24"/>
          <w:szCs w:val="32"/>
          <w:highlight w:val="none"/>
          <w:u w:val="single"/>
        </w:rPr>
        <w:t xml:space="preserve">（产品名称1）</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（关键工序）</w:t>
      </w:r>
      <w:r>
        <w:rPr>
          <w:rFonts w:hint="eastAsia" w:ascii="宋体" w:hAnsi="宋体" w:eastAsia="宋体" w:cs="宋体"/>
          <w:b/>
          <w:bCs/>
          <w:strike/>
          <w:color w:val="000000"/>
          <w:sz w:val="24"/>
          <w:szCs w:val="32"/>
          <w:highlight w:val="none"/>
          <w:u w:val="single"/>
          <w:vertAlign w:val="superscript"/>
        </w:rPr>
        <w:t xml:space="preserve">5</w:t>
      </w:r>
      <w:r>
        <w:rPr>
          <w:rFonts w:hint="eastAsia" w:ascii="宋体" w:hAnsi="宋体" w:eastAsia="宋体" w:cs="宋体"/>
          <w:color w:val="000000"/>
          <w:sz w:val="24"/>
          <w:szCs w:val="32"/>
          <w:highlight w:val="none"/>
        </w:rPr>
        <w:t xml:space="preserve">在中国境内完成。</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b/>
          <w:bCs/>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，生产厂为</w:t>
      </w:r>
      <w:r>
        <w:rPr>
          <w:rFonts w:hint="eastAsia" w:ascii="宋体" w:hAnsi="宋体" w:eastAsia="宋体" w:cs="宋体"/>
          <w:b/>
          <w:bCs/>
          <w:color w:val="000000"/>
          <w:sz w:val="24"/>
          <w:szCs w:val="32"/>
          <w:highlight w:val="none"/>
          <w:u w:val="single"/>
        </w:rPr>
        <w:t xml:space="preserve">（厂名）</w:t>
      </w:r>
      <w:r>
        <w:rPr>
          <w:rFonts w:hint="eastAsia" w:ascii="宋体" w:hAnsi="宋体" w:eastAsia="宋体" w:cs="宋体"/>
          <w:color w:val="000000"/>
          <w:sz w:val="24"/>
          <w:szCs w:val="32"/>
          <w:highlight w:val="none"/>
        </w:rPr>
        <w:t xml:space="preserve">，厂址为</w:t>
      </w:r>
      <w:r>
        <w:rPr>
          <w:rFonts w:hint="eastAsia" w:ascii="宋体" w:hAnsi="宋体" w:eastAsia="宋体" w:cs="宋体"/>
          <w:b/>
          <w:bCs/>
          <w:color w:val="000000"/>
          <w:sz w:val="24"/>
          <w:szCs w:val="32"/>
          <w:highlight w:val="none"/>
          <w:u w:val="single"/>
        </w:rPr>
        <w:t xml:space="preserve">（生产厂址）</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的中国境内生产的组件成本占比≥</w:t>
      </w:r>
      <w:r>
        <w:rPr>
          <w:rFonts w:hint="eastAsia" w:ascii="宋体" w:hAnsi="宋体" w:eastAsia="宋体" w:cs="宋体"/>
          <w:b/>
          <w:bCs/>
          <w:strike/>
          <w:color w:val="000000"/>
          <w:sz w:val="24"/>
          <w:szCs w:val="32"/>
          <w:highlight w:val="none"/>
          <w:u w:val="single"/>
        </w:rPr>
        <w:t xml:space="preserve">（规定比例）</w:t>
      </w:r>
      <w:r>
        <w:rPr>
          <w:rFonts w:hint="eastAsia" w:ascii="宋体" w:hAnsi="宋体" w:eastAsia="宋体" w:cs="宋体"/>
          <w:color w:val="000000"/>
          <w:sz w:val="24"/>
          <w:szCs w:val="32"/>
          <w:highlight w:val="none"/>
        </w:rPr>
        <w:t xml:space="preserve">。</w:t>
      </w:r>
      <w:r>
        <w:rPr>
          <w:rFonts w:hint="eastAsia" w:ascii="宋体" w:hAnsi="宋体" w:eastAsia="宋体" w:cs="宋体"/>
          <w:b/>
          <w:bCs/>
          <w:strike/>
          <w:color w:val="000000"/>
          <w:sz w:val="24"/>
          <w:szCs w:val="32"/>
          <w:highlight w:val="none"/>
          <w:u w:val="single"/>
        </w:rPr>
        <w:t xml:space="preserve">（产品名称2）</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（关键组件）</w:t>
      </w:r>
      <w:r>
        <w:rPr>
          <w:rFonts w:hint="eastAsia" w:ascii="宋体" w:hAnsi="宋体" w:eastAsia="宋体" w:cs="宋体"/>
          <w:color w:val="000000"/>
          <w:sz w:val="24"/>
          <w:szCs w:val="32"/>
          <w:highlight w:val="none"/>
        </w:rPr>
        <w:t xml:space="preserve">在中国境内生产。</w:t>
      </w:r>
      <w:r>
        <w:rPr>
          <w:rFonts w:hint="eastAsia" w:ascii="宋体" w:hAnsi="宋体" w:eastAsia="宋体" w:cs="宋体"/>
          <w:b/>
          <w:bCs/>
          <w:strike/>
          <w:color w:val="000000"/>
          <w:sz w:val="24"/>
          <w:szCs w:val="32"/>
          <w:highlight w:val="none"/>
          <w:u w:val="single"/>
        </w:rPr>
        <w:t xml:space="preserve">（产品名称</w:t>
      </w:r>
      <w:r>
        <w:rPr>
          <w:rFonts w:hint="eastAsia" w:ascii="宋体" w:hAnsi="宋体" w:eastAsia="宋体" w:cs="宋体"/>
          <w:b/>
          <w:bCs/>
          <w:strike/>
          <w:color w:val="000000"/>
          <w:sz w:val="24"/>
          <w:szCs w:val="32"/>
          <w:highlight w:val="none"/>
          <w:u w:val="single"/>
          <w:lang w:val="en-US" w:eastAsia="zh-CN"/>
        </w:rPr>
        <w:t xml:space="preserve">2</w:t>
      </w:r>
      <w:r>
        <w:rPr>
          <w:rFonts w:hint="eastAsia" w:ascii="宋体" w:hAnsi="宋体" w:eastAsia="宋体" w:cs="宋体"/>
          <w:b/>
          <w:bCs/>
          <w:strike/>
          <w:color w:val="000000"/>
          <w:sz w:val="24"/>
          <w:szCs w:val="32"/>
          <w:highlight w:val="none"/>
          <w:u w:val="single"/>
        </w:rPr>
        <w:t xml:space="preserve">）</w:t>
      </w:r>
      <w:r>
        <w:rPr>
          <w:rFonts w:hint="eastAsia" w:ascii="宋体" w:hAnsi="宋体" w:eastAsia="宋体" w:cs="宋体"/>
          <w:color w:val="000000"/>
          <w:sz w:val="24"/>
          <w:szCs w:val="32"/>
          <w:highlight w:val="none"/>
        </w:rPr>
        <w:t xml:space="preserve">的</w:t>
      </w:r>
      <w:r>
        <w:rPr>
          <w:rFonts w:hint="eastAsia" w:ascii="宋体" w:hAnsi="宋体" w:eastAsia="宋体" w:cs="宋体"/>
          <w:b/>
          <w:bCs/>
          <w:strike/>
          <w:color w:val="000000"/>
          <w:sz w:val="24"/>
          <w:szCs w:val="32"/>
          <w:highlight w:val="none"/>
          <w:u w:val="single"/>
        </w:rPr>
        <w:t xml:space="preserve">（关键工序）</w:t>
      </w:r>
      <w:r>
        <w:rPr>
          <w:rFonts w:hint="eastAsia" w:ascii="宋体" w:hAnsi="宋体" w:eastAsia="宋体" w:cs="宋体"/>
          <w:color w:val="000000"/>
          <w:sz w:val="24"/>
          <w:szCs w:val="32"/>
          <w:highlight w:val="none"/>
        </w:rPr>
        <w:t xml:space="preserve">在中国境内完成。</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本公司（单位）对上述声明内容的真实性负责。如有虚假，愿承担相应法律责任。</w:t>
      </w:r>
      <w:r>
        <w:rPr>
          <w:rFonts w:hint="eastAsia" w:ascii="宋体" w:hAnsi="宋体" w:eastAsia="宋体" w:cs="宋体"/>
          <w:color w:val="000000"/>
          <w:sz w:val="24"/>
          <w:szCs w:val="32"/>
          <w:highlight w:val="none"/>
        </w:rPr>
      </w:r>
      <w:r/>
    </w:p>
    <w:p>
      <w:pPr>
        <w:pStyle w:val="1066"/>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公司（单位）名称（盖章）：</w:t>
      </w:r>
      <w:r>
        <w:rPr>
          <w:rFonts w:hint="eastAsia" w:ascii="宋体" w:hAnsi="宋体" w:eastAsia="宋体" w:cs="宋体"/>
          <w:color w:val="000000"/>
          <w:sz w:val="24"/>
          <w:szCs w:val="32"/>
          <w:highlight w:val="none"/>
          <w:lang w:val="en-US" w:eastAsia="zh-CN"/>
        </w:rPr>
      </w:r>
      <w:r/>
    </w:p>
    <w:p>
      <w:pPr>
        <w:pStyle w:val="1066"/>
        <w:jc w:val="right"/>
        <w:keepLines w:val="0"/>
        <w:keepNext w:val="0"/>
        <w:pageBreakBefore w:val="0"/>
        <w:spacing w:line="360" w:lineRule="auto"/>
        <w:widowControl w:val="off"/>
        <w:rPr>
          <w:rFonts w:hint="eastAsia" w:ascii="宋体" w:hAnsi="宋体" w:eastAsia="宋体" w:cs="宋体"/>
          <w:color w:val="000000"/>
          <w:sz w:val="24"/>
          <w:szCs w:val="32"/>
          <w:highlight w:val="none"/>
          <w:lang w:val="en-US" w:eastAsia="zh-CN"/>
        </w:rPr>
      </w:pPr>
      <w:r>
        <w:rPr>
          <w:rFonts w:hint="eastAsia" w:ascii="宋体" w:hAnsi="宋体" w:eastAsia="宋体" w:cs="宋体"/>
          <w:color w:val="000000"/>
          <w:sz w:val="24"/>
          <w:szCs w:val="32"/>
          <w:highlight w:val="none"/>
        </w:rPr>
        <w:t xml:space="preserve">日期：</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lang w:val="en-US" w:eastAsia="zh-CN"/>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szCs w:val="32"/>
          <w:highlight w:val="none"/>
          <w:lang w:val="en-US" w:eastAsia="zh-CN"/>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__________________</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1.产品如有型号，请在“产品名称”栏一并填写。</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2.生产厂名与厂址应与生产厂营业执照载明的相关信息保持一致。</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3.该产品的中国境内生产的组件成本占比相关要求实施前，“规定比例”栏可不填，下同。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4.该产品的关键组件要求实施前，“关键组件”栏可不填，下同。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5.该产品的关键工序要求实施前，“关键工序”栏可不填，下同。</w:t>
      </w:r>
      <w:r>
        <w:rPr>
          <w:rFonts w:hint="eastAsia" w:ascii="宋体" w:hAnsi="宋体" w:eastAsia="宋体" w:cs="宋体"/>
          <w:color w:val="000000"/>
          <w:sz w:val="24"/>
          <w:szCs w:val="32"/>
          <w:highlight w:val="none"/>
        </w:rPr>
      </w:r>
      <w:r/>
    </w:p>
    <w:p>
      <w:pPr>
        <w:pStyle w:val="1066"/>
        <w:ind w:firstLine="0"/>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6.用</w:t>
      </w:r>
      <w:r>
        <w:rPr>
          <w:rFonts w:hint="eastAsia" w:ascii="宋体" w:hAnsi="宋体" w:eastAsia="宋体" w:cs="宋体"/>
          <w:color w:val="000000"/>
          <w:sz w:val="24"/>
          <w:szCs w:val="32"/>
          <w:highlight w:val="none"/>
          <w:lang w:val="en-US" w:eastAsia="zh-CN"/>
        </w:rPr>
        <w:t xml:space="preserve">删除线</w:t>
      </w:r>
      <w:r>
        <w:rPr>
          <w:rFonts w:hint="eastAsia" w:ascii="宋体" w:hAnsi="宋体" w:eastAsia="宋体" w:cs="宋体"/>
          <w:color w:val="000000"/>
          <w:sz w:val="24"/>
          <w:szCs w:val="32"/>
          <w:highlight w:val="none"/>
        </w:rPr>
        <w:t xml:space="preserve">划除的地方无需填写。</w:t>
      </w:r>
      <w:r>
        <w:rPr>
          <w:rFonts w:hint="eastAsia" w:ascii="宋体" w:hAnsi="宋体" w:eastAsia="宋体" w:cs="宋体"/>
          <w:color w:val="000000"/>
          <w:sz w:val="24"/>
          <w:szCs w:val="32"/>
          <w:highlight w:val="none"/>
        </w:rPr>
      </w:r>
      <w:r/>
    </w:p>
    <w:p>
      <w:pPr>
        <w:pStyle w:val="106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68"/>
        <w:ind w:left="0"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目录八、投标需要的其他证明文件及材料</w:t>
      </w:r>
      <w:r>
        <w:rPr>
          <w:rFonts w:hint="eastAsia" w:ascii="宋体" w:hAnsi="宋体" w:eastAsia="宋体" w:cs="宋体"/>
          <w:color w:val="000000"/>
          <w:highlight w:val="none"/>
        </w:rPr>
      </w:r>
      <w:r/>
    </w:p>
    <w:p>
      <w:pPr>
        <w:pStyle w:val="1066"/>
        <w:ind w:firstLine="0"/>
        <w:jc w:val="center"/>
        <w:keepLines w:val="0"/>
        <w:keepNext w:val="0"/>
        <w:pageBreakBefore w:val="0"/>
        <w:widowControl w:val="off"/>
        <w:rPr>
          <w:rFonts w:hint="eastAsia" w:ascii="宋体" w:hAnsi="宋体" w:eastAsia="宋体" w:cs="宋体"/>
          <w:color w:val="000000"/>
          <w:highlight w:val="none"/>
          <w:lang w:val="zh-CN"/>
        </w:rPr>
      </w:pPr>
      <w:r>
        <w:rPr>
          <w:rFonts w:hint="eastAsia" w:ascii="宋体" w:hAnsi="宋体" w:eastAsia="宋体" w:cs="宋体"/>
          <w:color w:val="000000"/>
          <w:sz w:val="28"/>
          <w:szCs w:val="36"/>
          <w:highlight w:val="none"/>
          <w:lang w:val="zh-CN"/>
        </w:rPr>
        <w:t xml:space="preserve">投标需要的其他证明文件及材料（若有）</w:t>
      </w:r>
      <w:r>
        <w:rPr>
          <w:rFonts w:hint="eastAsia" w:ascii="宋体" w:hAnsi="宋体" w:eastAsia="宋体" w:cs="宋体"/>
          <w:color w:val="000000"/>
          <w:highlight w:val="none"/>
          <w:lang w:val="zh-CN"/>
        </w:rPr>
      </w:r>
      <w:r/>
    </w:p>
    <w:p>
      <w:pPr>
        <w:pStyle w:val="1066"/>
        <w:ind w:firstLine="0"/>
        <w:jc w:val="center"/>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sectPr>
      <w:headerReference w:type="default" r:id="rId10"/>
      <w:footerReference w:type="default" r:id="rId15"/>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方正仿宋_GBK">
    <w:panose1 w:val="020B0503020202020204"/>
  </w:font>
  <w:font w:name="Microsoft YaHei UI">
    <w:panose1 w:val="020B0503020204020204"/>
  </w:font>
  <w:font w:name="Arial Unicode MS">
    <w:panose1 w:val="020B0604020202020204"/>
  </w:font>
  <w:font w:name="方正大黑简体">
    <w:panose1 w:val="020B0503020202020204"/>
  </w:font>
  <w:font w:name="SimSun">
    <w:panose1 w:val="02010600030101010101"/>
  </w:font>
  <w:font w:name="Georgia">
    <w:panose1 w:val="02040502050405020303"/>
  </w:font>
  <w:font w:name="Segoe UI">
    <w:panose1 w:val="020B05020402040202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ourier New">
    <w:panose1 w:val="02070309020205020404"/>
  </w:font>
  <w:font w:name="Calibri">
    <w:panose1 w:val="020F0502020204030204"/>
  </w:font>
  <w:font w:name="微软雅黑">
    <w:panose1 w:val="020B0503020204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p>
    <w:pPr>
      <w:pStyle w:val="1066"/>
    </w:pPr>
    <w:r/>
    <w:r/>
  </w:p>
  <w:p>
    <w:pPr>
      <w:pStyle w:val="10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29</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29</w:t>
                    </w:r>
                    <w:r>
                      <w:fldChar w:fldCharType="end"/>
                    </w:r>
                    <w:r>
                      <w:t xml:space="preserve"> 页</w:t>
                    </w:r>
                    <w:r/>
                  </w:p>
                  <w:p>
                    <w:pPr>
                      <w:pStyle w:val="1066"/>
                    </w:pPr>
                    <w:r/>
                    <w:r/>
                  </w:p>
                </w:txbxContent>
              </v:textbox>
            </v:shape>
          </w:pict>
        </mc:Fallback>
      </mc:AlternateContent>
    </w: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06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106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10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lef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ind w:left="0" w:firstLine="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name w:val="Heading 1"/>
    <w:basedOn w:val="1066"/>
    <w:next w:val="1066"/>
    <w:link w:val="892"/>
    <w:uiPriority w:val="9"/>
    <w:qFormat/>
    <w:pPr>
      <w:keepLines/>
      <w:keepNext/>
      <w:spacing w:before="480" w:after="200"/>
      <w:outlineLvl w:val="0"/>
    </w:pPr>
    <w:rPr>
      <w:rFonts w:ascii="Arial" w:hAnsi="Arial" w:eastAsia="Arial" w:cs="Arial"/>
      <w:sz w:val="40"/>
      <w:szCs w:val="40"/>
    </w:rPr>
  </w:style>
  <w:style w:type="character" w:styleId="892">
    <w:name w:val="Heading 1 Char"/>
    <w:link w:val="891"/>
    <w:uiPriority w:val="9"/>
    <w:rPr>
      <w:rFonts w:ascii="Arial" w:hAnsi="Arial" w:eastAsia="Arial" w:cs="Arial"/>
      <w:sz w:val="40"/>
      <w:szCs w:val="40"/>
    </w:rPr>
  </w:style>
  <w:style w:type="paragraph" w:styleId="893">
    <w:name w:val="Heading 2"/>
    <w:basedOn w:val="1066"/>
    <w:next w:val="1066"/>
    <w:link w:val="894"/>
    <w:uiPriority w:val="9"/>
    <w:unhideWhenUsed/>
    <w:qFormat/>
    <w:pPr>
      <w:keepLines/>
      <w:keepNext/>
      <w:spacing w:before="360" w:after="200"/>
      <w:outlineLvl w:val="1"/>
    </w:pPr>
    <w:rPr>
      <w:rFonts w:ascii="Arial" w:hAnsi="Arial" w:eastAsia="Arial" w:cs="Arial"/>
      <w:sz w:val="34"/>
    </w:rPr>
  </w:style>
  <w:style w:type="character" w:styleId="894">
    <w:name w:val="Heading 2 Char"/>
    <w:link w:val="893"/>
    <w:uiPriority w:val="9"/>
    <w:rPr>
      <w:rFonts w:ascii="Arial" w:hAnsi="Arial" w:eastAsia="Arial" w:cs="Arial"/>
      <w:sz w:val="34"/>
    </w:rPr>
  </w:style>
  <w:style w:type="paragraph" w:styleId="895">
    <w:name w:val="Heading 3"/>
    <w:basedOn w:val="1066"/>
    <w:next w:val="1066"/>
    <w:link w:val="896"/>
    <w:uiPriority w:val="9"/>
    <w:unhideWhenUsed/>
    <w:qFormat/>
    <w:pPr>
      <w:keepLines/>
      <w:keepNext/>
      <w:spacing w:before="320" w:after="200"/>
      <w:outlineLvl w:val="2"/>
    </w:pPr>
    <w:rPr>
      <w:rFonts w:ascii="Arial" w:hAnsi="Arial" w:eastAsia="Arial" w:cs="Arial"/>
      <w:sz w:val="30"/>
      <w:szCs w:val="30"/>
    </w:rPr>
  </w:style>
  <w:style w:type="character" w:styleId="896">
    <w:name w:val="Heading 3 Char"/>
    <w:link w:val="895"/>
    <w:uiPriority w:val="9"/>
    <w:rPr>
      <w:rFonts w:ascii="Arial" w:hAnsi="Arial" w:eastAsia="Arial" w:cs="Arial"/>
      <w:sz w:val="30"/>
      <w:szCs w:val="30"/>
    </w:rPr>
  </w:style>
  <w:style w:type="paragraph" w:styleId="897">
    <w:name w:val="Heading 4"/>
    <w:basedOn w:val="1066"/>
    <w:next w:val="1066"/>
    <w:link w:val="898"/>
    <w:uiPriority w:val="9"/>
    <w:unhideWhenUsed/>
    <w:qFormat/>
    <w:pPr>
      <w:keepLines/>
      <w:keepNext/>
      <w:spacing w:before="320" w:after="200"/>
      <w:outlineLvl w:val="3"/>
    </w:pPr>
    <w:rPr>
      <w:rFonts w:ascii="Arial" w:hAnsi="Arial" w:eastAsia="Arial" w:cs="Arial"/>
      <w:b/>
      <w:bCs/>
      <w:sz w:val="26"/>
      <w:szCs w:val="26"/>
    </w:rPr>
  </w:style>
  <w:style w:type="character" w:styleId="898">
    <w:name w:val="Heading 4 Char"/>
    <w:link w:val="897"/>
    <w:uiPriority w:val="9"/>
    <w:rPr>
      <w:rFonts w:ascii="Arial" w:hAnsi="Arial" w:eastAsia="Arial" w:cs="Arial"/>
      <w:b/>
      <w:bCs/>
      <w:sz w:val="26"/>
      <w:szCs w:val="26"/>
    </w:rPr>
  </w:style>
  <w:style w:type="paragraph" w:styleId="899">
    <w:name w:val="Heading 5"/>
    <w:basedOn w:val="1066"/>
    <w:next w:val="1066"/>
    <w:link w:val="900"/>
    <w:uiPriority w:val="9"/>
    <w:unhideWhenUsed/>
    <w:qFormat/>
    <w:pPr>
      <w:keepLines/>
      <w:keepNext/>
      <w:spacing w:before="320" w:after="200"/>
      <w:outlineLvl w:val="4"/>
    </w:pPr>
    <w:rPr>
      <w:rFonts w:ascii="Arial" w:hAnsi="Arial" w:eastAsia="Arial" w:cs="Arial"/>
      <w:b/>
      <w:bCs/>
      <w:sz w:val="24"/>
      <w:szCs w:val="24"/>
    </w:rPr>
  </w:style>
  <w:style w:type="character" w:styleId="900">
    <w:name w:val="Heading 5 Char"/>
    <w:link w:val="899"/>
    <w:uiPriority w:val="9"/>
    <w:rPr>
      <w:rFonts w:ascii="Arial" w:hAnsi="Arial" w:eastAsia="Arial" w:cs="Arial"/>
      <w:b/>
      <w:bCs/>
      <w:sz w:val="24"/>
      <w:szCs w:val="24"/>
    </w:rPr>
  </w:style>
  <w:style w:type="paragraph" w:styleId="901">
    <w:name w:val="Heading 6"/>
    <w:basedOn w:val="1066"/>
    <w:next w:val="1066"/>
    <w:link w:val="902"/>
    <w:uiPriority w:val="9"/>
    <w:unhideWhenUsed/>
    <w:qFormat/>
    <w:pPr>
      <w:keepLines/>
      <w:keepNext/>
      <w:spacing w:before="320" w:after="200"/>
      <w:outlineLvl w:val="5"/>
    </w:pPr>
    <w:rPr>
      <w:rFonts w:ascii="Arial" w:hAnsi="Arial" w:eastAsia="Arial" w:cs="Arial"/>
      <w:b/>
      <w:bCs/>
      <w:sz w:val="22"/>
      <w:szCs w:val="22"/>
    </w:rPr>
  </w:style>
  <w:style w:type="character" w:styleId="902">
    <w:name w:val="Heading 6 Char"/>
    <w:link w:val="901"/>
    <w:uiPriority w:val="9"/>
    <w:rPr>
      <w:rFonts w:ascii="Arial" w:hAnsi="Arial" w:eastAsia="Arial" w:cs="Arial"/>
      <w:b/>
      <w:bCs/>
      <w:sz w:val="22"/>
      <w:szCs w:val="22"/>
    </w:rPr>
  </w:style>
  <w:style w:type="paragraph" w:styleId="903">
    <w:name w:val="Heading 7"/>
    <w:basedOn w:val="1066"/>
    <w:next w:val="1066"/>
    <w:link w:val="904"/>
    <w:uiPriority w:val="9"/>
    <w:unhideWhenUsed/>
    <w:qFormat/>
    <w:pPr>
      <w:keepLines/>
      <w:keepNext/>
      <w:spacing w:before="320" w:after="200"/>
      <w:outlineLvl w:val="6"/>
    </w:pPr>
    <w:rPr>
      <w:rFonts w:ascii="Arial" w:hAnsi="Arial" w:eastAsia="Arial" w:cs="Arial"/>
      <w:b/>
      <w:bCs/>
      <w:i/>
      <w:iCs/>
      <w:sz w:val="22"/>
      <w:szCs w:val="22"/>
    </w:rPr>
  </w:style>
  <w:style w:type="character" w:styleId="904">
    <w:name w:val="Heading 7 Char"/>
    <w:link w:val="903"/>
    <w:uiPriority w:val="9"/>
    <w:rPr>
      <w:rFonts w:ascii="Arial" w:hAnsi="Arial" w:eastAsia="Arial" w:cs="Arial"/>
      <w:b/>
      <w:bCs/>
      <w:i/>
      <w:iCs/>
      <w:sz w:val="22"/>
      <w:szCs w:val="22"/>
    </w:rPr>
  </w:style>
  <w:style w:type="paragraph" w:styleId="905">
    <w:name w:val="Heading 8"/>
    <w:basedOn w:val="1066"/>
    <w:next w:val="1066"/>
    <w:link w:val="906"/>
    <w:uiPriority w:val="9"/>
    <w:unhideWhenUsed/>
    <w:qFormat/>
    <w:pPr>
      <w:keepLines/>
      <w:keepNext/>
      <w:spacing w:before="320" w:after="200"/>
      <w:outlineLvl w:val="7"/>
    </w:pPr>
    <w:rPr>
      <w:rFonts w:ascii="Arial" w:hAnsi="Arial" w:eastAsia="Arial" w:cs="Arial"/>
      <w:i/>
      <w:iCs/>
      <w:sz w:val="22"/>
      <w:szCs w:val="22"/>
    </w:rPr>
  </w:style>
  <w:style w:type="character" w:styleId="906">
    <w:name w:val="Heading 8 Char"/>
    <w:link w:val="905"/>
    <w:uiPriority w:val="9"/>
    <w:rPr>
      <w:rFonts w:ascii="Arial" w:hAnsi="Arial" w:eastAsia="Arial" w:cs="Arial"/>
      <w:i/>
      <w:iCs/>
      <w:sz w:val="22"/>
      <w:szCs w:val="22"/>
    </w:rPr>
  </w:style>
  <w:style w:type="paragraph" w:styleId="907">
    <w:name w:val="Heading 9"/>
    <w:basedOn w:val="1066"/>
    <w:next w:val="1066"/>
    <w:link w:val="908"/>
    <w:uiPriority w:val="9"/>
    <w:unhideWhenUsed/>
    <w:qFormat/>
    <w:pPr>
      <w:keepLines/>
      <w:keepNext/>
      <w:spacing w:before="320" w:after="200"/>
      <w:outlineLvl w:val="8"/>
    </w:pPr>
    <w:rPr>
      <w:rFonts w:ascii="Arial" w:hAnsi="Arial" w:eastAsia="Arial" w:cs="Arial"/>
      <w:i/>
      <w:iCs/>
      <w:sz w:val="21"/>
      <w:szCs w:val="21"/>
    </w:rPr>
  </w:style>
  <w:style w:type="character" w:styleId="908">
    <w:name w:val="Heading 9 Char"/>
    <w:link w:val="907"/>
    <w:uiPriority w:val="9"/>
    <w:rPr>
      <w:rFonts w:ascii="Arial" w:hAnsi="Arial" w:eastAsia="Arial" w:cs="Arial"/>
      <w:i/>
      <w:iCs/>
      <w:sz w:val="21"/>
      <w:szCs w:val="21"/>
    </w:rPr>
  </w:style>
  <w:style w:type="paragraph" w:styleId="909">
    <w:name w:val="No Spacing"/>
    <w:uiPriority w:val="1"/>
    <w:qFormat/>
    <w:pPr>
      <w:spacing w:before="0" w:after="0" w:line="240" w:lineRule="auto"/>
    </w:pPr>
  </w:style>
  <w:style w:type="paragraph" w:styleId="910">
    <w:name w:val="Title"/>
    <w:basedOn w:val="1066"/>
    <w:next w:val="1066"/>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6"/>
    <w:next w:val="1066"/>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6"/>
    <w:next w:val="1066"/>
    <w:link w:val="1266"/>
    <w:uiPriority w:val="29"/>
    <w:qFormat/>
    <w:pPr>
      <w:ind w:left="720" w:right="720"/>
    </w:pPr>
    <w:rPr>
      <w:i/>
    </w:rPr>
  </w:style>
  <w:style w:type="paragraph" w:styleId="915">
    <w:name w:val="Intense Quote"/>
    <w:basedOn w:val="1066"/>
    <w:next w:val="1066"/>
    <w:link w:val="12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6">
    <w:name w:val="Header"/>
    <w:basedOn w:val="1066"/>
    <w:link w:val="917"/>
    <w:uiPriority w:val="99"/>
    <w:unhideWhenUsed/>
    <w:pPr>
      <w:spacing w:after="0" w:line="240" w:lineRule="auto"/>
      <w:tabs>
        <w:tab w:val="center" w:pos="7143" w:leader="none"/>
        <w:tab w:val="right" w:pos="14287" w:leader="none"/>
      </w:tabs>
    </w:pPr>
  </w:style>
  <w:style w:type="character" w:styleId="917">
    <w:name w:val="Header Char"/>
    <w:link w:val="916"/>
    <w:uiPriority w:val="99"/>
  </w:style>
  <w:style w:type="paragraph" w:styleId="918">
    <w:name w:val="Footer"/>
    <w:basedOn w:val="1066"/>
    <w:link w:val="921"/>
    <w:uiPriority w:val="99"/>
    <w:unhideWhenUsed/>
    <w:pPr>
      <w:spacing w:after="0" w:line="240" w:lineRule="auto"/>
      <w:tabs>
        <w:tab w:val="center" w:pos="7143" w:leader="none"/>
        <w:tab w:val="right" w:pos="14287" w:leader="none"/>
      </w:tabs>
    </w:pPr>
  </w:style>
  <w:style w:type="character" w:styleId="919">
    <w:name w:val="Footer Char"/>
    <w:link w:val="918"/>
    <w:uiPriority w:val="99"/>
  </w:style>
  <w:style w:type="paragraph" w:styleId="920">
    <w:name w:val="Caption"/>
    <w:basedOn w:val="1066"/>
    <w:next w:val="1066"/>
    <w:uiPriority w:val="35"/>
    <w:semiHidden/>
    <w:unhideWhenUsed/>
    <w:qFormat/>
    <w:pPr>
      <w:spacing w:line="276" w:lineRule="auto"/>
    </w:pPr>
    <w:rPr>
      <w:b/>
      <w:bCs/>
      <w:color w:val="4f81bd" w:themeColor="accent1"/>
      <w:sz w:val="18"/>
      <w:szCs w:val="18"/>
    </w:rPr>
  </w:style>
  <w:style w:type="character" w:styleId="921">
    <w:name w:val="Caption Char"/>
    <w:basedOn w:val="920"/>
    <w:link w:val="918"/>
    <w:uiPriority w:val="99"/>
  </w:style>
  <w:style w:type="table" w:styleId="9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8">
    <w:name w:val="Hyperlink"/>
    <w:uiPriority w:val="99"/>
    <w:unhideWhenUsed/>
    <w:rPr>
      <w:color w:val="0000ff" w:themeColor="hyperlink"/>
      <w:u w:val="single"/>
    </w:rPr>
  </w:style>
  <w:style w:type="paragraph" w:styleId="1049">
    <w:name w:val="footnote text"/>
    <w:basedOn w:val="1066"/>
    <w:link w:val="1050"/>
    <w:uiPriority w:val="99"/>
    <w:semiHidden/>
    <w:unhideWhenUsed/>
    <w:pPr>
      <w:spacing w:after="40" w:line="240" w:lineRule="auto"/>
    </w:pPr>
    <w:rPr>
      <w:sz w:val="18"/>
    </w:rPr>
  </w:style>
  <w:style w:type="character" w:styleId="1050">
    <w:name w:val="Footnote Text Char"/>
    <w:link w:val="1049"/>
    <w:uiPriority w:val="99"/>
    <w:rPr>
      <w:sz w:val="18"/>
    </w:rPr>
  </w:style>
  <w:style w:type="character" w:styleId="1051">
    <w:name w:val="footnote reference"/>
    <w:uiPriority w:val="99"/>
    <w:unhideWhenUsed/>
    <w:rPr>
      <w:vertAlign w:val="superscript"/>
    </w:rPr>
  </w:style>
  <w:style w:type="paragraph" w:styleId="1052">
    <w:name w:val="endnote text"/>
    <w:basedOn w:val="1066"/>
    <w:link w:val="1053"/>
    <w:uiPriority w:val="99"/>
    <w:semiHidden/>
    <w:unhideWhenUsed/>
    <w:pPr>
      <w:spacing w:after="0" w:line="240" w:lineRule="auto"/>
    </w:pPr>
    <w:rPr>
      <w:sz w:val="20"/>
    </w:rPr>
  </w:style>
  <w:style w:type="character" w:styleId="1053">
    <w:name w:val="Endnote Text Char"/>
    <w:link w:val="1052"/>
    <w:uiPriority w:val="99"/>
    <w:rPr>
      <w:sz w:val="20"/>
    </w:rPr>
  </w:style>
  <w:style w:type="character" w:styleId="1054">
    <w:name w:val="endnote reference"/>
    <w:uiPriority w:val="99"/>
    <w:semiHidden/>
    <w:unhideWhenUsed/>
    <w:rPr>
      <w:vertAlign w:val="superscript"/>
    </w:rPr>
  </w:style>
  <w:style w:type="paragraph" w:styleId="1055">
    <w:name w:val="toc 1"/>
    <w:basedOn w:val="1066"/>
    <w:next w:val="1066"/>
    <w:uiPriority w:val="39"/>
    <w:unhideWhenUsed/>
    <w:pPr>
      <w:ind w:left="0" w:right="0" w:firstLine="0"/>
      <w:spacing w:after="57"/>
    </w:pPr>
  </w:style>
  <w:style w:type="paragraph" w:styleId="1056">
    <w:name w:val="toc 2"/>
    <w:basedOn w:val="1066"/>
    <w:next w:val="1066"/>
    <w:uiPriority w:val="39"/>
    <w:unhideWhenUsed/>
    <w:pPr>
      <w:ind w:left="283" w:right="0" w:firstLine="0"/>
      <w:spacing w:after="57"/>
    </w:pPr>
  </w:style>
  <w:style w:type="paragraph" w:styleId="1057">
    <w:name w:val="toc 3"/>
    <w:basedOn w:val="1066"/>
    <w:next w:val="1066"/>
    <w:uiPriority w:val="39"/>
    <w:unhideWhenUsed/>
    <w:pPr>
      <w:ind w:left="567" w:right="0" w:firstLine="0"/>
      <w:spacing w:after="57"/>
    </w:pPr>
  </w:style>
  <w:style w:type="paragraph" w:styleId="1058">
    <w:name w:val="toc 4"/>
    <w:basedOn w:val="1066"/>
    <w:next w:val="1066"/>
    <w:uiPriority w:val="39"/>
    <w:unhideWhenUsed/>
    <w:pPr>
      <w:ind w:left="850" w:right="0" w:firstLine="0"/>
      <w:spacing w:after="57"/>
    </w:pPr>
  </w:style>
  <w:style w:type="paragraph" w:styleId="1059">
    <w:name w:val="toc 5"/>
    <w:basedOn w:val="1066"/>
    <w:next w:val="1066"/>
    <w:uiPriority w:val="39"/>
    <w:unhideWhenUsed/>
    <w:pPr>
      <w:ind w:left="1134" w:right="0" w:firstLine="0"/>
      <w:spacing w:after="57"/>
    </w:pPr>
  </w:style>
  <w:style w:type="paragraph" w:styleId="1060">
    <w:name w:val="toc 6"/>
    <w:basedOn w:val="1066"/>
    <w:next w:val="1066"/>
    <w:uiPriority w:val="39"/>
    <w:unhideWhenUsed/>
    <w:pPr>
      <w:ind w:left="1417" w:right="0" w:firstLine="0"/>
      <w:spacing w:after="57"/>
    </w:pPr>
  </w:style>
  <w:style w:type="paragraph" w:styleId="1061">
    <w:name w:val="toc 7"/>
    <w:basedOn w:val="1066"/>
    <w:next w:val="1066"/>
    <w:uiPriority w:val="39"/>
    <w:unhideWhenUsed/>
    <w:pPr>
      <w:ind w:left="1701" w:right="0" w:firstLine="0"/>
      <w:spacing w:after="57"/>
    </w:pPr>
  </w:style>
  <w:style w:type="paragraph" w:styleId="1062">
    <w:name w:val="toc 8"/>
    <w:basedOn w:val="1066"/>
    <w:next w:val="1066"/>
    <w:uiPriority w:val="39"/>
    <w:unhideWhenUsed/>
    <w:pPr>
      <w:ind w:left="1984" w:right="0" w:firstLine="0"/>
      <w:spacing w:after="57"/>
    </w:pPr>
  </w:style>
  <w:style w:type="paragraph" w:styleId="1063">
    <w:name w:val="toc 9"/>
    <w:basedOn w:val="1066"/>
    <w:next w:val="1066"/>
    <w:uiPriority w:val="39"/>
    <w:unhideWhenUsed/>
    <w:pPr>
      <w:ind w:left="2268" w:right="0" w:firstLine="0"/>
      <w:spacing w:after="57"/>
    </w:p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66"/>
    <w:link w:val="1066"/>
    <w:qFormat/>
    <w:pPr>
      <w:jc w:val="both"/>
      <w:widowControl w:val="off"/>
    </w:pPr>
    <w:rPr>
      <w:rFonts w:ascii="Times New Roman" w:hAnsi="Times New Roman" w:eastAsia="宋体" w:cs="Times New Roman"/>
      <w:sz w:val="21"/>
      <w:szCs w:val="24"/>
      <w:lang w:val="en-US" w:eastAsia="zh-CN" w:bidi="ar-SA"/>
    </w:rPr>
  </w:style>
  <w:style w:type="paragraph" w:styleId="1067">
    <w:name w:val="标题 1"/>
    <w:basedOn w:val="1066"/>
    <w:next w:val="1066"/>
    <w:link w:val="1078"/>
    <w:uiPriority w:val="9"/>
    <w:qFormat/>
    <w:pPr>
      <w:keepLines/>
      <w:keepNext/>
      <w:spacing w:before="340" w:after="330" w:line="576" w:lineRule="auto"/>
      <w:outlineLvl w:val="0"/>
    </w:pPr>
    <w:rPr>
      <w:b/>
      <w:bCs/>
      <w:sz w:val="44"/>
      <w:szCs w:val="44"/>
    </w:rPr>
  </w:style>
  <w:style w:type="paragraph" w:styleId="1068">
    <w:name w:val="标题 2"/>
    <w:basedOn w:val="1066"/>
    <w:next w:val="1066"/>
    <w:link w:val="1079"/>
    <w:uiPriority w:val="9"/>
    <w:qFormat/>
    <w:pPr>
      <w:keepLines/>
      <w:keepNext/>
      <w:spacing w:before="260" w:after="260" w:line="413" w:lineRule="auto"/>
      <w:outlineLvl w:val="1"/>
    </w:pPr>
    <w:rPr>
      <w:rFonts w:ascii="Arial" w:hAnsi="Arial" w:eastAsia="黑体"/>
      <w:b/>
      <w:bCs/>
      <w:sz w:val="32"/>
      <w:szCs w:val="32"/>
    </w:rPr>
  </w:style>
  <w:style w:type="paragraph" w:styleId="1069">
    <w:name w:val="标题 3"/>
    <w:basedOn w:val="1066"/>
    <w:next w:val="1066"/>
    <w:link w:val="1080"/>
    <w:uiPriority w:val="9"/>
    <w:qFormat/>
    <w:pPr>
      <w:keepLines/>
      <w:keepNext/>
      <w:spacing w:before="260" w:after="260" w:line="413" w:lineRule="auto"/>
      <w:outlineLvl w:val="2"/>
    </w:pPr>
    <w:rPr>
      <w:b/>
      <w:bCs/>
      <w:sz w:val="32"/>
      <w:szCs w:val="32"/>
    </w:rPr>
  </w:style>
  <w:style w:type="paragraph" w:styleId="1070">
    <w:name w:val="标题 4"/>
    <w:basedOn w:val="1066"/>
    <w:next w:val="1066"/>
    <w:link w:val="1081"/>
    <w:uiPriority w:val="9"/>
    <w:qFormat/>
    <w:pPr>
      <w:keepLines/>
      <w:keepNext/>
      <w:spacing w:before="120" w:after="120"/>
      <w:outlineLvl w:val="3"/>
    </w:pPr>
    <w:rPr>
      <w:rFonts w:ascii="Arial" w:hAnsi="Arial" w:eastAsia="黑体"/>
      <w:b/>
      <w:sz w:val="20"/>
      <w:szCs w:val="20"/>
    </w:rPr>
  </w:style>
  <w:style w:type="paragraph" w:styleId="1071">
    <w:name w:val="标题 5"/>
    <w:basedOn w:val="1066"/>
    <w:next w:val="1066"/>
    <w:link w:val="1082"/>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1072">
    <w:name w:val="标题 6"/>
    <w:basedOn w:val="1066"/>
    <w:next w:val="1066"/>
    <w:link w:val="1083"/>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73">
    <w:name w:val="标题 7"/>
    <w:basedOn w:val="1066"/>
    <w:next w:val="1066"/>
    <w:link w:val="1084"/>
    <w:uiPriority w:val="9"/>
    <w:qFormat/>
    <w:pPr>
      <w:ind w:left="1296" w:hanging="1296"/>
      <w:keepLines/>
      <w:keepNext/>
      <w:spacing w:before="240" w:after="64" w:line="317" w:lineRule="auto"/>
      <w:tabs>
        <w:tab w:val="left" w:pos="1296" w:leader="none"/>
      </w:tabs>
      <w:outlineLvl w:val="6"/>
    </w:pPr>
    <w:rPr>
      <w:b/>
      <w:bCs/>
      <w:sz w:val="24"/>
    </w:rPr>
  </w:style>
  <w:style w:type="paragraph" w:styleId="1074">
    <w:name w:val="标题 8"/>
    <w:basedOn w:val="1066"/>
    <w:next w:val="1066"/>
    <w:link w:val="1085"/>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75">
    <w:name w:val="标题 9"/>
    <w:basedOn w:val="1066"/>
    <w:next w:val="1066"/>
    <w:link w:val="1086"/>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76">
    <w:name w:val="默认段落字体"/>
    <w:next w:val="1076"/>
    <w:link w:val="1066"/>
    <w:uiPriority w:val="1"/>
    <w:unhideWhenUsed/>
    <w:qFormat/>
  </w:style>
  <w:style w:type="table" w:styleId="1077">
    <w:name w:val="普通表格"/>
    <w:next w:val="1077"/>
    <w:link w:val="1066"/>
    <w:uiPriority w:val="99"/>
    <w:unhideWhenUsed/>
    <w:qFormat/>
    <w:tblPr/>
  </w:style>
  <w:style w:type="character" w:styleId="1078">
    <w:name w:val="标题 1 字符1"/>
    <w:next w:val="1078"/>
    <w:link w:val="1067"/>
    <w:qFormat/>
    <w:rPr>
      <w:rFonts w:ascii="黑体" w:eastAsia="黑体"/>
      <w:b/>
      <w:sz w:val="24"/>
      <w:szCs w:val="28"/>
    </w:rPr>
  </w:style>
  <w:style w:type="character" w:styleId="1079">
    <w:name w:val="标题 2 字符"/>
    <w:next w:val="1079"/>
    <w:link w:val="1068"/>
    <w:uiPriority w:val="9"/>
    <w:qFormat/>
    <w:rPr>
      <w:rFonts w:ascii="Arial" w:hAnsi="Arial" w:eastAsia="黑体" w:cs="Times New Roman"/>
      <w:b/>
      <w:bCs/>
      <w:sz w:val="32"/>
      <w:szCs w:val="32"/>
    </w:rPr>
  </w:style>
  <w:style w:type="character" w:styleId="1080">
    <w:name w:val="标题 3 字符"/>
    <w:next w:val="1080"/>
    <w:link w:val="1069"/>
    <w:uiPriority w:val="9"/>
    <w:qFormat/>
    <w:rPr>
      <w:rFonts w:ascii="Times New Roman" w:hAnsi="Times New Roman" w:eastAsia="宋体" w:cs="Times New Roman"/>
      <w:b/>
      <w:bCs/>
      <w:sz w:val="32"/>
      <w:szCs w:val="32"/>
    </w:rPr>
  </w:style>
  <w:style w:type="character" w:styleId="1081">
    <w:name w:val="标题 4 字符"/>
    <w:next w:val="1081"/>
    <w:link w:val="1070"/>
    <w:uiPriority w:val="9"/>
    <w:qFormat/>
    <w:rPr>
      <w:rFonts w:ascii="Arial" w:hAnsi="Arial" w:eastAsia="黑体" w:cs="Times New Roman"/>
      <w:b/>
      <w:sz w:val="20"/>
      <w:szCs w:val="20"/>
    </w:rPr>
  </w:style>
  <w:style w:type="character" w:styleId="1082">
    <w:name w:val="标题 5 字符"/>
    <w:next w:val="1082"/>
    <w:link w:val="1071"/>
    <w:uiPriority w:val="9"/>
    <w:qFormat/>
    <w:rPr>
      <w:rFonts w:ascii="Times New Roman" w:hAnsi="Times New Roman" w:eastAsia="宋体" w:cs="Times New Roman"/>
      <w:b/>
      <w:bCs/>
      <w:sz w:val="28"/>
      <w:szCs w:val="28"/>
    </w:rPr>
  </w:style>
  <w:style w:type="character" w:styleId="1083">
    <w:name w:val="标题 6 字符"/>
    <w:next w:val="1083"/>
    <w:link w:val="1072"/>
    <w:uiPriority w:val="9"/>
    <w:qFormat/>
    <w:rPr>
      <w:rFonts w:ascii="Arial" w:hAnsi="Arial" w:eastAsia="黑体" w:cs="Times New Roman"/>
      <w:b/>
      <w:bCs/>
      <w:sz w:val="24"/>
      <w:szCs w:val="24"/>
    </w:rPr>
  </w:style>
  <w:style w:type="character" w:styleId="1084">
    <w:name w:val="标题 7 字符"/>
    <w:next w:val="1084"/>
    <w:link w:val="1073"/>
    <w:uiPriority w:val="9"/>
    <w:qFormat/>
    <w:rPr>
      <w:rFonts w:ascii="Times New Roman" w:hAnsi="Times New Roman" w:eastAsia="宋体" w:cs="Times New Roman"/>
      <w:b/>
      <w:bCs/>
      <w:sz w:val="24"/>
      <w:szCs w:val="24"/>
    </w:rPr>
  </w:style>
  <w:style w:type="character" w:styleId="1085">
    <w:name w:val="标题 8 字符"/>
    <w:next w:val="1085"/>
    <w:link w:val="1074"/>
    <w:uiPriority w:val="9"/>
    <w:qFormat/>
    <w:rPr>
      <w:rFonts w:ascii="Arial" w:hAnsi="Arial" w:eastAsia="黑体" w:cs="Times New Roman"/>
      <w:sz w:val="24"/>
      <w:szCs w:val="24"/>
    </w:rPr>
  </w:style>
  <w:style w:type="character" w:styleId="1086">
    <w:name w:val="标题 9 字符"/>
    <w:next w:val="1086"/>
    <w:link w:val="1075"/>
    <w:uiPriority w:val="9"/>
    <w:qFormat/>
    <w:rPr>
      <w:rFonts w:ascii="Arial" w:hAnsi="Arial" w:eastAsia="黑体" w:cs="Times New Roman"/>
      <w:sz w:val="21"/>
      <w:szCs w:val="21"/>
    </w:rPr>
  </w:style>
  <w:style w:type="paragraph" w:styleId="1087">
    <w:name w:val="列表 3"/>
    <w:basedOn w:val="1066"/>
    <w:next w:val="1087"/>
    <w:link w:val="1066"/>
    <w:uiPriority w:val="99"/>
    <w:qFormat/>
    <w:pPr>
      <w:ind w:left="1260" w:hanging="420"/>
    </w:pPr>
    <w:rPr>
      <w:szCs w:val="20"/>
    </w:rPr>
  </w:style>
  <w:style w:type="paragraph" w:styleId="1088">
    <w:name w:val="目录 7"/>
    <w:basedOn w:val="1066"/>
    <w:next w:val="1066"/>
    <w:link w:val="1066"/>
    <w:uiPriority w:val="39"/>
    <w:semiHidden/>
    <w:qFormat/>
    <w:pPr>
      <w:ind w:left="1260"/>
      <w:jc w:val="left"/>
    </w:pPr>
    <w:rPr>
      <w:szCs w:val="21"/>
    </w:rPr>
  </w:style>
  <w:style w:type="paragraph" w:styleId="1089">
    <w:name w:val="列表编号 2"/>
    <w:basedOn w:val="1066"/>
    <w:next w:val="1089"/>
    <w:link w:val="1066"/>
    <w:uiPriority w:val="99"/>
    <w:qFormat/>
    <w:pPr>
      <w:ind w:left="1440" w:hanging="1440"/>
      <w:spacing w:line="360" w:lineRule="auto"/>
      <w:tabs>
        <w:tab w:val="left" w:pos="1440" w:leader="none"/>
      </w:tabs>
    </w:pPr>
    <w:rPr>
      <w:sz w:val="24"/>
    </w:rPr>
  </w:style>
  <w:style w:type="paragraph" w:styleId="1090">
    <w:name w:val="列表编号"/>
    <w:basedOn w:val="1066"/>
    <w:next w:val="1090"/>
    <w:link w:val="1066"/>
    <w:uiPriority w:val="99"/>
    <w:qFormat/>
    <w:pPr>
      <w:ind w:left="2952" w:hanging="432"/>
      <w:tabs>
        <w:tab w:val="left" w:pos="2952" w:leader="none"/>
      </w:tabs>
    </w:pPr>
  </w:style>
  <w:style w:type="paragraph" w:styleId="1091">
    <w:name w:val="正文缩进"/>
    <w:basedOn w:val="1066"/>
    <w:next w:val="1091"/>
    <w:link w:val="1066"/>
    <w:uiPriority w:val="99"/>
    <w:qFormat/>
    <w:pPr>
      <w:ind w:firstLine="420"/>
    </w:pPr>
    <w:rPr>
      <w:szCs w:val="20"/>
    </w:rPr>
  </w:style>
  <w:style w:type="paragraph" w:styleId="1092">
    <w:name w:val="题注"/>
    <w:basedOn w:val="1066"/>
    <w:next w:val="1066"/>
    <w:link w:val="1066"/>
    <w:qFormat/>
    <w:pPr>
      <w:jc w:val="left"/>
      <w:spacing w:line="312" w:lineRule="auto"/>
    </w:pPr>
    <w:rPr>
      <w:rFonts w:ascii="Cambria" w:hAnsi="Cambria"/>
    </w:rPr>
  </w:style>
  <w:style w:type="paragraph" w:styleId="1093">
    <w:name w:val="文档结构图"/>
    <w:basedOn w:val="1066"/>
    <w:next w:val="1093"/>
    <w:link w:val="1094"/>
    <w:uiPriority w:val="99"/>
    <w:semiHidden/>
    <w:qFormat/>
    <w:pPr>
      <w:shd w:val="clear" w:color="auto" w:fill="000080"/>
    </w:pPr>
    <w:rPr>
      <w:sz w:val="24"/>
    </w:rPr>
  </w:style>
  <w:style w:type="character" w:styleId="1094">
    <w:name w:val="文档结构图 字符"/>
    <w:next w:val="1094"/>
    <w:link w:val="1093"/>
    <w:uiPriority w:val="99"/>
    <w:semiHidden/>
    <w:qFormat/>
    <w:rPr>
      <w:rFonts w:ascii="Times New Roman" w:hAnsi="Times New Roman" w:eastAsia="宋体" w:cs="Times New Roman"/>
      <w:sz w:val="24"/>
      <w:szCs w:val="24"/>
      <w:shd w:val="clear" w:color="auto" w:fill="000080"/>
    </w:rPr>
  </w:style>
  <w:style w:type="paragraph" w:styleId="1095">
    <w:name w:val="批注文字"/>
    <w:basedOn w:val="1066"/>
    <w:next w:val="1095"/>
    <w:link w:val="1096"/>
    <w:uiPriority w:val="99"/>
    <w:qFormat/>
    <w:pPr>
      <w:jc w:val="left"/>
    </w:pPr>
  </w:style>
  <w:style w:type="character" w:styleId="1096">
    <w:name w:val="批注文字 字符1"/>
    <w:basedOn w:val="1076"/>
    <w:next w:val="1096"/>
    <w:link w:val="1095"/>
    <w:uiPriority w:val="99"/>
    <w:qFormat/>
    <w:rPr>
      <w:rFonts w:ascii="Times New Roman" w:hAnsi="Times New Roman" w:eastAsia="宋体" w:cs="Times New Roman"/>
      <w:sz w:val="21"/>
      <w:szCs w:val="24"/>
    </w:rPr>
  </w:style>
  <w:style w:type="paragraph" w:styleId="1097">
    <w:name w:val="称呼"/>
    <w:basedOn w:val="1066"/>
    <w:next w:val="1066"/>
    <w:link w:val="1098"/>
    <w:uiPriority w:val="99"/>
    <w:qFormat/>
    <w:rPr>
      <w:rFonts w:ascii="仿宋_GB2312" w:eastAsia="仿宋_GB2312"/>
      <w:sz w:val="20"/>
      <w:szCs w:val="20"/>
    </w:rPr>
  </w:style>
  <w:style w:type="character" w:styleId="1098">
    <w:name w:val="称呼 字符"/>
    <w:next w:val="1098"/>
    <w:link w:val="1097"/>
    <w:uiPriority w:val="99"/>
    <w:qFormat/>
    <w:rPr>
      <w:rFonts w:ascii="仿宋_GB2312" w:hAnsi="Times New Roman" w:eastAsia="仿宋_GB2312" w:cs="Times New Roman"/>
      <w:sz w:val="20"/>
      <w:szCs w:val="20"/>
    </w:rPr>
  </w:style>
  <w:style w:type="paragraph" w:styleId="1099">
    <w:name w:val="正文文本 3"/>
    <w:basedOn w:val="1066"/>
    <w:next w:val="1099"/>
    <w:link w:val="1100"/>
    <w:uiPriority w:val="99"/>
    <w:qFormat/>
    <w:pPr>
      <w:spacing w:after="120"/>
    </w:pPr>
    <w:rPr>
      <w:sz w:val="16"/>
      <w:szCs w:val="16"/>
    </w:rPr>
  </w:style>
  <w:style w:type="character" w:styleId="1100">
    <w:name w:val="正文文本 3 字符"/>
    <w:next w:val="1100"/>
    <w:link w:val="1099"/>
    <w:uiPriority w:val="99"/>
    <w:qFormat/>
    <w:rPr>
      <w:rFonts w:ascii="Times New Roman" w:hAnsi="Times New Roman" w:eastAsia="宋体" w:cs="Times New Roman"/>
      <w:sz w:val="16"/>
      <w:szCs w:val="16"/>
    </w:rPr>
  </w:style>
  <w:style w:type="paragraph" w:styleId="1101">
    <w:name w:val="正文文本"/>
    <w:basedOn w:val="1066"/>
    <w:next w:val="1101"/>
    <w:link w:val="1102"/>
    <w:uiPriority w:val="99"/>
    <w:unhideWhenUsed/>
    <w:qFormat/>
    <w:pPr>
      <w:spacing w:after="120"/>
    </w:pPr>
    <w:rPr>
      <w:sz w:val="24"/>
    </w:rPr>
  </w:style>
  <w:style w:type="character" w:styleId="1102">
    <w:name w:val="正文文本 字符1"/>
    <w:basedOn w:val="1076"/>
    <w:next w:val="1102"/>
    <w:link w:val="1101"/>
    <w:qFormat/>
    <w:rPr>
      <w:rFonts w:ascii="Times New Roman" w:hAnsi="Times New Roman" w:eastAsia="宋体" w:cs="Times New Roman"/>
      <w:sz w:val="21"/>
      <w:szCs w:val="24"/>
    </w:rPr>
  </w:style>
  <w:style w:type="paragraph" w:styleId="1103">
    <w:name w:val="正文文本缩进"/>
    <w:basedOn w:val="1066"/>
    <w:next w:val="1103"/>
    <w:link w:val="1104"/>
    <w:uiPriority w:val="99"/>
    <w:qFormat/>
    <w:pPr>
      <w:ind w:left="420"/>
      <w:spacing w:after="120"/>
    </w:pPr>
    <w:rPr>
      <w:sz w:val="24"/>
    </w:rPr>
  </w:style>
  <w:style w:type="character" w:styleId="1104">
    <w:name w:val="正文文本缩进 字符"/>
    <w:next w:val="1104"/>
    <w:link w:val="1103"/>
    <w:uiPriority w:val="99"/>
    <w:qFormat/>
    <w:rPr>
      <w:rFonts w:ascii="Times New Roman" w:hAnsi="Times New Roman" w:eastAsia="宋体" w:cs="Times New Roman"/>
      <w:sz w:val="24"/>
      <w:szCs w:val="24"/>
    </w:rPr>
  </w:style>
  <w:style w:type="paragraph" w:styleId="1105">
    <w:name w:val="列表 2"/>
    <w:basedOn w:val="1066"/>
    <w:next w:val="1105"/>
    <w:link w:val="1066"/>
    <w:uiPriority w:val="99"/>
    <w:qFormat/>
    <w:pPr>
      <w:ind w:left="100" w:hanging="200"/>
    </w:pPr>
    <w:rPr>
      <w:szCs w:val="21"/>
    </w:rPr>
  </w:style>
  <w:style w:type="paragraph" w:styleId="1106">
    <w:name w:val="文本块"/>
    <w:basedOn w:val="1066"/>
    <w:next w:val="1107"/>
    <w:link w:val="1066"/>
    <w:qFormat/>
    <w:pPr>
      <w:ind w:left="1440" w:right="1440"/>
      <w:spacing w:after="120"/>
    </w:pPr>
  </w:style>
  <w:style w:type="paragraph" w:styleId="1107">
    <w:name w:val="索引标题"/>
    <w:basedOn w:val="1066"/>
    <w:next w:val="1108"/>
    <w:link w:val="1066"/>
    <w:uiPriority w:val="99"/>
    <w:semiHidden/>
    <w:qFormat/>
    <w:rPr>
      <w:szCs w:val="20"/>
    </w:rPr>
  </w:style>
  <w:style w:type="paragraph" w:styleId="1108">
    <w:name w:val="索引 1"/>
    <w:basedOn w:val="1066"/>
    <w:next w:val="1066"/>
    <w:link w:val="1066"/>
    <w:uiPriority w:val="99"/>
    <w:semiHidden/>
    <w:qFormat/>
    <w:pPr>
      <w:jc w:val="center"/>
      <w:tabs>
        <w:tab w:val="left" w:pos="1260" w:leader="none"/>
      </w:tabs>
    </w:pPr>
    <w:rPr>
      <w:rFonts w:ascii="仿宋_GB2312" w:hAnsi="宋体" w:eastAsia="仿宋_GB2312"/>
      <w:sz w:val="30"/>
      <w:szCs w:val="20"/>
    </w:rPr>
  </w:style>
  <w:style w:type="paragraph" w:styleId="1109">
    <w:name w:val="索引 4"/>
    <w:basedOn w:val="1066"/>
    <w:next w:val="1066"/>
    <w:link w:val="1066"/>
    <w:semiHidden/>
    <w:qFormat/>
    <w:pPr>
      <w:ind w:left="1260"/>
    </w:pPr>
    <w:rPr>
      <w:rFonts w:ascii="Calibri" w:hAnsi="Calibri" w:eastAsia="Calibri" w:cs="宋体"/>
      <w:sz w:val="20"/>
      <w:lang w:val="zh-CN"/>
    </w:rPr>
  </w:style>
  <w:style w:type="paragraph" w:styleId="1110">
    <w:name w:val="目录 5"/>
    <w:basedOn w:val="1066"/>
    <w:next w:val="1066"/>
    <w:link w:val="1066"/>
    <w:uiPriority w:val="39"/>
    <w:semiHidden/>
    <w:qFormat/>
    <w:pPr>
      <w:ind w:left="840"/>
      <w:jc w:val="left"/>
    </w:pPr>
    <w:rPr>
      <w:szCs w:val="21"/>
    </w:rPr>
  </w:style>
  <w:style w:type="paragraph" w:styleId="1111">
    <w:name w:val="目录 3"/>
    <w:basedOn w:val="1066"/>
    <w:next w:val="1066"/>
    <w:link w:val="1066"/>
    <w:uiPriority w:val="39"/>
    <w:semiHidden/>
    <w:qFormat/>
    <w:pPr>
      <w:ind w:left="840"/>
    </w:pPr>
  </w:style>
  <w:style w:type="paragraph" w:styleId="1112">
    <w:name w:val="纯文本"/>
    <w:basedOn w:val="1066"/>
    <w:next w:val="1112"/>
    <w:link w:val="1113"/>
    <w:qFormat/>
    <w:rPr>
      <w:rFonts w:ascii="宋体" w:hAnsi="Courier New"/>
      <w:szCs w:val="21"/>
    </w:rPr>
  </w:style>
  <w:style w:type="character" w:styleId="1113">
    <w:name w:val="纯文本 字符"/>
    <w:next w:val="1113"/>
    <w:link w:val="1112"/>
    <w:qFormat/>
    <w:rPr>
      <w:rFonts w:ascii="宋体" w:hAnsi="Courier New" w:eastAsia="宋体" w:cs="Times New Roman"/>
      <w:sz w:val="21"/>
      <w:szCs w:val="21"/>
    </w:rPr>
  </w:style>
  <w:style w:type="paragraph" w:styleId="1114">
    <w:name w:val="目录 8"/>
    <w:basedOn w:val="1066"/>
    <w:next w:val="1066"/>
    <w:link w:val="1066"/>
    <w:uiPriority w:val="39"/>
    <w:semiHidden/>
    <w:qFormat/>
    <w:pPr>
      <w:ind w:left="1470"/>
      <w:jc w:val="left"/>
    </w:pPr>
    <w:rPr>
      <w:szCs w:val="21"/>
    </w:rPr>
  </w:style>
  <w:style w:type="paragraph" w:styleId="1115">
    <w:name w:val="索引 3"/>
    <w:basedOn w:val="1066"/>
    <w:next w:val="1066"/>
    <w:link w:val="1066"/>
    <w:uiPriority w:val="99"/>
    <w:semiHidden/>
    <w:qFormat/>
    <w:pPr>
      <w:ind w:left="840"/>
    </w:pPr>
    <w:rPr>
      <w:szCs w:val="20"/>
    </w:rPr>
  </w:style>
  <w:style w:type="paragraph" w:styleId="1116">
    <w:name w:val="日期"/>
    <w:basedOn w:val="1066"/>
    <w:next w:val="1066"/>
    <w:link w:val="1117"/>
    <w:uiPriority w:val="99"/>
    <w:qFormat/>
    <w:pPr>
      <w:ind w:left="100"/>
    </w:pPr>
    <w:rPr>
      <w:sz w:val="20"/>
      <w:szCs w:val="20"/>
    </w:rPr>
  </w:style>
  <w:style w:type="character" w:styleId="1117">
    <w:name w:val="日期 字符"/>
    <w:next w:val="1117"/>
    <w:link w:val="1116"/>
    <w:uiPriority w:val="99"/>
    <w:qFormat/>
    <w:rPr>
      <w:rFonts w:ascii="Times New Roman" w:hAnsi="Times New Roman" w:eastAsia="宋体" w:cs="Times New Roman"/>
      <w:sz w:val="20"/>
      <w:szCs w:val="20"/>
    </w:rPr>
  </w:style>
  <w:style w:type="paragraph" w:styleId="1118">
    <w:name w:val="正文文本缩进 2"/>
    <w:basedOn w:val="1066"/>
    <w:next w:val="1118"/>
    <w:link w:val="1119"/>
    <w:uiPriority w:val="99"/>
    <w:qFormat/>
    <w:pPr>
      <w:ind w:firstLine="480"/>
      <w:spacing w:line="400" w:lineRule="exact"/>
    </w:pPr>
    <w:rPr>
      <w:rFonts w:ascii="宋体" w:hAnsi="宋体"/>
      <w:sz w:val="24"/>
    </w:rPr>
  </w:style>
  <w:style w:type="character" w:styleId="1119">
    <w:name w:val="正文文本缩进 2 字符"/>
    <w:next w:val="1119"/>
    <w:link w:val="1118"/>
    <w:uiPriority w:val="99"/>
    <w:qFormat/>
    <w:rPr>
      <w:rFonts w:ascii="宋体" w:hAnsi="宋体" w:eastAsia="宋体" w:cs="Times New Roman"/>
      <w:sz w:val="24"/>
      <w:szCs w:val="24"/>
    </w:rPr>
  </w:style>
  <w:style w:type="paragraph" w:styleId="1120">
    <w:name w:val="尾注文本"/>
    <w:basedOn w:val="1066"/>
    <w:next w:val="1120"/>
    <w:link w:val="1121"/>
    <w:uiPriority w:val="99"/>
    <w:semiHidden/>
    <w:qFormat/>
    <w:pPr>
      <w:jc w:val="left"/>
    </w:pPr>
    <w:rPr>
      <w:sz w:val="24"/>
    </w:rPr>
  </w:style>
  <w:style w:type="character" w:styleId="1121">
    <w:name w:val="尾注文本 字符"/>
    <w:next w:val="1121"/>
    <w:link w:val="1120"/>
    <w:uiPriority w:val="99"/>
    <w:semiHidden/>
    <w:qFormat/>
    <w:rPr>
      <w:rFonts w:ascii="Times New Roman" w:hAnsi="Times New Roman" w:eastAsia="宋体" w:cs="Times New Roman"/>
      <w:sz w:val="24"/>
      <w:szCs w:val="24"/>
    </w:rPr>
  </w:style>
  <w:style w:type="paragraph" w:styleId="1122">
    <w:name w:val="批注框文本"/>
    <w:basedOn w:val="1066"/>
    <w:next w:val="1122"/>
    <w:link w:val="1123"/>
    <w:uiPriority w:val="99"/>
    <w:semiHidden/>
    <w:qFormat/>
    <w:rPr>
      <w:sz w:val="18"/>
      <w:szCs w:val="18"/>
    </w:rPr>
  </w:style>
  <w:style w:type="character" w:styleId="1123">
    <w:name w:val="批注框文本 字符"/>
    <w:next w:val="1123"/>
    <w:link w:val="1122"/>
    <w:uiPriority w:val="99"/>
    <w:semiHidden/>
    <w:qFormat/>
    <w:rPr>
      <w:rFonts w:ascii="Times New Roman" w:hAnsi="Times New Roman" w:eastAsia="宋体" w:cs="Times New Roman"/>
      <w:sz w:val="18"/>
      <w:szCs w:val="18"/>
    </w:rPr>
  </w:style>
  <w:style w:type="paragraph" w:styleId="1124">
    <w:name w:val="页脚"/>
    <w:basedOn w:val="1066"/>
    <w:next w:val="1124"/>
    <w:link w:val="1125"/>
    <w:uiPriority w:val="99"/>
    <w:unhideWhenUsed/>
    <w:qFormat/>
    <w:pPr>
      <w:jc w:val="left"/>
      <w:tabs>
        <w:tab w:val="center" w:pos="4153" w:leader="none"/>
        <w:tab w:val="right" w:pos="8306" w:leader="none"/>
      </w:tabs>
    </w:pPr>
    <w:rPr>
      <w:sz w:val="18"/>
      <w:szCs w:val="18"/>
    </w:rPr>
  </w:style>
  <w:style w:type="character" w:styleId="1125">
    <w:name w:val="页脚 字符"/>
    <w:basedOn w:val="1076"/>
    <w:next w:val="1125"/>
    <w:link w:val="1124"/>
    <w:uiPriority w:val="99"/>
    <w:qFormat/>
    <w:rPr>
      <w:sz w:val="18"/>
      <w:szCs w:val="18"/>
    </w:rPr>
  </w:style>
  <w:style w:type="paragraph" w:styleId="1126">
    <w:name w:val="页眉"/>
    <w:basedOn w:val="1066"/>
    <w:next w:val="1126"/>
    <w:link w:val="112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7">
    <w:name w:val="页眉 字符"/>
    <w:next w:val="1127"/>
    <w:link w:val="1126"/>
    <w:uiPriority w:val="99"/>
    <w:qFormat/>
    <w:rPr>
      <w:rFonts w:cs="Times New Roman"/>
      <w:sz w:val="18"/>
      <w:szCs w:val="18"/>
    </w:rPr>
  </w:style>
  <w:style w:type="paragraph" w:styleId="1128">
    <w:name w:val="签名"/>
    <w:basedOn w:val="1066"/>
    <w:next w:val="1128"/>
    <w:link w:val="1129"/>
    <w:uiPriority w:val="99"/>
    <w:qFormat/>
    <w:pPr>
      <w:jc w:val="center"/>
      <w:spacing w:after="600" w:line="312" w:lineRule="atLeast"/>
    </w:pPr>
    <w:rPr>
      <w:rFonts w:eastAsia="仿宋_GB2312"/>
      <w:sz w:val="20"/>
      <w:szCs w:val="20"/>
    </w:rPr>
  </w:style>
  <w:style w:type="character" w:styleId="1129">
    <w:name w:val="签名 字符"/>
    <w:next w:val="1129"/>
    <w:link w:val="1128"/>
    <w:uiPriority w:val="99"/>
    <w:qFormat/>
    <w:rPr>
      <w:rFonts w:ascii="Times New Roman" w:hAnsi="Times New Roman" w:eastAsia="仿宋_GB2312" w:cs="Times New Roman"/>
      <w:sz w:val="20"/>
      <w:szCs w:val="20"/>
    </w:rPr>
  </w:style>
  <w:style w:type="paragraph" w:styleId="1130">
    <w:name w:val="目录 1"/>
    <w:basedOn w:val="1066"/>
    <w:next w:val="1066"/>
    <w:link w:val="1066"/>
    <w:uiPriority w:val="39"/>
    <w:semiHidden/>
    <w:qFormat/>
  </w:style>
  <w:style w:type="paragraph" w:styleId="1131">
    <w:name w:val="目录 4"/>
    <w:basedOn w:val="1066"/>
    <w:next w:val="1066"/>
    <w:link w:val="1066"/>
    <w:uiPriority w:val="39"/>
    <w:semiHidden/>
    <w:qFormat/>
    <w:pPr>
      <w:ind w:left="630"/>
      <w:jc w:val="left"/>
    </w:pPr>
    <w:rPr>
      <w:szCs w:val="21"/>
    </w:rPr>
  </w:style>
  <w:style w:type="paragraph" w:styleId="1132">
    <w:name w:val="副标题"/>
    <w:basedOn w:val="1066"/>
    <w:next w:val="1066"/>
    <w:link w:val="1133"/>
    <w:uiPriority w:val="11"/>
    <w:qFormat/>
    <w:pPr>
      <w:jc w:val="left"/>
      <w:spacing w:after="600" w:line="276" w:lineRule="auto"/>
      <w:widowControl/>
    </w:pPr>
    <w:rPr>
      <w:rFonts w:ascii="Cambria" w:hAnsi="Cambria"/>
      <w:i/>
      <w:iCs/>
      <w:spacing w:val="13"/>
      <w:sz w:val="24"/>
      <w:lang w:eastAsia="en-US"/>
    </w:rPr>
  </w:style>
  <w:style w:type="character" w:styleId="1133">
    <w:name w:val="副标题 字符"/>
    <w:next w:val="1133"/>
    <w:link w:val="1132"/>
    <w:uiPriority w:val="11"/>
    <w:qFormat/>
    <w:rPr>
      <w:rFonts w:ascii="Cambria" w:hAnsi="Cambria" w:eastAsia="宋体" w:cs="Times New Roman"/>
      <w:i/>
      <w:iCs/>
      <w:spacing w:val="13"/>
      <w:sz w:val="24"/>
      <w:szCs w:val="24"/>
      <w:lang w:eastAsia="en-US"/>
    </w:rPr>
  </w:style>
  <w:style w:type="paragraph" w:styleId="1134">
    <w:name w:val="列表"/>
    <w:basedOn w:val="1066"/>
    <w:next w:val="1134"/>
    <w:link w:val="1066"/>
    <w:uiPriority w:val="99"/>
    <w:qFormat/>
    <w:pPr>
      <w:ind w:left="200" w:hanging="200"/>
    </w:pPr>
    <w:rPr>
      <w:szCs w:val="21"/>
    </w:rPr>
  </w:style>
  <w:style w:type="paragraph" w:styleId="1135">
    <w:name w:val="脚注文本"/>
    <w:basedOn w:val="1066"/>
    <w:next w:val="1135"/>
    <w:link w:val="1136"/>
    <w:uiPriority w:val="99"/>
    <w:semiHidden/>
    <w:qFormat/>
    <w:pPr>
      <w:jc w:val="left"/>
    </w:pPr>
    <w:rPr>
      <w:sz w:val="18"/>
      <w:szCs w:val="18"/>
    </w:rPr>
  </w:style>
  <w:style w:type="character" w:styleId="1136">
    <w:name w:val="脚注文本 字符"/>
    <w:next w:val="1136"/>
    <w:link w:val="1135"/>
    <w:uiPriority w:val="99"/>
    <w:semiHidden/>
    <w:qFormat/>
    <w:rPr>
      <w:rFonts w:ascii="Times New Roman" w:hAnsi="Times New Roman" w:eastAsia="宋体" w:cs="Times New Roman"/>
      <w:sz w:val="18"/>
      <w:szCs w:val="18"/>
    </w:rPr>
  </w:style>
  <w:style w:type="paragraph" w:styleId="1137">
    <w:name w:val="目录 6"/>
    <w:basedOn w:val="1066"/>
    <w:next w:val="1066"/>
    <w:link w:val="1066"/>
    <w:uiPriority w:val="39"/>
    <w:semiHidden/>
    <w:qFormat/>
    <w:pPr>
      <w:ind w:left="1050"/>
      <w:jc w:val="left"/>
    </w:pPr>
    <w:rPr>
      <w:szCs w:val="21"/>
    </w:rPr>
  </w:style>
  <w:style w:type="paragraph" w:styleId="1138">
    <w:name w:val="正文文本缩进 3"/>
    <w:basedOn w:val="1066"/>
    <w:next w:val="1138"/>
    <w:link w:val="1139"/>
    <w:uiPriority w:val="99"/>
    <w:qFormat/>
    <w:pPr>
      <w:ind w:left="480"/>
      <w:spacing w:before="120" w:after="120" w:line="264" w:lineRule="auto"/>
    </w:pPr>
    <w:rPr>
      <w:b/>
      <w:bCs/>
      <w:sz w:val="20"/>
      <w:szCs w:val="20"/>
    </w:rPr>
  </w:style>
  <w:style w:type="character" w:styleId="1139">
    <w:name w:val="正文文本缩进 3 字符"/>
    <w:next w:val="1139"/>
    <w:link w:val="1138"/>
    <w:uiPriority w:val="99"/>
    <w:qFormat/>
    <w:rPr>
      <w:rFonts w:ascii="Times New Roman" w:hAnsi="Times New Roman" w:eastAsia="宋体" w:cs="Times New Roman"/>
      <w:b/>
      <w:bCs/>
      <w:sz w:val="20"/>
      <w:szCs w:val="20"/>
    </w:rPr>
  </w:style>
  <w:style w:type="paragraph" w:styleId="1140">
    <w:name w:val="图表目录"/>
    <w:basedOn w:val="1066"/>
    <w:next w:val="1066"/>
    <w:link w:val="1066"/>
    <w:uiPriority w:val="99"/>
    <w:semiHidden/>
    <w:qFormat/>
    <w:pPr>
      <w:ind w:left="840" w:hanging="420"/>
    </w:pPr>
    <w:rPr>
      <w:szCs w:val="21"/>
    </w:rPr>
  </w:style>
  <w:style w:type="paragraph" w:styleId="1141">
    <w:name w:val="目录 2"/>
    <w:basedOn w:val="1066"/>
    <w:next w:val="1066"/>
    <w:link w:val="1066"/>
    <w:uiPriority w:val="39"/>
    <w:semiHidden/>
    <w:qFormat/>
    <w:pPr>
      <w:ind w:left="420"/>
    </w:pPr>
  </w:style>
  <w:style w:type="paragraph" w:styleId="1142">
    <w:name w:val="目录 9"/>
    <w:basedOn w:val="1066"/>
    <w:next w:val="1066"/>
    <w:link w:val="1066"/>
    <w:uiPriority w:val="39"/>
    <w:semiHidden/>
    <w:qFormat/>
    <w:pPr>
      <w:ind w:left="1680"/>
      <w:jc w:val="left"/>
    </w:pPr>
    <w:rPr>
      <w:szCs w:val="21"/>
    </w:rPr>
  </w:style>
  <w:style w:type="paragraph" w:styleId="1143">
    <w:name w:val="正文文本 2"/>
    <w:basedOn w:val="1066"/>
    <w:next w:val="1143"/>
    <w:link w:val="1144"/>
    <w:uiPriority w:val="99"/>
    <w:qFormat/>
    <w:pPr>
      <w:jc w:val="center"/>
    </w:pPr>
    <w:rPr>
      <w:b/>
      <w:bCs/>
      <w:sz w:val="20"/>
      <w:szCs w:val="20"/>
    </w:rPr>
  </w:style>
  <w:style w:type="character" w:styleId="1144">
    <w:name w:val="正文文本 2 字符"/>
    <w:next w:val="1144"/>
    <w:link w:val="1143"/>
    <w:uiPriority w:val="99"/>
    <w:qFormat/>
    <w:rPr>
      <w:rFonts w:ascii="Times New Roman" w:hAnsi="Times New Roman" w:eastAsia="宋体" w:cs="Times New Roman"/>
      <w:b/>
      <w:bCs/>
      <w:sz w:val="20"/>
      <w:szCs w:val="20"/>
    </w:rPr>
  </w:style>
  <w:style w:type="paragraph" w:styleId="1145">
    <w:name w:val="HTML 预设格式"/>
    <w:basedOn w:val="1066"/>
    <w:next w:val="1145"/>
    <w:link w:val="11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6">
    <w:name w:val="HTML 预设格式 字符"/>
    <w:next w:val="1146"/>
    <w:link w:val="1145"/>
    <w:uiPriority w:val="99"/>
    <w:qFormat/>
    <w:rPr>
      <w:rFonts w:ascii="宋体" w:hAnsi="宋体" w:eastAsia="宋体" w:cs="宋体"/>
      <w:sz w:val="24"/>
      <w:szCs w:val="24"/>
    </w:rPr>
  </w:style>
  <w:style w:type="paragraph" w:styleId="1147">
    <w:name w:val="普通(网站)"/>
    <w:basedOn w:val="1066"/>
    <w:next w:val="1147"/>
    <w:link w:val="1066"/>
    <w:qFormat/>
    <w:pPr>
      <w:jc w:val="left"/>
      <w:spacing w:before="100" w:beforeAutospacing="1" w:after="100" w:afterAutospacing="1"/>
      <w:widowControl/>
    </w:pPr>
    <w:rPr>
      <w:rFonts w:ascii="宋体" w:hAnsi="宋体" w:cs="宋体"/>
      <w:sz w:val="24"/>
    </w:rPr>
  </w:style>
  <w:style w:type="paragraph" w:styleId="1148">
    <w:name w:val="索引 2"/>
    <w:basedOn w:val="1066"/>
    <w:next w:val="1066"/>
    <w:link w:val="1066"/>
    <w:uiPriority w:val="99"/>
    <w:semiHidden/>
    <w:qFormat/>
    <w:pPr>
      <w:ind w:left="420"/>
      <w:jc w:val="center"/>
    </w:pPr>
    <w:rPr>
      <w:rFonts w:ascii="宋体" w:hAnsi="宋体"/>
      <w:b/>
      <w:sz w:val="32"/>
      <w:szCs w:val="20"/>
    </w:rPr>
  </w:style>
  <w:style w:type="paragraph" w:styleId="1149">
    <w:name w:val="标题"/>
    <w:basedOn w:val="1066"/>
    <w:next w:val="1149"/>
    <w:link w:val="1150"/>
    <w:uiPriority w:val="10"/>
    <w:qFormat/>
    <w:pPr>
      <w:jc w:val="center"/>
      <w:spacing w:line="420" w:lineRule="exact"/>
      <w:widowControl/>
    </w:pPr>
    <w:rPr>
      <w:rFonts w:eastAsia="黑体"/>
      <w:b/>
      <w:sz w:val="20"/>
      <w:szCs w:val="20"/>
      <w:lang w:val="en-GB"/>
    </w:rPr>
  </w:style>
  <w:style w:type="character" w:styleId="1150">
    <w:name w:val="标题 字符"/>
    <w:next w:val="1150"/>
    <w:link w:val="1149"/>
    <w:uiPriority w:val="10"/>
    <w:qFormat/>
    <w:rPr>
      <w:rFonts w:ascii="Times New Roman" w:hAnsi="Times New Roman" w:eastAsia="黑体" w:cs="Times New Roman"/>
      <w:b/>
      <w:sz w:val="20"/>
      <w:szCs w:val="20"/>
      <w:lang w:val="en-GB"/>
    </w:rPr>
  </w:style>
  <w:style w:type="paragraph" w:styleId="1151">
    <w:name w:val="批注主题"/>
    <w:basedOn w:val="1095"/>
    <w:next w:val="1095"/>
    <w:link w:val="1152"/>
    <w:uiPriority w:val="99"/>
    <w:semiHidden/>
    <w:qFormat/>
    <w:rPr>
      <w:b/>
      <w:bCs/>
      <w:sz w:val="24"/>
    </w:rPr>
  </w:style>
  <w:style w:type="character" w:styleId="1152">
    <w:name w:val="批注主题 字符"/>
    <w:next w:val="1152"/>
    <w:link w:val="1151"/>
    <w:uiPriority w:val="99"/>
    <w:semiHidden/>
    <w:qFormat/>
    <w:rPr>
      <w:rFonts w:ascii="Times New Roman" w:hAnsi="Times New Roman" w:eastAsia="宋体" w:cs="Times New Roman"/>
      <w:b/>
      <w:bCs/>
      <w:sz w:val="24"/>
      <w:szCs w:val="24"/>
    </w:rPr>
  </w:style>
  <w:style w:type="paragraph" w:styleId="1153">
    <w:name w:val="正文首行缩进"/>
    <w:basedOn w:val="1101"/>
    <w:next w:val="1153"/>
    <w:link w:val="1154"/>
    <w:uiPriority w:val="99"/>
    <w:qFormat/>
    <w:pPr>
      <w:ind w:firstLine="420"/>
    </w:pPr>
  </w:style>
  <w:style w:type="character" w:styleId="1154">
    <w:name w:val="正文首行缩进 字符"/>
    <w:basedOn w:val="1155"/>
    <w:next w:val="1154"/>
    <w:link w:val="1153"/>
    <w:uiPriority w:val="99"/>
    <w:qFormat/>
    <w:rPr>
      <w:rFonts w:ascii="Times New Roman" w:hAnsi="Times New Roman" w:eastAsia="宋体" w:cs="Times New Roman"/>
      <w:sz w:val="24"/>
      <w:szCs w:val="24"/>
    </w:rPr>
  </w:style>
  <w:style w:type="character" w:styleId="1155">
    <w:name w:val="正文文本 字符"/>
    <w:next w:val="1155"/>
    <w:link w:val="1066"/>
    <w:uiPriority w:val="99"/>
    <w:semiHidden/>
    <w:qFormat/>
    <w:rPr>
      <w:rFonts w:ascii="Times New Roman" w:hAnsi="Times New Roman" w:eastAsia="宋体" w:cs="Times New Roman"/>
      <w:sz w:val="24"/>
      <w:szCs w:val="24"/>
    </w:rPr>
  </w:style>
  <w:style w:type="paragraph" w:styleId="1156">
    <w:name w:val="正文首行缩进 2"/>
    <w:basedOn w:val="1103"/>
    <w:next w:val="1156"/>
    <w:link w:val="1157"/>
    <w:uiPriority w:val="99"/>
    <w:qFormat/>
    <w:pPr>
      <w:ind w:left="0" w:firstLine="420"/>
      <w:spacing w:after="0" w:line="360" w:lineRule="auto"/>
    </w:pPr>
    <w:rPr>
      <w:rFonts w:ascii="宋体" w:hAnsi="宋体"/>
      <w:sz w:val="20"/>
      <w:szCs w:val="20"/>
    </w:rPr>
  </w:style>
  <w:style w:type="character" w:styleId="1157">
    <w:name w:val="正文首行缩进 2 字符"/>
    <w:next w:val="1157"/>
    <w:link w:val="1156"/>
    <w:uiPriority w:val="99"/>
    <w:qFormat/>
    <w:rPr>
      <w:rFonts w:ascii="宋体" w:hAnsi="宋体" w:eastAsia="宋体" w:cs="Times New Roman"/>
      <w:sz w:val="20"/>
      <w:szCs w:val="20"/>
    </w:rPr>
  </w:style>
  <w:style w:type="table" w:styleId="1158">
    <w:name w:val="网格型"/>
    <w:basedOn w:val="1077"/>
    <w:next w:val="1158"/>
    <w:link w:val="1066"/>
    <w:qFormat/>
    <w:pPr>
      <w:jc w:val="both"/>
      <w:widowControl w:val="off"/>
    </w:pPr>
    <w:tblPr/>
  </w:style>
  <w:style w:type="character" w:styleId="1159">
    <w:name w:val="要点"/>
    <w:basedOn w:val="1076"/>
    <w:next w:val="1159"/>
    <w:link w:val="1066"/>
    <w:uiPriority w:val="22"/>
    <w:qFormat/>
    <w:rPr>
      <w:b/>
    </w:rPr>
  </w:style>
  <w:style w:type="character" w:styleId="1160">
    <w:name w:val="尾注引用"/>
    <w:next w:val="1160"/>
    <w:link w:val="1066"/>
    <w:uiPriority w:val="99"/>
    <w:semiHidden/>
    <w:qFormat/>
    <w:rPr>
      <w:vertAlign w:val="superscript"/>
    </w:rPr>
  </w:style>
  <w:style w:type="character" w:styleId="1161">
    <w:name w:val="页码"/>
    <w:next w:val="1161"/>
    <w:link w:val="1066"/>
    <w:uiPriority w:val="99"/>
    <w:qFormat/>
    <w:rPr>
      <w:rFonts w:cs="Times New Roman"/>
    </w:rPr>
  </w:style>
  <w:style w:type="character" w:styleId="1162">
    <w:name w:val="已访问的超链接"/>
    <w:basedOn w:val="1076"/>
    <w:next w:val="1162"/>
    <w:link w:val="1066"/>
    <w:uiPriority w:val="99"/>
    <w:qFormat/>
    <w:rPr>
      <w:color w:val="0076be"/>
      <w:u w:val="none"/>
    </w:rPr>
  </w:style>
  <w:style w:type="character" w:styleId="1163">
    <w:name w:val="强调"/>
    <w:next w:val="1163"/>
    <w:link w:val="1066"/>
    <w:uiPriority w:val="20"/>
    <w:qFormat/>
    <w:rPr>
      <w:b/>
      <w:i/>
      <w:spacing w:val="10"/>
      <w:shd w:val="clear" w:color="auto" w:fill="auto"/>
    </w:rPr>
  </w:style>
  <w:style w:type="character" w:styleId="1164">
    <w:name w:val="行号"/>
    <w:next w:val="1164"/>
    <w:link w:val="1066"/>
    <w:uiPriority w:val="99"/>
    <w:qFormat/>
    <w:rPr>
      <w:rFonts w:cs="Times New Roman"/>
    </w:rPr>
  </w:style>
  <w:style w:type="character" w:styleId="1165">
    <w:name w:val="HTML 打字机"/>
    <w:next w:val="1165"/>
    <w:link w:val="1066"/>
    <w:uiPriority w:val="99"/>
    <w:qFormat/>
    <w:rPr>
      <w:rFonts w:ascii="宋体" w:hAnsi="宋体" w:eastAsia="宋体"/>
      <w:sz w:val="24"/>
    </w:rPr>
  </w:style>
  <w:style w:type="character" w:styleId="1166">
    <w:name w:val="超链接"/>
    <w:basedOn w:val="1076"/>
    <w:next w:val="1166"/>
    <w:link w:val="1066"/>
    <w:uiPriority w:val="99"/>
    <w:qFormat/>
    <w:rPr>
      <w:color w:val="0076be"/>
      <w:u w:val="none"/>
    </w:rPr>
  </w:style>
  <w:style w:type="character" w:styleId="1167">
    <w:name w:val="批注引用"/>
    <w:next w:val="1167"/>
    <w:link w:val="1066"/>
    <w:qFormat/>
    <w:rPr>
      <w:sz w:val="21"/>
    </w:rPr>
  </w:style>
  <w:style w:type="character" w:styleId="1168">
    <w:name w:val="脚注引用"/>
    <w:next w:val="1168"/>
    <w:link w:val="1066"/>
    <w:uiPriority w:val="99"/>
    <w:semiHidden/>
    <w:qFormat/>
    <w:rPr>
      <w:vertAlign w:val="superscript"/>
    </w:rPr>
  </w:style>
  <w:style w:type="character" w:styleId="1169">
    <w:name w:val="HTML 样本"/>
    <w:next w:val="1169"/>
    <w:link w:val="1066"/>
    <w:uiPriority w:val="99"/>
    <w:qFormat/>
    <w:rPr>
      <w:rFonts w:ascii="Courier New" w:hAnsi="宋体" w:eastAsia="宋体"/>
    </w:rPr>
  </w:style>
  <w:style w:type="character" w:styleId="1170">
    <w:name w:val="强调1"/>
    <w:next w:val="1170"/>
    <w:link w:val="1066"/>
    <w:qFormat/>
    <w:rPr>
      <w:rFonts w:ascii="Times New Roman" w:hAnsi="Times New Roman" w:eastAsia="宋体" w:cs="Times New Roman"/>
      <w:sz w:val="21"/>
      <w:szCs w:val="24"/>
      <w:lang w:val="en-US" w:eastAsia="zh-CN" w:bidi="ar-SA"/>
    </w:rPr>
  </w:style>
  <w:style w:type="character" w:styleId="1171">
    <w:name w:val="标题 1 字符"/>
    <w:next w:val="1171"/>
    <w:link w:val="1066"/>
    <w:uiPriority w:val="9"/>
    <w:qFormat/>
    <w:rPr>
      <w:rFonts w:ascii="Times New Roman" w:hAnsi="Times New Roman" w:eastAsia="宋体" w:cs="Times New Roman"/>
      <w:b/>
      <w:bCs/>
      <w:sz w:val="44"/>
      <w:szCs w:val="44"/>
    </w:rPr>
  </w:style>
  <w:style w:type="paragraph" w:styleId="1172">
    <w:name w:val="正文首行缩进 211"/>
    <w:basedOn w:val="1173"/>
    <w:next w:val="1172"/>
    <w:link w:val="1066"/>
    <w:unhideWhenUsed/>
    <w:qFormat/>
    <w:pPr>
      <w:ind w:firstLine="200"/>
    </w:pPr>
  </w:style>
  <w:style w:type="paragraph" w:styleId="1173">
    <w:name w:val="正文文本缩进11"/>
    <w:basedOn w:val="1066"/>
    <w:next w:val="1173"/>
    <w:link w:val="1066"/>
    <w:qFormat/>
    <w:pPr>
      <w:spacing w:after="120"/>
    </w:pPr>
    <w:rPr>
      <w:sz w:val="20"/>
    </w:rPr>
  </w:style>
  <w:style w:type="paragraph" w:styleId="1174">
    <w:name w:val="BodyText1"/>
    <w:basedOn w:val="1066"/>
    <w:next w:val="1174"/>
    <w:link w:val="1066"/>
    <w:qFormat/>
    <w:pPr>
      <w:spacing w:after="120"/>
    </w:pPr>
    <w:rPr>
      <w:rFonts w:ascii="Calibri"/>
      <w:sz w:val="20"/>
    </w:rPr>
  </w:style>
  <w:style w:type="paragraph" w:styleId="1175">
    <w:name w:val="NormalIndent1"/>
    <w:basedOn w:val="1066"/>
    <w:next w:val="1175"/>
    <w:link w:val="1066"/>
    <w:qFormat/>
    <w:pPr>
      <w:ind w:firstLine="420"/>
    </w:pPr>
  </w:style>
  <w:style w:type="paragraph" w:styleId="1176">
    <w:name w:val="样式2"/>
    <w:basedOn w:val="1066"/>
    <w:next w:val="1176"/>
    <w:link w:val="1066"/>
    <w:qFormat/>
    <w:pPr>
      <w:ind w:left="200"/>
      <w:spacing w:line="360" w:lineRule="auto"/>
    </w:pPr>
    <w:rPr>
      <w:rFonts w:ascii="宋体" w:hAnsi="宋体"/>
      <w:b/>
      <w:sz w:val="24"/>
    </w:rPr>
  </w:style>
  <w:style w:type="paragraph" w:styleId="1177">
    <w:name w:val="部分1"/>
    <w:basedOn w:val="1066"/>
    <w:next w:val="1177"/>
    <w:link w:val="1066"/>
    <w:qFormat/>
    <w:pPr>
      <w:jc w:val="center"/>
      <w:keepNext/>
      <w:pageBreakBefore/>
      <w:spacing w:line="360" w:lineRule="auto"/>
      <w:tabs>
        <w:tab w:val="left" w:pos="360" w:leader="none"/>
      </w:tabs>
      <w:outlineLvl w:val="0"/>
    </w:pPr>
    <w:rPr>
      <w:rFonts w:eastAsia="黑体"/>
      <w:b/>
      <w:sz w:val="36"/>
      <w:szCs w:val="20"/>
    </w:rPr>
  </w:style>
  <w:style w:type="paragraph" w:styleId="1178">
    <w:name w:val="xl27"/>
    <w:basedOn w:val="1066"/>
    <w:next w:val="1178"/>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9">
    <w:name w:val="正文缩进2字符"/>
    <w:basedOn w:val="1066"/>
    <w:next w:val="1179"/>
    <w:link w:val="1066"/>
    <w:qFormat/>
    <w:pPr>
      <w:ind w:firstLine="200"/>
      <w:spacing w:line="300" w:lineRule="auto"/>
    </w:pPr>
    <w:rPr>
      <w:rFonts w:ascii="仿宋_GB2312" w:eastAsia="仿宋_GB2312"/>
      <w:sz w:val="32"/>
      <w:szCs w:val="32"/>
    </w:rPr>
  </w:style>
  <w:style w:type="paragraph" w:styleId="1180">
    <w:name w:val="Table Text Char"/>
    <w:next w:val="1180"/>
    <w:link w:val="1066"/>
    <w:qFormat/>
    <w:pPr>
      <w:spacing w:before="80" w:after="80"/>
    </w:pPr>
    <w:rPr>
      <w:rFonts w:ascii="Arial" w:hAnsi="Arial" w:eastAsia="宋体" w:cs="Arial"/>
      <w:sz w:val="18"/>
      <w:szCs w:val="28"/>
      <w:lang w:val="en-US" w:eastAsia="zh-CN" w:bidi="ar-SA"/>
    </w:rPr>
  </w:style>
  <w:style w:type="paragraph" w:styleId="1181">
    <w:name w:val="小四 段落 宋体 Char Char Char Char"/>
    <w:basedOn w:val="1066"/>
    <w:next w:val="1181"/>
    <w:link w:val="1066"/>
    <w:qFormat/>
    <w:pPr>
      <w:ind w:right="-33" w:firstLine="480"/>
      <w:jc w:val="left"/>
      <w:spacing w:line="360" w:lineRule="auto"/>
    </w:pPr>
    <w:rPr>
      <w:sz w:val="24"/>
    </w:rPr>
  </w:style>
  <w:style w:type="paragraph" w:styleId="1182">
    <w:name w:val="Char Char Char"/>
    <w:basedOn w:val="1066"/>
    <w:next w:val="1182"/>
    <w:link w:val="1066"/>
    <w:qFormat/>
    <w:rPr>
      <w:rFonts w:ascii="Tahoma" w:hAnsi="Tahoma"/>
      <w:sz w:val="24"/>
      <w:szCs w:val="20"/>
    </w:rPr>
  </w:style>
  <w:style w:type="paragraph" w:styleId="1183">
    <w:name w:val="样式 段后: 0.25 行"/>
    <w:basedOn w:val="1066"/>
    <w:next w:val="1183"/>
    <w:link w:val="1066"/>
    <w:qFormat/>
    <w:pPr>
      <w:ind w:firstLine="420"/>
      <w:jc w:val="left"/>
      <w:spacing w:line="300" w:lineRule="auto"/>
      <w:widowControl/>
    </w:pPr>
    <w:rPr>
      <w:rFonts w:ascii="Arial" w:hAnsi="Arial" w:cs="宋体"/>
      <w:sz w:val="22"/>
      <w:szCs w:val="20"/>
      <w:lang w:eastAsia="en-US"/>
    </w:rPr>
  </w:style>
  <w:style w:type="paragraph" w:styleId="1184">
    <w:name w:val="正文表标题"/>
    <w:next w:val="1185"/>
    <w:link w:val="1066"/>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5">
    <w:name w:val="段"/>
    <w:next w:val="1185"/>
    <w:link w:val="1066"/>
    <w:qFormat/>
    <w:pPr>
      <w:ind w:firstLine="200"/>
      <w:jc w:val="both"/>
    </w:pPr>
    <w:rPr>
      <w:rFonts w:ascii="宋体" w:hAnsi="Times New Roman" w:eastAsia="宋体" w:cs="Times New Roman"/>
      <w:sz w:val="21"/>
      <w:lang w:val="en-US" w:eastAsia="zh-CN" w:bidi="ar-SA"/>
    </w:rPr>
  </w:style>
  <w:style w:type="paragraph" w:styleId="1186">
    <w:name w:val="qw"/>
    <w:next w:val="1186"/>
    <w:link w:val="1066"/>
    <w:qFormat/>
    <w:pPr>
      <w:jc w:val="both"/>
      <w:spacing w:line="312" w:lineRule="atLeast"/>
      <w:widowControl w:val="off"/>
    </w:pPr>
    <w:rPr>
      <w:rFonts w:ascii="宋体" w:hAnsi="Times New Roman" w:eastAsia="宋体" w:cs="Times New Roman"/>
      <w:sz w:val="24"/>
      <w:lang w:val="en-US" w:eastAsia="zh-CN" w:bidi="ar-SA"/>
    </w:rPr>
  </w:style>
  <w:style w:type="paragraph" w:styleId="1187">
    <w:name w:val="样式 加点正文 + 段前: 0.5 行 段后: 0.5 行1"/>
    <w:basedOn w:val="1066"/>
    <w:next w:val="1187"/>
    <w:link w:val="1066"/>
    <w:qFormat/>
    <w:pPr>
      <w:ind w:left="1268" w:hanging="420"/>
      <w:spacing w:line="300" w:lineRule="auto"/>
      <w:tabs>
        <w:tab w:val="left" w:pos="1268" w:leader="none"/>
      </w:tabs>
    </w:pPr>
    <w:rPr>
      <w:sz w:val="24"/>
      <w:szCs w:val="20"/>
    </w:rPr>
  </w:style>
  <w:style w:type="paragraph" w:styleId="1188">
    <w:name w:val="样式 标题 3H3sect1.2.3BOD 0Heading 3 - oldh3l3CTLevel 3 Head..."/>
    <w:basedOn w:val="1069"/>
    <w:next w:val="1188"/>
    <w:link w:val="1066"/>
    <w:qFormat/>
    <w:pPr>
      <w:jc w:val="left"/>
      <w:spacing w:line="240" w:lineRule="auto"/>
    </w:pPr>
    <w:rPr>
      <w:rFonts w:cs="宋体"/>
      <w:sz w:val="30"/>
      <w:szCs w:val="20"/>
    </w:rPr>
  </w:style>
  <w:style w:type="paragraph" w:styleId="1189">
    <w:name w:val="正文 + 宋体"/>
    <w:basedOn w:val="1066"/>
    <w:next w:val="1189"/>
    <w:link w:val="1066"/>
    <w:qFormat/>
    <w:pPr>
      <w:ind w:firstLine="420"/>
      <w:spacing w:line="360" w:lineRule="auto"/>
    </w:pPr>
  </w:style>
  <w:style w:type="paragraph" w:styleId="1190">
    <w:name w:val="样式 样式 首行缩进:  2 字符 + 行距: 1.5 倍行距"/>
    <w:basedOn w:val="1066"/>
    <w:next w:val="1190"/>
    <w:link w:val="1066"/>
    <w:qFormat/>
    <w:pPr>
      <w:ind w:firstLine="470"/>
      <w:spacing w:line="360" w:lineRule="auto"/>
    </w:pPr>
    <w:rPr>
      <w:sz w:val="24"/>
      <w:szCs w:val="20"/>
    </w:rPr>
  </w:style>
  <w:style w:type="paragraph" w:styleId="1191">
    <w:name w:val="_Style 82"/>
    <w:next w:val="1191"/>
    <w:link w:val="1066"/>
    <w:qFormat/>
    <w:rPr>
      <w:rFonts w:ascii="Times New Roman" w:hAnsi="Times New Roman" w:eastAsia="宋体" w:cs="Times New Roman"/>
      <w:sz w:val="22"/>
      <w:szCs w:val="22"/>
      <w:lang w:val="en-US" w:eastAsia="zh-CN" w:bidi="ar-SA"/>
    </w:rPr>
  </w:style>
  <w:style w:type="paragraph" w:styleId="1192">
    <w:name w:val="Char Char1 Char Char Char Char1 Char Char Char Char Char Char"/>
    <w:basedOn w:val="1066"/>
    <w:next w:val="1192"/>
    <w:link w:val="1066"/>
    <w:qFormat/>
    <w:rPr>
      <w:rFonts w:ascii="Tahoma" w:hAnsi="Tahoma"/>
      <w:sz w:val="24"/>
      <w:szCs w:val="20"/>
    </w:rPr>
  </w:style>
  <w:style w:type="paragraph" w:styleId="1193">
    <w:name w:val="flNote"/>
    <w:basedOn w:val="1066"/>
    <w:next w:val="1193"/>
    <w:link w:val="1066"/>
    <w:qFormat/>
    <w:pPr>
      <w:jc w:val="center"/>
      <w:spacing w:before="567" w:line="360" w:lineRule="atLeast"/>
    </w:pPr>
    <w:rPr>
      <w:rFonts w:eastAsia="黑体"/>
      <w:b/>
      <w:sz w:val="24"/>
      <w:szCs w:val="20"/>
    </w:rPr>
  </w:style>
  <w:style w:type="paragraph" w:styleId="1194">
    <w:name w:val="flType"/>
    <w:basedOn w:val="1195"/>
    <w:next w:val="1194"/>
    <w:link w:val="1066"/>
    <w:qFormat/>
    <w:pPr>
      <w:spacing w:after="284"/>
    </w:pPr>
    <w:rPr>
      <w:rFonts w:eastAsia="宋体"/>
      <w:b w:val="0"/>
    </w:rPr>
  </w:style>
  <w:style w:type="paragraph" w:styleId="1195">
    <w:name w:val="flName"/>
    <w:basedOn w:val="1193"/>
    <w:next w:val="1195"/>
    <w:link w:val="1066"/>
    <w:qFormat/>
    <w:pPr>
      <w:spacing w:before="0" w:line="113" w:lineRule="atLeast"/>
    </w:pPr>
  </w:style>
  <w:style w:type="paragraph" w:styleId="1196">
    <w:name w:val="样式 样式 首行缩进:  0.74 厘米 行距: 1.5 倍行距 + 段后: 0.5 行"/>
    <w:basedOn w:val="1066"/>
    <w:next w:val="1196"/>
    <w:link w:val="1066"/>
    <w:qFormat/>
    <w:pPr>
      <w:ind w:firstLine="420"/>
      <w:spacing w:line="360" w:lineRule="auto"/>
    </w:pPr>
    <w:rPr>
      <w:rFonts w:ascii="楷体_GB2312" w:eastAsia="楷体_GB2312"/>
      <w:bCs/>
      <w:sz w:val="24"/>
      <w:szCs w:val="20"/>
    </w:rPr>
  </w:style>
  <w:style w:type="paragraph" w:styleId="1197">
    <w:name w:val="Pa5"/>
    <w:basedOn w:val="1066"/>
    <w:next w:val="1066"/>
    <w:link w:val="1066"/>
    <w:qFormat/>
    <w:pPr>
      <w:jc w:val="left"/>
      <w:spacing w:line="241" w:lineRule="atLeast"/>
    </w:pPr>
    <w:rPr>
      <w:rFonts w:ascii="HYDaHeiJ" w:eastAsia="HYDaHeiJ"/>
      <w:sz w:val="24"/>
    </w:rPr>
  </w:style>
  <w:style w:type="paragraph" w:styleId="1198">
    <w:name w:val="xl52"/>
    <w:basedOn w:val="1066"/>
    <w:next w:val="1198"/>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99">
    <w:name w:val="标题2，章节第二层"/>
    <w:basedOn w:val="1066"/>
    <w:next w:val="1200"/>
    <w:link w:val="1066"/>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00">
    <w:name w:val="正文格式"/>
    <w:basedOn w:val="1066"/>
    <w:next w:val="1200"/>
    <w:link w:val="1066"/>
    <w:qFormat/>
    <w:pPr>
      <w:ind w:left="178" w:right="44" w:hanging="178"/>
      <w:jc w:val="left"/>
      <w:spacing w:line="360" w:lineRule="auto"/>
      <w:widowControl/>
    </w:pPr>
    <w:rPr>
      <w:rFonts w:ascii="宋体" w:hAnsi="宋体"/>
      <w:bCs/>
      <w:szCs w:val="21"/>
    </w:rPr>
  </w:style>
  <w:style w:type="paragraph" w:styleId="1201">
    <w:name w:val="Test2"/>
    <w:basedOn w:val="1068"/>
    <w:next w:val="1201"/>
    <w:link w:val="1066"/>
    <w:qFormat/>
    <w:pPr>
      <w:jc w:val="center"/>
      <w:spacing w:line="480" w:lineRule="exact"/>
      <w:widowControl/>
    </w:pPr>
    <w:rPr>
      <w:rFonts w:ascii="黑体"/>
      <w:sz w:val="24"/>
      <w:szCs w:val="24"/>
    </w:rPr>
  </w:style>
  <w:style w:type="paragraph" w:styleId="1202">
    <w:name w:val="二级条标题"/>
    <w:basedOn w:val="1066"/>
    <w:next w:val="1185"/>
    <w:link w:val="1066"/>
    <w:qFormat/>
    <w:pPr>
      <w:ind w:hanging="420"/>
      <w:widowControl/>
      <w:tabs>
        <w:tab w:val="left" w:pos="2240" w:leader="none"/>
      </w:tabs>
      <w:outlineLvl w:val="3"/>
    </w:pPr>
    <w:rPr>
      <w:rFonts w:eastAsia="黑体"/>
      <w:szCs w:val="20"/>
    </w:rPr>
  </w:style>
  <w:style w:type="paragraph" w:styleId="1203">
    <w:name w:val="Char2"/>
    <w:basedOn w:val="1093"/>
    <w:next w:val="1203"/>
    <w:link w:val="1066"/>
    <w:qFormat/>
    <w:rPr>
      <w:rFonts w:ascii="Tahoma" w:hAnsi="Tahoma"/>
    </w:rPr>
  </w:style>
  <w:style w:type="paragraph" w:styleId="1204">
    <w:name w:val="xl31"/>
    <w:basedOn w:val="1066"/>
    <w:next w:val="1204"/>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05">
    <w:name w:val="标准文本"/>
    <w:basedOn w:val="1066"/>
    <w:next w:val="1205"/>
    <w:link w:val="1066"/>
    <w:qFormat/>
    <w:pPr>
      <w:ind w:firstLine="480"/>
      <w:spacing w:line="360" w:lineRule="auto"/>
    </w:pPr>
    <w:rPr>
      <w:rFonts w:cs="宋体"/>
      <w:sz w:val="24"/>
    </w:rPr>
  </w:style>
  <w:style w:type="paragraph" w:styleId="1206">
    <w:name w:val="马刚标题4"/>
    <w:basedOn w:val="1207"/>
    <w:next w:val="1066"/>
    <w:link w:val="1066"/>
    <w:qFormat/>
    <w:pPr>
      <w:spacing w:before="100" w:after="40"/>
      <w:tabs>
        <w:tab w:val="left" w:pos="567" w:leader="none"/>
        <w:tab w:val="left" w:pos="735" w:leader="none"/>
        <w:tab w:val="left" w:pos="1050" w:leader="none"/>
      </w:tabs>
      <w:outlineLvl w:val="3"/>
    </w:pPr>
    <w:rPr>
      <w:b w:val="0"/>
    </w:rPr>
  </w:style>
  <w:style w:type="paragraph" w:styleId="1207">
    <w:name w:val="马刚标题3"/>
    <w:basedOn w:val="1066"/>
    <w:next w:val="1066"/>
    <w:link w:val="106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8">
    <w:name w:val="普通 (Web)"/>
    <w:basedOn w:val="1066"/>
    <w:next w:val="1208"/>
    <w:link w:val="1066"/>
    <w:qFormat/>
    <w:pPr>
      <w:jc w:val="left"/>
      <w:spacing w:before="100" w:beforeAutospacing="1" w:after="100" w:afterAutospacing="1"/>
      <w:widowControl/>
    </w:pPr>
    <w:rPr>
      <w:rFonts w:ascii="宋体" w:hAnsi="宋体"/>
      <w:sz w:val="24"/>
    </w:rPr>
  </w:style>
  <w:style w:type="paragraph" w:styleId="1209">
    <w:name w:val="Char1 Char Char Char"/>
    <w:basedOn w:val="1066"/>
    <w:next w:val="1209"/>
    <w:link w:val="1066"/>
    <w:qFormat/>
    <w:rPr>
      <w:rFonts w:ascii="Tahoma" w:hAnsi="Tahoma" w:cs="Tahoma"/>
      <w:sz w:val="24"/>
      <w:szCs w:val="20"/>
    </w:rPr>
  </w:style>
  <w:style w:type="paragraph" w:styleId="1210">
    <w:name w:val="Char Char Char Char Char Char Char Char Char Char Char Char Char Char Char Char Char Char Char Char Char1"/>
    <w:basedOn w:val="1066"/>
    <w:next w:val="1210"/>
    <w:link w:val="1066"/>
    <w:qFormat/>
    <w:rPr>
      <w:rFonts w:ascii="Tahoma" w:hAnsi="Tahoma"/>
      <w:sz w:val="24"/>
      <w:szCs w:val="20"/>
    </w:rPr>
  </w:style>
  <w:style w:type="paragraph" w:styleId="1211">
    <w:name w:val="xl36"/>
    <w:basedOn w:val="1066"/>
    <w:next w:val="1211"/>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2">
    <w:name w:val="font6"/>
    <w:basedOn w:val="1066"/>
    <w:next w:val="1212"/>
    <w:link w:val="1066"/>
    <w:qFormat/>
    <w:pPr>
      <w:jc w:val="left"/>
      <w:spacing w:before="100" w:beforeAutospacing="1" w:after="100" w:afterAutospacing="1"/>
      <w:widowControl/>
    </w:pPr>
    <w:rPr>
      <w:rFonts w:ascii="宋体" w:hAnsi="宋体" w:cs="宋体"/>
      <w:b/>
      <w:bCs/>
      <w:sz w:val="20"/>
      <w:szCs w:val="20"/>
    </w:rPr>
  </w:style>
  <w:style w:type="paragraph" w:styleId="1213">
    <w:name w:val="xl37"/>
    <w:basedOn w:val="1066"/>
    <w:next w:val="1213"/>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14">
    <w:name w:val="xl58"/>
    <w:basedOn w:val="1066"/>
    <w:next w:val="1214"/>
    <w:link w:val="106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15">
    <w:name w:val="font10"/>
    <w:basedOn w:val="1066"/>
    <w:next w:val="1215"/>
    <w:link w:val="1066"/>
    <w:qFormat/>
    <w:pPr>
      <w:jc w:val="left"/>
      <w:spacing w:before="100" w:beforeAutospacing="1" w:after="100" w:afterAutospacing="1"/>
      <w:widowControl/>
    </w:pPr>
    <w:rPr>
      <w:rFonts w:ascii="楷体_GB2312" w:hAnsi="宋体" w:eastAsia="楷体_GB2312" w:cs="宋体"/>
      <w:b/>
      <w:bCs/>
      <w:sz w:val="18"/>
      <w:szCs w:val="18"/>
    </w:rPr>
  </w:style>
  <w:style w:type="paragraph" w:styleId="1216">
    <w:name w:val="xl56"/>
    <w:basedOn w:val="1066"/>
    <w:next w:val="1216"/>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17">
    <w:name w:val="样式"/>
    <w:basedOn w:val="1066"/>
    <w:next w:val="1217"/>
    <w:link w:val="1066"/>
    <w:qFormat/>
    <w:pPr>
      <w:spacing w:before="120" w:after="120" w:line="360" w:lineRule="auto"/>
    </w:pPr>
    <w:rPr>
      <w:rFonts w:ascii="宋体"/>
      <w:sz w:val="24"/>
      <w:szCs w:val="20"/>
    </w:rPr>
  </w:style>
  <w:style w:type="paragraph" w:styleId="1218">
    <w:name w:val="方案正文"/>
    <w:basedOn w:val="1066"/>
    <w:next w:val="1218"/>
    <w:link w:val="1066"/>
    <w:qFormat/>
    <w:pPr>
      <w:ind w:firstLine="359"/>
      <w:jc w:val="left"/>
      <w:spacing w:before="156" w:line="360" w:lineRule="auto"/>
    </w:pPr>
    <w:rPr>
      <w:rFonts w:ascii="Arial" w:hAnsi="Arial" w:cs="宋体"/>
      <w:sz w:val="24"/>
      <w:szCs w:val="21"/>
    </w:rPr>
  </w:style>
  <w:style w:type="paragraph" w:styleId="1219">
    <w:name w:val="a0"/>
    <w:basedOn w:val="1066"/>
    <w:next w:val="1219"/>
    <w:link w:val="1066"/>
    <w:qFormat/>
    <w:pPr>
      <w:spacing w:before="100" w:beforeAutospacing="1" w:after="100" w:afterAutospacing="1"/>
      <w:widowControl/>
    </w:pPr>
    <w:rPr>
      <w:rFonts w:ascii="宋体" w:hAnsi="宋体" w:cs="宋体"/>
      <w:sz w:val="24"/>
    </w:rPr>
  </w:style>
  <w:style w:type="paragraph" w:styleId="1220">
    <w:name w:val="retrait3"/>
    <w:basedOn w:val="1066"/>
    <w:next w:val="1220"/>
    <w:link w:val="1066"/>
    <w:qFormat/>
    <w:pPr>
      <w:ind w:left="851"/>
      <w:jc w:val="left"/>
      <w:spacing w:before="20" w:after="20"/>
      <w:widowControl/>
    </w:pPr>
    <w:rPr>
      <w:rFonts w:ascii="Arial" w:hAnsi="Arial"/>
      <w:sz w:val="24"/>
      <w:szCs w:val="20"/>
      <w:lang w:val="en-GB"/>
    </w:rPr>
  </w:style>
  <w:style w:type="paragraph" w:styleId="1221">
    <w:name w:val="图标"/>
    <w:basedOn w:val="1066"/>
    <w:next w:val="1066"/>
    <w:link w:val="106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2">
    <w:name w:val="Char1 Char Char Char1"/>
    <w:basedOn w:val="1066"/>
    <w:next w:val="1222"/>
    <w:link w:val="1066"/>
    <w:qFormat/>
    <w:rPr>
      <w:rFonts w:ascii="Tahoma" w:hAnsi="Tahoma"/>
      <w:sz w:val="24"/>
      <w:szCs w:val="20"/>
    </w:rPr>
  </w:style>
  <w:style w:type="paragraph" w:styleId="1223">
    <w:name w:val="table_lines"/>
    <w:basedOn w:val="1066"/>
    <w:next w:val="1223"/>
    <w:link w:val="1066"/>
    <w:qFormat/>
    <w:pPr>
      <w:jc w:val="left"/>
      <w:widowControl/>
    </w:pPr>
    <w:rPr>
      <w:sz w:val="20"/>
      <w:szCs w:val="20"/>
      <w:lang w:val="de-DE" w:eastAsia="de-DE"/>
    </w:rPr>
  </w:style>
  <w:style w:type="paragraph" w:styleId="1224">
    <w:name w:val="Char Char1"/>
    <w:basedOn w:val="1066"/>
    <w:next w:val="1224"/>
    <w:link w:val="1066"/>
    <w:qFormat/>
    <w:rPr>
      <w:rFonts w:ascii="Tahoma" w:hAnsi="Tahoma"/>
      <w:sz w:val="24"/>
      <w:szCs w:val="20"/>
    </w:rPr>
  </w:style>
  <w:style w:type="paragraph" w:styleId="1225">
    <w:name w:val="Item List Char Char"/>
    <w:next w:val="1225"/>
    <w:link w:val="1066"/>
    <w:qFormat/>
    <w:pPr>
      <w:jc w:val="both"/>
      <w:spacing w:line="288" w:lineRule="auto"/>
    </w:pPr>
    <w:rPr>
      <w:rFonts w:ascii="Arial" w:hAnsi="Arial" w:eastAsia="宋体" w:cs="Arial"/>
      <w:b/>
      <w:bCs/>
      <w:sz w:val="21"/>
      <w:szCs w:val="28"/>
      <w:lang w:val="en-US" w:eastAsia="zh-CN" w:bidi="ar-SA"/>
    </w:rPr>
  </w:style>
  <w:style w:type="paragraph" w:styleId="1226">
    <w:name w:val="样式 样式 标题 3H3sect1.2.3BOD 0Heading 3 - oldh3l3CTLevel 3 Head... +..."/>
    <w:basedOn w:val="1066"/>
    <w:next w:val="1226"/>
    <w:link w:val="1066"/>
    <w:qFormat/>
    <w:pPr>
      <w:jc w:val="left"/>
      <w:keepLines/>
      <w:keepNext/>
      <w:outlineLvl w:val="2"/>
    </w:pPr>
    <w:rPr>
      <w:rFonts w:cs="宋体"/>
      <w:b/>
      <w:bCs/>
      <w:sz w:val="24"/>
      <w:szCs w:val="20"/>
    </w:rPr>
  </w:style>
  <w:style w:type="paragraph" w:styleId="1227">
    <w:name w:val="Char Char1 Char1"/>
    <w:basedOn w:val="1066"/>
    <w:next w:val="1227"/>
    <w:link w:val="1066"/>
    <w:qFormat/>
    <w:pPr>
      <w:jc w:val="left"/>
      <w:spacing w:after="160" w:line="240" w:lineRule="exact"/>
      <w:widowControl/>
    </w:pPr>
    <w:rPr>
      <w:rFonts w:ascii="Verdana" w:hAnsi="Verdana"/>
      <w:sz w:val="20"/>
      <w:szCs w:val="20"/>
      <w:lang w:eastAsia="en-US"/>
    </w:rPr>
  </w:style>
  <w:style w:type="paragraph" w:styleId="1228">
    <w:name w:val="正文2"/>
    <w:basedOn w:val="1066"/>
    <w:next w:val="1228"/>
    <w:link w:val="1066"/>
    <w:qFormat/>
    <w:pPr>
      <w:ind w:firstLine="510"/>
      <w:spacing w:before="156" w:line="360" w:lineRule="auto"/>
    </w:pPr>
    <w:rPr>
      <w:sz w:val="24"/>
      <w:szCs w:val="20"/>
    </w:rPr>
  </w:style>
  <w:style w:type="paragraph" w:styleId="1229">
    <w:name w:val="font13"/>
    <w:basedOn w:val="1066"/>
    <w:next w:val="1229"/>
    <w:link w:val="1066"/>
    <w:qFormat/>
    <w:pPr>
      <w:jc w:val="left"/>
      <w:spacing w:before="100" w:beforeAutospacing="1" w:after="100" w:afterAutospacing="1"/>
      <w:widowControl/>
    </w:pPr>
    <w:rPr>
      <w:i/>
      <w:iCs/>
      <w:sz w:val="36"/>
      <w:szCs w:val="36"/>
    </w:rPr>
  </w:style>
  <w:style w:type="paragraph" w:styleId="1230">
    <w:name w:val="默认段落字体 Para Char"/>
    <w:basedOn w:val="1066"/>
    <w:next w:val="1230"/>
    <w:link w:val="1066"/>
    <w:qFormat/>
    <w:pPr>
      <w:spacing w:line="360" w:lineRule="auto"/>
    </w:pPr>
    <w:rPr>
      <w:sz w:val="24"/>
    </w:rPr>
  </w:style>
  <w:style w:type="paragraph" w:styleId="1231">
    <w:name w:val="af17cgridlangnp1033langf"/>
    <w:next w:val="1231"/>
    <w:link w:val="1066"/>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2">
    <w:name w:val="正文1"/>
    <w:basedOn w:val="1066"/>
    <w:next w:val="1066"/>
    <w:link w:val="1066"/>
    <w:qFormat/>
    <w:pPr>
      <w:ind w:firstLine="510"/>
      <w:spacing w:before="156" w:line="360" w:lineRule="auto"/>
    </w:pPr>
    <w:rPr>
      <w:sz w:val="24"/>
      <w:szCs w:val="20"/>
    </w:rPr>
  </w:style>
  <w:style w:type="paragraph" w:styleId="1233">
    <w:name w:val="Char Char Char Char Char Char Char Char Char1"/>
    <w:basedOn w:val="1066"/>
    <w:next w:val="1233"/>
    <w:link w:val="1066"/>
    <w:qFormat/>
    <w:pPr>
      <w:ind w:left="360" w:hanging="360"/>
      <w:tabs>
        <w:tab w:val="left" w:pos="360" w:leader="none"/>
      </w:tabs>
    </w:pPr>
    <w:rPr>
      <w:sz w:val="24"/>
    </w:rPr>
  </w:style>
  <w:style w:type="paragraph" w:styleId="1234">
    <w:name w:val="xl41"/>
    <w:basedOn w:val="1066"/>
    <w:next w:val="1234"/>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5">
    <w:name w:val="正文文本 21"/>
    <w:basedOn w:val="1066"/>
    <w:next w:val="1235"/>
    <w:link w:val="1066"/>
    <w:qFormat/>
    <w:pPr>
      <w:ind w:left="720" w:hanging="720"/>
      <w:widowControl/>
    </w:pPr>
    <w:rPr>
      <w:sz w:val="24"/>
      <w:szCs w:val="20"/>
      <w:lang w:val="en-GB"/>
    </w:rPr>
  </w:style>
  <w:style w:type="paragraph" w:styleId="1236">
    <w:name w:val="Char Char Char Char Char Char Char Char Char Char Char Char Char Char Char Char Char Char Char Char Char Char Char1"/>
    <w:basedOn w:val="1066"/>
    <w:next w:val="1236"/>
    <w:link w:val="1066"/>
    <w:qFormat/>
    <w:rPr>
      <w:rFonts w:ascii="Tahoma" w:hAnsi="Tahoma" w:cs="Tahoma"/>
      <w:sz w:val="24"/>
      <w:szCs w:val="20"/>
    </w:rPr>
  </w:style>
  <w:style w:type="paragraph" w:styleId="1237">
    <w:name w:val="Char Char Char Char Char Char Char Char Char Char Char Char Char Char1"/>
    <w:basedOn w:val="1066"/>
    <w:next w:val="1237"/>
    <w:link w:val="1066"/>
    <w:qFormat/>
    <w:rPr>
      <w:rFonts w:ascii="Tahoma" w:hAnsi="Tahoma" w:cs="Tahoma"/>
      <w:sz w:val="24"/>
      <w:szCs w:val="20"/>
    </w:rPr>
  </w:style>
  <w:style w:type="paragraph" w:styleId="1238">
    <w:name w:val="Default Text"/>
    <w:basedOn w:val="1066"/>
    <w:next w:val="1238"/>
    <w:link w:val="1066"/>
    <w:qFormat/>
    <w:pPr>
      <w:jc w:val="left"/>
      <w:widowControl/>
    </w:pPr>
    <w:rPr>
      <w:sz w:val="24"/>
      <w:szCs w:val="20"/>
      <w:lang w:eastAsia="en-US"/>
    </w:rPr>
  </w:style>
  <w:style w:type="paragraph" w:styleId="1239">
    <w:name w:val="xl62"/>
    <w:basedOn w:val="1066"/>
    <w:next w:val="1239"/>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0">
    <w:name w:val="xl63"/>
    <w:basedOn w:val="1066"/>
    <w:next w:val="1240"/>
    <w:link w:val="106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41">
    <w:name w:val="xl45"/>
    <w:basedOn w:val="1066"/>
    <w:next w:val="1241"/>
    <w:link w:val="106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42">
    <w:name w:val="纯文本1"/>
    <w:basedOn w:val="1066"/>
    <w:next w:val="1242"/>
    <w:link w:val="1066"/>
    <w:qFormat/>
    <w:rPr>
      <w:rFonts w:ascii="宋体" w:hAnsi="宋体" w:eastAsia="楷体_GB2312" w:cs="宋体"/>
      <w:sz w:val="28"/>
      <w:szCs w:val="20"/>
    </w:rPr>
  </w:style>
  <w:style w:type="paragraph" w:styleId="1243">
    <w:name w:val="xl53"/>
    <w:basedOn w:val="1066"/>
    <w:next w:val="1243"/>
    <w:link w:val="10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4">
    <w:name w:val="font14"/>
    <w:basedOn w:val="1066"/>
    <w:next w:val="1244"/>
    <w:link w:val="1066"/>
    <w:qFormat/>
    <w:pPr>
      <w:jc w:val="left"/>
      <w:spacing w:before="100" w:beforeAutospacing="1" w:after="100" w:afterAutospacing="1"/>
      <w:widowControl/>
    </w:pPr>
    <w:rPr>
      <w:sz w:val="36"/>
      <w:szCs w:val="36"/>
    </w:rPr>
  </w:style>
  <w:style w:type="paragraph" w:styleId="1245">
    <w:name w:val="章标题"/>
    <w:next w:val="1185"/>
    <w:link w:val="1066"/>
    <w:qFormat/>
    <w:pPr>
      <w:jc w:val="both"/>
      <w:outlineLvl w:val="1"/>
    </w:pPr>
    <w:rPr>
      <w:rFonts w:ascii="Times New Roman" w:hAnsi="Times New Roman" w:eastAsia="黑体" w:cs="Times New Roman"/>
      <w:sz w:val="21"/>
      <w:lang w:val="en-US" w:eastAsia="zh-CN" w:bidi="ar-SA"/>
    </w:rPr>
  </w:style>
  <w:style w:type="paragraph" w:styleId="1246">
    <w:name w:val="正文文本缩进1"/>
    <w:basedOn w:val="1066"/>
    <w:next w:val="1246"/>
    <w:link w:val="1066"/>
    <w:qFormat/>
    <w:pPr>
      <w:ind w:left="420"/>
      <w:spacing w:after="120"/>
    </w:pPr>
  </w:style>
  <w:style w:type="paragraph" w:styleId="1247">
    <w:name w:val="xl54"/>
    <w:basedOn w:val="1066"/>
    <w:next w:val="1247"/>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48">
    <w:name w:val="Char Char1 Char"/>
    <w:basedOn w:val="1066"/>
    <w:next w:val="1248"/>
    <w:link w:val="1066"/>
    <w:qFormat/>
    <w:pPr>
      <w:jc w:val="left"/>
      <w:spacing w:after="160" w:line="240" w:lineRule="exact"/>
      <w:widowControl/>
    </w:pPr>
    <w:rPr>
      <w:rFonts w:ascii="Verdana" w:hAnsi="Verdana"/>
      <w:sz w:val="20"/>
      <w:szCs w:val="20"/>
      <w:lang w:eastAsia="en-US"/>
    </w:rPr>
  </w:style>
  <w:style w:type="paragraph" w:styleId="1249">
    <w:name w:val="项目符号，一级"/>
    <w:basedOn w:val="1200"/>
    <w:next w:val="1200"/>
    <w:link w:val="1066"/>
    <w:qFormat/>
    <w:pPr>
      <w:ind w:left="376" w:firstLine="0"/>
      <w:spacing w:line="240" w:lineRule="atLeast"/>
      <w:tabs>
        <w:tab w:val="left" w:pos="1320" w:leader="none"/>
      </w:tabs>
    </w:pPr>
    <w:rPr>
      <w:bCs w:val="0"/>
      <w:color w:val="000000"/>
      <w:szCs w:val="24"/>
    </w:rPr>
  </w:style>
  <w:style w:type="paragraph" w:styleId="1250">
    <w:name w:val="xl60"/>
    <w:basedOn w:val="1066"/>
    <w:next w:val="1250"/>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51">
    <w:name w:val="标题3"/>
    <w:basedOn w:val="1069"/>
    <w:next w:val="1251"/>
    <w:link w:val="1066"/>
    <w:qFormat/>
    <w:pPr>
      <w:keepLines w:val="0"/>
      <w:keepNext w:val="0"/>
      <w:spacing w:before="0" w:after="0" w:line="360" w:lineRule="auto"/>
    </w:pPr>
    <w:rPr>
      <w:rFonts w:eastAsia="仿宋_GB2312"/>
      <w:b w:val="0"/>
      <w:sz w:val="30"/>
    </w:rPr>
  </w:style>
  <w:style w:type="paragraph" w:styleId="1252">
    <w:name w:val="样式3"/>
    <w:basedOn w:val="1066"/>
    <w:next w:val="1066"/>
    <w:link w:val="1066"/>
    <w:qFormat/>
    <w:pPr>
      <w:spacing w:line="360" w:lineRule="auto"/>
    </w:pPr>
    <w:rPr>
      <w:szCs w:val="20"/>
    </w:rPr>
  </w:style>
  <w:style w:type="paragraph" w:styleId="1253">
    <w:name w:val="xl35"/>
    <w:basedOn w:val="1066"/>
    <w:next w:val="1253"/>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54">
    <w:name w:val="Char Char1 Char Char2 Char Char"/>
    <w:basedOn w:val="1066"/>
    <w:next w:val="1254"/>
    <w:link w:val="1066"/>
    <w:qFormat/>
    <w:pPr>
      <w:jc w:val="left"/>
      <w:spacing w:after="160" w:line="240" w:lineRule="exact"/>
      <w:widowControl/>
    </w:pPr>
  </w:style>
  <w:style w:type="paragraph" w:styleId="1255">
    <w:name w:val="正文 + Arial Char"/>
    <w:basedOn w:val="1066"/>
    <w:next w:val="1255"/>
    <w:link w:val="1066"/>
    <w:qFormat/>
    <w:pPr>
      <w:ind w:left="315" w:hanging="315"/>
      <w:spacing w:line="300" w:lineRule="auto"/>
      <w:widowControl/>
      <w:tabs>
        <w:tab w:val="left" w:pos="315" w:leader="none"/>
      </w:tabs>
    </w:pPr>
    <w:rPr>
      <w:rFonts w:ascii="Arial" w:hAnsi="Arial" w:cs="Arial"/>
      <w:b/>
      <w:color w:val="000000"/>
      <w:szCs w:val="20"/>
    </w:rPr>
  </w:style>
  <w:style w:type="paragraph" w:styleId="1256">
    <w:name w:val="table_1stline"/>
    <w:basedOn w:val="1066"/>
    <w:next w:val="1256"/>
    <w:link w:val="1066"/>
    <w:qFormat/>
    <w:pPr>
      <w:jc w:val="left"/>
      <w:spacing w:before="120"/>
      <w:widowControl/>
    </w:pPr>
    <w:rPr>
      <w:bCs/>
      <w:sz w:val="20"/>
      <w:szCs w:val="20"/>
      <w:lang w:val="de-DE" w:eastAsia="de-DE"/>
    </w:rPr>
  </w:style>
  <w:style w:type="paragraph" w:styleId="1257">
    <w:name w:val="tableau"/>
    <w:basedOn w:val="1066"/>
    <w:next w:val="1257"/>
    <w:link w:val="1066"/>
    <w:qFormat/>
    <w:pPr>
      <w:jc w:val="center"/>
      <w:spacing w:before="20" w:after="20"/>
      <w:widowControl/>
    </w:pPr>
    <w:rPr>
      <w:rFonts w:ascii="Arial" w:hAnsi="Arial"/>
      <w:sz w:val="16"/>
      <w:szCs w:val="20"/>
      <w:lang w:val="en-GB" w:eastAsia="en-US"/>
    </w:rPr>
  </w:style>
  <w:style w:type="paragraph" w:styleId="1258">
    <w:name w:val="Char Char Char Char1"/>
    <w:basedOn w:val="1093"/>
    <w:next w:val="1258"/>
    <w:link w:val="1066"/>
    <w:qFormat/>
    <w:pPr>
      <w:spacing w:line="360" w:lineRule="auto"/>
    </w:pPr>
    <w:rPr>
      <w:rFonts w:ascii="Tahoma" w:hAnsi="Tahoma"/>
    </w:rPr>
  </w:style>
  <w:style w:type="paragraph" w:styleId="1259">
    <w:name w:val="font9"/>
    <w:basedOn w:val="1066"/>
    <w:next w:val="1259"/>
    <w:link w:val="1066"/>
    <w:qFormat/>
    <w:pPr>
      <w:jc w:val="left"/>
      <w:spacing w:before="100" w:beforeAutospacing="1" w:after="100" w:afterAutospacing="1"/>
      <w:widowControl/>
    </w:pPr>
    <w:rPr>
      <w:b/>
      <w:bCs/>
      <w:sz w:val="20"/>
      <w:szCs w:val="20"/>
    </w:rPr>
  </w:style>
  <w:style w:type="paragraph" w:styleId="1260">
    <w:name w:val="Char Char Char Char Char Char Char1 Char"/>
    <w:basedOn w:val="1066"/>
    <w:next w:val="1260"/>
    <w:link w:val="1066"/>
    <w:qFormat/>
    <w:rPr>
      <w:rFonts w:ascii="Tahoma" w:hAnsi="Tahoma" w:cs="Tahoma"/>
      <w:sz w:val="24"/>
      <w:szCs w:val="20"/>
    </w:rPr>
  </w:style>
  <w:style w:type="paragraph" w:styleId="1261">
    <w:name w:val="插图"/>
    <w:basedOn w:val="1066"/>
    <w:next w:val="1261"/>
    <w:link w:val="1066"/>
    <w:qFormat/>
    <w:pPr>
      <w:jc w:val="center"/>
      <w:tabs>
        <w:tab w:val="left" w:pos="1620" w:leader="none"/>
      </w:tabs>
    </w:pPr>
    <w:rPr>
      <w:bCs/>
      <w:color w:val="000000"/>
      <w:szCs w:val="22"/>
    </w:rPr>
  </w:style>
  <w:style w:type="paragraph" w:styleId="1262">
    <w:name w:val="Char1"/>
    <w:basedOn w:val="1066"/>
    <w:next w:val="1262"/>
    <w:link w:val="1066"/>
    <w:qFormat/>
    <w:rPr>
      <w:rFonts w:ascii="仿宋_GB2312" w:hAnsi="宋体" w:eastAsia="仿宋_GB2312" w:cs="宋体"/>
      <w:b/>
      <w:sz w:val="32"/>
      <w:szCs w:val="32"/>
    </w:rPr>
  </w:style>
  <w:style w:type="paragraph" w:styleId="1263">
    <w:name w:val="xl47"/>
    <w:basedOn w:val="1066"/>
    <w:next w:val="1263"/>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4">
    <w:name w:val="xl48"/>
    <w:basedOn w:val="1066"/>
    <w:next w:val="1264"/>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65">
    <w:name w:val="引用1"/>
    <w:basedOn w:val="1066"/>
    <w:next w:val="1066"/>
    <w:link w:val="1266"/>
    <w:uiPriority w:val="29"/>
    <w:qFormat/>
    <w:pPr>
      <w:ind w:left="360" w:right="360"/>
      <w:jc w:val="left"/>
      <w:spacing w:before="200" w:line="276" w:lineRule="auto"/>
      <w:widowControl/>
    </w:pPr>
    <w:rPr>
      <w:rFonts w:ascii="Calibri" w:hAnsi="Calibri"/>
      <w:i/>
      <w:iCs/>
      <w:sz w:val="22"/>
      <w:szCs w:val="20"/>
      <w:lang w:eastAsia="en-US"/>
    </w:rPr>
  </w:style>
  <w:style w:type="character" w:styleId="1266">
    <w:name w:val="Quote Char"/>
    <w:next w:val="1266"/>
    <w:link w:val="1265"/>
    <w:uiPriority w:val="29"/>
    <w:qFormat/>
    <w:rPr>
      <w:rFonts w:ascii="Calibri" w:hAnsi="Calibri" w:eastAsia="宋体" w:cs="Times New Roman"/>
      <w:i/>
      <w:iCs/>
      <w:sz w:val="22"/>
      <w:lang w:eastAsia="en-US"/>
    </w:rPr>
  </w:style>
  <w:style w:type="paragraph" w:styleId="1267">
    <w:name w:val="Char Char1 Char Char Char Char Char Char Char"/>
    <w:basedOn w:val="1066"/>
    <w:next w:val="1267"/>
    <w:link w:val="1066"/>
    <w:qFormat/>
    <w:rPr>
      <w:rFonts w:ascii="Tahoma" w:hAnsi="Tahoma" w:cs="Tahoma"/>
      <w:sz w:val="24"/>
      <w:szCs w:val="20"/>
    </w:rPr>
  </w:style>
  <w:style w:type="paragraph" w:styleId="1268">
    <w:name w:val="列表内容"/>
    <w:basedOn w:val="1066"/>
    <w:next w:val="1066"/>
    <w:link w:val="1066"/>
    <w:qFormat/>
    <w:pPr>
      <w:ind w:left="840" w:hanging="420"/>
      <w:jc w:val="left"/>
      <w:widowControl/>
      <w:tabs>
        <w:tab w:val="left" w:pos="840" w:leader="none"/>
      </w:tabs>
    </w:pPr>
    <w:rPr>
      <w:sz w:val="18"/>
    </w:rPr>
  </w:style>
  <w:style w:type="paragraph" w:styleId="1269">
    <w:name w:val="Body Text(ch)"/>
    <w:basedOn w:val="1066"/>
    <w:next w:val="1101"/>
    <w:link w:val="1066"/>
    <w:qFormat/>
    <w:pPr>
      <w:spacing w:after="120"/>
    </w:pPr>
    <w:rPr>
      <w:rFonts w:ascii="宋体" w:hAnsi="Arial"/>
      <w:bCs/>
      <w:iCs/>
    </w:rPr>
  </w:style>
  <w:style w:type="paragraph" w:styleId="1270">
    <w:name w:val="Body Text 211"/>
    <w:basedOn w:val="1066"/>
    <w:next w:val="1270"/>
    <w:link w:val="1066"/>
    <w:qFormat/>
    <w:pPr>
      <w:ind w:left="720" w:hanging="720"/>
      <w:widowControl/>
    </w:pPr>
    <w:rPr>
      <w:sz w:val="24"/>
      <w:szCs w:val="20"/>
      <w:lang w:val="en-GB"/>
    </w:rPr>
  </w:style>
  <w:style w:type="paragraph" w:styleId="1271">
    <w:name w:val="font5"/>
    <w:basedOn w:val="1066"/>
    <w:next w:val="1271"/>
    <w:link w:val="1066"/>
    <w:qFormat/>
    <w:pPr>
      <w:jc w:val="left"/>
      <w:spacing w:before="100" w:beforeAutospacing="1" w:after="100" w:afterAutospacing="1"/>
      <w:widowControl/>
    </w:pPr>
    <w:rPr>
      <w:rFonts w:ascii="宋体" w:hAnsi="宋体" w:cs="宋体"/>
      <w:sz w:val="18"/>
      <w:szCs w:val="18"/>
    </w:rPr>
  </w:style>
  <w:style w:type="paragraph" w:styleId="1272">
    <w:name w:val="xl28"/>
    <w:basedOn w:val="1066"/>
    <w:next w:val="1272"/>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73">
    <w:name w:val="Body Text 21"/>
    <w:basedOn w:val="1066"/>
    <w:next w:val="1273"/>
    <w:link w:val="1066"/>
    <w:qFormat/>
    <w:pPr>
      <w:ind w:left="720" w:hanging="720"/>
      <w:widowControl/>
    </w:pPr>
    <w:rPr>
      <w:sz w:val="24"/>
      <w:szCs w:val="20"/>
      <w:lang w:val="en-GB"/>
    </w:rPr>
  </w:style>
  <w:style w:type="paragraph" w:styleId="1274">
    <w:name w:val="列出段落1"/>
    <w:basedOn w:val="1066"/>
    <w:next w:val="1274"/>
    <w:link w:val="1066"/>
    <w:uiPriority w:val="34"/>
    <w:qFormat/>
    <w:pPr>
      <w:ind w:firstLine="420"/>
    </w:pPr>
    <w:rPr>
      <w:rFonts w:ascii="Calibri" w:hAnsi="Calibri"/>
      <w:szCs w:val="22"/>
    </w:rPr>
  </w:style>
  <w:style w:type="paragraph" w:styleId="1275">
    <w:name w:val="华宇段落1 Char"/>
    <w:basedOn w:val="1066"/>
    <w:next w:val="1275"/>
    <w:link w:val="1066"/>
    <w:qFormat/>
    <w:pPr>
      <w:ind w:firstLine="200"/>
      <w:spacing w:line="360" w:lineRule="auto"/>
    </w:pPr>
    <w:rPr>
      <w:bCs/>
      <w:sz w:val="24"/>
    </w:rPr>
  </w:style>
  <w:style w:type="paragraph" w:styleId="1276">
    <w:name w:val="正文 New"/>
    <w:next w:val="1276"/>
    <w:link w:val="1066"/>
    <w:qFormat/>
    <w:pPr>
      <w:jc w:val="both"/>
      <w:widowControl w:val="off"/>
    </w:pPr>
    <w:rPr>
      <w:rFonts w:ascii="Times New Roman" w:hAnsi="Times New Roman" w:eastAsia="宋体" w:cs="Times New Roman"/>
      <w:sz w:val="21"/>
      <w:lang w:val="en-US" w:eastAsia="zh-CN" w:bidi="ar-SA"/>
    </w:rPr>
  </w:style>
  <w:style w:type="paragraph" w:styleId="1277">
    <w:name w:val="马刚标题1"/>
    <w:basedOn w:val="1067"/>
    <w:next w:val="1066"/>
    <w:link w:val="1066"/>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78">
    <w:name w:val="Char Char Char Char Char"/>
    <w:basedOn w:val="1066"/>
    <w:next w:val="1278"/>
    <w:link w:val="1066"/>
    <w:qFormat/>
    <w:rPr>
      <w:rFonts w:ascii="Tahoma" w:hAnsi="Tahoma"/>
      <w:sz w:val="24"/>
      <w:szCs w:val="20"/>
    </w:rPr>
  </w:style>
  <w:style w:type="paragraph" w:styleId="1279">
    <w:name w:val="明显引用1"/>
    <w:basedOn w:val="1066"/>
    <w:next w:val="1066"/>
    <w:link w:val="1280"/>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280">
    <w:name w:val="Intense Quote Char"/>
    <w:next w:val="1280"/>
    <w:link w:val="1279"/>
    <w:uiPriority w:val="30"/>
    <w:qFormat/>
    <w:rPr>
      <w:rFonts w:ascii="Calibri" w:hAnsi="Calibri" w:eastAsia="宋体" w:cs="Times New Roman"/>
      <w:b/>
      <w:bCs/>
      <w:i/>
      <w:iCs/>
      <w:sz w:val="22"/>
      <w:lang w:eastAsia="en-US"/>
    </w:rPr>
  </w:style>
  <w:style w:type="paragraph" w:styleId="1281">
    <w:name w:val="xl57"/>
    <w:basedOn w:val="1066"/>
    <w:next w:val="1281"/>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82">
    <w:name w:val="样式4 Char"/>
    <w:basedOn w:val="1066"/>
    <w:next w:val="1282"/>
    <w:link w:val="1066"/>
    <w:qFormat/>
    <w:pPr>
      <w:ind w:firstLine="480"/>
      <w:jc w:val="left"/>
      <w:spacing w:line="360" w:lineRule="auto"/>
      <w:widowControl/>
    </w:pPr>
    <w:rPr>
      <w:rFonts w:cs="宋体"/>
      <w:color w:val="000000"/>
      <w:sz w:val="24"/>
    </w:rPr>
  </w:style>
  <w:style w:type="paragraph" w:styleId="1283">
    <w:name w:val="xl30"/>
    <w:basedOn w:val="1066"/>
    <w:next w:val="1283"/>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84">
    <w:name w:val="1"/>
    <w:basedOn w:val="1066"/>
    <w:next w:val="1143"/>
    <w:link w:val="1066"/>
    <w:qFormat/>
    <w:pPr>
      <w:spacing w:line="360" w:lineRule="auto"/>
    </w:pPr>
    <w:rPr>
      <w:rFonts w:eastAsia="仿宋_GB2312"/>
      <w:sz w:val="24"/>
    </w:rPr>
  </w:style>
  <w:style w:type="paragraph" w:styleId="1285">
    <w:name w:val="小四 段落 宋体 Char Char Char"/>
    <w:basedOn w:val="1090"/>
    <w:next w:val="1285"/>
    <w:link w:val="1066"/>
    <w:qFormat/>
    <w:pPr>
      <w:ind w:left="0" w:right="-33" w:firstLine="545"/>
      <w:jc w:val="left"/>
      <w:spacing w:line="360" w:lineRule="auto"/>
      <w:tabs>
        <w:tab w:val="clear" w:pos="2952" w:leader="none"/>
      </w:tabs>
    </w:pPr>
    <w:rPr>
      <w:sz w:val="24"/>
    </w:rPr>
  </w:style>
  <w:style w:type="paragraph" w:styleId="1286">
    <w:name w:val="正文 首行缩进:  2 字符 Char Char"/>
    <w:basedOn w:val="1066"/>
    <w:next w:val="1286"/>
    <w:link w:val="1066"/>
    <w:qFormat/>
    <w:pPr>
      <w:ind w:firstLine="480"/>
      <w:spacing w:line="360" w:lineRule="auto"/>
    </w:pPr>
    <w:rPr>
      <w:rFonts w:ascii="楷体_GB2312" w:eastAsia="楷体_GB2312"/>
      <w:bCs/>
      <w:sz w:val="24"/>
    </w:rPr>
  </w:style>
  <w:style w:type="paragraph" w:styleId="1287">
    <w:name w:val="xl50"/>
    <w:basedOn w:val="1066"/>
    <w:next w:val="1287"/>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88">
    <w:name w:val="Char Char Char Char Char Char Char Char Char Char Char Char Char"/>
    <w:basedOn w:val="1066"/>
    <w:next w:val="1288"/>
    <w:link w:val="1066"/>
    <w:qFormat/>
    <w:pPr>
      <w:jc w:val="left"/>
      <w:spacing w:after="160" w:line="240" w:lineRule="exact"/>
      <w:widowControl/>
    </w:pPr>
  </w:style>
  <w:style w:type="paragraph" w:styleId="1289">
    <w:name w:val="列出段落2"/>
    <w:basedOn w:val="1066"/>
    <w:next w:val="1289"/>
    <w:link w:val="1066"/>
    <w:qFormat/>
    <w:pPr>
      <w:ind w:left="720"/>
      <w:jc w:val="left"/>
      <w:widowControl/>
    </w:pPr>
    <w:rPr>
      <w:rFonts w:ascii="Arial" w:hAnsi="Arial" w:eastAsia="黑体" w:cs="Arial"/>
      <w:sz w:val="24"/>
      <w:lang w:eastAsia="en-US"/>
    </w:rPr>
  </w:style>
  <w:style w:type="paragraph" w:styleId="1290">
    <w:name w:val="符号与编号 Char"/>
    <w:basedOn w:val="1066"/>
    <w:next w:val="1290"/>
    <w:link w:val="1066"/>
    <w:qFormat/>
    <w:pPr>
      <w:ind w:left="720"/>
      <w:spacing w:line="400" w:lineRule="atLeast"/>
      <w:tabs>
        <w:tab w:val="left" w:pos="720" w:leader="none"/>
      </w:tabs>
    </w:pPr>
    <w:rPr>
      <w:sz w:val="24"/>
    </w:rPr>
  </w:style>
  <w:style w:type="paragraph" w:styleId="1291">
    <w:name w:val="正文--表格内正文"/>
    <w:basedOn w:val="1066"/>
    <w:next w:val="1291"/>
    <w:link w:val="1066"/>
    <w:qFormat/>
    <w:pPr>
      <w:jc w:val="center"/>
      <w:spacing w:line="240" w:lineRule="atLeast"/>
    </w:pPr>
    <w:rPr>
      <w:rFonts w:ascii="宋体" w:hAnsi="宋体"/>
      <w:color w:val="000000"/>
      <w:sz w:val="24"/>
    </w:rPr>
  </w:style>
  <w:style w:type="paragraph" w:styleId="1292">
    <w:name w:val="xl42"/>
    <w:basedOn w:val="1066"/>
    <w:next w:val="1292"/>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3">
    <w:name w:val="正文 居中"/>
    <w:basedOn w:val="1066"/>
    <w:next w:val="1293"/>
    <w:link w:val="1066"/>
    <w:qFormat/>
    <w:pPr>
      <w:jc w:val="center"/>
      <w:spacing w:line="360" w:lineRule="auto"/>
    </w:pPr>
    <w:rPr>
      <w:sz w:val="24"/>
      <w:szCs w:val="20"/>
    </w:rPr>
  </w:style>
  <w:style w:type="paragraph" w:styleId="1294">
    <w:name w:val="一级标题"/>
    <w:basedOn w:val="1066"/>
    <w:next w:val="1294"/>
    <w:link w:val="1066"/>
    <w:qFormat/>
    <w:pPr>
      <w:ind w:left="900" w:hanging="420"/>
      <w:spacing w:line="360" w:lineRule="auto"/>
      <w:tabs>
        <w:tab w:val="left" w:pos="903" w:leader="none"/>
      </w:tabs>
    </w:pPr>
    <w:rPr>
      <w:rFonts w:ascii="Arial" w:hAnsi="Arial" w:cs="Arial"/>
      <w:sz w:val="24"/>
      <w:szCs w:val="20"/>
    </w:rPr>
  </w:style>
  <w:style w:type="paragraph" w:styleId="1295">
    <w:name w:val="xl26"/>
    <w:basedOn w:val="1066"/>
    <w:next w:val="1295"/>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6">
    <w:name w:val="标题1，章节第一层"/>
    <w:basedOn w:val="1200"/>
    <w:next w:val="1200"/>
    <w:link w:val="1066"/>
    <w:qFormat/>
    <w:pPr>
      <w:ind w:left="482"/>
      <w:tabs>
        <w:tab w:val="left" w:pos="693" w:leader="none"/>
      </w:tabs>
      <w:outlineLvl w:val="0"/>
    </w:pPr>
    <w:rPr>
      <w:color w:val="000000"/>
      <w:sz w:val="24"/>
      <w:szCs w:val="24"/>
    </w:rPr>
  </w:style>
  <w:style w:type="paragraph" w:styleId="1297">
    <w:name w:val="小四 段落 宋体"/>
    <w:basedOn w:val="1090"/>
    <w:next w:val="1297"/>
    <w:link w:val="1066"/>
    <w:qFormat/>
    <w:pPr>
      <w:ind w:left="113" w:right="113" w:firstLine="425"/>
      <w:jc w:val="left"/>
      <w:spacing w:line="360" w:lineRule="auto"/>
      <w:tabs>
        <w:tab w:val="clear" w:pos="2952" w:leader="none"/>
      </w:tabs>
    </w:pPr>
    <w:rPr>
      <w:sz w:val="24"/>
    </w:rPr>
  </w:style>
  <w:style w:type="paragraph" w:styleId="1298">
    <w:name w:val="greytypebeni"/>
    <w:basedOn w:val="1066"/>
    <w:next w:val="1298"/>
    <w:link w:val="1066"/>
    <w:qFormat/>
    <w:pPr>
      <w:jc w:val="left"/>
      <w:widowControl/>
    </w:pPr>
    <w:rPr>
      <w:rFonts w:ascii="宋体" w:hAnsi="宋体" w:cs="宋体"/>
      <w:sz w:val="24"/>
    </w:rPr>
  </w:style>
  <w:style w:type="paragraph" w:styleId="1299">
    <w:name w:val="Char Char Char Char Char Char Char Char Char Char Char"/>
    <w:basedOn w:val="1066"/>
    <w:next w:val="1299"/>
    <w:link w:val="1066"/>
    <w:qFormat/>
    <w:rPr>
      <w:rFonts w:ascii="Tahoma" w:hAnsi="Tahoma"/>
      <w:sz w:val="24"/>
      <w:szCs w:val="20"/>
    </w:rPr>
  </w:style>
  <w:style w:type="paragraph" w:styleId="1300">
    <w:name w:val="List Paragraph1"/>
    <w:basedOn w:val="1066"/>
    <w:next w:val="1300"/>
    <w:link w:val="1066"/>
    <w:qFormat/>
    <w:pPr>
      <w:ind w:left="720"/>
      <w:jc w:val="left"/>
      <w:widowControl/>
    </w:pPr>
    <w:rPr>
      <w:rFonts w:ascii="Arial" w:hAnsi="Arial" w:eastAsia="黑体"/>
      <w:sz w:val="24"/>
      <w:lang w:eastAsia="en-US"/>
    </w:rPr>
  </w:style>
  <w:style w:type="paragraph" w:styleId="1301">
    <w:name w:val="批注框文本1"/>
    <w:basedOn w:val="1066"/>
    <w:next w:val="1301"/>
    <w:link w:val="1066"/>
    <w:qFormat/>
    <w:rPr>
      <w:sz w:val="18"/>
      <w:szCs w:val="18"/>
    </w:rPr>
  </w:style>
  <w:style w:type="paragraph" w:styleId="1302">
    <w:name w:val="Pa6"/>
    <w:basedOn w:val="1066"/>
    <w:next w:val="1066"/>
    <w:link w:val="1066"/>
    <w:qFormat/>
    <w:pPr>
      <w:jc w:val="left"/>
      <w:spacing w:line="241" w:lineRule="atLeast"/>
    </w:pPr>
    <w:rPr>
      <w:rFonts w:ascii="HYDaHeiJ" w:eastAsia="HYDaHeiJ"/>
      <w:sz w:val="24"/>
    </w:rPr>
  </w:style>
  <w:style w:type="paragraph" w:styleId="1303">
    <w:name w:val="样式1"/>
    <w:basedOn w:val="1066"/>
    <w:next w:val="1303"/>
    <w:link w:val="1066"/>
    <w:qFormat/>
    <w:pPr>
      <w:ind w:firstLine="480"/>
      <w:spacing w:line="300" w:lineRule="auto"/>
    </w:pPr>
    <w:rPr>
      <w:sz w:val="24"/>
    </w:rPr>
  </w:style>
  <w:style w:type="paragraph" w:styleId="1304">
    <w:name w:val="列出段落11"/>
    <w:basedOn w:val="1066"/>
    <w:next w:val="1304"/>
    <w:link w:val="1066"/>
    <w:qFormat/>
    <w:pPr>
      <w:ind w:firstLine="200"/>
    </w:pPr>
    <w:rPr>
      <w:rFonts w:ascii="Calibri" w:hAnsi="Calibri" w:cs="宋体"/>
      <w:szCs w:val="22"/>
    </w:rPr>
  </w:style>
  <w:style w:type="paragraph" w:styleId="1305">
    <w:name w:val="样式 段后: 0.5 行 左  0.75 字符"/>
    <w:basedOn w:val="1066"/>
    <w:next w:val="1305"/>
    <w:link w:val="1066"/>
    <w:qFormat/>
    <w:pPr>
      <w:ind w:firstLine="420"/>
      <w:spacing w:line="360" w:lineRule="auto"/>
      <w:widowControl/>
    </w:pPr>
    <w:rPr>
      <w:rFonts w:hAnsi="Arial" w:cs="Arial"/>
      <w:szCs w:val="21"/>
    </w:rPr>
  </w:style>
  <w:style w:type="paragraph" w:styleId="1306">
    <w:name w:val="Char Char Char Char Char Char Char1"/>
    <w:basedOn w:val="1066"/>
    <w:next w:val="1306"/>
    <w:link w:val="1066"/>
    <w:qFormat/>
    <w:rPr>
      <w:rFonts w:ascii="Tahoma" w:hAnsi="Tahoma"/>
      <w:sz w:val="24"/>
      <w:szCs w:val="20"/>
    </w:rPr>
  </w:style>
  <w:style w:type="paragraph" w:styleId="1307">
    <w:name w:val="xl32"/>
    <w:basedOn w:val="1066"/>
    <w:next w:val="1307"/>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08">
    <w:name w:val="表格"/>
    <w:basedOn w:val="1066"/>
    <w:next w:val="1308"/>
    <w:link w:val="1066"/>
    <w:qFormat/>
    <w:pPr>
      <w:ind w:firstLine="21"/>
    </w:pPr>
    <w:rPr>
      <w:rFonts w:ascii="宋体" w:hAnsi="宋体" w:cs="宋体"/>
      <w:sz w:val="20"/>
      <w:szCs w:val="20"/>
    </w:rPr>
  </w:style>
  <w:style w:type="paragraph" w:styleId="1309">
    <w:name w:val="p0"/>
    <w:basedOn w:val="1066"/>
    <w:next w:val="1309"/>
    <w:link w:val="1066"/>
    <w:qFormat/>
    <w:pPr>
      <w:jc w:val="left"/>
      <w:spacing w:before="100" w:beforeAutospacing="1" w:after="100" w:afterAutospacing="1"/>
      <w:widowControl/>
    </w:pPr>
    <w:rPr>
      <w:rFonts w:ascii="宋体" w:hAnsi="宋体" w:cs="宋体"/>
      <w:sz w:val="24"/>
    </w:rPr>
  </w:style>
  <w:style w:type="paragraph" w:styleId="1310">
    <w:name w:val="Char Char Char Char Char Char Char Char Char Char"/>
    <w:basedOn w:val="1066"/>
    <w:next w:val="1310"/>
    <w:link w:val="1066"/>
    <w:qFormat/>
    <w:pPr>
      <w:spacing w:line="360" w:lineRule="auto"/>
    </w:pPr>
    <w:rPr>
      <w:sz w:val="24"/>
      <w:szCs w:val="20"/>
    </w:rPr>
  </w:style>
  <w:style w:type="paragraph" w:styleId="1311">
    <w:name w:val="Char"/>
    <w:basedOn w:val="1066"/>
    <w:next w:val="1311"/>
    <w:link w:val="1066"/>
    <w:qFormat/>
    <w:pPr>
      <w:spacing w:line="360" w:lineRule="auto"/>
    </w:pPr>
    <w:rPr>
      <w:rFonts w:ascii="Tahoma" w:hAnsi="Tahoma"/>
      <w:sz w:val="24"/>
      <w:szCs w:val="20"/>
    </w:rPr>
  </w:style>
  <w:style w:type="paragraph" w:styleId="1312">
    <w:name w:val="Char Char Char Char"/>
    <w:basedOn w:val="1093"/>
    <w:next w:val="1312"/>
    <w:link w:val="1066"/>
    <w:qFormat/>
    <w:pPr>
      <w:spacing w:line="360" w:lineRule="auto"/>
    </w:pPr>
    <w:rPr>
      <w:rFonts w:ascii="Tahoma" w:hAnsi="Tahoma"/>
    </w:rPr>
  </w:style>
  <w:style w:type="paragraph" w:styleId="1313">
    <w:name w:val="方案文档"/>
    <w:basedOn w:val="1066"/>
    <w:next w:val="1313"/>
    <w:link w:val="1066"/>
    <w:qFormat/>
    <w:pPr>
      <w:jc w:val="center"/>
      <w:spacing w:before="60" w:after="60" w:line="360" w:lineRule="auto"/>
    </w:pPr>
    <w:rPr>
      <w:rFonts w:ascii="宋体" w:hAnsi="宋体"/>
      <w:sz w:val="24"/>
      <w:szCs w:val="20"/>
      <w:lang w:val="zh-CN"/>
    </w:rPr>
  </w:style>
  <w:style w:type="paragraph" w:styleId="1314">
    <w:name w:val="a"/>
    <w:basedOn w:val="1066"/>
    <w:next w:val="1314"/>
    <w:link w:val="1066"/>
    <w:qFormat/>
    <w:pPr>
      <w:spacing w:before="100" w:beforeAutospacing="1" w:after="100" w:afterAutospacing="1"/>
      <w:widowControl/>
    </w:pPr>
    <w:rPr>
      <w:rFonts w:ascii="宋体" w:hAnsi="宋体" w:cs="宋体"/>
      <w:sz w:val="24"/>
    </w:rPr>
  </w:style>
  <w:style w:type="paragraph" w:styleId="1315">
    <w:name w:val="公文正文"/>
    <w:basedOn w:val="1103"/>
    <w:next w:val="1315"/>
    <w:link w:val="1066"/>
    <w:qFormat/>
    <w:pPr>
      <w:ind w:left="0" w:firstLine="200"/>
      <w:spacing w:after="0"/>
    </w:pPr>
    <w:rPr>
      <w:rFonts w:ascii="仿宋_GB2312" w:hAnsi="宋体" w:eastAsia="仿宋_GB2312"/>
      <w:sz w:val="28"/>
    </w:rPr>
  </w:style>
  <w:style w:type="paragraph" w:styleId="1316">
    <w:name w:val="xl55"/>
    <w:basedOn w:val="1066"/>
    <w:next w:val="1316"/>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17">
    <w:name w:val="xl34"/>
    <w:basedOn w:val="1066"/>
    <w:next w:val="1317"/>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8">
    <w:name w:val="Char11"/>
    <w:basedOn w:val="1066"/>
    <w:next w:val="1318"/>
    <w:link w:val="1066"/>
    <w:qFormat/>
    <w:rPr>
      <w:rFonts w:ascii="仿宋_GB2312" w:eastAsia="仿宋_GB2312"/>
      <w:b/>
      <w:sz w:val="32"/>
      <w:szCs w:val="32"/>
    </w:rPr>
  </w:style>
  <w:style w:type="paragraph" w:styleId="1319">
    <w:name w:val="xl43"/>
    <w:basedOn w:val="1066"/>
    <w:next w:val="1319"/>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20">
    <w:name w:val="表蕊"/>
    <w:basedOn w:val="1066"/>
    <w:next w:val="1320"/>
    <w:link w:val="1066"/>
    <w:qFormat/>
    <w:pPr>
      <w:jc w:val="left"/>
      <w:spacing w:line="320" w:lineRule="atLeast"/>
    </w:pPr>
    <w:rPr>
      <w:rFonts w:eastAsia="楷体_GB2312"/>
      <w:spacing w:val="-10"/>
      <w:szCs w:val="20"/>
    </w:rPr>
  </w:style>
  <w:style w:type="paragraph" w:styleId="1321">
    <w:name w:val="xl49"/>
    <w:basedOn w:val="1066"/>
    <w:next w:val="1321"/>
    <w:link w:val="106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322">
    <w:name w:val="font7"/>
    <w:basedOn w:val="1066"/>
    <w:next w:val="1322"/>
    <w:link w:val="1066"/>
    <w:qFormat/>
    <w:pPr>
      <w:jc w:val="left"/>
      <w:spacing w:before="100" w:beforeAutospacing="1" w:after="100" w:afterAutospacing="1"/>
      <w:widowControl/>
    </w:pPr>
    <w:rPr>
      <w:rFonts w:ascii="宋体" w:hAnsi="宋体"/>
      <w:b/>
      <w:bCs/>
      <w:sz w:val="24"/>
    </w:rPr>
  </w:style>
  <w:style w:type="paragraph" w:styleId="1323">
    <w:name w:val="文档正文"/>
    <w:basedOn w:val="1066"/>
    <w:next w:val="1323"/>
    <w:link w:val="1066"/>
    <w:qFormat/>
    <w:pPr>
      <w:spacing w:line="360" w:lineRule="auto"/>
    </w:pPr>
    <w:rPr>
      <w:rFonts w:ascii="宋体" w:hAnsi="宋体"/>
      <w:b/>
      <w:bCs/>
    </w:rPr>
  </w:style>
  <w:style w:type="paragraph" w:styleId="1324">
    <w:name w:val="段 Char"/>
    <w:next w:val="1324"/>
    <w:link w:val="1066"/>
    <w:qFormat/>
    <w:pPr>
      <w:ind w:firstLine="200"/>
      <w:jc w:val="both"/>
    </w:pPr>
    <w:rPr>
      <w:rFonts w:ascii="宋体" w:hAnsi="Times New Roman" w:eastAsia="宋体" w:cs="Times New Roman"/>
      <w:sz w:val="21"/>
      <w:lang w:val="en-US" w:eastAsia="zh-CN" w:bidi="ar-SA"/>
    </w:rPr>
  </w:style>
  <w:style w:type="paragraph" w:styleId="1325">
    <w:name w:val="xl38"/>
    <w:basedOn w:val="1066"/>
    <w:next w:val="1325"/>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6">
    <w:name w:val="公文标题 2"/>
    <w:basedOn w:val="1066"/>
    <w:next w:val="1315"/>
    <w:link w:val="1066"/>
    <w:qFormat/>
    <w:pPr>
      <w:outlineLvl w:val="1"/>
    </w:pPr>
    <w:rPr>
      <w:rFonts w:ascii="仿宋_GB2312" w:hAnsi="宋体" w:eastAsia="仿宋_GB2312"/>
      <w:sz w:val="28"/>
    </w:rPr>
  </w:style>
  <w:style w:type="paragraph" w:styleId="1327">
    <w:name w:val="标题4，章节第四层"/>
    <w:basedOn w:val="1066"/>
    <w:next w:val="1066"/>
    <w:link w:val="1066"/>
    <w:qFormat/>
    <w:pPr>
      <w:spacing w:line="360" w:lineRule="auto"/>
      <w:tabs>
        <w:tab w:val="left" w:pos="0" w:leader="none"/>
      </w:tabs>
      <w:outlineLvl w:val="3"/>
    </w:pPr>
    <w:rPr>
      <w:rFonts w:ascii="宋体" w:hAnsi="宋体"/>
      <w:b/>
      <w:sz w:val="24"/>
    </w:rPr>
  </w:style>
  <w:style w:type="paragraph" w:styleId="1328">
    <w:name w:val="Char Char Char1"/>
    <w:basedOn w:val="1093"/>
    <w:next w:val="1328"/>
    <w:link w:val="1066"/>
    <w:qFormat/>
    <w:pPr>
      <w:spacing w:line="436" w:lineRule="exact"/>
    </w:pPr>
  </w:style>
  <w:style w:type="paragraph" w:styleId="1329">
    <w:name w:val="Normal Indent1"/>
    <w:basedOn w:val="1066"/>
    <w:next w:val="1329"/>
    <w:link w:val="1066"/>
    <w:qFormat/>
    <w:pPr>
      <w:ind w:firstLine="420"/>
    </w:pPr>
    <w:rPr>
      <w:sz w:val="20"/>
      <w:szCs w:val="20"/>
    </w:rPr>
  </w:style>
  <w:style w:type="paragraph" w:styleId="1330">
    <w:name w:val="正文 首行缩进:  2 字符 Char"/>
    <w:basedOn w:val="1066"/>
    <w:next w:val="1330"/>
    <w:link w:val="1066"/>
    <w:qFormat/>
    <w:pPr>
      <w:ind w:firstLine="480"/>
      <w:spacing w:line="360" w:lineRule="auto"/>
    </w:pPr>
    <w:rPr>
      <w:rFonts w:cs="宋体"/>
      <w:sz w:val="24"/>
      <w:szCs w:val="20"/>
    </w:rPr>
  </w:style>
  <w:style w:type="paragraph" w:styleId="1331">
    <w:name w:val="font12"/>
    <w:basedOn w:val="1066"/>
    <w:next w:val="1331"/>
    <w:link w:val="1066"/>
    <w:qFormat/>
    <w:pPr>
      <w:jc w:val="left"/>
      <w:spacing w:before="100" w:beforeAutospacing="1" w:after="100" w:afterAutospacing="1"/>
      <w:widowControl/>
    </w:pPr>
    <w:rPr>
      <w:rFonts w:ascii="宋体" w:hAnsi="宋体" w:cs="宋体"/>
      <w:sz w:val="36"/>
      <w:szCs w:val="36"/>
    </w:rPr>
  </w:style>
  <w:style w:type="paragraph" w:styleId="1332">
    <w:name w:val="Char Char"/>
    <w:basedOn w:val="1066"/>
    <w:next w:val="1332"/>
    <w:link w:val="1066"/>
    <w:qFormat/>
    <w:rPr>
      <w:rFonts w:ascii="Tahoma" w:hAnsi="Tahoma"/>
      <w:sz w:val="24"/>
      <w:szCs w:val="20"/>
    </w:rPr>
  </w:style>
  <w:style w:type="paragraph" w:styleId="1333">
    <w:name w:val="表头_5"/>
    <w:basedOn w:val="1066"/>
    <w:next w:val="1333"/>
    <w:link w:val="1066"/>
    <w:qFormat/>
    <w:pPr>
      <w:spacing w:line="360" w:lineRule="auto"/>
    </w:pPr>
    <w:rPr>
      <w:b/>
      <w:bCs/>
      <w:sz w:val="28"/>
      <w:szCs w:val="21"/>
    </w:rPr>
  </w:style>
  <w:style w:type="paragraph" w:styleId="1334">
    <w:name w:val="Char Char110"/>
    <w:basedOn w:val="1066"/>
    <w:next w:val="1334"/>
    <w:link w:val="1066"/>
    <w:qFormat/>
    <w:rPr>
      <w:rFonts w:ascii="Tahoma" w:hAnsi="Tahoma" w:cs="Tahoma"/>
      <w:sz w:val="24"/>
      <w:szCs w:val="20"/>
    </w:rPr>
  </w:style>
  <w:style w:type="paragraph" w:styleId="1335">
    <w:name w:val="标题 4宋体"/>
    <w:basedOn w:val="1070"/>
    <w:next w:val="1335"/>
    <w:link w:val="1066"/>
    <w:qFormat/>
    <w:pPr>
      <w:jc w:val="left"/>
      <w:keepLines w:val="0"/>
      <w:spacing w:before="0" w:after="0" w:line="360" w:lineRule="auto"/>
    </w:pPr>
    <w:rPr>
      <w:rFonts w:ascii="宋体" w:hAnsi="宋体" w:eastAsia="宋体"/>
      <w:bCs/>
      <w:color w:val="000000"/>
      <w:sz w:val="24"/>
    </w:rPr>
  </w:style>
  <w:style w:type="paragraph" w:styleId="1336">
    <w:name w:val="zw"/>
    <w:basedOn w:val="1066"/>
    <w:next w:val="1336"/>
    <w:link w:val="1066"/>
    <w:qFormat/>
    <w:pPr>
      <w:ind w:firstLine="480"/>
      <w:jc w:val="left"/>
      <w:spacing w:line="360" w:lineRule="auto"/>
      <w:widowControl/>
    </w:pPr>
    <w:rPr>
      <w:rFonts w:ascii="宋体" w:hAnsi="宋体"/>
      <w:bCs/>
      <w:sz w:val="24"/>
      <w:szCs w:val="20"/>
    </w:rPr>
  </w:style>
  <w:style w:type="paragraph" w:styleId="1337">
    <w:name w:val="Char2 Char Char Char Char Char Char1"/>
    <w:basedOn w:val="1066"/>
    <w:next w:val="1337"/>
    <w:link w:val="1066"/>
    <w:qFormat/>
    <w:pPr>
      <w:ind w:hanging="425"/>
      <w:keepNext/>
      <w:spacing w:before="80" w:after="80"/>
      <w:widowControl/>
      <w:tabs>
        <w:tab w:val="left" w:pos="425" w:leader="none"/>
      </w:tabs>
    </w:pPr>
    <w:rPr>
      <w:rFonts w:ascii="Arial" w:hAnsi="Arial" w:cs="Arial"/>
      <w:sz w:val="20"/>
      <w:szCs w:val="20"/>
    </w:rPr>
  </w:style>
  <w:style w:type="paragraph" w:styleId="1338">
    <w:name w:val="条1"/>
    <w:basedOn w:val="1066"/>
    <w:next w:val="1338"/>
    <w:link w:val="1066"/>
    <w:qFormat/>
    <w:pPr>
      <w:ind w:left="780" w:hanging="360"/>
      <w:spacing w:before="156" w:line="360" w:lineRule="auto"/>
      <w:tabs>
        <w:tab w:val="left" w:pos="780" w:leader="none"/>
      </w:tabs>
    </w:pPr>
    <w:rPr>
      <w:rFonts w:eastAsia="黑体"/>
      <w:sz w:val="24"/>
      <w:szCs w:val="20"/>
    </w:rPr>
  </w:style>
  <w:style w:type="paragraph" w:styleId="1339">
    <w:name w:val="Char Char Char Char Char Char Char Char Char Char Char1"/>
    <w:basedOn w:val="1066"/>
    <w:next w:val="1339"/>
    <w:link w:val="1066"/>
    <w:qFormat/>
    <w:rPr>
      <w:rFonts w:ascii="Tahoma" w:hAnsi="Tahoma" w:cs="Tahoma"/>
      <w:sz w:val="24"/>
      <w:szCs w:val="20"/>
    </w:rPr>
  </w:style>
  <w:style w:type="paragraph" w:styleId="1340">
    <w:name w:val="丁华标题2"/>
    <w:basedOn w:val="1068"/>
    <w:next w:val="1341"/>
    <w:link w:val="1066"/>
    <w:qFormat/>
    <w:pPr>
      <w:ind w:left="567" w:hanging="567"/>
      <w:jc w:val="left"/>
      <w:spacing w:before="120" w:after="120"/>
      <w:tabs>
        <w:tab w:val="left" w:pos="567" w:leader="none"/>
      </w:tabs>
    </w:pPr>
    <w:rPr>
      <w:color w:val="000000"/>
      <w:sz w:val="28"/>
      <w:szCs w:val="20"/>
    </w:rPr>
  </w:style>
  <w:style w:type="paragraph" w:styleId="1341">
    <w:name w:val="丁华正文"/>
    <w:basedOn w:val="1138"/>
    <w:next w:val="1341"/>
    <w:link w:val="1066"/>
    <w:qFormat/>
    <w:pPr>
      <w:ind w:left="0" w:firstLine="510"/>
      <w:spacing w:before="0" w:after="0" w:line="360" w:lineRule="auto"/>
    </w:pPr>
    <w:rPr>
      <w:rFonts w:ascii="宋体" w:hAnsi="Arial"/>
      <w:bCs w:val="0"/>
      <w:color w:val="000000"/>
      <w:szCs w:val="16"/>
    </w:rPr>
  </w:style>
  <w:style w:type="paragraph" w:styleId="1342">
    <w:name w:val="4"/>
    <w:basedOn w:val="1066"/>
    <w:next w:val="1138"/>
    <w:link w:val="1066"/>
    <w:qFormat/>
    <w:pPr>
      <w:ind w:firstLine="420"/>
      <w:spacing w:line="360" w:lineRule="auto"/>
    </w:pPr>
    <w:rPr>
      <w:color w:val="ff0000"/>
      <w:sz w:val="24"/>
    </w:rPr>
  </w:style>
  <w:style w:type="paragraph" w:styleId="1343">
    <w:name w:val="正文 New New New New New"/>
    <w:next w:val="1343"/>
    <w:link w:val="1066"/>
    <w:qFormat/>
    <w:pPr>
      <w:jc w:val="both"/>
      <w:widowControl w:val="off"/>
    </w:pPr>
    <w:rPr>
      <w:rFonts w:ascii="Times New Roman" w:hAnsi="Times New Roman" w:eastAsia="宋体" w:cs="Times New Roman"/>
      <w:sz w:val="21"/>
      <w:szCs w:val="24"/>
      <w:lang w:val="en-US" w:eastAsia="zh-CN" w:bidi="ar-SA"/>
    </w:rPr>
  </w:style>
  <w:style w:type="paragraph" w:styleId="1344">
    <w:name w:val="大标题"/>
    <w:basedOn w:val="1066"/>
    <w:next w:val="1066"/>
    <w:link w:val="1066"/>
    <w:qFormat/>
    <w:pPr>
      <w:ind w:hanging="420"/>
      <w:pageBreakBefore/>
      <w:spacing w:line="360" w:lineRule="auto"/>
      <w:tabs>
        <w:tab w:val="left" w:pos="420" w:leader="none"/>
      </w:tabs>
      <w:outlineLvl w:val="0"/>
    </w:pPr>
    <w:rPr>
      <w:b/>
      <w:iCs/>
      <w:sz w:val="44"/>
    </w:rPr>
  </w:style>
  <w:style w:type="paragraph" w:styleId="1345">
    <w:name w:val="Char Char Char Char Char Char Char"/>
    <w:basedOn w:val="1066"/>
    <w:next w:val="1345"/>
    <w:link w:val="1066"/>
    <w:qFormat/>
    <w:pPr>
      <w:jc w:val="left"/>
    </w:pPr>
    <w:rPr>
      <w:rFonts w:ascii="Tahoma" w:hAnsi="Tahoma"/>
      <w:sz w:val="24"/>
      <w:szCs w:val="20"/>
    </w:rPr>
  </w:style>
  <w:style w:type="paragraph" w:styleId="1346">
    <w:name w:val="xl61"/>
    <w:basedOn w:val="1066"/>
    <w:next w:val="1346"/>
    <w:link w:val="106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47">
    <w:name w:val="xl46"/>
    <w:basedOn w:val="1066"/>
    <w:next w:val="1347"/>
    <w:link w:val="106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48">
    <w:name w:val="xl51"/>
    <w:basedOn w:val="1066"/>
    <w:next w:val="1348"/>
    <w:link w:val="10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49">
    <w:name w:val="Char Char Char Char Char Char Char Char Char Char Char Char Char Char"/>
    <w:basedOn w:val="1066"/>
    <w:next w:val="1349"/>
    <w:link w:val="1066"/>
    <w:qFormat/>
    <w:rPr>
      <w:rFonts w:ascii="Tahoma" w:hAnsi="Tahoma"/>
      <w:sz w:val="24"/>
      <w:szCs w:val="20"/>
    </w:rPr>
  </w:style>
  <w:style w:type="paragraph" w:styleId="1350">
    <w:name w:val="xl44"/>
    <w:basedOn w:val="1066"/>
    <w:next w:val="1350"/>
    <w:link w:val="106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51">
    <w:name w:val="符号与编号 Char Char"/>
    <w:basedOn w:val="1066"/>
    <w:next w:val="1351"/>
    <w:link w:val="1066"/>
    <w:qFormat/>
    <w:pPr>
      <w:ind w:left="839" w:hanging="419"/>
      <w:spacing w:line="400" w:lineRule="atLeast"/>
      <w:tabs>
        <w:tab w:val="left" w:pos="840" w:leader="none"/>
      </w:tabs>
    </w:pPr>
    <w:rPr>
      <w:sz w:val="24"/>
    </w:rPr>
  </w:style>
  <w:style w:type="paragraph" w:styleId="1352">
    <w:name w:val="默认段落字体 Para Char Char Char Char Char Char Char Char Char1 Char Char Char Char Char Char Char"/>
    <w:basedOn w:val="1093"/>
    <w:next w:val="1352"/>
    <w:link w:val="1066"/>
    <w:qFormat/>
    <w:rPr>
      <w:szCs w:val="20"/>
    </w:rPr>
  </w:style>
  <w:style w:type="paragraph" w:styleId="1353">
    <w:name w:val="普通正文"/>
    <w:basedOn w:val="1066"/>
    <w:next w:val="1353"/>
    <w:link w:val="1066"/>
    <w:qFormat/>
    <w:pPr>
      <w:ind w:firstLine="480"/>
      <w:jc w:val="left"/>
      <w:spacing w:before="120" w:after="120" w:line="360" w:lineRule="auto"/>
    </w:pPr>
    <w:rPr>
      <w:rFonts w:ascii="Arial" w:hAnsi="Arial"/>
      <w:sz w:val="24"/>
    </w:rPr>
  </w:style>
  <w:style w:type="paragraph" w:styleId="1354">
    <w:name w:val="表格内容"/>
    <w:basedOn w:val="1066"/>
    <w:next w:val="1354"/>
    <w:link w:val="1066"/>
    <w:qFormat/>
    <w:pPr>
      <w:jc w:val="center"/>
      <w:spacing w:before="60" w:line="300" w:lineRule="auto"/>
      <w:widowControl/>
    </w:pPr>
    <w:rPr>
      <w:szCs w:val="20"/>
    </w:rPr>
  </w:style>
  <w:style w:type="paragraph" w:styleId="1355">
    <w:name w:val="正文文本 New New"/>
    <w:basedOn w:val="1066"/>
    <w:next w:val="1355"/>
    <w:link w:val="1066"/>
    <w:qFormat/>
    <w:pPr>
      <w:ind w:firstLine="200"/>
      <w:spacing w:before="60" w:after="60" w:line="360" w:lineRule="auto"/>
      <w:widowControl/>
    </w:pPr>
    <w:rPr>
      <w:rFonts w:eastAsia="华文楷体"/>
      <w:sz w:val="24"/>
    </w:rPr>
  </w:style>
  <w:style w:type="paragraph" w:styleId="1356">
    <w:name w:val="font8"/>
    <w:basedOn w:val="1066"/>
    <w:next w:val="1356"/>
    <w:link w:val="1066"/>
    <w:qFormat/>
    <w:pPr>
      <w:jc w:val="left"/>
      <w:spacing w:before="100" w:beforeAutospacing="1" w:after="100" w:afterAutospacing="1"/>
      <w:widowControl/>
    </w:pPr>
    <w:rPr>
      <w:rFonts w:ascii="宋体" w:hAnsi="宋体" w:cs="宋体"/>
      <w:b/>
      <w:bCs/>
      <w:i/>
      <w:iCs/>
      <w:sz w:val="20"/>
      <w:szCs w:val="20"/>
    </w:rPr>
  </w:style>
  <w:style w:type="paragraph" w:styleId="1357">
    <w:name w:val="Char Char Char Char Char Char Char Char Char Char Char1 Char Char Char1"/>
    <w:basedOn w:val="1066"/>
    <w:next w:val="1357"/>
    <w:link w:val="1066"/>
    <w:qFormat/>
    <w:pPr>
      <w:ind w:firstLine="200"/>
      <w:jc w:val="left"/>
    </w:pPr>
    <w:rPr>
      <w:rFonts w:ascii="Tahoma" w:hAnsi="Tahoma"/>
      <w:sz w:val="24"/>
    </w:rPr>
  </w:style>
  <w:style w:type="paragraph" w:styleId="1358">
    <w:name w:val="xl25"/>
    <w:basedOn w:val="1066"/>
    <w:next w:val="1358"/>
    <w:link w:val="1066"/>
    <w:qFormat/>
    <w:pPr>
      <w:jc w:val="center"/>
      <w:spacing w:before="100" w:beforeAutospacing="1" w:after="100" w:afterAutospacing="1"/>
      <w:widowControl/>
      <w:pBdr>
        <w:right w:val="single" w:color="000000" w:sz="4" w:space="0"/>
      </w:pBdr>
    </w:pPr>
    <w:rPr>
      <w:szCs w:val="21"/>
    </w:rPr>
  </w:style>
  <w:style w:type="paragraph" w:styleId="1359">
    <w:name w:val="标准小四"/>
    <w:basedOn w:val="1066"/>
    <w:next w:val="1359"/>
    <w:link w:val="1066"/>
    <w:qFormat/>
    <w:pPr>
      <w:ind w:firstLine="480"/>
      <w:spacing w:line="360" w:lineRule="auto"/>
    </w:pPr>
    <w:rPr>
      <w:rFonts w:ascii="Arial" w:hAnsi="Arial"/>
      <w:sz w:val="24"/>
      <w:szCs w:val="21"/>
    </w:rPr>
  </w:style>
  <w:style w:type="paragraph" w:styleId="1360">
    <w:name w:val="附录1"/>
    <w:next w:val="1360"/>
    <w:link w:val="1066"/>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61">
    <w:name w:val="标题3，章节第三层"/>
    <w:basedOn w:val="1066"/>
    <w:next w:val="1200"/>
    <w:link w:val="1066"/>
    <w:qFormat/>
    <w:pPr>
      <w:spacing w:before="78" w:line="300" w:lineRule="auto"/>
      <w:outlineLvl w:val="2"/>
    </w:pPr>
    <w:rPr>
      <w:rFonts w:ascii="Arial" w:hAnsi="Arial" w:eastAsia="华文细黑"/>
      <w:sz w:val="30"/>
    </w:rPr>
  </w:style>
  <w:style w:type="paragraph" w:styleId="1362">
    <w:name w:val="7"/>
    <w:basedOn w:val="1066"/>
    <w:next w:val="1147"/>
    <w:link w:val="1066"/>
    <w:qFormat/>
    <w:pPr>
      <w:jc w:val="left"/>
      <w:spacing w:before="100" w:beforeAutospacing="1" w:after="100" w:afterAutospacing="1"/>
      <w:widowControl/>
    </w:pPr>
    <w:rPr>
      <w:rFonts w:ascii="宋体" w:hAnsi="宋体"/>
      <w:sz w:val="24"/>
      <w:szCs w:val="20"/>
    </w:rPr>
  </w:style>
  <w:style w:type="paragraph" w:styleId="1363">
    <w:name w:val="xl59"/>
    <w:basedOn w:val="1066"/>
    <w:next w:val="1363"/>
    <w:link w:val="106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4">
    <w:name w:val="无间隔1"/>
    <w:next w:val="1364"/>
    <w:link w:val="1066"/>
    <w:uiPriority w:val="1"/>
    <w:qFormat/>
    <w:pPr>
      <w:jc w:val="both"/>
      <w:widowControl w:val="off"/>
    </w:pPr>
    <w:rPr>
      <w:rFonts w:ascii="Times New Roman" w:hAnsi="Times New Roman" w:eastAsia="微软雅黑" w:cs="Times New Roman"/>
      <w:sz w:val="24"/>
      <w:szCs w:val="22"/>
      <w:lang w:val="en-US" w:eastAsia="zh-CN" w:bidi="ar-SA"/>
    </w:rPr>
  </w:style>
  <w:style w:type="paragraph" w:styleId="1365">
    <w:name w:val="Char Char Char Char Char Char Char Char Char Char Char Char Char Char Char Char Char Char Char Char Char"/>
    <w:basedOn w:val="1066"/>
    <w:next w:val="1365"/>
    <w:link w:val="1066"/>
    <w:qFormat/>
    <w:rPr>
      <w:rFonts w:ascii="Tahoma" w:hAnsi="Tahoma" w:cs="Tahoma"/>
      <w:sz w:val="24"/>
      <w:szCs w:val="20"/>
    </w:rPr>
  </w:style>
  <w:style w:type="paragraph" w:styleId="1366">
    <w:name w:val="Char Char Char Char Char Char Char Char1"/>
    <w:basedOn w:val="1066"/>
    <w:next w:val="1366"/>
    <w:link w:val="1066"/>
    <w:qFormat/>
    <w:pPr>
      <w:jc w:val="left"/>
      <w:spacing w:after="160" w:line="240" w:lineRule="exact"/>
      <w:widowControl/>
    </w:pPr>
    <w:rPr>
      <w:rFonts w:ascii="Verdana" w:hAnsi="Verdana"/>
      <w:sz w:val="20"/>
      <w:szCs w:val="20"/>
      <w:lang w:eastAsia="en-US"/>
    </w:rPr>
  </w:style>
  <w:style w:type="paragraph" w:styleId="1367">
    <w:name w:val="Char Char Char Char Char Char Char Char Char Char Char Char Char Char Char Char Char Char Char Char Char Char Char"/>
    <w:basedOn w:val="1066"/>
    <w:next w:val="1367"/>
    <w:link w:val="1066"/>
    <w:qFormat/>
    <w:rPr>
      <w:rFonts w:ascii="Tahoma" w:hAnsi="Tahoma"/>
      <w:sz w:val="24"/>
      <w:szCs w:val="20"/>
    </w:rPr>
  </w:style>
  <w:style w:type="paragraph" w:styleId="1368">
    <w:name w:val="xl33"/>
    <w:basedOn w:val="1066"/>
    <w:next w:val="1368"/>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9">
    <w:name w:val="Default"/>
    <w:next w:val="1369"/>
    <w:link w:val="1066"/>
    <w:qFormat/>
    <w:pPr>
      <w:widowControl w:val="off"/>
    </w:pPr>
    <w:rPr>
      <w:rFonts w:ascii="宋体" w:hAnsi="Times New Roman" w:eastAsia="宋体" w:cs="宋体"/>
      <w:color w:val="000000"/>
      <w:sz w:val="24"/>
      <w:szCs w:val="24"/>
      <w:lang w:val="en-US" w:eastAsia="zh-CN" w:bidi="ar-SA"/>
    </w:rPr>
  </w:style>
  <w:style w:type="paragraph" w:styleId="1370">
    <w:name w:val="Char Char Char Char Char Char Char Char Char"/>
    <w:basedOn w:val="1066"/>
    <w:next w:val="1370"/>
    <w:link w:val="1066"/>
    <w:qFormat/>
    <w:pPr>
      <w:ind w:left="200" w:hanging="200"/>
      <w:tabs>
        <w:tab w:val="left" w:pos="360" w:leader="none"/>
      </w:tabs>
    </w:pPr>
    <w:rPr>
      <w:sz w:val="24"/>
    </w:rPr>
  </w:style>
  <w:style w:type="paragraph" w:styleId="1371">
    <w:name w:val="批注主题1"/>
    <w:basedOn w:val="1095"/>
    <w:next w:val="1095"/>
    <w:link w:val="1066"/>
    <w:qFormat/>
    <w:rPr>
      <w:b/>
      <w:bCs/>
    </w:rPr>
  </w:style>
  <w:style w:type="paragraph" w:styleId="1372">
    <w:name w:val="Char Char1 Char Char Char Char"/>
    <w:basedOn w:val="1093"/>
    <w:next w:val="1372"/>
    <w:link w:val="1066"/>
    <w:qFormat/>
    <w:pPr>
      <w:ind w:left="357"/>
      <w:jc w:val="left"/>
      <w:spacing w:line="436" w:lineRule="exact"/>
      <w:outlineLvl w:val="3"/>
    </w:pPr>
    <w:rPr>
      <w:rFonts w:ascii="Tahoma" w:hAnsi="Tahoma" w:cs="Tahoma"/>
      <w:b/>
    </w:rPr>
  </w:style>
  <w:style w:type="paragraph" w:styleId="1373">
    <w:name w:val="xl29"/>
    <w:basedOn w:val="1066"/>
    <w:next w:val="1373"/>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74">
    <w:name w:val="标题5，章节第五层"/>
    <w:basedOn w:val="1066"/>
    <w:next w:val="1066"/>
    <w:link w:val="106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75">
    <w:name w:val="正文--wdh"/>
    <w:basedOn w:val="1066"/>
    <w:next w:val="1375"/>
    <w:link w:val="1066"/>
    <w:qFormat/>
    <w:pPr>
      <w:spacing w:line="360" w:lineRule="auto"/>
    </w:pPr>
    <w:rPr>
      <w:sz w:val="24"/>
    </w:rPr>
  </w:style>
  <w:style w:type="paragraph" w:styleId="1376">
    <w:name w:val="Char Char Char Char Char Char Char Char"/>
    <w:basedOn w:val="1066"/>
    <w:next w:val="1376"/>
    <w:link w:val="1066"/>
    <w:qFormat/>
    <w:pPr>
      <w:jc w:val="left"/>
      <w:spacing w:after="160" w:line="240" w:lineRule="exact"/>
      <w:widowControl/>
    </w:pPr>
    <w:rPr>
      <w:rFonts w:ascii="Verdana" w:hAnsi="Verdana"/>
      <w:sz w:val="20"/>
      <w:szCs w:val="20"/>
      <w:lang w:eastAsia="en-US"/>
    </w:rPr>
  </w:style>
  <w:style w:type="paragraph" w:styleId="1377">
    <w:name w:val="项目符号：一级"/>
    <w:basedOn w:val="1200"/>
    <w:next w:val="1200"/>
    <w:link w:val="1066"/>
    <w:qFormat/>
    <w:pPr>
      <w:ind w:right="-134"/>
    </w:pPr>
    <w:rPr>
      <w:bCs w:val="0"/>
    </w:rPr>
  </w:style>
  <w:style w:type="paragraph" w:styleId="1378">
    <w:name w:val="小四 段落 宋体 Char"/>
    <w:basedOn w:val="1090"/>
    <w:next w:val="1378"/>
    <w:link w:val="1066"/>
    <w:qFormat/>
    <w:pPr>
      <w:ind w:left="0" w:right="-33" w:firstLine="600"/>
      <w:jc w:val="left"/>
      <w:tabs>
        <w:tab w:val="clear" w:pos="2952" w:leader="none"/>
      </w:tabs>
    </w:pPr>
    <w:rPr>
      <w:rFonts w:ascii="仿宋_GB2312" w:eastAsia="仿宋_GB2312"/>
      <w:sz w:val="30"/>
      <w:szCs w:val="30"/>
    </w:rPr>
  </w:style>
  <w:style w:type="paragraph" w:styleId="1379">
    <w:name w:val="xl40"/>
    <w:basedOn w:val="1066"/>
    <w:next w:val="1379"/>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0">
    <w:name w:val="普通文字"/>
    <w:basedOn w:val="1066"/>
    <w:next w:val="1066"/>
    <w:link w:val="1066"/>
    <w:qFormat/>
    <w:rPr>
      <w:rFonts w:ascii="宋体" w:hAnsi="宋体" w:cs="宋体"/>
      <w:sz w:val="24"/>
      <w:szCs w:val="20"/>
    </w:rPr>
  </w:style>
  <w:style w:type="paragraph" w:styleId="1381">
    <w:name w:val="默认段落字体 Para Char Char Char Char Char Char Char"/>
    <w:basedOn w:val="1066"/>
    <w:next w:val="1381"/>
    <w:link w:val="1066"/>
    <w:qFormat/>
    <w:rPr>
      <w:rFonts w:ascii="Tahoma" w:hAnsi="Tahoma"/>
      <w:sz w:val="24"/>
      <w:szCs w:val="20"/>
    </w:rPr>
  </w:style>
  <w:style w:type="paragraph" w:styleId="1382">
    <w:name w:val="符号与编号"/>
    <w:basedOn w:val="1066"/>
    <w:next w:val="1382"/>
    <w:link w:val="1066"/>
    <w:qFormat/>
    <w:pPr>
      <w:ind w:left="900" w:hanging="420"/>
      <w:spacing w:line="400" w:lineRule="atLeast"/>
      <w:tabs>
        <w:tab w:val="left" w:pos="900" w:leader="none"/>
      </w:tabs>
    </w:pPr>
    <w:rPr>
      <w:sz w:val="24"/>
    </w:rPr>
  </w:style>
  <w:style w:type="paragraph" w:styleId="1383">
    <w:name w:val="样式 首行缩进:  2 字符"/>
    <w:basedOn w:val="1066"/>
    <w:next w:val="1383"/>
    <w:link w:val="1066"/>
    <w:qFormat/>
    <w:pPr>
      <w:ind w:firstLine="480"/>
      <w:spacing w:line="360" w:lineRule="auto"/>
    </w:pPr>
    <w:rPr>
      <w:rFonts w:cs="宋体"/>
      <w:sz w:val="24"/>
      <w:szCs w:val="20"/>
    </w:rPr>
  </w:style>
  <w:style w:type="paragraph" w:styleId="1384">
    <w:name w:val="标题1"/>
    <w:basedOn w:val="1066"/>
    <w:next w:val="1066"/>
    <w:link w:val="106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5">
    <w:name w:val="正文lzq"/>
    <w:basedOn w:val="1066"/>
    <w:next w:val="1385"/>
    <w:link w:val="1066"/>
    <w:qFormat/>
    <w:pPr>
      <w:ind w:firstLine="480"/>
      <w:spacing w:line="360" w:lineRule="auto"/>
    </w:pPr>
    <w:rPr>
      <w:sz w:val="24"/>
      <w:szCs w:val="20"/>
    </w:rPr>
  </w:style>
  <w:style w:type="paragraph" w:styleId="1386">
    <w:name w:val="样式 标题 2H2h2sect 1.2Heading 2 HiddenHeading 2 CCBSheading 2..."/>
    <w:basedOn w:val="1068"/>
    <w:next w:val="1386"/>
    <w:link w:val="1066"/>
    <w:qFormat/>
    <w:pPr>
      <w:ind w:left="576" w:hanging="36"/>
      <w:jc w:val="left"/>
      <w:spacing w:line="240" w:lineRule="auto"/>
      <w:tabs>
        <w:tab w:val="left" w:pos="576" w:leader="none"/>
      </w:tabs>
    </w:pPr>
    <w:rPr>
      <w:rFonts w:ascii="宋体" w:hAnsi="宋体" w:eastAsia="宋体"/>
      <w:sz w:val="28"/>
      <w:szCs w:val="20"/>
    </w:rPr>
  </w:style>
  <w:style w:type="paragraph" w:styleId="1387">
    <w:name w:val="表格内文字"/>
    <w:basedOn w:val="1066"/>
    <w:next w:val="1387"/>
    <w:link w:val="1066"/>
    <w:qFormat/>
    <w:pPr>
      <w:spacing w:line="300" w:lineRule="atLeast"/>
    </w:pPr>
    <w:rPr>
      <w:sz w:val="18"/>
    </w:rPr>
  </w:style>
  <w:style w:type="paragraph" w:styleId="1388">
    <w:name w:val="xl39"/>
    <w:basedOn w:val="1066"/>
    <w:next w:val="1388"/>
    <w:link w:val="10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9">
    <w:name w:val="content_lineheight"/>
    <w:basedOn w:val="1066"/>
    <w:next w:val="1389"/>
    <w:link w:val="1066"/>
    <w:qFormat/>
    <w:pPr>
      <w:jc w:val="left"/>
      <w:spacing w:before="100" w:beforeAutospacing="1" w:after="100" w:afterAutospacing="1"/>
      <w:widowControl/>
    </w:pPr>
    <w:rPr>
      <w:rFonts w:ascii="宋体" w:hAnsi="宋体"/>
      <w:sz w:val="24"/>
    </w:rPr>
  </w:style>
  <w:style w:type="paragraph" w:styleId="1390">
    <w:name w:val="xl24"/>
    <w:basedOn w:val="1066"/>
    <w:next w:val="1390"/>
    <w:link w:val="10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1">
    <w:name w:val="font11"/>
    <w:basedOn w:val="1066"/>
    <w:next w:val="1391"/>
    <w:link w:val="1066"/>
    <w:qFormat/>
    <w:pPr>
      <w:jc w:val="left"/>
      <w:spacing w:before="100" w:beforeAutospacing="1" w:after="100" w:afterAutospacing="1"/>
      <w:widowControl/>
    </w:pPr>
    <w:rPr>
      <w:b/>
      <w:bCs/>
      <w:sz w:val="18"/>
      <w:szCs w:val="18"/>
    </w:rPr>
  </w:style>
  <w:style w:type="paragraph" w:styleId="1392">
    <w:name w:val="111111"/>
    <w:basedOn w:val="1066"/>
    <w:next w:val="1392"/>
    <w:link w:val="1066"/>
    <w:qFormat/>
    <w:pPr>
      <w:jc w:val="center"/>
      <w:spacing w:before="120" w:after="120"/>
    </w:pPr>
    <w:rPr>
      <w:rFonts w:ascii="宋体" w:hAnsi="宋体" w:eastAsia="黑体" w:cs="宋体"/>
      <w:b/>
      <w:bCs/>
      <w:szCs w:val="21"/>
    </w:rPr>
  </w:style>
  <w:style w:type="paragraph" w:styleId="1393">
    <w:name w:val="段落"/>
    <w:next w:val="1393"/>
    <w:link w:val="1066"/>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94">
    <w:name w:val="样式 标题 2第一章 标题 2Heading 2 HiddenHeading 2 CCBSheading 2H2h2..."/>
    <w:basedOn w:val="1068"/>
    <w:next w:val="1394"/>
    <w:link w:val="1066"/>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95">
    <w:name w:val="我的正文"/>
    <w:basedOn w:val="1066"/>
    <w:next w:val="1395"/>
    <w:link w:val="1066"/>
    <w:qFormat/>
    <w:pPr>
      <w:ind w:firstLine="420"/>
      <w:jc w:val="left"/>
      <w:spacing w:line="360" w:lineRule="auto"/>
      <w:widowControl/>
    </w:pPr>
    <w:rPr>
      <w:rFonts w:ascii="宋体" w:hAnsi="宋体" w:cs="宋体"/>
      <w:szCs w:val="21"/>
    </w:rPr>
  </w:style>
  <w:style w:type="paragraph" w:styleId="1396">
    <w:name w:val="项目符号，二级"/>
    <w:basedOn w:val="1200"/>
    <w:next w:val="1200"/>
    <w:link w:val="1066"/>
    <w:qFormat/>
    <w:pPr>
      <w:ind w:left="1337" w:right="-27" w:firstLine="480"/>
      <w:tabs>
        <w:tab w:val="left" w:pos="1211" w:leader="none"/>
        <w:tab w:val="left" w:pos="1337" w:leader="none"/>
      </w:tabs>
    </w:pPr>
    <w:rPr>
      <w:bCs w:val="0"/>
      <w:color w:val="000000"/>
      <w:sz w:val="24"/>
      <w:szCs w:val="24"/>
    </w:rPr>
  </w:style>
  <w:style w:type="paragraph" w:styleId="1397">
    <w:name w:val="小四 段落 宋体 Char Char"/>
    <w:basedOn w:val="1066"/>
    <w:next w:val="1397"/>
    <w:link w:val="1066"/>
    <w:qFormat/>
    <w:pPr>
      <w:ind w:firstLine="480"/>
      <w:spacing w:line="360" w:lineRule="auto"/>
    </w:pPr>
    <w:rPr>
      <w:rFonts w:ascii="宋体" w:hAnsi="宋体"/>
      <w:sz w:val="24"/>
    </w:rPr>
  </w:style>
  <w:style w:type="character" w:styleId="1398">
    <w:name w:val="font111"/>
    <w:next w:val="1398"/>
    <w:link w:val="1066"/>
    <w:qFormat/>
    <w:rPr>
      <w:rFonts w:hint="eastAsia" w:ascii="宋体" w:hAnsi="宋体" w:eastAsia="宋体" w:cs="宋体"/>
      <w:color w:val="000000"/>
      <w:sz w:val="20"/>
      <w:szCs w:val="20"/>
      <w:u w:val="none"/>
    </w:rPr>
  </w:style>
  <w:style w:type="character" w:styleId="1399">
    <w:name w:val="Char Char24"/>
    <w:next w:val="1399"/>
    <w:link w:val="1066"/>
    <w:qFormat/>
    <w:rPr>
      <w:b/>
      <w:sz w:val="28"/>
    </w:rPr>
  </w:style>
  <w:style w:type="character" w:styleId="1400">
    <w:name w:val="Char Char23"/>
    <w:next w:val="1400"/>
    <w:link w:val="1066"/>
    <w:qFormat/>
    <w:rPr>
      <w:rFonts w:ascii="Arial" w:hAnsi="Arial" w:eastAsia="黑体"/>
      <w:b/>
      <w:sz w:val="24"/>
    </w:rPr>
  </w:style>
  <w:style w:type="character" w:styleId="1401">
    <w:name w:val="华宇段落1 Char Char Char"/>
    <w:next w:val="1401"/>
    <w:link w:val="1066"/>
    <w:qFormat/>
    <w:rPr>
      <w:rFonts w:eastAsia="宋体"/>
      <w:sz w:val="24"/>
      <w:lang w:val="en-US" w:eastAsia="zh-CN"/>
    </w:rPr>
  </w:style>
  <w:style w:type="character" w:styleId="1402">
    <w:name w:val="样式 首行缩进:  2 字符 Char Char Char"/>
    <w:next w:val="1402"/>
    <w:link w:val="1066"/>
    <w:qFormat/>
    <w:rPr>
      <w:rFonts w:eastAsia="宋体"/>
      <w:sz w:val="24"/>
      <w:lang w:val="en-US" w:eastAsia="zh-CN"/>
    </w:rPr>
  </w:style>
  <w:style w:type="character" w:styleId="1403">
    <w:name w:val="Char Char6"/>
    <w:next w:val="1403"/>
    <w:link w:val="1066"/>
    <w:qFormat/>
    <w:rPr>
      <w:rFonts w:eastAsia="宋体"/>
      <w:sz w:val="24"/>
      <w:lang w:val="en-US" w:eastAsia="zh-CN"/>
    </w:rPr>
  </w:style>
  <w:style w:type="character" w:styleId="1404">
    <w:name w:val="Char Char31"/>
    <w:next w:val="1404"/>
    <w:link w:val="1066"/>
    <w:qFormat/>
    <w:rPr>
      <w:rFonts w:ascii="Arial" w:hAnsi="Arial" w:eastAsia="黑体"/>
      <w:b/>
      <w:sz w:val="28"/>
      <w:lang w:val="en-US" w:eastAsia="zh-CN"/>
    </w:rPr>
  </w:style>
  <w:style w:type="character" w:styleId="1405">
    <w:name w:val="纯文本 Char Char Char1"/>
    <w:next w:val="1405"/>
    <w:link w:val="1066"/>
    <w:qFormat/>
    <w:rPr>
      <w:rFonts w:ascii="宋体" w:hAnsi="Courier New" w:eastAsia="宋体"/>
      <w:sz w:val="21"/>
      <w:lang w:val="en-US" w:eastAsia="zh-CN"/>
    </w:rPr>
  </w:style>
  <w:style w:type="character" w:styleId="1406">
    <w:name w:val="小四 段落 宋体 Char Char Char1"/>
    <w:next w:val="1406"/>
    <w:link w:val="1066"/>
    <w:qFormat/>
    <w:rPr>
      <w:rFonts w:ascii="宋体" w:hAnsi="宋体" w:eastAsia="宋体"/>
      <w:sz w:val="24"/>
      <w:lang w:val="en-US" w:eastAsia="zh-CN"/>
    </w:rPr>
  </w:style>
  <w:style w:type="character" w:styleId="1407">
    <w:name w:val="Char Char7"/>
    <w:next w:val="1407"/>
    <w:link w:val="1066"/>
    <w:qFormat/>
    <w:rPr>
      <w:rFonts w:eastAsia="宋体"/>
      <w:b/>
      <w:sz w:val="24"/>
      <w:lang w:val="en-US" w:eastAsia="zh-CN"/>
    </w:rPr>
  </w:style>
  <w:style w:type="character" w:styleId="1408">
    <w:name w:val="concon"/>
    <w:next w:val="1408"/>
    <w:link w:val="1066"/>
    <w:qFormat/>
  </w:style>
  <w:style w:type="character" w:styleId="1409">
    <w:name w:val="标题 3 Char1"/>
    <w:next w:val="1409"/>
    <w:link w:val="1066"/>
    <w:qFormat/>
    <w:rPr>
      <w:rFonts w:eastAsia="宋体"/>
      <w:b/>
      <w:sz w:val="32"/>
      <w:lang w:val="en-US" w:eastAsia="zh-CN"/>
    </w:rPr>
  </w:style>
  <w:style w:type="character" w:styleId="1410">
    <w:name w:val="Char Char33"/>
    <w:next w:val="1410"/>
    <w:link w:val="1066"/>
    <w:qFormat/>
    <w:rPr>
      <w:rFonts w:ascii="Arial" w:hAnsi="Arial" w:eastAsia="黑体"/>
      <w:b/>
      <w:sz w:val="32"/>
      <w:lang w:val="en-US" w:eastAsia="zh-CN"/>
    </w:rPr>
  </w:style>
  <w:style w:type="character" w:styleId="1411">
    <w:name w:val="小四 段落 宋体 Char Char Char Char Char Char Char"/>
    <w:next w:val="1411"/>
    <w:link w:val="1066"/>
    <w:qFormat/>
    <w:rPr>
      <w:rFonts w:eastAsia="宋体"/>
      <w:sz w:val="24"/>
      <w:lang w:val="en-US" w:eastAsia="zh-CN"/>
    </w:rPr>
  </w:style>
  <w:style w:type="character" w:styleId="1412">
    <w:name w:val="Char Char17"/>
    <w:next w:val="1412"/>
    <w:link w:val="1066"/>
    <w:qFormat/>
    <w:rPr>
      <w:rFonts w:ascii="宋体" w:hAnsi="Courier New"/>
      <w:sz w:val="21"/>
    </w:rPr>
  </w:style>
  <w:style w:type="character" w:styleId="1413">
    <w:name w:val="Char Char32"/>
    <w:next w:val="1413"/>
    <w:link w:val="1066"/>
    <w:qFormat/>
    <w:rPr>
      <w:rFonts w:eastAsia="宋体"/>
      <w:b/>
      <w:sz w:val="32"/>
      <w:lang w:val="en-US" w:eastAsia="zh-CN"/>
    </w:rPr>
  </w:style>
  <w:style w:type="character" w:styleId="1414">
    <w:name w:val="小四 段落 宋体 Char Char Char Char1"/>
    <w:next w:val="1414"/>
    <w:link w:val="1066"/>
    <w:qFormat/>
    <w:rPr>
      <w:rFonts w:eastAsia="宋体"/>
      <w:sz w:val="24"/>
      <w:lang w:val="en-US" w:eastAsia="zh-CN"/>
    </w:rPr>
  </w:style>
  <w:style w:type="character" w:styleId="1415">
    <w:name w:val="标准小四 Char"/>
    <w:next w:val="1415"/>
    <w:link w:val="1066"/>
    <w:qFormat/>
    <w:rPr>
      <w:rFonts w:ascii="Arial" w:hAnsi="Arial" w:eastAsia="宋体"/>
      <w:sz w:val="21"/>
      <w:lang w:val="en-US" w:eastAsia="zh-CN"/>
    </w:rPr>
  </w:style>
  <w:style w:type="character" w:styleId="1416">
    <w:name w:val="标题 3 Char Char"/>
    <w:next w:val="1416"/>
    <w:link w:val="1066"/>
    <w:qFormat/>
    <w:rPr>
      <w:rFonts w:eastAsia="仿宋_GB2312"/>
      <w:b/>
      <w:sz w:val="32"/>
      <w:lang w:val="en-US" w:eastAsia="zh-CN"/>
    </w:rPr>
  </w:style>
  <w:style w:type="character" w:styleId="1417">
    <w:name w:val="已访问的超链接1"/>
    <w:next w:val="1417"/>
    <w:link w:val="1066"/>
    <w:qFormat/>
    <w:rPr>
      <w:color w:val="000000"/>
      <w:u w:val="none"/>
    </w:rPr>
  </w:style>
  <w:style w:type="character" w:styleId="1418">
    <w:name w:val="正文缩进 Char1"/>
    <w:next w:val="1418"/>
    <w:link w:val="1066"/>
    <w:qFormat/>
    <w:rPr>
      <w:rFonts w:eastAsia="宋体"/>
    </w:rPr>
  </w:style>
  <w:style w:type="character" w:styleId="1419">
    <w:name w:val="Char Char27"/>
    <w:next w:val="1419"/>
    <w:link w:val="1066"/>
    <w:qFormat/>
    <w:rPr>
      <w:b/>
      <w:sz w:val="44"/>
    </w:rPr>
  </w:style>
  <w:style w:type="character" w:styleId="1420">
    <w:name w:val="font21"/>
    <w:basedOn w:val="1076"/>
    <w:next w:val="1420"/>
    <w:link w:val="1066"/>
    <w:qFormat/>
    <w:rPr>
      <w:rFonts w:hint="eastAsia" w:ascii="宋体" w:hAnsi="宋体" w:eastAsia="宋体" w:cs="宋体"/>
      <w:color w:val="000000"/>
      <w:sz w:val="20"/>
      <w:szCs w:val="20"/>
      <w:u w:val="none"/>
    </w:rPr>
  </w:style>
  <w:style w:type="character" w:styleId="1421">
    <w:name w:val="Char Char22"/>
    <w:next w:val="1421"/>
    <w:link w:val="1066"/>
    <w:qFormat/>
    <w:rPr>
      <w:b/>
      <w:sz w:val="24"/>
    </w:rPr>
  </w:style>
  <w:style w:type="character" w:styleId="1422">
    <w:name w:val="样式 宋体 小四"/>
    <w:next w:val="1422"/>
    <w:link w:val="1066"/>
    <w:qFormat/>
    <w:rPr>
      <w:rFonts w:ascii="宋体" w:eastAsia="宋体"/>
      <w:sz w:val="24"/>
    </w:rPr>
  </w:style>
  <w:style w:type="character" w:styleId="1423">
    <w:name w:val="纯文本 Char Char Char"/>
    <w:next w:val="1423"/>
    <w:link w:val="1066"/>
    <w:qFormat/>
    <w:rPr>
      <w:rFonts w:ascii="宋体" w:hAnsi="Courier New" w:eastAsia="宋体"/>
      <w:sz w:val="21"/>
      <w:lang w:val="en-US" w:eastAsia="zh-CN"/>
    </w:rPr>
  </w:style>
  <w:style w:type="character" w:styleId="1424">
    <w:name w:val="content_lineheight1"/>
    <w:next w:val="1424"/>
    <w:link w:val="1066"/>
    <w:qFormat/>
    <w:rPr>
      <w:rFonts w:cs="Times New Roman"/>
    </w:rPr>
  </w:style>
  <w:style w:type="character" w:styleId="1425">
    <w:name w:val="ih151"/>
    <w:next w:val="1425"/>
    <w:link w:val="1066"/>
    <w:qFormat/>
    <w:rPr>
      <w:color w:val="666666"/>
      <w:sz w:val="18"/>
      <w:u w:val="none"/>
    </w:rPr>
  </w:style>
  <w:style w:type="character" w:styleId="1426">
    <w:name w:val="样式 首行缩进:  2 字符 Char Char"/>
    <w:next w:val="1426"/>
    <w:link w:val="1066"/>
    <w:qFormat/>
    <w:rPr>
      <w:rFonts w:eastAsia="宋体"/>
      <w:sz w:val="24"/>
      <w:lang w:val="en-US" w:eastAsia="zh-CN"/>
    </w:rPr>
  </w:style>
  <w:style w:type="character" w:styleId="1427">
    <w:name w:val="subtitle1"/>
    <w:next w:val="1427"/>
    <w:link w:val="1066"/>
    <w:qFormat/>
    <w:rPr>
      <w:rFonts w:ascii="Georgia" w:hAnsi="Georgia"/>
      <w:b/>
      <w:color w:val="666666"/>
      <w:sz w:val="18"/>
    </w:rPr>
  </w:style>
  <w:style w:type="character" w:styleId="1428">
    <w:name w:val="Char Char30"/>
    <w:next w:val="1428"/>
    <w:link w:val="1066"/>
    <w:qFormat/>
    <w:rPr>
      <w:rFonts w:eastAsia="宋体"/>
      <w:b/>
      <w:sz w:val="28"/>
      <w:lang w:val="en-US" w:eastAsia="zh-CN"/>
    </w:rPr>
  </w:style>
  <w:style w:type="character" w:styleId="1429">
    <w:name w:val="Char Char15"/>
    <w:next w:val="1429"/>
    <w:link w:val="1066"/>
    <w:qFormat/>
    <w:rPr>
      <w:rFonts w:ascii="Arial" w:hAnsi="Arial" w:eastAsia="黑体"/>
      <w:sz w:val="21"/>
      <w:lang w:val="en-US" w:eastAsia="zh-CN"/>
    </w:rPr>
  </w:style>
  <w:style w:type="character" w:styleId="1430">
    <w:name w:val="style131"/>
    <w:next w:val="1430"/>
    <w:link w:val="1066"/>
    <w:qFormat/>
    <w:rPr>
      <w:sz w:val="18"/>
    </w:rPr>
  </w:style>
  <w:style w:type="character" w:styleId="1431">
    <w:name w:val="Char Char11"/>
    <w:next w:val="1431"/>
    <w:link w:val="1066"/>
    <w:qFormat/>
    <w:rPr>
      <w:rFonts w:ascii="宋体" w:hAnsi="宋体" w:eastAsia="宋体"/>
      <w:sz w:val="24"/>
      <w:lang w:val="en-US" w:eastAsia="zh-CN"/>
    </w:rPr>
  </w:style>
  <w:style w:type="character" w:styleId="1432">
    <w:name w:val="Char Char28"/>
    <w:next w:val="1432"/>
    <w:link w:val="1066"/>
    <w:qFormat/>
    <w:rPr>
      <w:rFonts w:ascii="Arial" w:hAnsi="Arial" w:eastAsia="黑体"/>
      <w:b/>
      <w:sz w:val="32"/>
    </w:rPr>
  </w:style>
  <w:style w:type="character" w:styleId="1433">
    <w:name w:val="方案文档 Char Char"/>
    <w:next w:val="1433"/>
    <w:link w:val="1066"/>
    <w:qFormat/>
    <w:rPr>
      <w:rFonts w:ascii="宋体" w:hAnsi="宋体" w:eastAsia="宋体"/>
      <w:sz w:val="24"/>
      <w:lang w:val="zh-CN" w:eastAsia="zh-CN"/>
    </w:rPr>
  </w:style>
  <w:style w:type="character" w:styleId="1434">
    <w:name w:val="标准文本 Char Char Char"/>
    <w:next w:val="1434"/>
    <w:link w:val="1066"/>
    <w:qFormat/>
    <w:rPr>
      <w:rFonts w:eastAsia="宋体"/>
      <w:sz w:val="24"/>
      <w:lang w:val="en-US" w:eastAsia="zh-CN"/>
    </w:rPr>
  </w:style>
  <w:style w:type="character" w:styleId="1435">
    <w:name w:val="t1"/>
    <w:next w:val="1435"/>
    <w:link w:val="1066"/>
    <w:qFormat/>
  </w:style>
  <w:style w:type="character" w:styleId="1436">
    <w:name w:val="Char Char21"/>
    <w:next w:val="1436"/>
    <w:link w:val="1066"/>
    <w:qFormat/>
    <w:rPr>
      <w:rFonts w:ascii="Arial" w:hAnsi="Arial" w:eastAsia="黑体"/>
      <w:sz w:val="24"/>
    </w:rPr>
  </w:style>
  <w:style w:type="character" w:styleId="1437">
    <w:name w:val="normalfont1"/>
    <w:next w:val="1437"/>
    <w:link w:val="1066"/>
    <w:qFormat/>
    <w:rPr>
      <w:rFonts w:ascii="??" w:hAnsi="??"/>
      <w:sz w:val="18"/>
      <w:u w:val="none"/>
    </w:rPr>
  </w:style>
  <w:style w:type="character" w:styleId="1438">
    <w:name w:val="小四 段落 宋体 Char Char Char Char Char"/>
    <w:next w:val="1438"/>
    <w:link w:val="1066"/>
    <w:qFormat/>
    <w:rPr>
      <w:rFonts w:eastAsia="宋体"/>
      <w:sz w:val="24"/>
      <w:lang w:val="en-US" w:eastAsia="zh-CN"/>
    </w:rPr>
  </w:style>
  <w:style w:type="character" w:styleId="1439">
    <w:name w:val="h Char Char"/>
    <w:next w:val="1439"/>
    <w:link w:val="1066"/>
    <w:qFormat/>
    <w:rPr>
      <w:rFonts w:eastAsia="宋体"/>
      <w:sz w:val="18"/>
      <w:lang w:val="en-US" w:eastAsia="zh-CN"/>
    </w:rPr>
  </w:style>
  <w:style w:type="character" w:styleId="1440">
    <w:name w:val="不明显参考1"/>
    <w:next w:val="1440"/>
    <w:link w:val="1066"/>
    <w:uiPriority w:val="31"/>
    <w:qFormat/>
    <w:rPr>
      <w:smallCaps/>
    </w:rPr>
  </w:style>
  <w:style w:type="character" w:styleId="1441">
    <w:name w:val="apple-converted-space"/>
    <w:next w:val="1441"/>
    <w:link w:val="1066"/>
    <w:qFormat/>
    <w:rPr>
      <w:rFonts w:cs="Times New Roman"/>
    </w:rPr>
  </w:style>
  <w:style w:type="character" w:styleId="1442">
    <w:name w:val="Char Char20"/>
    <w:next w:val="1442"/>
    <w:link w:val="1066"/>
    <w:qFormat/>
    <w:rPr>
      <w:rFonts w:ascii="Arial" w:hAnsi="Arial" w:eastAsia="黑体"/>
      <w:sz w:val="21"/>
    </w:rPr>
  </w:style>
  <w:style w:type="character" w:styleId="1443">
    <w:name w:val="纯文本 Char1"/>
    <w:next w:val="1443"/>
    <w:link w:val="1066"/>
    <w:qFormat/>
    <w:rPr>
      <w:rFonts w:ascii="宋体" w:hAnsi="Courier New"/>
      <w:sz w:val="21"/>
    </w:rPr>
  </w:style>
  <w:style w:type="character" w:styleId="1444">
    <w:name w:val="无间隔 Char"/>
    <w:next w:val="1444"/>
    <w:link w:val="1066"/>
    <w:qFormat/>
    <w:rPr>
      <w:rFonts w:ascii="Calibri" w:hAnsi="Calibri" w:eastAsia="微软雅黑"/>
      <w:sz w:val="22"/>
      <w:lang w:val="en-US" w:eastAsia="zh-CN"/>
    </w:rPr>
  </w:style>
  <w:style w:type="character" w:styleId="1445">
    <w:name w:val="Char Char2"/>
    <w:next w:val="1445"/>
    <w:link w:val="1066"/>
    <w:qFormat/>
    <w:rPr>
      <w:rFonts w:ascii="宋体" w:hAnsi="Courier New" w:eastAsia="宋体"/>
      <w:sz w:val="21"/>
      <w:lang w:val="en-US" w:eastAsia="zh-CN"/>
    </w:rPr>
  </w:style>
  <w:style w:type="character" w:styleId="1446">
    <w:name w:val="Char Char34"/>
    <w:next w:val="1446"/>
    <w:link w:val="1066"/>
    <w:qFormat/>
    <w:rPr>
      <w:rFonts w:eastAsia="宋体"/>
      <w:b/>
      <w:sz w:val="44"/>
      <w:lang w:val="en-US" w:eastAsia="zh-CN"/>
    </w:rPr>
  </w:style>
  <w:style w:type="character" w:styleId="1447">
    <w:name w:val="font61"/>
    <w:next w:val="1447"/>
    <w:link w:val="1066"/>
    <w:qFormat/>
    <w:rPr>
      <w:rFonts w:hint="eastAsia" w:ascii="宋体" w:hAnsi="宋体" w:eastAsia="宋体" w:cs="宋体"/>
      <w:color w:val="ff0000"/>
      <w:sz w:val="20"/>
      <w:szCs w:val="20"/>
      <w:u w:val="none"/>
    </w:rPr>
  </w:style>
  <w:style w:type="character" w:styleId="1448">
    <w:name w:val="Char Char9"/>
    <w:next w:val="1448"/>
    <w:link w:val="1066"/>
    <w:qFormat/>
    <w:rPr>
      <w:rFonts w:eastAsia="宋体"/>
      <w:sz w:val="21"/>
      <w:lang w:val="en-US" w:eastAsia="zh-CN"/>
    </w:rPr>
  </w:style>
  <w:style w:type="character" w:styleId="1449">
    <w:name w:val="纯文本 Char Char"/>
    <w:next w:val="1449"/>
    <w:link w:val="1066"/>
    <w:qFormat/>
    <w:rPr>
      <w:rFonts w:ascii="宋体" w:hAnsi="Courier New" w:eastAsia="宋体"/>
      <w:sz w:val="21"/>
      <w:lang w:val="en-US" w:eastAsia="zh-CN"/>
    </w:rPr>
  </w:style>
  <w:style w:type="character" w:styleId="1450">
    <w:name w:val="content"/>
    <w:next w:val="1450"/>
    <w:link w:val="1066"/>
    <w:qFormat/>
    <w:rPr>
      <w:rFonts w:cs="Times New Roman"/>
    </w:rPr>
  </w:style>
  <w:style w:type="character" w:styleId="1451">
    <w:name w:val="标准小四 Char Char Char"/>
    <w:next w:val="1451"/>
    <w:link w:val="1066"/>
    <w:qFormat/>
    <w:rPr>
      <w:rFonts w:ascii="Arial" w:hAnsi="Arial" w:eastAsia="宋体"/>
      <w:sz w:val="21"/>
      <w:lang w:val="en-US" w:eastAsia="zh-CN"/>
    </w:rPr>
  </w:style>
  <w:style w:type="character" w:styleId="1452">
    <w:name w:val="3zw"/>
    <w:next w:val="1452"/>
    <w:link w:val="1066"/>
    <w:qFormat/>
    <w:rPr>
      <w:rFonts w:cs="Times New Roman"/>
    </w:rPr>
  </w:style>
  <w:style w:type="character" w:styleId="1453">
    <w:name w:val="样式 首行缩进:  2 字符 Char"/>
    <w:next w:val="1453"/>
    <w:link w:val="1066"/>
    <w:qFormat/>
    <w:rPr>
      <w:rFonts w:eastAsia="宋体"/>
      <w:sz w:val="24"/>
      <w:lang w:val="en-US" w:eastAsia="zh-CN"/>
    </w:rPr>
  </w:style>
  <w:style w:type="character" w:styleId="1454">
    <w:name w:val="medium_text1"/>
    <w:next w:val="1454"/>
    <w:link w:val="1066"/>
    <w:qFormat/>
    <w:rPr>
      <w:sz w:val="24"/>
    </w:rPr>
  </w:style>
  <w:style w:type="character" w:styleId="1455">
    <w:name w:val="Char Char16"/>
    <w:next w:val="1455"/>
    <w:link w:val="1066"/>
    <w:qFormat/>
    <w:rPr>
      <w:rFonts w:ascii="Arial" w:hAnsi="Arial" w:eastAsia="黑体"/>
      <w:sz w:val="24"/>
      <w:lang w:val="en-US" w:eastAsia="zh-CN"/>
    </w:rPr>
  </w:style>
  <w:style w:type="character" w:styleId="1456">
    <w:name w:val="font91"/>
    <w:next w:val="1456"/>
    <w:link w:val="1066"/>
    <w:qFormat/>
    <w:rPr>
      <w:rFonts w:hint="eastAsia" w:ascii="宋体" w:hAnsi="宋体" w:eastAsia="宋体" w:cs="宋体"/>
      <w:color w:val="000000"/>
      <w:sz w:val="20"/>
      <w:szCs w:val="20"/>
      <w:u w:val="none"/>
    </w:rPr>
  </w:style>
  <w:style w:type="character" w:styleId="1457">
    <w:name w:val="Char Char3"/>
    <w:next w:val="1457"/>
    <w:link w:val="1066"/>
    <w:qFormat/>
    <w:rPr>
      <w:rFonts w:eastAsia="宋体"/>
      <w:sz w:val="18"/>
      <w:lang w:val="en-US" w:eastAsia="zh-CN"/>
    </w:rPr>
  </w:style>
  <w:style w:type="character" w:styleId="1458">
    <w:name w:val="标题 Char1"/>
    <w:next w:val="1458"/>
    <w:link w:val="1066"/>
    <w:qFormat/>
    <w:rPr>
      <w:rFonts w:ascii="Cambria" w:eastAsia="宋体"/>
      <w:b/>
      <w:sz w:val="32"/>
    </w:rPr>
  </w:style>
  <w:style w:type="character" w:styleId="1459">
    <w:name w:val="标准小四 Char Char"/>
    <w:next w:val="1459"/>
    <w:link w:val="1066"/>
    <w:qFormat/>
    <w:rPr>
      <w:rFonts w:ascii="Arial" w:hAnsi="Arial" w:eastAsia="宋体"/>
      <w:sz w:val="21"/>
      <w:lang w:val="en-US" w:eastAsia="zh-CN"/>
    </w:rPr>
  </w:style>
  <w:style w:type="character" w:styleId="1460">
    <w:name w:val="普通文字 Char Char3"/>
    <w:next w:val="1460"/>
    <w:link w:val="1066"/>
    <w:qFormat/>
    <w:rPr>
      <w:rFonts w:ascii="宋体" w:hAnsi="Courier New" w:eastAsia="宋体"/>
      <w:sz w:val="21"/>
      <w:lang w:val="en-US" w:eastAsia="zh-CN"/>
    </w:rPr>
  </w:style>
  <w:style w:type="character" w:styleId="1461">
    <w:name w:val="case31"/>
    <w:next w:val="1461"/>
    <w:link w:val="1066"/>
    <w:qFormat/>
    <w:rPr>
      <w:sz w:val="21"/>
    </w:rPr>
  </w:style>
  <w:style w:type="character" w:styleId="1462">
    <w:name w:val="明显参考1"/>
    <w:next w:val="1462"/>
    <w:link w:val="1066"/>
    <w:uiPriority w:val="32"/>
    <w:qFormat/>
    <w:rPr>
      <w:smallCaps/>
      <w:spacing w:val="5"/>
      <w:u w:val="single"/>
    </w:rPr>
  </w:style>
  <w:style w:type="character" w:styleId="1463">
    <w:name w:val="textcontents"/>
    <w:next w:val="1463"/>
    <w:link w:val="1066"/>
    <w:qFormat/>
    <w:rPr>
      <w:rFonts w:cs="Times New Roman"/>
    </w:rPr>
  </w:style>
  <w:style w:type="character" w:styleId="1464">
    <w:name w:val="页脚 Char"/>
    <w:next w:val="1464"/>
    <w:link w:val="1066"/>
    <w:uiPriority w:val="99"/>
    <w:semiHidden/>
    <w:qFormat/>
    <w:rPr>
      <w:rFonts w:cs="Times New Roman"/>
      <w:sz w:val="18"/>
      <w:szCs w:val="18"/>
    </w:rPr>
  </w:style>
  <w:style w:type="character" w:styleId="1465">
    <w:name w:val="普通文字1 Char"/>
    <w:next w:val="1465"/>
    <w:link w:val="1066"/>
    <w:qFormat/>
    <w:rPr>
      <w:rFonts w:ascii="宋体" w:eastAsia="宋体"/>
      <w:sz w:val="21"/>
      <w:lang w:val="en-US" w:eastAsia="zh-CN"/>
    </w:rPr>
  </w:style>
  <w:style w:type="character" w:styleId="1466">
    <w:name w:val="Char Char29"/>
    <w:next w:val="1466"/>
    <w:link w:val="1066"/>
    <w:qFormat/>
    <w:rPr>
      <w:rFonts w:ascii="Times New Roman" w:hAnsi="Times New Roman" w:eastAsia="宋体"/>
      <w:b/>
      <w:sz w:val="44"/>
    </w:rPr>
  </w:style>
  <w:style w:type="character" w:styleId="1467">
    <w:name w:val="title_emph1"/>
    <w:next w:val="1467"/>
    <w:link w:val="1066"/>
    <w:qFormat/>
    <w:rPr>
      <w:rFonts w:ascii="Arial"/>
      <w:b/>
      <w:sz w:val="18"/>
    </w:rPr>
  </w:style>
  <w:style w:type="character" w:styleId="1468">
    <w:name w:val="111111 Char Char"/>
    <w:next w:val="1468"/>
    <w:link w:val="1066"/>
    <w:qFormat/>
    <w:rPr>
      <w:rFonts w:ascii="宋体" w:hAnsi="宋体" w:eastAsia="黑体"/>
      <w:b/>
      <w:sz w:val="21"/>
      <w:lang w:val="en-US" w:eastAsia="zh-CN"/>
    </w:rPr>
  </w:style>
  <w:style w:type="character" w:styleId="1469">
    <w:name w:val="书籍标题1"/>
    <w:next w:val="1469"/>
    <w:link w:val="1066"/>
    <w:uiPriority w:val="33"/>
    <w:qFormat/>
    <w:rPr>
      <w:i/>
      <w:smallCaps/>
      <w:spacing w:val="5"/>
    </w:rPr>
  </w:style>
  <w:style w:type="character" w:styleId="1470">
    <w:name w:val="Char Char13"/>
    <w:next w:val="1470"/>
    <w:link w:val="1066"/>
    <w:qFormat/>
    <w:rPr>
      <w:rFonts w:ascii="宋体" w:hAnsi="宋体" w:eastAsia="宋体"/>
      <w:sz w:val="24"/>
      <w:lang w:val="en-US" w:eastAsia="zh-CN"/>
    </w:rPr>
  </w:style>
  <w:style w:type="character" w:styleId="1471">
    <w:name w:val="Char Char8"/>
    <w:next w:val="1471"/>
    <w:link w:val="1066"/>
    <w:qFormat/>
    <w:rPr>
      <w:rFonts w:eastAsia="宋体"/>
      <w:sz w:val="18"/>
      <w:lang w:val="en-US" w:eastAsia="zh-CN"/>
    </w:rPr>
  </w:style>
  <w:style w:type="character" w:styleId="1472">
    <w:name w:val="引用 Char"/>
    <w:next w:val="1472"/>
    <w:link w:val="1066"/>
    <w:qFormat/>
    <w:rPr>
      <w:rFonts w:ascii="Calibri" w:hAnsi="Calibri" w:eastAsia="宋体"/>
      <w:i/>
      <w:sz w:val="22"/>
      <w:lang w:val="en-US" w:eastAsia="en-US"/>
    </w:rPr>
  </w:style>
  <w:style w:type="character" w:styleId="1473">
    <w:name w:val="A2"/>
    <w:next w:val="1473"/>
    <w:link w:val="1066"/>
    <w:qFormat/>
    <w:rPr>
      <w:color w:val="000000"/>
      <w:sz w:val="18"/>
    </w:rPr>
  </w:style>
  <w:style w:type="character" w:styleId="1474">
    <w:name w:val="Char Char5"/>
    <w:next w:val="1474"/>
    <w:link w:val="1066"/>
    <w:qFormat/>
    <w:rPr>
      <w:rFonts w:eastAsia="宋体"/>
      <w:sz w:val="24"/>
      <w:lang w:val="en-US" w:eastAsia="zh-CN"/>
    </w:rPr>
  </w:style>
  <w:style w:type="character" w:styleId="1475">
    <w:name w:val="不明显强调1"/>
    <w:next w:val="1475"/>
    <w:link w:val="1066"/>
    <w:uiPriority w:val="19"/>
    <w:qFormat/>
    <w:rPr>
      <w:i/>
    </w:rPr>
  </w:style>
  <w:style w:type="character" w:styleId="1476">
    <w:name w:val="标准文本 Char Char"/>
    <w:next w:val="1476"/>
    <w:link w:val="1066"/>
    <w:qFormat/>
    <w:rPr>
      <w:rFonts w:eastAsia="宋体"/>
      <w:sz w:val="24"/>
      <w:lang w:val="en-US" w:eastAsia="zh-CN"/>
    </w:rPr>
  </w:style>
  <w:style w:type="character" w:styleId="1477">
    <w:name w:val="明显引用 Char"/>
    <w:next w:val="1477"/>
    <w:link w:val="1066"/>
    <w:qFormat/>
    <w:rPr>
      <w:rFonts w:ascii="Calibri" w:hAnsi="Calibri" w:eastAsia="宋体"/>
      <w:b/>
      <w:i/>
      <w:sz w:val="22"/>
      <w:lang w:val="en-US" w:eastAsia="en-US"/>
    </w:rPr>
  </w:style>
  <w:style w:type="character" w:styleId="1478">
    <w:name w:val="Char Char14"/>
    <w:next w:val="1478"/>
    <w:link w:val="1066"/>
    <w:qFormat/>
    <w:rPr>
      <w:rFonts w:eastAsia="黑体"/>
      <w:b/>
      <w:sz w:val="28"/>
      <w:lang w:val="en-GB" w:eastAsia="zh-CN"/>
    </w:rPr>
  </w:style>
  <w:style w:type="character" w:styleId="1479">
    <w:name w:val="Char Char25"/>
    <w:next w:val="1479"/>
    <w:link w:val="1066"/>
    <w:qFormat/>
    <w:rPr>
      <w:rFonts w:ascii="Arial" w:hAnsi="Arial" w:eastAsia="黑体"/>
      <w:b/>
      <w:sz w:val="28"/>
    </w:rPr>
  </w:style>
  <w:style w:type="character" w:styleId="1480">
    <w:name w:val="小四 段落 宋体 Char Char Char Char Char Char Char Char"/>
    <w:next w:val="1480"/>
    <w:link w:val="1066"/>
    <w:qFormat/>
    <w:rPr>
      <w:rFonts w:eastAsia="宋体"/>
      <w:sz w:val="24"/>
      <w:lang w:val="en-US" w:eastAsia="zh-CN"/>
    </w:rPr>
  </w:style>
  <w:style w:type="character" w:styleId="1481">
    <w:name w:val="批注文字 Char"/>
    <w:next w:val="1481"/>
    <w:link w:val="1066"/>
    <w:uiPriority w:val="99"/>
    <w:semiHidden/>
    <w:qFormat/>
    <w:rPr>
      <w:rFonts w:ascii="Times New Roman" w:hAnsi="Times New Roman" w:eastAsia="宋体" w:cs="Times New Roman"/>
      <w:sz w:val="20"/>
      <w:szCs w:val="20"/>
    </w:rPr>
  </w:style>
  <w:style w:type="character" w:styleId="1482">
    <w:name w:val="华宇段落1 Char Char Char Char"/>
    <w:next w:val="1482"/>
    <w:link w:val="1066"/>
    <w:qFormat/>
    <w:rPr>
      <w:rFonts w:eastAsia="宋体"/>
      <w:sz w:val="24"/>
      <w:lang w:val="en-US" w:eastAsia="zh-CN"/>
    </w:rPr>
  </w:style>
  <w:style w:type="character" w:styleId="1483">
    <w:name w:val="小四 段落 宋体 Char Char Char Char Char Char"/>
    <w:next w:val="1483"/>
    <w:link w:val="1066"/>
    <w:qFormat/>
    <w:rPr>
      <w:rFonts w:eastAsia="宋体"/>
      <w:sz w:val="24"/>
      <w:lang w:val="en-US" w:eastAsia="zh-CN"/>
    </w:rPr>
  </w:style>
  <w:style w:type="character" w:styleId="1484">
    <w:name w:val="标题 3 Char Char Char Char Char Char Char Char Char Char Char Char Char Char Char Char Char Char Char Char Char Char Char Char Char Char Char Char Char Char Char Char Char Char Char Char Char Char Char Char Char Char Char Char Char Char Char Char Cha Cha"/>
    <w:next w:val="1484"/>
    <w:link w:val="1066"/>
    <w:qFormat/>
    <w:rPr>
      <w:rFonts w:eastAsia="宋体"/>
      <w:b/>
      <w:sz w:val="32"/>
      <w:lang w:val="en-US" w:eastAsia="zh-CN"/>
    </w:rPr>
  </w:style>
  <w:style w:type="character" w:styleId="1485">
    <w:name w:val="2nd level Char"/>
    <w:next w:val="1485"/>
    <w:link w:val="1066"/>
    <w:qFormat/>
    <w:rPr>
      <w:rFonts w:ascii="Arial" w:hAnsi="Arial" w:eastAsia="黑体"/>
      <w:b/>
      <w:sz w:val="32"/>
      <w:lang w:val="en-US" w:eastAsia="zh-CN"/>
    </w:rPr>
  </w:style>
  <w:style w:type="character" w:styleId="1486">
    <w:name w:val="华宇段落1 Char Char"/>
    <w:next w:val="1486"/>
    <w:link w:val="1066"/>
    <w:qFormat/>
    <w:rPr>
      <w:rFonts w:eastAsia="宋体"/>
      <w:sz w:val="24"/>
      <w:lang w:val="en-US" w:eastAsia="zh-CN"/>
    </w:rPr>
  </w:style>
  <w:style w:type="character" w:styleId="1487">
    <w:name w:val="Char Char12"/>
    <w:next w:val="1487"/>
    <w:link w:val="1066"/>
    <w:qFormat/>
    <w:rPr>
      <w:rFonts w:ascii="Arial" w:hAnsi="Arial" w:eastAsia="黑体"/>
      <w:sz w:val="21"/>
      <w:lang w:val="en-US" w:eastAsia="zh-CN"/>
    </w:rPr>
  </w:style>
  <w:style w:type="character" w:styleId="1488">
    <w:name w:val="Title1 Char"/>
    <w:next w:val="1488"/>
    <w:link w:val="1066"/>
    <w:qFormat/>
    <w:rPr>
      <w:rFonts w:eastAsia="宋体"/>
      <w:b/>
      <w:sz w:val="44"/>
      <w:lang w:val="en-US" w:eastAsia="zh-CN"/>
    </w:rPr>
  </w:style>
  <w:style w:type="character" w:styleId="1489">
    <w:name w:val="Char Char19"/>
    <w:next w:val="1489"/>
    <w:link w:val="1066"/>
    <w:qFormat/>
    <w:rPr>
      <w:rFonts w:ascii="Arial" w:hAnsi="Arial" w:eastAsia="黑体"/>
      <w:b/>
      <w:sz w:val="24"/>
      <w:lang w:val="en-US" w:eastAsia="zh-CN"/>
    </w:rPr>
  </w:style>
  <w:style w:type="character" w:styleId="1490">
    <w:name w:val="样式 非加粗"/>
    <w:next w:val="1490"/>
    <w:link w:val="1066"/>
    <w:qFormat/>
    <w:rPr>
      <w:rFonts w:eastAsia="宋体"/>
      <w:sz w:val="28"/>
    </w:rPr>
  </w:style>
  <w:style w:type="character" w:styleId="1491">
    <w:name w:val="正文 + 宋体 Char"/>
    <w:next w:val="1491"/>
    <w:link w:val="1066"/>
    <w:qFormat/>
    <w:rPr>
      <w:rFonts w:eastAsia="宋体"/>
      <w:sz w:val="24"/>
      <w:lang w:val="en-US" w:eastAsia="zh-CN"/>
    </w:rPr>
  </w:style>
  <w:style w:type="character" w:styleId="1492">
    <w:name w:val="Char Char4"/>
    <w:next w:val="1492"/>
    <w:link w:val="1066"/>
    <w:qFormat/>
    <w:rPr>
      <w:rFonts w:ascii="方正大黑简体" w:eastAsia="方正大黑简体"/>
      <w:position w:val="6"/>
      <w:sz w:val="30"/>
      <w:lang w:val="en-US" w:eastAsia="zh-CN"/>
    </w:rPr>
  </w:style>
  <w:style w:type="character" w:styleId="1493">
    <w:name w:val="Char Char26"/>
    <w:next w:val="1493"/>
    <w:link w:val="1066"/>
    <w:qFormat/>
    <w:rPr>
      <w:b/>
      <w:sz w:val="32"/>
    </w:rPr>
  </w:style>
  <w:style w:type="character" w:styleId="1494">
    <w:name w:val="小四 段落 宋体 Char1"/>
    <w:next w:val="1494"/>
    <w:link w:val="1066"/>
    <w:qFormat/>
    <w:rPr>
      <w:rFonts w:eastAsia="宋体"/>
      <w:sz w:val="24"/>
      <w:lang w:val="en-US" w:eastAsia="zh-CN"/>
    </w:rPr>
  </w:style>
  <w:style w:type="character" w:styleId="1495">
    <w:name w:val="apple-style-span"/>
    <w:next w:val="1495"/>
    <w:link w:val="1066"/>
    <w:qFormat/>
    <w:rPr>
      <w:rFonts w:cs="Times New Roman"/>
    </w:rPr>
  </w:style>
  <w:style w:type="character" w:styleId="1496">
    <w:name w:val="Char Char18"/>
    <w:next w:val="1496"/>
    <w:link w:val="1066"/>
    <w:qFormat/>
    <w:rPr>
      <w:rFonts w:eastAsia="宋体"/>
      <w:b/>
      <w:sz w:val="24"/>
      <w:lang w:val="en-US" w:eastAsia="zh-CN"/>
    </w:rPr>
  </w:style>
  <w:style w:type="character" w:styleId="1497">
    <w:name w:val="标准文本 Char"/>
    <w:next w:val="1497"/>
    <w:link w:val="1066"/>
    <w:qFormat/>
    <w:rPr>
      <w:rFonts w:eastAsia="宋体"/>
      <w:sz w:val="24"/>
      <w:lang w:val="en-US" w:eastAsia="zh-CN"/>
    </w:rPr>
  </w:style>
  <w:style w:type="character" w:styleId="1498">
    <w:name w:val="font5 Char Char"/>
    <w:next w:val="1498"/>
    <w:link w:val="1066"/>
    <w:qFormat/>
    <w:rPr>
      <w:rFonts w:ascii="宋体" w:hAnsi="宋体" w:eastAsia="宋体"/>
      <w:sz w:val="28"/>
      <w:lang w:val="en-US" w:eastAsia="zh-CN"/>
    </w:rPr>
  </w:style>
  <w:style w:type="character" w:styleId="1499">
    <w:name w:val="Char Char10"/>
    <w:next w:val="1499"/>
    <w:link w:val="1066"/>
    <w:qFormat/>
    <w:rPr>
      <w:rFonts w:eastAsia="宋体"/>
      <w:b/>
      <w:sz w:val="24"/>
      <w:lang w:val="en-US" w:eastAsia="zh-CN"/>
    </w:rPr>
  </w:style>
  <w:style w:type="character" w:styleId="1500">
    <w:name w:val="特点 Char1"/>
    <w:next w:val="1500"/>
    <w:link w:val="1066"/>
    <w:qFormat/>
    <w:rPr>
      <w:rFonts w:eastAsia="宋体"/>
      <w:sz w:val="21"/>
      <w:lang w:val="en-US" w:eastAsia="zh-CN"/>
    </w:rPr>
  </w:style>
  <w:style w:type="character" w:styleId="1501">
    <w:name w:val="明显强调1"/>
    <w:next w:val="1501"/>
    <w:link w:val="1066"/>
    <w:uiPriority w:val="21"/>
    <w:qFormat/>
    <w:rPr>
      <w:b/>
    </w:rPr>
  </w:style>
  <w:style w:type="character" w:styleId="1502">
    <w:name w:val="listbenefit"/>
    <w:next w:val="1502"/>
    <w:link w:val="1066"/>
    <w:qFormat/>
  </w:style>
  <w:style w:type="paragraph" w:styleId="1503">
    <w:name w:val="正文文本缩进 31"/>
    <w:basedOn w:val="1066"/>
    <w:next w:val="1503"/>
    <w:link w:val="1066"/>
    <w:qFormat/>
    <w:pPr>
      <w:ind w:firstLine="504"/>
      <w:spacing w:line="360" w:lineRule="auto"/>
      <w:tabs>
        <w:tab w:val="left" w:pos="0" w:leader="none"/>
      </w:tabs>
    </w:pPr>
    <w:rPr>
      <w:rFonts w:ascii="宋体"/>
      <w:b/>
      <w:bCs/>
      <w:sz w:val="24"/>
    </w:rPr>
  </w:style>
  <w:style w:type="paragraph" w:styleId="1504">
    <w:name w:val="正文 A"/>
    <w:next w:val="1504"/>
    <w:link w:val="1066"/>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505">
    <w:name w:val="列出段落3"/>
    <w:basedOn w:val="1066"/>
    <w:next w:val="1505"/>
    <w:link w:val="1506"/>
    <w:uiPriority w:val="34"/>
    <w:qFormat/>
    <w:pPr>
      <w:ind w:firstLine="420"/>
      <w:spacing w:line="360" w:lineRule="auto"/>
    </w:pPr>
    <w:rPr>
      <w:rFonts w:ascii="Calibri" w:hAnsi="Calibri"/>
      <w:sz w:val="20"/>
      <w:szCs w:val="20"/>
    </w:rPr>
  </w:style>
  <w:style w:type="character" w:styleId="1506">
    <w:name w:val="列表段落 字符"/>
    <w:next w:val="1506"/>
    <w:link w:val="1505"/>
    <w:qFormat/>
    <w:rPr>
      <w:rFonts w:ascii="Calibri" w:hAnsi="Calibri"/>
    </w:rPr>
  </w:style>
  <w:style w:type="paragraph" w:styleId="1507">
    <w:name w:val="ewb-con-p2"/>
    <w:basedOn w:val="1066"/>
    <w:next w:val="1507"/>
    <w:link w:val="1066"/>
    <w:qFormat/>
    <w:pPr>
      <w:jc w:val="left"/>
      <w:spacing w:before="100" w:beforeAutospacing="1" w:after="100" w:afterAutospacing="1"/>
      <w:widowControl/>
    </w:pPr>
    <w:rPr>
      <w:rFonts w:ascii="宋体" w:hAnsi="宋体" w:cs="宋体"/>
      <w:sz w:val="24"/>
    </w:rPr>
  </w:style>
  <w:style w:type="paragraph" w:styleId="1508">
    <w:name w:val="标题 41"/>
    <w:basedOn w:val="1066"/>
    <w:next w:val="1508"/>
    <w:link w:val="1066"/>
    <w:uiPriority w:val="1"/>
    <w:qFormat/>
    <w:pPr>
      <w:ind w:left="618"/>
      <w:jc w:val="left"/>
      <w:outlineLvl w:val="4"/>
    </w:pPr>
    <w:rPr>
      <w:rFonts w:ascii="宋体" w:hAnsi="宋体" w:cs="宋体"/>
      <w:b/>
      <w:bCs/>
      <w:sz w:val="24"/>
      <w:lang w:val="zh-CN" w:bidi="zh-CN"/>
    </w:rPr>
  </w:style>
  <w:style w:type="character" w:styleId="1509">
    <w:name w:val="批注文字 字符"/>
    <w:basedOn w:val="1076"/>
    <w:next w:val="1509"/>
    <w:link w:val="1066"/>
    <w:qFormat/>
    <w:rPr>
      <w:rFonts w:ascii="Times New Roman" w:hAnsi="Times New Roman" w:eastAsia="宋体" w:cs="Times New Roman"/>
      <w:sz w:val="21"/>
      <w:szCs w:val="24"/>
    </w:rPr>
  </w:style>
  <w:style w:type="paragraph" w:styleId="1510">
    <w:name w:val="首行缩进"/>
    <w:basedOn w:val="1066"/>
    <w:next w:val="1510"/>
    <w:link w:val="1066"/>
    <w:qFormat/>
    <w:pPr>
      <w:ind w:left="420" w:firstLine="480"/>
      <w:spacing w:line="400" w:lineRule="exact"/>
    </w:pPr>
    <w:rPr>
      <w:szCs w:val="20"/>
    </w:rPr>
  </w:style>
  <w:style w:type="paragraph" w:styleId="1511">
    <w:name w:val="msolistparagraph"/>
    <w:basedOn w:val="1066"/>
    <w:next w:val="1511"/>
    <w:link w:val="1066"/>
    <w:qFormat/>
    <w:pPr>
      <w:ind w:left="420" w:firstLine="420"/>
      <w:spacing w:line="400" w:lineRule="exact"/>
    </w:pPr>
    <w:rPr>
      <w:rFonts w:ascii="Calibri" w:hAnsi="Calibri"/>
    </w:rPr>
  </w:style>
  <w:style w:type="character" w:styleId="1512">
    <w:name w:val="font41"/>
    <w:basedOn w:val="1076"/>
    <w:next w:val="1512"/>
    <w:link w:val="1066"/>
    <w:qFormat/>
    <w:rPr>
      <w:rFonts w:hint="eastAsia" w:ascii="宋体" w:hAnsi="宋体" w:eastAsia="宋体" w:cs="宋体"/>
      <w:color w:val="000000"/>
      <w:sz w:val="18"/>
      <w:szCs w:val="18"/>
      <w:u w:val="none"/>
    </w:rPr>
  </w:style>
  <w:style w:type="character" w:styleId="1513">
    <w:name w:val="msosubtleemphasis"/>
    <w:basedOn w:val="1076"/>
    <w:next w:val="1513"/>
    <w:link w:val="1066"/>
    <w:qFormat/>
    <w:rPr>
      <w:i/>
      <w:color w:val="404040"/>
    </w:rPr>
  </w:style>
  <w:style w:type="paragraph" w:styleId="1514">
    <w:name w:val="Table Paragraph"/>
    <w:basedOn w:val="1066"/>
    <w:next w:val="1514"/>
    <w:link w:val="1066"/>
    <w:uiPriority w:val="1"/>
    <w:qFormat/>
    <w:pPr>
      <w:jc w:val="left"/>
    </w:pPr>
    <w:rPr>
      <w:rFonts w:ascii="宋体" w:hAnsi="宋体" w:cs="宋体"/>
      <w:sz w:val="22"/>
      <w:szCs w:val="22"/>
      <w:lang w:val="zh-CN" w:bidi="zh-CN"/>
    </w:rPr>
  </w:style>
  <w:style w:type="paragraph" w:styleId="1515">
    <w:name w:val="正文3"/>
    <w:basedOn w:val="1066"/>
    <w:next w:val="1515"/>
    <w:link w:val="1066"/>
    <w:qFormat/>
    <w:pPr>
      <w:jc w:val="left"/>
      <w:spacing w:after="200" w:line="300" w:lineRule="atLeast"/>
      <w:widowControl/>
    </w:pPr>
    <w:rPr>
      <w:rFonts w:ascii="Calibri" w:hAnsi="Calibri" w:cs="宋体"/>
      <w:sz w:val="22"/>
      <w:szCs w:val="22"/>
    </w:rPr>
  </w:style>
  <w:style w:type="paragraph" w:styleId="1516">
    <w:name w:val="修订1"/>
    <w:next w:val="1516"/>
    <w:link w:val="1066"/>
    <w:uiPriority w:val="99"/>
    <w:semiHidden/>
    <w:qFormat/>
    <w:rPr>
      <w:rFonts w:ascii="Times New Roman" w:hAnsi="Times New Roman" w:eastAsia="宋体" w:cs="Times New Roman"/>
      <w:sz w:val="21"/>
      <w:szCs w:val="24"/>
      <w:lang w:val="en-US" w:eastAsia="zh-CN" w:bidi="ar-SA"/>
    </w:rPr>
  </w:style>
  <w:style w:type="character" w:styleId="1517">
    <w:name w:val="NormalCharacter1"/>
    <w:next w:val="1517"/>
    <w:link w:val="1066"/>
    <w:qFormat/>
    <w:rPr>
      <w:sz w:val="21"/>
      <w:lang w:val="en-US" w:eastAsia="zh-CN" w:bidi="ar-SA"/>
    </w:rPr>
  </w:style>
  <w:style w:type="paragraph" w:styleId="1518">
    <w:name w:val="修订2"/>
    <w:next w:val="1518"/>
    <w:link w:val="1066"/>
    <w:uiPriority w:val="99"/>
    <w:unhideWhenUsed/>
    <w:qFormat/>
    <w:rPr>
      <w:rFonts w:ascii="Times New Roman" w:hAnsi="Times New Roman" w:eastAsia="宋体" w:cs="Times New Roman"/>
      <w:sz w:val="21"/>
      <w:szCs w:val="24"/>
      <w:lang w:val="en-US" w:eastAsia="zh-CN" w:bidi="ar-SA"/>
    </w:rPr>
  </w:style>
  <w:style w:type="character" w:styleId="1519">
    <w:name w:val="A13"/>
    <w:next w:val="1519"/>
    <w:link w:val="1066"/>
    <w:qFormat/>
    <w:rPr>
      <w:rFonts w:ascii="Times New Roman" w:hAnsi="Times New Roman" w:eastAsia="宋体" w:cs="......."/>
      <w:color w:val="000000"/>
      <w:sz w:val="11"/>
      <w:szCs w:val="11"/>
    </w:rPr>
  </w:style>
  <w:style w:type="paragraph" w:styleId="1520">
    <w:name w:val="Table Text"/>
    <w:basedOn w:val="1066"/>
    <w:next w:val="1520"/>
    <w:link w:val="1066"/>
    <w:semiHidden/>
    <w:qFormat/>
    <w:rPr>
      <w:rFonts w:ascii="宋体" w:hAnsi="宋体" w:cs="宋体"/>
      <w:sz w:val="28"/>
      <w:szCs w:val="28"/>
      <w:lang w:eastAsia="en-US"/>
    </w:rPr>
  </w:style>
  <w:style w:type="table" w:styleId="1521">
    <w:name w:val="Table Normal"/>
    <w:next w:val="1521"/>
    <w:link w:val="1066"/>
    <w:unhideWhenUsed/>
    <w:qFormat/>
    <w:tblPr/>
  </w:style>
  <w:style w:type="character" w:styleId="1522">
    <w:name w:val="cf01"/>
    <w:basedOn w:val="1076"/>
    <w:next w:val="1522"/>
    <w:link w:val="1066"/>
    <w:qFormat/>
    <w:rPr>
      <w:rFonts w:hint="eastAsia" w:ascii="Microsoft YaHei UI" w:hAnsi="Microsoft YaHei UI" w:eastAsia="Microsoft YaHei UI"/>
      <w:sz w:val="18"/>
      <w:szCs w:val="18"/>
    </w:rPr>
  </w:style>
  <w:style w:type="character" w:styleId="1523">
    <w:name w:val="active16"/>
    <w:basedOn w:val="1076"/>
    <w:next w:val="1523"/>
    <w:link w:val="1066"/>
    <w:qFormat/>
    <w:rPr>
      <w:color w:val="ffffff"/>
      <w:shd w:val="clear" w:color="auto" w:fill="0f5bb9"/>
    </w:rPr>
  </w:style>
  <w:style w:type="paragraph" w:styleId="1524">
    <w:name w:val="List Paragraph"/>
    <w:basedOn w:val="1066"/>
    <w:next w:val="1525"/>
    <w:link w:val="1066"/>
    <w:uiPriority w:val="99"/>
    <w:qFormat/>
    <w:pPr>
      <w:ind w:firstLine="420"/>
    </w:pPr>
    <w:rPr>
      <w:rFonts w:ascii="Calibri" w:hAnsi="Calibri" w:eastAsia="宋体" w:cs="Times New Roman"/>
    </w:rPr>
  </w:style>
  <w:style w:type="paragraph" w:styleId="1525">
    <w:name w:val="批注文字1"/>
    <w:basedOn w:val="1066"/>
    <w:next w:val="1525"/>
    <w:link w:val="1066"/>
    <w:uiPriority w:val="99"/>
    <w:qFormat/>
    <w:pPr>
      <w:jc w:val="left"/>
    </w:pPr>
  </w:style>
  <w:style w:type="character" w:styleId="1526">
    <w:name w:val="font31"/>
    <w:basedOn w:val="1076"/>
    <w:next w:val="1526"/>
    <w:link w:val="1066"/>
    <w:qFormat/>
    <w:rPr>
      <w:rFonts w:hint="eastAsia" w:ascii="方正仿宋_GBK" w:hAnsi="方正仿宋_GBK" w:eastAsia="方正仿宋_GBK" w:cs="方正仿宋_GBK"/>
      <w:color w:val="000000"/>
      <w:sz w:val="28"/>
      <w:szCs w:val="28"/>
      <w:u w:val="none"/>
    </w:rPr>
  </w:style>
  <w:style w:type="paragraph" w:styleId="1527">
    <w:name w:val="普通(网站)1"/>
    <w:basedOn w:val="1066"/>
    <w:next w:val="1527"/>
    <w:link w:val="1066"/>
    <w:uiPriority w:val="99"/>
    <w:qFormat/>
    <w:pPr>
      <w:jc w:val="left"/>
      <w:spacing w:before="100" w:beforeAutospacing="1" w:after="100" w:afterAutospacing="1"/>
      <w:widowControl/>
    </w:pPr>
    <w:rPr>
      <w:rFonts w:ascii="宋体" w:hAnsi="宋体" w:eastAsia="宋体" w:cs="宋体"/>
      <w:sz w:val="24"/>
      <w:szCs w:val="24"/>
    </w:rPr>
  </w:style>
  <w:style w:type="character" w:styleId="1528" w:default="1">
    <w:name w:val="Default Paragraph Font"/>
    <w:uiPriority w:val="1"/>
    <w:semiHidden/>
    <w:unhideWhenUsed/>
  </w:style>
  <w:style w:type="numbering" w:styleId="1529" w:default="1">
    <w:name w:val="No List"/>
    <w:uiPriority w:val="99"/>
    <w:semiHidden/>
    <w:unhideWhenUsed/>
  </w:style>
  <w:style w:type="table" w:styleId="15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pn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png"/><Relationship Id="rId25" Type="http://schemas.openxmlformats.org/officeDocument/2006/relationships/image" Target="media/image12.jpg"/><Relationship Id="rId26"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张薇</cp:lastModifiedBy>
  <cp:revision>12</cp:revision>
  <dcterms:created xsi:type="dcterms:W3CDTF">2025-07-19T09:02:00Z</dcterms:created>
  <dcterms:modified xsi:type="dcterms:W3CDTF">2026-06-03T08:23:58Z</dcterms:modified>
</cp:coreProperties>
</file>