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eastAsia="宋体" w:cs="宋体"/>
          <w:b/>
          <w:spacing w:val="76"/>
          <w:sz w:val="15"/>
          <w:szCs w:val="15"/>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6"/>
          <w:sz w:val="15"/>
          <w:szCs w:val="15"/>
          <w:lang w:eastAsia="zh-CN"/>
        </w:rPr>
      </w:r>
      <w:r/>
    </w:p>
    <w:p>
      <w:pPr>
        <w:jc w:val="center"/>
        <w:spacing w:after="0" w:line="360" w:lineRule="auto"/>
        <w:rPr>
          <w:rFonts w:hint="eastAsia" w:ascii="宋体" w:hAnsi="宋体" w:eastAsia="宋体" w:cs="宋体"/>
          <w:b w:val="0"/>
          <w:bCs/>
          <w:spacing w:val="76"/>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pacing w:val="76"/>
          <w:sz w:val="36"/>
          <w:szCs w:val="36"/>
          <w:lang w:eastAsia="zh-CN"/>
        </w:rPr>
      </w:r>
      <w:r/>
    </w:p>
    <w:p>
      <w:pPr>
        <w:jc w:val="center"/>
        <w:spacing w:after="0" w:line="360" w:lineRule="auto"/>
        <w:rPr>
          <w:rFonts w:hint="eastAsia" w:ascii="宋体" w:hAnsi="宋体" w:eastAsia="宋体" w:cs="宋体"/>
          <w:b w:val="0"/>
          <w:bCs/>
          <w:spacing w:val="76"/>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pacing w:val="76"/>
          <w:sz w:val="18"/>
          <w:szCs w:val="18"/>
          <w:lang w:eastAsia="zh-CN"/>
        </w:rPr>
      </w:r>
      <w:r/>
    </w:p>
    <w:p>
      <w:pPr>
        <w:jc w:val="center"/>
        <w:spacing w:after="0" w:line="360" w:lineRule="auto"/>
        <w:rPr>
          <w:rFonts w:hint="eastAsia" w:ascii="黑体" w:hAnsi="黑体" w:eastAsia="黑体" w:cs="黑体"/>
          <w:b/>
          <w:sz w:val="144"/>
          <w:szCs w:val="1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pacing w:val="76"/>
          <w:sz w:val="112"/>
          <w:szCs w:val="112"/>
          <w:lang w:eastAsia="zh-CN"/>
        </w:rPr>
        <w:t xml:space="preserve">招</w:t>
      </w:r>
      <w:r>
        <w:rPr>
          <w:rFonts w:hint="eastAsia" w:ascii="宋体" w:hAnsi="宋体" w:eastAsia="宋体" w:cs="宋体"/>
          <w:b w:val="0"/>
          <w:bCs/>
          <w:spacing w:val="76"/>
          <w:sz w:val="112"/>
          <w:szCs w:val="112"/>
          <w:lang w:val="en-US" w:eastAsia="zh-CN"/>
        </w:rPr>
        <w:t xml:space="preserve"> </w:t>
      </w:r>
      <w:r>
        <w:rPr>
          <w:rFonts w:hint="eastAsia" w:ascii="宋体" w:hAnsi="宋体" w:eastAsia="宋体" w:cs="宋体"/>
          <w:b w:val="0"/>
          <w:bCs/>
          <w:spacing w:val="76"/>
          <w:sz w:val="112"/>
          <w:szCs w:val="112"/>
          <w:lang w:eastAsia="zh-CN"/>
        </w:rPr>
        <w:t xml:space="preserve">标</w:t>
      </w:r>
      <w:r>
        <w:rPr>
          <w:rFonts w:hint="eastAsia" w:ascii="宋体" w:hAnsi="宋体" w:eastAsia="宋体" w:cs="宋体"/>
          <w:b w:val="0"/>
          <w:bCs/>
          <w:spacing w:val="76"/>
          <w:sz w:val="112"/>
          <w:szCs w:val="112"/>
          <w:lang w:val="en-US" w:eastAsia="zh-CN"/>
        </w:rPr>
        <w:t xml:space="preserve"> </w:t>
      </w:r>
      <w:r>
        <w:rPr>
          <w:rFonts w:hint="eastAsia" w:ascii="宋体" w:hAnsi="宋体" w:eastAsia="宋体" w:cs="宋体"/>
          <w:b w:val="0"/>
          <w:bCs/>
          <w:spacing w:val="76"/>
          <w:sz w:val="112"/>
          <w:szCs w:val="112"/>
          <w:lang w:eastAsia="zh-CN"/>
        </w:rPr>
        <w:t xml:space="preserve">文</w:t>
      </w:r>
      <w:r>
        <w:rPr>
          <w:rFonts w:hint="eastAsia" w:ascii="宋体" w:hAnsi="宋体" w:eastAsia="宋体" w:cs="宋体"/>
          <w:b w:val="0"/>
          <w:bCs/>
          <w:spacing w:val="76"/>
          <w:sz w:val="112"/>
          <w:szCs w:val="112"/>
          <w:lang w:val="en-US" w:eastAsia="zh-CN"/>
        </w:rPr>
        <w:t xml:space="preserve"> </w:t>
      </w:r>
      <w:r>
        <w:rPr>
          <w:rFonts w:hint="eastAsia" w:ascii="宋体" w:hAnsi="宋体" w:eastAsia="宋体" w:cs="宋体"/>
          <w:b w:val="0"/>
          <w:bCs/>
          <w:spacing w:val="76"/>
          <w:sz w:val="112"/>
          <w:szCs w:val="112"/>
          <w:lang w:eastAsia="zh-CN"/>
        </w:rPr>
        <w:t xml:space="preserve">件</w:t>
      </w:r>
      <w:r/>
    </w:p>
    <w:p>
      <w:pPr>
        <w:jc w:val="both"/>
        <w:spacing w:after="0" w:line="5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r>
      <w:r/>
    </w:p>
    <w:p>
      <w:pPr>
        <w:ind w:left="0" w:firstLine="1323"/>
        <w:rPr>
          <w:rFonts w:hint="eastAsia" w:ascii="宋体" w:hAnsi="宋体" w:eastAsia="宋体" w:cs="宋体"/>
          <w:b/>
          <w:bCs/>
          <w:sz w:val="36"/>
          <w:szCs w:val="36"/>
          <w:lang w:val="en-US" w:eastAsia="zh-CN"/>
        </w:rPr>
        <w:outlineLvl w:val="0"/>
      </w:pPr>
      <w:r/>
      <w:bookmarkStart w:id="0" w:name="_Toc29507"/>
      <w:r/>
      <w:bookmarkStart w:id="1" w:name="_Toc7378"/>
      <w:r/>
      <w:r/>
    </w:p>
    <w:p>
      <w:pPr>
        <w:ind w:left="0" w:firstLine="1323"/>
        <w:rPr>
          <w:rFonts w:hint="eastAsia" w:ascii="宋体" w:hAnsi="宋体" w:eastAsia="宋体" w:cs="宋体"/>
          <w:b/>
          <w:bCs/>
          <w:sz w:val="36"/>
          <w:szCs w:val="36"/>
          <w:lang w:val="en-US" w:eastAsia="zh-CN"/>
        </w:rPr>
        <w:outlineLvl w:val="0"/>
      </w:pPr>
      <w:r>
        <w:rPr>
          <w:rFonts w:hint="eastAsia" w:ascii="宋体" w:hAnsi="宋体" w:eastAsia="宋体" w:cs="宋体"/>
          <w:b/>
          <w:bCs/>
          <w:sz w:val="36"/>
          <w:szCs w:val="36"/>
          <w:lang w:val="en-US" w:eastAsia="zh-CN"/>
        </w:rPr>
      </w:r>
      <w:r/>
    </w:p>
    <w:p>
      <w:pPr>
        <w:ind w:left="0" w:firstLine="1323"/>
        <w:keepLines w:val="0"/>
        <w:keepNext w:val="0"/>
        <w:pageBreakBefore w:val="0"/>
        <w:spacing w:line="560" w:lineRule="exact"/>
        <w:widowControl/>
        <w:rPr>
          <w:rFonts w:hint="eastAsia" w:ascii="宋体" w:hAnsi="宋体" w:eastAsia="宋体" w:cs="宋体"/>
          <w:b/>
          <w:bCs/>
          <w:sz w:val="36"/>
          <w:szCs w:val="36"/>
          <w:lang w:val="en-US" w:eastAsia="zh-CN"/>
        </w:rPr>
        <w:outlineLvl w:val="0"/>
      </w:pPr>
      <w:r>
        <w:rPr>
          <w:rFonts w:hint="eastAsia" w:ascii="宋体" w:hAnsi="宋体" w:eastAsia="宋体" w:cs="宋体"/>
          <w:b/>
          <w:bCs/>
          <w:sz w:val="36"/>
          <w:szCs w:val="36"/>
          <w:lang w:val="en-US" w:eastAsia="zh-CN"/>
        </w:rPr>
      </w:r>
      <w:r/>
    </w:p>
    <w:p>
      <w:pPr>
        <w:ind w:left="0" w:firstLine="1176"/>
        <w:keepLines w:val="0"/>
        <w:keepNext w:val="0"/>
        <w:pageBreakBefore w:val="0"/>
        <w:spacing w:line="560" w:lineRule="exact"/>
        <w:widowControl/>
        <w:rPr>
          <w:rFonts w:hint="eastAsia" w:ascii="楷体" w:hAnsi="楷体" w:eastAsia="楷体" w:cs="楷体"/>
          <w:b/>
          <w:bCs/>
          <w:sz w:val="40"/>
          <w:szCs w:val="40"/>
          <w:lang w:val="en-US" w:eastAsia="zh-CN"/>
        </w:rPr>
        <w:outlineLvl w:val="0"/>
      </w:pPr>
      <w:r/>
      <w:bookmarkStart w:id="2" w:name="_Toc30403"/>
      <w:r/>
      <w:bookmarkStart w:id="3" w:name="_Toc11046"/>
      <w:r>
        <w:rPr>
          <w:rFonts w:hint="eastAsia" w:ascii="楷体" w:hAnsi="楷体" w:eastAsia="楷体" w:cs="楷体"/>
          <w:b/>
          <w:bCs/>
          <w:sz w:val="40"/>
          <w:szCs w:val="40"/>
          <w:lang w:val="en-US" w:eastAsia="zh-CN"/>
        </w:rPr>
        <w:t xml:space="preserve">项目名称：</w:t>
      </w:r>
      <w:bookmarkEnd w:id="0"/>
      <w:r/>
      <w:bookmarkEnd w:id="1"/>
      <w:r/>
      <w:bookmarkEnd w:id="2"/>
      <w:r/>
      <w:bookmarkEnd w:id="3"/>
      <w:r>
        <w:rPr>
          <w:rFonts w:hint="eastAsia" w:ascii="楷体" w:hAnsi="楷体" w:eastAsia="楷体" w:cs="楷体"/>
          <w:b/>
          <w:bCs/>
          <w:sz w:val="40"/>
          <w:szCs w:val="40"/>
          <w:lang w:val="en-US" w:eastAsia="zh-CN"/>
        </w:rPr>
        <w:t xml:space="preserve">司法辅助事务服务项目</w:t>
      </w:r>
      <w:r/>
    </w:p>
    <w:p>
      <w:pPr>
        <w:ind w:left="0" w:firstLine="1176"/>
        <w:keepLines w:val="0"/>
        <w:keepNext w:val="0"/>
        <w:pageBreakBefore w:val="0"/>
        <w:spacing w:line="560" w:lineRule="exact"/>
        <w:widowControl/>
        <w:rPr>
          <w:rFonts w:hint="eastAsia" w:ascii="楷体" w:hAnsi="楷体" w:eastAsia="楷体" w:cs="楷体"/>
          <w:b/>
          <w:bCs/>
          <w:sz w:val="40"/>
          <w:szCs w:val="40"/>
          <w:lang w:val="en-US" w:eastAsia="zh-CN"/>
        </w:rPr>
        <w:outlineLvl w:val="0"/>
      </w:pPr>
      <w:r/>
      <w:bookmarkStart w:id="4" w:name="_Toc9793"/>
      <w:r/>
      <w:bookmarkStart w:id="5" w:name="_Toc27556"/>
      <w:r/>
      <w:bookmarkStart w:id="6" w:name="_Toc31244"/>
      <w:r/>
      <w:bookmarkStart w:id="7" w:name="_Toc26997"/>
      <w:r>
        <w:rPr>
          <w:rFonts w:hint="eastAsia" w:ascii="楷体" w:hAnsi="楷体" w:eastAsia="楷体" w:cs="楷体"/>
          <w:b/>
          <w:bCs/>
          <w:sz w:val="40"/>
          <w:szCs w:val="40"/>
          <w:lang w:val="en-US" w:eastAsia="zh-CN"/>
        </w:rPr>
        <w:t xml:space="preserve">项目编号：</w:t>
      </w:r>
      <w:bookmarkEnd w:id="4"/>
      <w:r/>
      <w:bookmarkEnd w:id="5"/>
      <w:r/>
      <w:bookmarkEnd w:id="6"/>
      <w:r/>
      <w:bookmarkEnd w:id="7"/>
      <w:r>
        <w:rPr>
          <w:rFonts w:hint="eastAsia" w:ascii="楷体" w:hAnsi="楷体" w:eastAsia="楷体" w:cs="楷体"/>
          <w:b/>
          <w:bCs/>
          <w:sz w:val="40"/>
          <w:szCs w:val="40"/>
          <w:lang w:val="en-US" w:eastAsia="zh-CN"/>
        </w:rPr>
        <w:t xml:space="preserve">JSZC-321281-TZTC-G2026-0003  </w:t>
      </w:r>
      <w:r/>
    </w:p>
    <w:p>
      <w:pPr>
        <w:ind w:left="0" w:firstLine="1176"/>
        <w:keepLines w:val="0"/>
        <w:keepNext w:val="0"/>
        <w:pageBreakBefore w:val="0"/>
        <w:spacing w:line="560" w:lineRule="exact"/>
        <w:widowControl/>
        <w:rPr>
          <w:rFonts w:hint="eastAsia" w:ascii="楷体" w:hAnsi="楷体" w:eastAsia="楷体" w:cs="楷体"/>
          <w:b/>
          <w:bCs/>
          <w:sz w:val="40"/>
          <w:szCs w:val="40"/>
          <w:lang w:val="en-US" w:eastAsia="zh-CN"/>
        </w:rPr>
      </w:pPr>
      <w:r>
        <w:rPr>
          <w:rFonts w:hint="eastAsia" w:ascii="楷体" w:hAnsi="楷体" w:eastAsia="楷体" w:cs="楷体"/>
          <w:b/>
          <w:bCs/>
          <w:sz w:val="40"/>
          <w:szCs w:val="40"/>
          <w:lang w:val="en-US" w:eastAsia="zh-CN"/>
        </w:rPr>
        <w:t xml:space="preserve">招 标 人：兴化市人民法院</w:t>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t xml:space="preserve">泰州天诚工程项目管理有限公司</w:t>
      </w:r>
      <w:r/>
    </w:p>
    <w:p>
      <w:pPr>
        <w:jc w:val="center"/>
        <w:rPr>
          <w:rFonts w:hint="eastAsia" w:ascii="黑体" w:eastAsia="黑体"/>
          <w:color w:val="auto"/>
          <w:sz w:val="36"/>
          <w:lang w:val="en-US" w:eastAsia="zh-CN"/>
        </w:rPr>
      </w:pPr>
      <w:r>
        <w:rPr>
          <w:rFonts w:hint="eastAsia" w:ascii="黑体" w:eastAsia="黑体"/>
          <w:color w:val="auto"/>
          <w:sz w:val="36"/>
        </w:rPr>
        <w:t xml:space="preserve">二○二</w:t>
      </w:r>
      <w:r>
        <w:rPr>
          <w:rFonts w:hint="eastAsia" w:ascii="黑体" w:eastAsia="黑体"/>
          <w:color w:val="auto"/>
          <w:sz w:val="36"/>
          <w:lang w:val="en-US" w:eastAsia="zh-CN"/>
        </w:rPr>
        <w:t xml:space="preserve">六</w:t>
      </w:r>
      <w:r>
        <w:rPr>
          <w:rFonts w:hint="eastAsia" w:ascii="黑体" w:eastAsia="黑体"/>
          <w:color w:val="auto"/>
          <w:sz w:val="36"/>
        </w:rPr>
        <w:t xml:space="preserve">年</w:t>
      </w:r>
      <w:r>
        <w:rPr>
          <w:rFonts w:hint="eastAsia" w:ascii="黑体" w:eastAsia="黑体"/>
          <w:color w:val="auto"/>
          <w:sz w:val="36"/>
          <w:lang w:val="en-US" w:eastAsia="zh-CN"/>
        </w:rPr>
        <w:t xml:space="preserve">五月</w:t>
      </w:r>
      <w:r/>
    </w:p>
    <w:p>
      <w:pPr>
        <w:jc w:val="center"/>
        <w:rPr>
          <w:rFonts w:hint="eastAsia" w:ascii="黑体" w:eastAsia="黑体"/>
          <w:color w:val="auto"/>
          <w:sz w:val="36"/>
          <w:lang w:val="en-US" w:eastAsia="zh-CN"/>
        </w:rPr>
        <w:sectPr>
          <w:headerReference w:type="default" r:id="rId9"/>
          <w:footerReference w:type="default" r:id="rId12"/>
          <w:footnotePr/>
          <w:endnotePr/>
          <w:type w:val="nextPage"/>
          <w:pgSz w:w="11906" w:h="16838" w:orient="portrait"/>
          <w:pgMar w:top="1221" w:right="1332" w:bottom="1440" w:left="1552" w:header="851" w:footer="772" w:gutter="0"/>
          <w:cols w:num="1" w:sep="0" w:space="425" w:equalWidth="1"/>
          <w:docGrid w:linePitch="360"/>
          <w:titlePg/>
        </w:sectPr>
      </w:pPr>
      <w:r>
        <w:rPr>
          <w:rFonts w:hint="eastAsia" w:ascii="黑体" w:eastAsia="黑体"/>
          <w:color w:val="auto"/>
          <w:sz w:val="36"/>
          <w:lang w:val="en-US" w:eastAsia="zh-CN"/>
        </w:rPr>
      </w:r>
      <w:r/>
    </w:p>
    <w:p>
      <w:pPr>
        <w:jc w:val="center"/>
        <w:keepLines w:val="0"/>
        <w:keepNext w:val="0"/>
        <w:pageBreakBefore w:val="0"/>
        <w:spacing w:before="400"/>
        <w:widowControl/>
        <w:rPr>
          <w:rFonts w:hint="eastAsia" w:ascii="仿宋" w:hAnsi="仿宋" w:eastAsia="仿宋" w:cs="仿宋"/>
          <w:sz w:val="36"/>
          <w:szCs w:val="36"/>
          <w:lang w:eastAsia="zh-CN"/>
        </w:rPr>
      </w:pPr>
      <w:r>
        <w:rPr>
          <w:rFonts w:hint="eastAsia" w:ascii="仿宋" w:hAnsi="仿宋" w:eastAsia="仿宋" w:cs="仿宋"/>
          <w:b/>
          <w:sz w:val="44"/>
          <w:szCs w:val="44"/>
          <w:lang w:eastAsia="zh-CN"/>
        </w:rPr>
        <w:t xml:space="preserve">目 录</w:t>
      </w:r>
      <w:r/>
    </w:p>
    <w:sdt>
      <w:sdtPr>
        <w15:appearance w15:val="boundingBox"/>
        <w15:color w:val="dbdbdb"/>
        <w:id w:val="147451494"/>
        <w:docPartObj>
          <w:docPartGallery w:val="Table of Contents"/>
          <w:docPartUnique w:val="true"/>
        </w:docPartObj>
        <w:rPr>
          <w:rFonts w:hint="eastAsia" w:ascii="仿宋" w:hAnsi="仿宋" w:eastAsia="仿宋" w:cs="仿宋"/>
          <w:sz w:val="30"/>
          <w:szCs w:val="30"/>
          <w:lang w:eastAsia="en-US"/>
        </w:rPr>
      </w:sdtPr>
      <w:sdtContent>
        <w:p>
          <w:pPr>
            <w:ind w:left="0" w:right="0" w:firstLine="0"/>
            <w:jc w:val="both"/>
            <w:spacing w:before="0" w:after="0" w:line="240" w:lineRule="auto"/>
            <w:rPr>
              <w:rFonts w:hint="eastAsia" w:ascii="仿宋" w:hAnsi="仿宋" w:eastAsia="仿宋" w:cs="仿宋"/>
              <w:b/>
              <w:bCs/>
              <w:sz w:val="30"/>
              <w:szCs w:val="30"/>
              <w:lang w:eastAsia="en-US"/>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p>
        <w:p>
          <w:pPr>
            <w:pStyle w:val="883"/>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_Toc5002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eastAsia="zh-CN"/>
            </w:rPr>
            <w:t xml:space="preserve">第一章 </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 xml:space="preserve">投标邀请</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_Toc5002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1</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3"/>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_Toc22987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eastAsia="zh-CN"/>
            </w:rPr>
            <w:t xml:space="preserve">第二章  投标人须知</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_Toc22987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4</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3"/>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_Toc27724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第三章  </w:t>
          </w:r>
          <w:r>
            <w:rPr>
              <w:rFonts w:hint="eastAsia" w:ascii="仿宋" w:hAnsi="仿宋" w:eastAsia="仿宋" w:cs="仿宋"/>
              <w:b/>
              <w:bCs/>
              <w:sz w:val="36"/>
              <w:szCs w:val="36"/>
              <w:lang w:eastAsia="zh-CN"/>
            </w:rPr>
            <w:t xml:space="preserve">合同文本</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_Toc27724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15</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3"/>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_Toc4017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第四章  采购需求</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_Toc4017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19</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3"/>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_Toc13801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第五章  评标方法与评标标准</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_Toc13801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29</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3"/>
            <w:keepLines w:val="0"/>
            <w:keepNext w:val="0"/>
            <w:pageBreakBefore w:val="0"/>
            <w:spacing w:line="600" w:lineRule="exact"/>
            <w:widowControl/>
            <w:tabs>
              <w:tab w:val="right" w:pos="8580" w:leader="dot"/>
            </w:tabs>
            <w:rPr>
              <w:rFonts w:hint="eastAsia" w:ascii="仿宋" w:hAnsi="仿宋" w:eastAsia="仿宋" w:cs="仿宋"/>
              <w:b/>
              <w:bCs/>
              <w:sz w:val="36"/>
              <w:szCs w:val="36"/>
              <w:lang w:val="en-US" w:eastAsia="zh-CN"/>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_Toc18027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第六章  </w:t>
          </w:r>
          <w:r>
            <w:rPr>
              <w:rFonts w:hint="eastAsia" w:ascii="仿宋" w:hAnsi="仿宋" w:eastAsia="仿宋" w:cs="仿宋"/>
              <w:b/>
              <w:bCs/>
              <w:sz w:val="36"/>
              <w:szCs w:val="36"/>
            </w:rPr>
            <w:t xml:space="preserve">投标文件相关格式</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_Toc18027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32</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ind w:left="0" w:right="0" w:firstLine="0"/>
            <w:jc w:val="both"/>
            <w:spacing w:before="0" w:after="0" w:line="240" w:lineRule="auto"/>
          </w:pPr>
          <w:r>
            <w:rPr>
              <w:rFonts w:hint="eastAsia" w:ascii="仿宋" w:hAnsi="仿宋" w:eastAsia="仿宋" w:cs="仿宋"/>
              <w:b/>
              <w:bCs/>
              <w:sz w:val="30"/>
              <w:szCs w:val="30"/>
            </w:rPr>
            <w:fldChar w:fldCharType="end"/>
          </w:r>
          <w:r/>
        </w:p>
      </w:sdtContent>
    </w:sdt>
    <w:p>
      <w:r/>
      <w:r/>
    </w:p>
    <w:p>
      <w:r/>
      <w:r/>
    </w:p>
    <w:p>
      <w:pPr>
        <w:jc w:val="center"/>
        <w:spacing w:after="0" w:line="50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lang w:eastAsia="zh-CN"/>
        </w:rPr>
        <w:t xml:space="preserve"> </w:t>
      </w:r>
      <w:r/>
    </w:p>
    <w:p>
      <w:pPr>
        <w:jc w:val="right"/>
        <w:rPr>
          <w:rFonts w:hint="eastAsia" w:ascii="黑体" w:eastAsia="黑体"/>
          <w:color w:val="auto"/>
          <w:sz w:val="36"/>
          <w:lang w:eastAsia="zh-CN"/>
        </w:rPr>
      </w:pPr>
      <w:r>
        <w:rPr>
          <w:rFonts w:hint="eastAsia" w:ascii="黑体" w:eastAsia="黑体"/>
          <w:color w:val="auto"/>
          <w:sz w:val="36"/>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pStyle w:val="854"/>
        <w:keepLines/>
        <w:keepNext/>
        <w:pageBreakBefore/>
        <w:spacing w:before="400" w:after="160" w:line="400" w:lineRule="exact"/>
        <w:widowControl/>
        <w:rPr>
          <w:rFonts w:hint="eastAsia" w:ascii="宋体" w:hAnsi="宋体" w:eastAsia="宋体" w:cs="宋体"/>
          <w:lang w:eastAsia="zh-CN"/>
        </w:rPr>
        <w:sectPr>
          <w:headerReference w:type="default" r:id="rId10"/>
          <w:headerReference w:type="first" r:id="rId11"/>
          <w:footerReference w:type="default" r:id="rId13"/>
          <w:footerReference w:type="first" r:id="rId14"/>
          <w:footnotePr/>
          <w:endnotePr/>
          <w:type w:val="nextPage"/>
          <w:pgSz w:w="11906" w:h="16838" w:orient="portrait"/>
          <w:pgMar w:top="1440" w:right="1526" w:bottom="1440" w:left="1800" w:header="851" w:footer="992" w:gutter="0"/>
          <w:pgNumType w:start="1"/>
          <w:cols w:num="1" w:sep="0" w:space="425" w:equalWidth="1"/>
          <w:docGrid w:linePitch="360"/>
        </w:sectPr>
      </w:pPr>
      <w:r/>
      <w:bookmarkStart w:id="8" w:name="_Toc5002"/>
      <w:r/>
      <w:bookmarkStart w:id="9" w:name="_Toc32155"/>
      <w:r/>
      <w:r/>
    </w:p>
    <w:p>
      <w:pPr>
        <w:pStyle w:val="854"/>
        <w:keepLines/>
        <w:keepNext/>
        <w:pageBreakBefore/>
        <w:spacing w:before="400" w:after="160" w:line="400" w:lineRule="exact"/>
        <w:widowControl/>
        <w:rPr>
          <w:rFonts w:hint="eastAsia" w:ascii="宋体" w:hAnsi="宋体" w:eastAsia="宋体" w:cs="宋体"/>
          <w:lang w:eastAsia="zh-CN"/>
        </w:rPr>
      </w:pPr>
      <w:r>
        <w:rPr>
          <w:rFonts w:hint="eastAsia" w:ascii="宋体" w:hAnsi="宋体" w:eastAsia="宋体" w:cs="宋体"/>
          <w:lang w:eastAsia="zh-CN"/>
        </w:rPr>
        <w:t xml:space="preserve">第一章 投标邀请</w:t>
      </w:r>
      <w:bookmarkEnd w:id="8"/>
      <w:r/>
      <w:bookmarkEnd w:id="9"/>
      <w:r/>
      <w:r/>
    </w:p>
    <w:p>
      <w:pPr>
        <w:ind w:firstLine="480"/>
        <w:jc w:val="left"/>
        <w:keepLines w:val="0"/>
        <w:keepNext w:val="0"/>
        <w:pageBreakBefore w:val="0"/>
        <w:spacing w:after="0" w:line="36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受兴化市人民法院的委托，泰州天诚工程项目管理有限公司</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以下简称：泰州天诚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就</w:t>
      </w:r>
      <w:r>
        <w:rPr>
          <w:rFonts w:hint="eastAsia" w:ascii="宋体" w:hAnsi="宋体" w:eastAsia="宋体" w:cs="宋体"/>
          <w:sz w:val="24"/>
          <w:szCs w:val="24"/>
          <w:lang w:eastAsia="zh-CN"/>
        </w:rPr>
        <w:t xml:space="preserve">兴化市人民法院司法辅助事务服务项目</w:t>
      </w:r>
      <w:r>
        <w:rPr>
          <w:rFonts w:hint="eastAsia" w:ascii="宋体" w:hAnsi="宋体" w:eastAsia="宋体" w:cs="宋体"/>
          <w:sz w:val="24"/>
          <w:szCs w:val="24"/>
          <w:lang w:val="en-US" w:eastAsia="zh-CN"/>
        </w:rPr>
        <w:t xml:space="preserve">（JSZC-321281-TZTC-G2026-0003)进行公开招标采购，欢迎符合条件的供应商投标。</w:t>
      </w:r>
      <w:r/>
    </w:p>
    <w:p>
      <w:pPr>
        <w:ind w:firstLine="480"/>
        <w:jc w:val="both"/>
        <w:spacing w:after="0" w:line="360" w:lineRule="auto"/>
        <w:rPr>
          <w:rFonts w:hint="eastAsia" w:ascii="宋体" w:hAnsi="宋体" w:eastAsia="宋体" w:cs="宋体"/>
          <w:sz w:val="24"/>
          <w:szCs w:val="24"/>
          <w:lang w:val="en-US" w:eastAsia="zh-CN"/>
        </w:rPr>
        <w:pBdr>
          <w:top w:val="single" w:color="auto" w:sz="6" w:space="1"/>
          <w:left w:val="single" w:color="auto" w:sz="6" w:space="4"/>
          <w:bottom w:val="single" w:color="auto" w:sz="6" w:space="1"/>
          <w:right w:val="single" w:color="auto" w:sz="6" w:space="4"/>
          <w:between w:val="none" w:color="auto" w:sz="0" w:space="0"/>
        </w:pBdr>
      </w:pPr>
      <w:r>
        <w:rPr>
          <w:rFonts w:hint="eastAsia" w:ascii="宋体" w:hAnsi="宋体" w:eastAsia="宋体" w:cs="宋体"/>
          <w:sz w:val="24"/>
          <w:szCs w:val="24"/>
          <w:lang w:val="en-US" w:eastAsia="zh-CN"/>
        </w:rPr>
        <w:t xml:space="preserve">项目概况</w:t>
      </w:r>
      <w:r/>
    </w:p>
    <w:p>
      <w:pPr>
        <w:ind w:firstLine="480"/>
        <w:jc w:val="both"/>
        <w:spacing w:after="0" w:line="360" w:lineRule="auto"/>
        <w:rPr>
          <w:rFonts w:hint="eastAsia" w:ascii="宋体" w:hAnsi="宋体" w:eastAsia="宋体" w:cs="宋体"/>
          <w:sz w:val="24"/>
          <w:szCs w:val="24"/>
          <w:u w:val="none"/>
          <w:lang w:val="en-US" w:eastAsia="zh-CN"/>
        </w:rPr>
        <w:pBdr>
          <w:top w:val="single" w:color="auto" w:sz="6" w:space="1"/>
          <w:left w:val="single" w:color="auto" w:sz="6" w:space="4"/>
          <w:bottom w:val="single" w:color="auto" w:sz="6" w:space="1"/>
          <w:right w:val="single" w:color="auto" w:sz="6" w:space="4"/>
          <w:between w:val="none" w:color="auto" w:sz="0" w:space="0"/>
        </w:pBdr>
      </w:pPr>
      <w:r>
        <w:rPr>
          <w:rFonts w:hint="eastAsia" w:ascii="宋体" w:hAnsi="宋体" w:eastAsia="宋体" w:cs="宋体"/>
          <w:sz w:val="24"/>
          <w:szCs w:val="24"/>
          <w:u w:val="none"/>
          <w:lang w:val="en-US" w:eastAsia="zh-CN"/>
        </w:rPr>
        <w:t xml:space="preserve">兴化市人民法院司法辅助事务服务招标项目的潜在投标人可在“江苏政府采购网”自行免费下载招标文件，并于2026年06月25日9点30分（北京时间）前递交投标文件。</w:t>
      </w:r>
      <w:r/>
    </w:p>
    <w:p>
      <w:pPr>
        <w:ind w:left="0" w:firstLine="514"/>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val="zh-CN" w:eastAsia="zh-CN"/>
        </w:rPr>
        <w:t xml:space="preserve">项目基本情况</w:t>
      </w:r>
      <w:r/>
    </w:p>
    <w:p>
      <w:p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项目编号：</w:t>
      </w:r>
      <w:r>
        <w:rPr>
          <w:rFonts w:hint="eastAsia" w:ascii="宋体" w:hAnsi="宋体" w:eastAsia="宋体" w:cs="宋体"/>
          <w:sz w:val="24"/>
          <w:szCs w:val="24"/>
          <w:lang w:val="en-US" w:eastAsia="zh-CN"/>
        </w:rPr>
        <w:t xml:space="preserve">JSZC-321281-TZTC-G2026-0003</w:t>
      </w:r>
      <w:r/>
    </w:p>
    <w:p>
      <w:p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项目名称：司法辅助事务服务项目</w:t>
      </w:r>
      <w:r/>
    </w:p>
    <w:p>
      <w:pPr>
        <w:ind w:left="0" w:firstLine="439"/>
        <w:jc w:val="both"/>
        <w:spacing w:after="0" w:line="360" w:lineRule="auto"/>
        <w:rPr>
          <w:rFonts w:hint="eastAsia" w:ascii="宋体" w:hAnsi="宋体" w:eastAsia="宋体" w:cs="宋体"/>
          <w:sz w:val="24"/>
          <w:szCs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预算金额：</w:t>
      </w:r>
      <w:r/>
    </w:p>
    <w:tbl>
      <w:tblPr>
        <w:tblStyle w:val="86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6053"/>
      </w:tblGrid>
      <w:tr>
        <w:trPr>
          <w:jc w:val="center"/>
          <w:trHeight w:val="369"/>
          <w:tblHeader/>
        </w:trPr>
        <w:tc>
          <w:tcPr>
            <w:tcW w:w="2593"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采购包号</w:t>
            </w:r>
            <w:r/>
          </w:p>
        </w:tc>
        <w:tc>
          <w:tcPr>
            <w:tcW w:w="6053"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预算金额（人民币）</w:t>
            </w:r>
            <w:r/>
          </w:p>
        </w:tc>
      </w:tr>
      <w:tr>
        <w:trPr>
          <w:jc w:val="center"/>
          <w:trHeight w:val="434"/>
        </w:trPr>
        <w:tc>
          <w:tcPr>
            <w:tcW w:w="2593"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p>
        </w:tc>
        <w:tc>
          <w:tcPr>
            <w:tcW w:w="6053" w:type="dxa"/>
            <w:vAlign w:val="center"/>
            <w:textDirection w:val="lrTb"/>
            <w:noWrap w:val="false"/>
          </w:tcPr>
          <w:p>
            <w:pPr>
              <w:ind w:left="0" w:right="0" w:firstLine="0"/>
              <w:jc w:val="center"/>
              <w:spacing w:after="0" w:line="240" w:lineRule="auto"/>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￥：760万元/2年</w:t>
            </w:r>
            <w:r/>
          </w:p>
        </w:tc>
      </w:tr>
    </w:tbl>
    <w:p>
      <w:pPr>
        <w:numPr>
          <w:ilvl w:val="0"/>
          <w:numId w:val="0"/>
        </w:num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4、最高限价：</w:t>
      </w:r>
      <w:r/>
    </w:p>
    <w:tbl>
      <w:tblPr>
        <w:tblStyle w:val="864"/>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3783"/>
        <w:gridCol w:w="3334"/>
      </w:tblGrid>
      <w:tr>
        <w:trPr>
          <w:jc w:val="center"/>
          <w:trHeight w:val="482"/>
          <w:tblHeader/>
        </w:trPr>
        <w:tc>
          <w:tcPr>
            <w:tcW w:w="0" w:type="auto"/>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采购包号</w:t>
            </w:r>
            <w:r/>
          </w:p>
        </w:tc>
        <w:tc>
          <w:tcPr>
            <w:tcW w:w="3783"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是否设定最高限价（是/否）</w:t>
            </w:r>
            <w:r/>
          </w:p>
        </w:tc>
        <w:tc>
          <w:tcPr>
            <w:tcW w:w="3334"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最高限价（人民币）</w:t>
            </w:r>
            <w:r/>
          </w:p>
        </w:tc>
      </w:tr>
      <w:tr>
        <w:trPr>
          <w:jc w:val="center"/>
          <w:trHeight w:val="529"/>
        </w:trPr>
        <w:tc>
          <w:tcPr>
            <w:tcW w:w="1525"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p>
        </w:tc>
        <w:tc>
          <w:tcPr>
            <w:tcW w:w="3783"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是</w:t>
            </w:r>
            <w:r/>
          </w:p>
        </w:tc>
        <w:tc>
          <w:tcPr>
            <w:tcW w:w="3334"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t xml:space="preserve">￥：</w:t>
            </w:r>
            <w:r/>
            <w:r>
              <w:rPr>
                <w:rFonts w:hint="eastAsia" w:ascii="宋体" w:hAnsi="宋体" w:eastAsia="宋体" w:cs="宋体"/>
                <w:sz w:val="24"/>
                <w:szCs w:val="24"/>
                <w:lang w:val="en-US" w:eastAsia="zh-CN"/>
              </w:rPr>
              <w:t xml:space="preserve">360万元/1年</w:t>
            </w:r>
            <w:r/>
          </w:p>
        </w:tc>
      </w:tr>
    </w:tbl>
    <w:p>
      <w:pPr>
        <w:ind w:left="0" w:firstLine="439"/>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5.采购需求（简介）：</w:t>
      </w:r>
      <w:r>
        <w:rPr>
          <w:rFonts w:hint="eastAsia" w:ascii="宋体" w:hAnsi="宋体" w:eastAsia="宋体" w:cs="宋体"/>
          <w:sz w:val="24"/>
          <w:szCs w:val="24"/>
          <w:lang w:val="en-US" w:eastAsia="zh-CN"/>
        </w:rPr>
        <w:t xml:space="preserve">兴化市人民法院司法辅助事务服务项目采购</w:t>
      </w:r>
      <w:r>
        <w:rPr>
          <w:rFonts w:hint="eastAsia" w:ascii="宋体" w:hAnsi="宋体" w:eastAsia="宋体" w:cs="宋体"/>
          <w:sz w:val="24"/>
          <w:szCs w:val="24"/>
          <w:lang w:eastAsia="zh-CN"/>
        </w:rPr>
        <w:t xml:space="preserve">，具体内容详见第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章项目</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lang w:eastAsia="zh-CN"/>
        </w:rPr>
        <w:t xml:space="preserve">需求。</w:t>
      </w:r>
      <w:r/>
    </w:p>
    <w:p>
      <w:pPr>
        <w:ind w:left="0" w:firstLine="439"/>
        <w:jc w:val="both"/>
        <w:spacing w:after="0" w:line="360" w:lineRule="auto"/>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6.合同履行期限：</w:t>
      </w:r>
      <w:r>
        <w:rPr>
          <w:rFonts w:hint="eastAsia" w:ascii="宋体" w:hAnsi="宋体" w:eastAsia="宋体" w:cs="宋体"/>
          <w:sz w:val="24"/>
          <w:szCs w:val="24"/>
          <w:lang w:val="en-US" w:eastAsia="zh-CN"/>
        </w:rPr>
        <w:t xml:space="preserve">服务期二年。合同一年一签，考核合格续签第二年合同。</w:t>
      </w:r>
      <w:r/>
    </w:p>
    <w:p>
      <w:pPr>
        <w:ind w:left="0" w:firstLine="514"/>
        <w:jc w:val="both"/>
        <w:keepLines w:val="0"/>
        <w:keepNext w:val="0"/>
        <w:pageBreakBefore w:val="0"/>
        <w:spacing w:before="100" w:after="6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二、申请人的资格要求</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（一）通用资格要求</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1.满足《中华人民共和国政府采购法》第二十二条规定，并提供下列材料：</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法人或者其他组织的营业执照等证明文件，自然人的身份证明；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1.2</w:t>
      </w:r>
      <w:r>
        <w:rPr>
          <w:rFonts w:hint="eastAsia" w:ascii="宋体" w:hAnsi="宋体" w:eastAsia="宋体" w:cs="宋体"/>
          <w:bCs/>
          <w:color w:val="auto"/>
          <w:sz w:val="24"/>
          <w:szCs w:val="24"/>
          <w:lang w:val="en-US" w:eastAsia="zh-CN"/>
        </w:rPr>
        <w:t xml:space="preserve">.具有良好的商业信誉和健全的财务会计制度</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提供投标人提供2024或2025年度财务报告，至少包含资产负债表、利润表；或投标截止时间前六个月内银行出具的资信证明；成立不满一年无须提供</w:t>
      </w:r>
      <w:r>
        <w:rPr>
          <w:rFonts w:hint="eastAsia" w:ascii="宋体" w:hAnsi="宋体" w:eastAsia="宋体" w:cs="宋体"/>
          <w:bCs/>
          <w:color w:val="auto"/>
          <w:sz w:val="24"/>
          <w:szCs w:val="24"/>
          <w:lang w:eastAsia="zh-CN"/>
        </w:rPr>
        <w:t xml:space="preserve">；</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1.3</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依法缴纳税收和社会保障资金的相关材料：提供提交投标文件截止时间前</w:t>
      </w:r>
      <w:r>
        <w:rPr>
          <w:rFonts w:hint="eastAsia" w:ascii="宋体" w:hAnsi="宋体" w:eastAsia="宋体" w:cs="宋体"/>
          <w:bCs/>
          <w:color w:val="auto"/>
          <w:sz w:val="24"/>
          <w:szCs w:val="24"/>
          <w:lang w:val="en-US" w:eastAsia="zh-CN"/>
        </w:rPr>
        <w:t xml:space="preserve">一年</w:t>
      </w:r>
      <w:r>
        <w:rPr>
          <w:rFonts w:hint="eastAsia" w:ascii="宋体" w:hAnsi="宋体" w:eastAsia="宋体" w:cs="宋体"/>
          <w:bCs/>
          <w:color w:val="auto"/>
          <w:sz w:val="24"/>
          <w:szCs w:val="24"/>
          <w:lang w:eastAsia="zh-CN"/>
        </w:rPr>
        <w:t xml:space="preserve">内</w:t>
      </w:r>
      <w:r>
        <w:rPr>
          <w:rFonts w:hint="eastAsia" w:ascii="宋体" w:hAnsi="宋体" w:eastAsia="宋体" w:cs="宋体"/>
          <w:bCs/>
          <w:color w:val="auto"/>
          <w:sz w:val="24"/>
          <w:szCs w:val="24"/>
          <w:lang w:val="en-US" w:eastAsia="zh-CN"/>
        </w:rPr>
        <w:t xml:space="preserve">至少</w:t>
      </w:r>
      <w:r>
        <w:rPr>
          <w:rFonts w:hint="eastAsia" w:ascii="宋体" w:hAnsi="宋体" w:eastAsia="宋体" w:cs="宋体"/>
          <w:bCs/>
          <w:color w:val="auto"/>
          <w:sz w:val="24"/>
          <w:szCs w:val="24"/>
          <w:lang w:eastAsia="zh-CN"/>
        </w:rPr>
        <w:t xml:space="preserve">一个月依法缴纳税收及缴纳社会保障资金的证明材料。投标人依法享受缓缴、免缴税收、社会保障资金的提供证明材料；</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1.4</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具备履行合同所必需的设备和专业技术能力的书面声明；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1.5</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参加政府采购活动前3年内在经营活动中没有重大违法记录的书面声明。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39"/>
        <w:jc w:val="both"/>
        <w:spacing w:after="0" w:line="360" w:lineRule="auto"/>
        <w:rPr>
          <w:rFonts w:hint="default"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3.落实政府采购政策需满足的资格要求：</w:t>
      </w:r>
      <w:r>
        <w:rPr>
          <w:rFonts w:hint="eastAsia" w:ascii="宋体" w:hAnsi="宋体" w:eastAsia="宋体" w:cs="宋体"/>
          <w:bCs/>
          <w:color w:val="auto"/>
          <w:sz w:val="24"/>
          <w:szCs w:val="24"/>
          <w:lang w:val="en-US" w:eastAsia="zh-CN"/>
        </w:rPr>
        <w:t xml:space="preserve">无</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4.本项目不接受联合体投标。</w:t>
      </w:r>
      <w:r/>
    </w:p>
    <w:tbl>
      <w:tblPr>
        <w:tblStyle w:val="8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3524"/>
        <w:gridCol w:w="3610"/>
      </w:tblGrid>
      <w:tr>
        <w:trPr>
          <w:jc w:val="center"/>
          <w:trHeight w:val="395"/>
        </w:trPr>
        <w:tc>
          <w:tcPr>
            <w:tcW w:w="13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3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p>
        </w:tc>
        <w:tc>
          <w:tcPr>
            <w:tcW w:w="36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p>
        </w:tc>
      </w:tr>
      <w:tr>
        <w:trPr>
          <w:jc w:val="center"/>
          <w:trHeight w:val="364"/>
        </w:trPr>
        <w:tc>
          <w:tcPr>
            <w:tcW w:w="13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6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（二）本项目的特定资格要求</w:t>
      </w:r>
      <w:r/>
    </w:p>
    <w:tbl>
      <w:tblPr>
        <w:tblStyle w:val="8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109"/>
      </w:tblGrid>
      <w:tr>
        <w:trPr>
          <w:jc w:val="center"/>
        </w:trPr>
        <w:tc>
          <w:tcPr>
            <w:tcW w:w="126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710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特定资格要求</w:t>
            </w:r>
            <w:r/>
          </w:p>
        </w:tc>
      </w:tr>
      <w:tr>
        <w:trPr>
          <w:jc w:val="center"/>
        </w:trPr>
        <w:tc>
          <w:tcPr>
            <w:tcW w:w="126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710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无</w:t>
            </w:r>
            <w:r/>
          </w:p>
        </w:tc>
      </w:tr>
    </w:tbl>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三、获取招标文件</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1.时间：自招标文件公告发布之日起5个工作日。</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2.地点：“江苏政府采购网”</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3.方式：在“江苏政府采购网”自行免费下载招标文件(投标人必须在苏采云系统中获取采购文件，方能参与政府采购项目)</w:t>
      </w:r>
      <w:r/>
    </w:p>
    <w:p>
      <w:pPr>
        <w:ind w:left="0" w:firstLine="439"/>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4.招标文件售价：免费</w:t>
      </w:r>
      <w:r/>
    </w:p>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四、提交投标文件截止时间、开标时间和地点</w:t>
      </w:r>
      <w:r/>
    </w:p>
    <w:p>
      <w:pPr>
        <w:ind w:left="0" w:firstLine="439"/>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w:t>
      </w:r>
      <w:r>
        <w:rPr>
          <w:rFonts w:hint="eastAsia" w:ascii="宋体" w:hAnsi="宋体" w:eastAsia="宋体" w:cs="宋体"/>
          <w:sz w:val="24"/>
          <w:szCs w:val="24"/>
          <w:u w:val="none"/>
          <w:lang w:val="en-US" w:eastAsia="zh-CN"/>
        </w:rPr>
        <w:t xml:space="preserve">2026年06月25日9点30分（北京时间）</w:t>
      </w:r>
      <w:r>
        <w:rPr>
          <w:rFonts w:hint="eastAsia" w:ascii="宋体" w:hAnsi="宋体" w:eastAsia="宋体" w:cs="宋体"/>
          <w:color w:val="auto"/>
          <w:sz w:val="24"/>
          <w:szCs w:val="24"/>
          <w:lang w:eastAsia="zh-CN"/>
        </w:rPr>
        <w:t xml:space="preserve">。</w:t>
      </w:r>
      <w:r/>
    </w:p>
    <w:p>
      <w:pPr>
        <w:ind w:left="0" w:firstLine="439"/>
        <w:jc w:val="both"/>
        <w:spacing w:after="0" w:line="360" w:lineRule="auto"/>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.开标地点：“苏采云”政府采购交易系统</w:t>
      </w:r>
      <w:r>
        <w:rPr>
          <w:rFonts w:hint="eastAsia" w:ascii="宋体" w:hAnsi="宋体" w:eastAsia="宋体" w:cs="宋体"/>
          <w:sz w:val="24"/>
          <w:szCs w:val="24"/>
          <w:lang w:val="en-US" w:eastAsia="zh-CN"/>
        </w:rPr>
        <w:t xml:space="preserve">。</w:t>
      </w:r>
      <w:r/>
    </w:p>
    <w:p>
      <w:pPr>
        <w:ind w:left="0" w:firstLine="441"/>
        <w:jc w:val="both"/>
        <w:keepLines w:val="0"/>
        <w:keepNext w:val="0"/>
        <w:pageBreakBefore w:val="0"/>
        <w:spacing w:before="40" w:after="4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五、公告期限</w:t>
      </w:r>
      <w:r/>
    </w:p>
    <w:p>
      <w:pPr>
        <w:ind w:left="0" w:firstLine="439"/>
        <w:jc w:val="both"/>
        <w:spacing w:after="0" w:line="360" w:lineRule="auto"/>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招标公告及招标文件公告期限为自本公告发布之日起5个工作日。</w:t>
      </w:r>
      <w:r/>
    </w:p>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bookmarkStart w:id="10" w:name="_Toc38985268"/>
      <w:r/>
      <w:bookmarkStart w:id="11" w:name="_Toc35393626"/>
      <w:r/>
      <w:bookmarkStart w:id="12" w:name="_Toc35393795"/>
      <w:r>
        <w:rPr>
          <w:rFonts w:hint="eastAsia" w:ascii="宋体" w:hAnsi="宋体" w:eastAsia="宋体" w:cs="宋体"/>
          <w:b/>
          <w:bCs/>
          <w:sz w:val="28"/>
          <w:szCs w:val="28"/>
          <w:lang w:val="en-US" w:eastAsia="zh-CN"/>
        </w:rPr>
        <w:t xml:space="preserve">六、其他补充事宜</w:t>
      </w:r>
      <w:bookmarkEnd w:id="10"/>
      <w:r/>
      <w:bookmarkEnd w:id="11"/>
      <w:r/>
      <w:bookmarkEnd w:id="12"/>
      <w:r/>
      <w:r/>
    </w:p>
    <w:p>
      <w:pPr>
        <w:ind w:firstLine="560"/>
        <w:jc w:val="both"/>
        <w:spacing w:after="0" w:line="360" w:lineRule="auto"/>
        <w:rPr>
          <w:rFonts w:hint="eastAsia" w:ascii="宋体" w:hAnsi="宋体" w:eastAsia="宋体" w:cs="宋体"/>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lang w:val="en-US" w:eastAsia="zh-CN"/>
        </w:rPr>
        <w:t xml:space="preserve">无</w:t>
      </w:r>
      <w:r/>
    </w:p>
    <w:p>
      <w:pPr>
        <w:ind w:left="0" w:firstLine="441"/>
        <w:jc w:val="both"/>
        <w:keepLines w:val="0"/>
        <w:keepNext w:val="0"/>
        <w:pageBreakBefore w:val="0"/>
        <w:spacing w:before="40" w:after="40" w:line="360" w:lineRule="auto"/>
        <w:widowControl/>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七、本次招标联系方式</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14:textFill>
            <w14:solidFill>
              <w14:schemeClr w14:val="tx1"/>
            </w14:solidFill>
          </w14:textFill>
        </w:rPr>
        <w:t xml:space="preserve">1.采购人信息</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名称：</w:t>
      </w:r>
      <w:r>
        <w:rPr>
          <w:rFonts w:hint="eastAsia" w:ascii="宋体" w:hAnsi="宋体" w:eastAsia="宋体" w:cs="宋体"/>
          <w:color w:val="000000" w:themeColor="text1"/>
          <w:sz w:val="24"/>
          <w:u w:val="none"/>
          <w:lang w:val="en-US" w:eastAsia="zh-CN"/>
          <w14:textFill>
            <w14:solidFill>
              <w14:schemeClr w14:val="tx1"/>
            </w14:solidFill>
          </w14:textFill>
        </w:rPr>
        <w:t xml:space="preserve">兴化市人民法院</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地址：兴化市南亭路1号</w:t>
      </w:r>
      <w:r/>
    </w:p>
    <w:p>
      <w:pPr>
        <w:ind w:left="0" w:firstLine="440"/>
        <w:jc w:val="both"/>
        <w:spacing w:after="0" w:line="360" w:lineRule="auto"/>
        <w:rPr>
          <w:rFonts w:hint="default"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人</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陈先生</w:t>
      </w:r>
      <w:r/>
    </w:p>
    <w:p>
      <w:pPr>
        <w:ind w:left="0" w:firstLine="440"/>
        <w:jc w:val="both"/>
        <w:spacing w:after="0" w:line="360" w:lineRule="auto"/>
        <w:rPr>
          <w:rFonts w:hint="default"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方式</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15952677968</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val="en-US" w:eastAsia="zh-CN"/>
          <w14:textFill>
            <w14:solidFill>
              <w14:schemeClr w14:val="tx1"/>
            </w14:solidFill>
          </w14:textFill>
        </w:rPr>
        <w:t xml:space="preserve">2.</w:t>
      </w:r>
      <w:r>
        <w:rPr>
          <w:rFonts w:hint="eastAsia" w:ascii="宋体" w:hAnsi="宋体" w:eastAsia="宋体" w:cs="宋体"/>
          <w:color w:val="000000" w:themeColor="text1"/>
          <w:sz w:val="24"/>
          <w:u w:val="none"/>
          <w:lang w:eastAsia="zh-CN"/>
          <w14:textFill>
            <w14:solidFill>
              <w14:schemeClr w14:val="tx1"/>
            </w14:solidFill>
          </w14:textFill>
        </w:rPr>
        <w:t xml:space="preserve">采购代理机构信息</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名称：泰州天诚工程项目管理有限公司</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地址：兴化天宝领秀城三区1#附属南楼3楼</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人</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程先生</w:t>
      </w:r>
      <w:r>
        <w:rPr>
          <w:rFonts w:hint="eastAsia" w:ascii="宋体" w:hAnsi="宋体" w:eastAsia="宋体" w:cs="宋体"/>
          <w:color w:val="000000" w:themeColor="text1"/>
          <w:sz w:val="24"/>
          <w:u w:val="none"/>
          <w:lang w:eastAsia="zh-CN"/>
          <w14:textFill>
            <w14:solidFill>
              <w14:schemeClr w14:val="tx1"/>
            </w14:solidFill>
          </w14:textFill>
        </w:rPr>
        <w:t xml:space="preserve">   </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方式</w:t>
      </w:r>
      <w:r>
        <w:rPr>
          <w:rFonts w:hint="eastAsia" w:ascii="宋体" w:hAnsi="宋体" w:eastAsia="宋体" w:cs="宋体"/>
          <w:color w:val="000000" w:themeColor="text1"/>
          <w:sz w:val="24"/>
          <w:u w:val="none"/>
          <w:lang w:eastAsia="zh-CN"/>
          <w14:textFill>
            <w14:solidFill>
              <w14:schemeClr w14:val="tx1"/>
            </w14:solidFill>
          </w14:textFill>
        </w:rPr>
        <w:t xml:space="preserve">：15189991868</w:t>
      </w:r>
      <w:r/>
    </w:p>
    <w:p>
      <w:pPr>
        <w:numPr>
          <w:ilvl w:val="0"/>
          <w:numId w:val="2"/>
        </w:num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其他</w:t>
      </w:r>
      <w:r/>
    </w:p>
    <w:p>
      <w:pPr>
        <w:pStyle w:val="895"/>
        <w:numPr>
          <w:ilvl w:val="0"/>
          <w:numId w:val="0"/>
        </w:numPr>
        <w:ind w:firstLine="482"/>
        <w:keepLines w:val="0"/>
        <w:keepNext w:val="0"/>
        <w:pageBreakBefore w:val="0"/>
        <w:spacing w:line="380" w:lineRule="exact"/>
        <w:widowControl w:val="off"/>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w:t>
      </w: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办理符合以上要求的</w:t>
      </w: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CA数字证书和电子签章。具体办理指南和操作手册</w:t>
      </w: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详见链接：http://www.ccgp-jiangsu.gov.cn/jiangsu/zlxz/ee/ee3a4bc5a3454aa2b0d9312230633ce9.html。</w:t>
      </w:r>
      <w:r/>
    </w:p>
    <w:p>
      <w:pPr>
        <w:pStyle w:val="895"/>
        <w:numPr>
          <w:ilvl w:val="0"/>
          <w:numId w:val="0"/>
        </w:numPr>
        <w:ind w:firstLine="480"/>
        <w:keepLines w:val="0"/>
        <w:keepNext w:val="0"/>
        <w:pageBreakBefore w:val="0"/>
        <w:spacing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2.有关本次招标的事项若存在变动或修改，敬请及时关注江苏省政府采购中心在“江苏政府采购网”发布的更正公告。</w:t>
      </w:r>
      <w:r/>
    </w:p>
    <w:p>
      <w:pPr>
        <w:pStyle w:val="895"/>
        <w:numPr>
          <w:ilvl w:val="0"/>
          <w:numId w:val="0"/>
        </w:numPr>
        <w:ind w:firstLine="480"/>
        <w:keepLines w:val="0"/>
        <w:keepNext w:val="0"/>
        <w:pageBreakBefore w:val="0"/>
        <w:spacing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3.如潜在供应商未按上述要求操作，将自行承担所产生的风险。</w:t>
      </w:r>
      <w:r/>
    </w:p>
    <w:p>
      <w:pPr>
        <w:numPr>
          <w:ilvl w:val="0"/>
          <w:numId w:val="0"/>
        </w:numPr>
        <w:ind w:left="0" w:firstLine="480"/>
        <w:keepLines w:val="0"/>
        <w:keepNext w:val="0"/>
        <w:pageBreakBefore w:val="0"/>
        <w:spacing w:after="120"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.本次招标不收取投标保证金。</w:t>
      </w:r>
      <w:r/>
    </w:p>
    <w:p>
      <w:pPr>
        <w:pStyle w:val="854"/>
        <w:jc w:val="center"/>
        <w:keepLines/>
        <w:keepNext/>
        <w:pageBreakBefore/>
        <w:spacing w:before="400" w:after="160" w:line="400" w:lineRule="exact"/>
        <w:widowControl/>
        <w:rPr>
          <w:rFonts w:hint="eastAsia" w:ascii="宋体" w:hAnsi="宋体" w:eastAsia="宋体" w:cs="宋体"/>
          <w:lang w:eastAsia="zh-CN"/>
        </w:rPr>
      </w:pPr>
      <w:r/>
      <w:bookmarkStart w:id="13" w:name="_Toc22987"/>
      <w:r/>
      <w:bookmarkStart w:id="14" w:name="_Toc11463"/>
      <w:r>
        <w:rPr>
          <w:rFonts w:hint="eastAsia" w:ascii="宋体" w:hAnsi="宋体" w:eastAsia="宋体" w:cs="宋体"/>
          <w:lang w:eastAsia="zh-CN"/>
        </w:rPr>
        <w:t xml:space="preserve">第二章  投标人须知</w:t>
      </w:r>
      <w:bookmarkEnd w:id="13"/>
      <w:r/>
      <w:bookmarkEnd w:id="14"/>
      <w:r/>
      <w:r/>
    </w:p>
    <w:p>
      <w:pPr>
        <w:ind w:right="0"/>
        <w:jc w:val="both"/>
        <w:keepLines w:val="0"/>
        <w:keepNext w:val="0"/>
        <w:pageBreakBefore w:val="0"/>
        <w:spacing w:before="100" w:after="100" w:line="240" w:lineRule="auto"/>
        <w:widowControl w:val="off"/>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一、总则</w:t>
      </w:r>
      <w:r/>
    </w:p>
    <w:p>
      <w:pPr>
        <w:ind w:left="0" w:right="0" w:firstLine="441"/>
        <w:jc w:val="left"/>
        <w:keepLines w:val="0"/>
        <w:keepNext w:val="0"/>
        <w:pageBreakBefore w:val="0"/>
        <w:spacing w:before="40" w:after="40" w:line="400" w:lineRule="exact"/>
        <w:widowControl w:val="off"/>
        <w:rPr>
          <w:rFonts w:hint="eastAsia" w:ascii="宋体" w:hAnsi="宋体" w:eastAsia="宋体" w:cs="宋体"/>
          <w:b/>
          <w:bCs/>
          <w:color w:val="000000"/>
          <w:sz w:val="24"/>
          <w:szCs w:val="24"/>
          <w:lang w:eastAsia="zh-CN"/>
        </w:rPr>
      </w:pPr>
      <w:r/>
      <w:bookmarkStart w:id="15" w:name="_Toc458694821"/>
      <w:r/>
      <w:bookmarkStart w:id="16" w:name="_Toc16938520"/>
      <w:r/>
      <w:bookmarkStart w:id="17" w:name="_Toc513029204"/>
      <w:r/>
      <w:bookmarkStart w:id="18" w:name="_Toc20823276"/>
      <w:r>
        <w:rPr>
          <w:rFonts w:hint="eastAsia" w:ascii="宋体" w:hAnsi="宋体" w:eastAsia="宋体" w:cs="宋体"/>
          <w:b/>
          <w:bCs/>
          <w:color w:val="000000"/>
          <w:sz w:val="24"/>
          <w:szCs w:val="24"/>
        </w:rPr>
        <w:t xml:space="preserve">1</w:t>
      </w:r>
      <w:bookmarkEnd w:id="15"/>
      <w:r>
        <w:rPr>
          <w:rFonts w:hint="eastAsia" w:ascii="宋体" w:hAnsi="宋体" w:eastAsia="宋体" w:cs="宋体"/>
          <w:b/>
          <w:bCs/>
          <w:color w:val="000000"/>
          <w:sz w:val="24"/>
          <w:szCs w:val="24"/>
        </w:rPr>
        <w:t xml:space="preserve">、招标方式</w:t>
      </w:r>
      <w:bookmarkEnd w:id="16"/>
      <w:r/>
      <w:bookmarkEnd w:id="17"/>
      <w:r/>
      <w:bookmarkEnd w:id="18"/>
      <w:r/>
      <w:r/>
    </w:p>
    <w:p>
      <w:p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rPr>
        <w:t xml:space="preserve">本次招</w:t>
      </w:r>
      <w:r>
        <w:rPr>
          <w:rFonts w:hint="eastAsia" w:ascii="宋体" w:hAnsi="宋体" w:eastAsia="宋体" w:cs="宋体"/>
          <w:color w:val="000000"/>
          <w:sz w:val="24"/>
          <w:szCs w:val="24"/>
        </w:rPr>
        <w:t xml:space="preserve">标采取公开招标方式，本招标文件仅适用于招标公告中所述项目。</w:t>
      </w:r>
      <w:r/>
    </w:p>
    <w:p>
      <w:pPr>
        <w:ind w:left="0" w:right="0" w:firstLine="441"/>
        <w:jc w:val="left"/>
        <w:keepLines w:val="0"/>
        <w:keepNext w:val="0"/>
        <w:pageBreakBefore w:val="0"/>
        <w:spacing w:before="40" w:after="40" w:line="400" w:lineRule="exact"/>
        <w:widowControl w:val="off"/>
        <w:rPr>
          <w:rFonts w:hint="eastAsia" w:ascii="宋体" w:hAnsi="宋体" w:eastAsia="宋体" w:cs="宋体"/>
          <w:b/>
          <w:bCs/>
          <w:color w:val="000000"/>
          <w:sz w:val="24"/>
          <w:szCs w:val="24"/>
          <w:lang w:eastAsia="zh-CN"/>
        </w:rPr>
      </w:pPr>
      <w:r/>
      <w:bookmarkStart w:id="19" w:name="_Toc16938521"/>
      <w:r/>
      <w:bookmarkStart w:id="20" w:name="_Toc513029205"/>
      <w:r/>
      <w:bookmarkStart w:id="21" w:name="_Toc20823277"/>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合格的投标人</w:t>
      </w:r>
      <w:bookmarkEnd w:id="19"/>
      <w:r/>
      <w:bookmarkEnd w:id="20"/>
      <w:r/>
      <w:bookmarkEnd w:id="21"/>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2.1满足招标公告中供应商的资格要求的规定。</w:t>
      </w:r>
      <w:r/>
    </w:p>
    <w:p>
      <w:p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2.2 满足本文件实质性要求的规定。</w:t>
      </w:r>
      <w:r/>
    </w:p>
    <w:p>
      <w:p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4"/>
          <w:szCs w:val="24"/>
          <w:lang w:val="en-US" w:eastAsia="zh-CN"/>
        </w:rPr>
      </w:pPr>
      <w:r/>
      <w:bookmarkStart w:id="22" w:name="_Toc513029206"/>
      <w:r/>
      <w:bookmarkStart w:id="23" w:name="_Toc20823278"/>
      <w:r/>
      <w:bookmarkStart w:id="24" w:name="_Toc16938522"/>
      <w:r>
        <w:rPr>
          <w:rFonts w:hint="eastAsia" w:ascii="宋体" w:hAnsi="宋体" w:eastAsia="宋体" w:cs="宋体"/>
          <w:b/>
          <w:bCs/>
          <w:color w:val="000000"/>
          <w:sz w:val="24"/>
          <w:szCs w:val="24"/>
          <w:lang w:val="en-US" w:eastAsia="zh-CN"/>
        </w:rPr>
        <w:t xml:space="preserve">3、适用法律</w:t>
      </w:r>
      <w:bookmarkEnd w:id="22"/>
      <w:r/>
      <w:bookmarkEnd w:id="23"/>
      <w:r/>
      <w:bookmarkEnd w:id="24"/>
      <w:r>
        <w:rPr>
          <w:rFonts w:hint="eastAsia" w:ascii="宋体" w:hAnsi="宋体" w:eastAsia="宋体" w:cs="宋体"/>
          <w:b/>
          <w:bCs/>
          <w:color w:val="000000"/>
          <w:sz w:val="24"/>
          <w:szCs w:val="24"/>
          <w:lang w:val="en-US" w:eastAsia="zh-CN"/>
        </w:rPr>
        <w:t xml:space="preserve">和标准</w:t>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eastAsia="zh-CN"/>
        </w:rPr>
        <w:t xml:space="preserve">本次招标及由此产生的合同受中华人民共和国有关的法律法规制约和保护。</w:t>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 在本项目政府采购活动过程中，如果所执行的标准有更新的，按照最新标准执行。</w:t>
      </w:r>
      <w:r/>
    </w:p>
    <w:p>
      <w:pPr>
        <w:numPr>
          <w:ilvl w:val="0"/>
          <w:numId w:val="3"/>
        </w:num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4"/>
          <w:szCs w:val="24"/>
          <w:lang w:val="en-US" w:eastAsia="zh-CN"/>
        </w:rPr>
      </w:pPr>
      <w:r/>
      <w:bookmarkStart w:id="25" w:name="_Toc20823279"/>
      <w:r/>
      <w:bookmarkStart w:id="26" w:name="_Toc462564067"/>
      <w:r/>
      <w:bookmarkStart w:id="27" w:name="_Toc513029207"/>
      <w:r/>
      <w:bookmarkStart w:id="28" w:name="_Toc16938523"/>
      <w:r>
        <w:rPr>
          <w:rFonts w:hint="eastAsia" w:ascii="宋体" w:hAnsi="宋体" w:eastAsia="宋体" w:cs="宋体"/>
          <w:b/>
          <w:bCs/>
          <w:color w:val="000000"/>
          <w:sz w:val="24"/>
          <w:szCs w:val="24"/>
          <w:lang w:val="en-US" w:eastAsia="zh-CN"/>
        </w:rPr>
        <w:t xml:space="preserve">投标费用</w:t>
      </w:r>
      <w:bookmarkEnd w:id="25"/>
      <w:r/>
      <w:bookmarkEnd w:id="26"/>
      <w:r/>
      <w:bookmarkEnd w:id="27"/>
      <w:r/>
      <w:bookmarkEnd w:id="28"/>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投标人应自行承担所有与参加投标有关的费用，无论投标过程中的做法和结果如何，采购人和采购代理机构对上述费用不承担任何责任和义务。</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4.2采购代理机构代理费用的收取标准和方式：（1）</w:t>
      </w:r>
      <w:r>
        <w:rPr>
          <w:rFonts w:hint="eastAsia" w:ascii="宋体" w:hAnsi="宋体" w:eastAsia="宋体" w:cs="宋体"/>
          <w:b/>
          <w:bCs/>
          <w:color w:val="000000"/>
          <w:sz w:val="24"/>
          <w:szCs w:val="24"/>
          <w:lang w:val="en-US" w:eastAsia="zh-CN"/>
        </w:rPr>
        <w:t xml:space="preserve">本项目财政一体化系统预算计划已于5月初批复，计划申报时已含政府采购代理服务费</w:t>
      </w:r>
      <w:r>
        <w:rPr>
          <w:rFonts w:hint="eastAsia" w:ascii="宋体" w:hAnsi="宋体" w:eastAsia="宋体" w:cs="宋体"/>
          <w:color w:val="000000"/>
          <w:sz w:val="24"/>
          <w:szCs w:val="24"/>
          <w:lang w:val="en-US" w:eastAsia="zh-CN"/>
        </w:rPr>
        <w:t xml:space="preserve">；（2）代理服务费由中标人（成交供应商）支付，费用包含在报价中，收费依据为《江苏省政府采购代理服务收费指导意见》的通知”（苏政采协〔2024〕20号）收费标准</w:t>
      </w:r>
      <w:r>
        <w:rPr>
          <w:rFonts w:hint="eastAsia" w:ascii="宋体" w:hAnsi="宋体" w:eastAsia="宋体" w:cs="宋体"/>
          <w:color w:val="000000"/>
          <w:sz w:val="24"/>
          <w:szCs w:val="24"/>
        </w:rPr>
        <w:t xml:space="preserve">。</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本项目招标代理服务费参照“《江苏省政府采购代理服务收费指导意见》的通知（苏政采【2024】20号）”文件收费标准收取（差额累进），由中标供应商在领取中标（成交）通知书时向本公司缴纳。</w:t>
      </w:r>
      <w:r/>
    </w:p>
    <w:tbl>
      <w:tblPr>
        <w:tblStyle w:val="864"/>
        <w:tblW w:w="47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69"/>
        <w:gridCol w:w="2933"/>
      </w:tblGrid>
      <w:tr>
        <w:trPr>
          <w:jc w:val="center"/>
          <w:trHeight w:val="301"/>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中标或者成交金额</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费率</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最低收费金额(每个委托项目)</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5000</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 万元以下(含 50 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50-400万元(含400万元)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400-1000万元(含1000万元)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1000-5000万元(含5000万元)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0.8%</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5000-1亿元(含1亿元)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0.25%</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1-10 亿元(含 10 亿元)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0.05%</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10-50 亿元(含 50 亿元)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0.01%</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 亿元以上</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0.005%</w:t>
            </w:r>
            <w:r/>
          </w:p>
        </w:tc>
      </w:tr>
    </w:tbl>
    <w:p>
      <w:pPr>
        <w:pStyle w:val="916"/>
        <w:ind w:left="0" w:firstLine="480"/>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说明：</w:t>
      </w:r>
      <w:r/>
    </w:p>
    <w:p>
      <w:pPr>
        <w:pStyle w:val="916"/>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.按上表计算的收费为代理服务全过程的收费金额。</w:t>
      </w:r>
      <w:r/>
    </w:p>
    <w:p>
      <w:pPr>
        <w:pStyle w:val="916"/>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.代理服务费按差额定率累进法计算。</w:t>
      </w:r>
      <w:r/>
    </w:p>
    <w:p>
      <w:pPr>
        <w:pStyle w:val="916"/>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.代理服务费基准金额（按差额定率累进法计算的）=中标总金额（按差额定率累进法计算的） * 费率（%）。</w:t>
      </w:r>
      <w:r/>
    </w:p>
    <w:p>
      <w:pPr>
        <w:pStyle w:val="916"/>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.代理服务费应收取金额=代理服务费基准金额（按差额定率累进法计算的）的合计数。</w:t>
      </w:r>
      <w:r/>
    </w:p>
    <w:p>
      <w:pPr>
        <w:pStyle w:val="916"/>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.计算出的代理服务费应收取金额如低于5千元，按5千元收取。 </w:t>
      </w:r>
      <w:r/>
    </w:p>
    <w:p>
      <w:pPr>
        <w:numPr>
          <w:ilvl w:val="0"/>
          <w:numId w:val="3"/>
        </w:num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招标文件的约束力</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投标人一旦参加本项目采购活动，即被认为接受了本招标文件的规定和约束。</w:t>
      </w:r>
      <w:r/>
    </w:p>
    <w:p>
      <w:pPr>
        <w:numPr>
          <w:ilvl w:val="0"/>
          <w:numId w:val="5"/>
        </w:numPr>
        <w:ind w:right="0"/>
        <w:jc w:val="both"/>
        <w:keepLines w:val="0"/>
        <w:keepNext w:val="0"/>
        <w:pageBreakBefore w:val="0"/>
        <w:spacing w:before="100" w:after="100" w:line="240" w:lineRule="auto"/>
        <w:widowControl w:val="off"/>
        <w:rPr>
          <w:rFonts w:hint="eastAsia" w:ascii="宋体" w:hAnsi="宋体" w:eastAsia="宋体" w:cs="宋体"/>
          <w:b/>
          <w:bCs/>
          <w:color w:val="000000"/>
          <w:sz w:val="30"/>
          <w:szCs w:val="30"/>
          <w:lang w:val="en-US" w:eastAsia="zh-CN"/>
        </w:rPr>
      </w:pPr>
      <w:r>
        <w:rPr>
          <w:rFonts w:hint="eastAsia" w:ascii="宋体" w:hAnsi="宋体" w:eastAsia="宋体" w:cs="宋体"/>
          <w:b/>
          <w:bCs/>
          <w:color w:val="000000"/>
          <w:sz w:val="30"/>
          <w:szCs w:val="30"/>
        </w:rPr>
        <w:t xml:space="preserve">招标</w:t>
      </w:r>
      <w:r>
        <w:rPr>
          <w:rFonts w:hint="eastAsia" w:ascii="宋体" w:hAnsi="宋体" w:eastAsia="宋体" w:cs="宋体"/>
          <w:b/>
          <w:bCs/>
          <w:color w:val="000000"/>
          <w:sz w:val="30"/>
          <w:szCs w:val="30"/>
          <w:lang w:val="en-US" w:eastAsia="zh-CN"/>
        </w:rPr>
        <w:t xml:space="preserve">文件</w:t>
      </w:r>
      <w:r/>
    </w:p>
    <w:p>
      <w:pPr>
        <w:ind w:right="0" w:firstLine="482"/>
        <w:keepLines w:val="0"/>
        <w:keepNext w:val="0"/>
        <w:pageBreakBefore w:val="0"/>
        <w:spacing w:after="0"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招标文件构成</w:t>
      </w:r>
      <w:r/>
    </w:p>
    <w:p>
      <w:pPr>
        <w:ind w:right="0" w:firstLine="48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.1招标文件包括以下内容：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（1）投标邀请</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（2）投标人须知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（3）合同文本</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（4）采购需求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（5）评标方法与评标标准</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（6）投标文件格式   </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请仔细检查招标文件是否齐全，如有缺漏请立即与泰州天诚联系解决。</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6.2 </w:t>
      </w:r>
      <w:r>
        <w:rPr>
          <w:rFonts w:hint="eastAsia" w:ascii="宋体" w:hAnsi="宋体" w:eastAsia="宋体" w:cs="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29" w:name="_Toc20823284"/>
      <w:r/>
      <w:bookmarkStart w:id="30" w:name="_Toc16938528"/>
      <w:r/>
      <w:bookmarkStart w:id="31" w:name="_Toc462564071"/>
      <w:r/>
      <w:bookmarkStart w:id="32" w:name="_Toc513029212"/>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、招标文件的修改</w:t>
      </w:r>
      <w:bookmarkEnd w:id="29"/>
      <w:r/>
      <w:bookmarkEnd w:id="30"/>
      <w:r/>
      <w:bookmarkEnd w:id="31"/>
      <w:r/>
      <w:bookmarkEnd w:id="32"/>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在投标截止时间前，</w:t>
      </w:r>
      <w:r>
        <w:rPr>
          <w:rFonts w:hint="eastAsia" w:ascii="宋体" w:hAnsi="宋体" w:eastAsia="宋体" w:cs="宋体"/>
          <w:color w:val="000000"/>
          <w:sz w:val="24"/>
          <w:szCs w:val="24"/>
          <w:lang w:eastAsia="zh-CN"/>
        </w:rPr>
        <w:t xml:space="preserve">泰州天诚</w:t>
      </w:r>
      <w:r>
        <w:rPr>
          <w:rFonts w:hint="eastAsia" w:ascii="宋体" w:hAnsi="宋体" w:eastAsia="宋体" w:cs="宋体"/>
          <w:color w:val="000000"/>
          <w:sz w:val="24"/>
          <w:szCs w:val="24"/>
        </w:rPr>
        <w:t xml:space="preserve">可以对招标文件进行修改。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w:t>
      </w:r>
      <w:r>
        <w:rPr>
          <w:rFonts w:hint="eastAsia" w:ascii="宋体" w:hAnsi="宋体" w:eastAsia="宋体" w:cs="宋体"/>
          <w:color w:val="000000"/>
          <w:sz w:val="24"/>
          <w:szCs w:val="24"/>
          <w:lang w:eastAsia="zh-CN"/>
        </w:rPr>
        <w:t xml:space="preserve">泰州天诚</w:t>
      </w:r>
      <w:r>
        <w:rPr>
          <w:rFonts w:hint="eastAsia" w:ascii="宋体" w:hAnsi="宋体" w:eastAsia="宋体" w:cs="宋体"/>
          <w:color w:val="000000"/>
          <w:sz w:val="24"/>
          <w:szCs w:val="24"/>
        </w:rPr>
        <w:t xml:space="preserve">有权按照法定的要求推迟投标截止日期和开标日期。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招标文件的修改将在江苏政府采购网公布，补充文件将作为招标文件的组成部分，并对投标人具有约束力。</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rPr>
      </w:pPr>
      <w:r/>
      <w:bookmarkStart w:id="33" w:name="_Toc120614216"/>
      <w:r/>
      <w:bookmarkStart w:id="34" w:name="_Toc20823285"/>
      <w:r/>
      <w:bookmarkStart w:id="35" w:name="_Toc513029213"/>
      <w:r/>
      <w:bookmarkStart w:id="36" w:name="_Toc462564072"/>
      <w:r/>
      <w:bookmarkStart w:id="37" w:name="_Toc16938529"/>
      <w:r>
        <w:rPr>
          <w:rFonts w:hint="eastAsia" w:ascii="宋体" w:hAnsi="宋体" w:eastAsia="宋体" w:cs="宋体"/>
          <w:b/>
          <w:bCs/>
          <w:color w:val="000000"/>
          <w:sz w:val="28"/>
          <w:szCs w:val="28"/>
        </w:rPr>
        <w:t xml:space="preserve">三、投标文件的编制</w:t>
      </w:r>
      <w:bookmarkEnd w:id="33"/>
      <w:r/>
      <w:bookmarkEnd w:id="34"/>
      <w:r/>
      <w:bookmarkEnd w:id="35"/>
      <w:r/>
      <w:bookmarkEnd w:id="36"/>
      <w:r/>
      <w:bookmarkEnd w:id="37"/>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38" w:name="_Toc513029214"/>
      <w:r/>
      <w:bookmarkStart w:id="39" w:name="_Toc20823286"/>
      <w:r/>
      <w:bookmarkStart w:id="40" w:name="_Toc462564073"/>
      <w:r/>
      <w:bookmarkStart w:id="41" w:name="_Toc16938530"/>
      <w:r>
        <w:rPr>
          <w:rFonts w:hint="eastAsia" w:ascii="宋体" w:hAnsi="宋体" w:eastAsia="宋体" w:cs="宋体"/>
          <w:b/>
          <w:bCs/>
          <w:color w:val="000000"/>
          <w:sz w:val="24"/>
          <w:szCs w:val="24"/>
        </w:rPr>
        <w:t xml:space="preserve">8、投标文件的语言及度量衡单位</w:t>
      </w:r>
      <w:bookmarkEnd w:id="38"/>
      <w:r/>
      <w:bookmarkEnd w:id="39"/>
      <w:r/>
      <w:bookmarkEnd w:id="40"/>
      <w:r/>
      <w:bookmarkEnd w:id="41"/>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投标人提交的投标文件以及投标人与</w:t>
      </w:r>
      <w:r>
        <w:rPr>
          <w:rFonts w:hint="eastAsia" w:ascii="宋体" w:hAnsi="宋体" w:eastAsia="宋体" w:cs="宋体"/>
          <w:color w:val="000000"/>
          <w:sz w:val="24"/>
          <w:szCs w:val="24"/>
          <w:lang w:eastAsia="zh-CN"/>
        </w:rPr>
        <w:t xml:space="preserve">泰州天诚</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除技术性能另有规定外，投标文件所使用的度量衡单位，均须采用国家法定计量单位。</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42" w:name="_Toc20823287"/>
      <w:r/>
      <w:bookmarkStart w:id="43" w:name="_Toc16938531"/>
      <w:r/>
      <w:bookmarkStart w:id="44" w:name="_Toc513029215"/>
      <w:r/>
      <w:bookmarkStart w:id="45" w:name="_Toc462564074"/>
      <w:r>
        <w:rPr>
          <w:rFonts w:hint="eastAsia" w:ascii="宋体" w:hAnsi="宋体" w:eastAsia="宋体" w:cs="宋体"/>
          <w:b/>
          <w:bCs/>
          <w:color w:val="000000"/>
          <w:sz w:val="24"/>
          <w:szCs w:val="24"/>
        </w:rPr>
        <w:t xml:space="preserve">9、投标文件构成</w:t>
      </w:r>
      <w:bookmarkEnd w:id="42"/>
      <w:r/>
      <w:bookmarkEnd w:id="43"/>
      <w:r/>
      <w:bookmarkEnd w:id="44"/>
      <w:r/>
      <w:bookmarkEnd w:id="45"/>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46" w:name="_Hlt26670360"/>
      <w:r/>
      <w:bookmarkEnd w:id="46"/>
      <w:r/>
      <w:bookmarkStart w:id="47" w:name="_Hlt26668975"/>
      <w:r/>
      <w:bookmarkEnd w:id="47"/>
      <w:r/>
      <w:bookmarkStart w:id="48" w:name="_Hlt26954838"/>
      <w:r/>
      <w:bookmarkEnd w:id="48"/>
      <w:r/>
      <w:bookmarkStart w:id="49" w:name="_Toc14577357"/>
      <w:r/>
      <w:bookmarkStart w:id="50" w:name="_Toc513029219"/>
      <w:r/>
      <w:bookmarkStart w:id="51" w:name="_Toc49090507"/>
      <w:r/>
      <w:bookmarkStart w:id="52" w:name="_Toc14577354"/>
      <w:r/>
      <w:bookmarkStart w:id="53" w:name="_Toc513029216"/>
      <w:r/>
      <w:bookmarkStart w:id="54" w:name="_Toc49090509"/>
      <w:r>
        <w:rPr>
          <w:rFonts w:hint="eastAsia" w:ascii="宋体" w:hAnsi="宋体" w:eastAsia="宋体" w:cs="宋体"/>
          <w:b/>
          <w:bCs/>
          <w:color w:val="000000"/>
          <w:sz w:val="24"/>
          <w:szCs w:val="24"/>
        </w:rPr>
        <w:t xml:space="preserve">10、证明投标人及投标标的符合招标文件规定的文件</w:t>
      </w:r>
      <w:bookmarkEnd w:id="49"/>
      <w:r/>
      <w:bookmarkEnd w:id="50"/>
      <w:r/>
      <w:bookmarkEnd w:id="51"/>
      <w:r/>
      <w:bookmarkEnd w:id="52"/>
      <w:r/>
      <w:bookmarkEnd w:id="53"/>
      <w:r/>
      <w:bookmarkEnd w:id="54"/>
      <w:r/>
      <w:bookmarkStart w:id="55" w:name="_Toc14577355"/>
      <w:r/>
      <w:bookmarkStart w:id="56" w:name="_Toc49090508"/>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投标人应按照法律、法规、规章和规范性文件以及招标文件要求提交证明文件，证明其及投标标的符合招标文件规定。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招标文件对证明文件无明确形式要求的，证明文件可以以文字资料、图纸和数据等形式提交。</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11、投标分项报价</w:t>
      </w:r>
      <w:bookmarkEnd w:id="55"/>
      <w:r/>
      <w:bookmarkStart w:id="57" w:name="_Hlt26670373"/>
      <w:r/>
      <w:bookmarkEnd w:id="57"/>
      <w:r>
        <w:rPr>
          <w:rFonts w:hint="eastAsia" w:ascii="宋体" w:hAnsi="宋体" w:eastAsia="宋体" w:cs="宋体"/>
          <w:b/>
          <w:bCs/>
          <w:color w:val="000000"/>
          <w:sz w:val="24"/>
          <w:szCs w:val="24"/>
        </w:rPr>
        <w:t xml:space="preserve">表</w:t>
      </w:r>
      <w:bookmarkEnd w:id="56"/>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投</w:t>
      </w:r>
      <w:bookmarkStart w:id="58" w:name="_Hlt26954840"/>
      <w:r/>
      <w:bookmarkEnd w:id="58"/>
      <w:r>
        <w:rPr>
          <w:rFonts w:hint="eastAsia" w:ascii="宋体" w:hAnsi="宋体" w:eastAsia="宋体" w:cs="宋体"/>
          <w:color w:val="000000"/>
          <w:sz w:val="24"/>
          <w:szCs w:val="24"/>
        </w:rPr>
        <w:t xml:space="preserve">标人按照招标文件规定格式填报投标分项报价表</w:t>
      </w:r>
      <w:bookmarkStart w:id="59" w:name="_Hlt26670399"/>
      <w:r/>
      <w:bookmarkEnd w:id="59"/>
      <w:r>
        <w:rPr>
          <w:rFonts w:hint="eastAsia" w:ascii="宋体" w:hAnsi="宋体" w:eastAsia="宋体" w:cs="宋体"/>
          <w:color w:val="000000"/>
          <w:sz w:val="24"/>
          <w:szCs w:val="24"/>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投标货币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投标文件中的单价和总价无特殊规定的采用人民币报价，以元为单位标注。招标文件中另有规定的按规定执行。</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60" w:name="_Hlt26954846"/>
      <w:r/>
      <w:bookmarkEnd w:id="60"/>
      <w:r/>
      <w:bookmarkStart w:id="61" w:name="_Hlt26954731"/>
      <w:r/>
      <w:bookmarkEnd w:id="61"/>
      <w:r/>
      <w:bookmarkStart w:id="62" w:name="_Hlt26670403"/>
      <w:r/>
      <w:bookmarkEnd w:id="62"/>
      <w:r/>
      <w:bookmarkStart w:id="63" w:name="_Hlt26670482"/>
      <w:r/>
      <w:bookmarkEnd w:id="63"/>
      <w:r/>
      <w:bookmarkStart w:id="64" w:name="_Hlt26670486"/>
      <w:r/>
      <w:bookmarkEnd w:id="64"/>
      <w:r/>
      <w:bookmarkStart w:id="65" w:name="_Hlt26954842"/>
      <w:r/>
      <w:bookmarkEnd w:id="65"/>
      <w:r/>
      <w:bookmarkStart w:id="66" w:name="_Hlt26954844"/>
      <w:r/>
      <w:bookmarkEnd w:id="66"/>
      <w:r/>
      <w:bookmarkStart w:id="67" w:name="_Hlt26954848"/>
      <w:r/>
      <w:bookmarkEnd w:id="67"/>
      <w:r/>
      <w:bookmarkStart w:id="68" w:name="_Hlt26670425"/>
      <w:r/>
      <w:bookmarkEnd w:id="68"/>
      <w:r/>
      <w:bookmarkStart w:id="69" w:name="_Hlt26668983"/>
      <w:r/>
      <w:bookmarkEnd w:id="69"/>
      <w:r>
        <w:rPr>
          <w:rFonts w:hint="eastAsia" w:ascii="宋体" w:hAnsi="宋体" w:eastAsia="宋体" w:cs="宋体"/>
          <w:b/>
          <w:bCs/>
          <w:color w:val="000000"/>
          <w:sz w:val="24"/>
          <w:szCs w:val="24"/>
        </w:rPr>
        <w:t xml:space="preserve">12、技术要求响应及偏离表、商务要求响应及偏离表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12.1 投标人需对招标文件中的技术要求与商务要求逐项作出响应或偏离，并说明原因。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bookmarkStart w:id="70" w:name="_Toc14577359"/>
      <w:r/>
      <w:bookmarkStart w:id="71" w:name="_Toc49090510"/>
      <w:r>
        <w:rPr>
          <w:rFonts w:hint="eastAsia" w:ascii="宋体" w:hAnsi="宋体" w:eastAsia="宋体" w:cs="宋体"/>
          <w:color w:val="000000"/>
          <w:sz w:val="24"/>
          <w:szCs w:val="24"/>
          <w:lang w:val="zh-CN"/>
        </w:rPr>
        <w:t xml:space="preserve">12.2 投标人需按照招标文件要求，在投标文件中提供与技术要求和商务要求相关的证明材料。</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12.3 投标人对存在超出或负偏离的的技术要求，应真实填写（对属于超出的技术参数，供应商须在投标文件中提供有效证明材料，如未提供，评标委员会在评审时将不予认可；对属于负偏离的技术参数，未真实填写的视为虚假响应）</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12.4 如技术、商务要求响应及偏离表未填写并做响应的按无效投标处理。</w:t>
      </w:r>
      <w:bookmarkEnd w:id="70"/>
      <w:r/>
      <w:bookmarkEnd w:id="71"/>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13、服务承诺、培训计划、人员安排及其他</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13.1 投标人需根据招标文件要求提供有关售后服务的管理制度，售后服务机构的分布情况，售后服务人员的数量、素质、技术水平及售后服务的反应能力等。</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 xml:space="preserve">13.2 投标人需根据招标文件要求提供培训计划。</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13.3 投标人需根据招标文件要求提供所投标的的主要组成部分、功能设计、实现思路及关键技术等。</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14、投标函和开标一览表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14.1 投标人应按照招标文件中提供的格式完整、正确填写投标函、开标一览表。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15、投标有效期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15.1投标有效期为泰州天诚规定的开标之日后</w:t>
      </w:r>
      <w:r>
        <w:rPr>
          <w:rFonts w:hint="eastAsia" w:ascii="宋体" w:hAnsi="宋体" w:eastAsia="宋体" w:cs="宋体"/>
          <w:b/>
          <w:bCs/>
          <w:color w:val="000000"/>
          <w:sz w:val="24"/>
          <w:szCs w:val="24"/>
          <w:u w:val="single"/>
          <w:lang w:val="zh-CN"/>
        </w:rPr>
        <w:t xml:space="preserve">六十（60）天</w:t>
      </w:r>
      <w:r>
        <w:rPr>
          <w:rFonts w:hint="eastAsia" w:ascii="宋体" w:hAnsi="宋体" w:eastAsia="宋体" w:cs="宋体"/>
          <w:color w:val="000000"/>
          <w:sz w:val="24"/>
          <w:szCs w:val="24"/>
          <w:lang w:val="zh-CN"/>
        </w:rPr>
        <w:t xml:space="preserve">。投标有效期比规定短的将被视为未实质性响应招标文件而予以拒绝。</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16、投标有效期的延长</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16.1在特殊情况下，泰州天诚于原投标有效期满之前，可向投标人提出延长投标有效期的要求。这种要求与答复均应采用书面形式。投标人可以拒绝泰州天诚的这一要求而放弃投标，同意延长投标有效期的投标人既不能要求也不允许修改其投标文件。受投标有效期约束的所有权利与义务均延长至新的有效期。</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zh-CN"/>
        </w:rPr>
        <w:t xml:space="preserve">四、投标文件的递交</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eastAsia="zh-CN"/>
        </w:rPr>
        <w:t xml:space="preserve">17</w:t>
      </w:r>
      <w:r>
        <w:rPr>
          <w:rFonts w:hint="eastAsia" w:ascii="宋体" w:hAnsi="宋体" w:eastAsia="宋体" w:cs="宋体"/>
          <w:b/>
          <w:bCs/>
          <w:color w:val="000000"/>
          <w:sz w:val="24"/>
          <w:szCs w:val="24"/>
          <w:lang w:val="zh-CN" w:eastAsia="zh-CN"/>
        </w:rPr>
        <w:t xml:space="preserve">、电子投标文件的递交</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17.1投标人应当按照《操作手册》规定，在投标截止时间前制作并上传电子投标文件。</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eastAsia="zh-CN"/>
        </w:rPr>
        <w:t xml:space="preserve">18</w:t>
      </w:r>
      <w:r>
        <w:rPr>
          <w:rFonts w:hint="eastAsia" w:ascii="宋体" w:hAnsi="宋体" w:eastAsia="宋体" w:cs="宋体"/>
          <w:b/>
          <w:bCs/>
          <w:color w:val="000000"/>
          <w:sz w:val="24"/>
          <w:szCs w:val="24"/>
          <w:lang w:val="zh-CN" w:eastAsia="zh-CN"/>
        </w:rPr>
        <w:t xml:space="preserve">、投标截止日期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18.1 投标人上传电子投标文件的时间不得迟于招标公告中规定的投标截止时间。</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投标人应充分考虑到网络环境、网络带宽等风险因素，如因投标人自身原因造成的电子投标文件上传不成功的按照本招标文件第二章第26.1.2条规定做无效投标处理。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18.2 泰州天诚可以按照规定，通过修改招标文件酌情延长投标截止日期，在此情况下，投标人的所有权利和义务以及投标人受制的截止日期均应以延长后新的截止日期为准。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19</w:t>
      </w:r>
      <w:r>
        <w:rPr>
          <w:rFonts w:hint="eastAsia" w:ascii="宋体" w:hAnsi="宋体" w:eastAsia="宋体" w:cs="宋体"/>
          <w:b/>
          <w:bCs/>
          <w:color w:val="000000"/>
          <w:sz w:val="24"/>
          <w:szCs w:val="24"/>
          <w:lang w:val="zh-CN" w:eastAsia="zh-CN"/>
        </w:rPr>
        <w:t xml:space="preserve">、投标文件的拒收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19.1 泰州天诚拒绝接收在其规定的投标截止时间后上传的任何投标文件。</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20</w:t>
      </w:r>
      <w:r>
        <w:rPr>
          <w:rFonts w:hint="eastAsia" w:ascii="宋体" w:hAnsi="宋体" w:eastAsia="宋体" w:cs="宋体"/>
          <w:b/>
          <w:bCs/>
          <w:color w:val="000000"/>
          <w:sz w:val="24"/>
          <w:szCs w:val="24"/>
          <w:lang w:val="zh-CN" w:eastAsia="zh-CN"/>
        </w:rPr>
        <w:t xml:space="preserve">、投标文件的撤回和修改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 投标文件的撤回</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20.1.1 电子投标文件的撤回</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投标人可在投标截止时间前，撤回其电子投标文件，具体操作方法见《操作手册》。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20.1.2 投标人撤回电子投标文件，则认为其不再参与本项目投标活动。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 投标文件的修改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20.2.1投标人可在投标截止时间前，对其电子投标文件进行修改，具体操作方法见《操作手册》。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20.2.2 在投标截止时间之后，投标人不得对其电子投标文件作任何修改。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20.3 在投标截止时间至招标文件中规定的投标有效期满之间的这段时间内，投标人不得撤回其投标。</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 xml:space="preserve">五、开标与评标</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21</w:t>
      </w:r>
      <w:r>
        <w:rPr>
          <w:rFonts w:hint="eastAsia" w:ascii="宋体" w:hAnsi="宋体" w:eastAsia="宋体" w:cs="宋体"/>
          <w:b/>
          <w:bCs/>
          <w:color w:val="000000"/>
          <w:sz w:val="24"/>
          <w:szCs w:val="24"/>
          <w:lang w:val="zh-CN" w:eastAsia="zh-CN"/>
        </w:rPr>
        <w:t xml:space="preserve">、开标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21.1 泰州天诚将在招标公告中规定的时间和地点组织公开开标。投标人应当按照《操作手册》规定，参加开标活动和在苏采云系统规定的时间内对投标文件进行解密。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21.2开标仪式由泰州天诚组织。苏采云系统将自动对项目进行开标，并宣布各投标人名称和投标价格。</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21.3投标人在开标过程中涉及到的投标文件解密、开标结果确认等工作，应按照《操作手册》规定执行。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21.4投标人如果对开标过程和开标记录有疑义，应当根据《操作手册》规定提出，如苏采云系统中《开标记录表》宣布后未提出的，视同认可开标结果。</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22、评标委员会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22.1 开标后，泰州天诚将立即组织评标委员会（以下简称评委会）进行评标。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22.2 评委会由采购人代表和有关技术、经济等方面的专家组成，且人员构成符合政府采购有关规定。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22.3评委会独立工作，负责评审所有投标文件并确定中标侯选人。</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23、评标过程的保密与公正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23.1凡是与审查、澄清、评价和比较投标的有关资料以及授标建议等，采购人、评委、泰州天诚均不得向投标人或与评标无关的其他人员透露。</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23.2在评标过程中，投标人不得以任何行为影响评标过程，否则其投标文件将被作为无效投标文件。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23.3 泰州天诚和评标委员会不向未中标的投标人解释未中标原因，也不公布评标过程中的相关细节。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23.4 采用综合评分法的项目，未中标的投标人可于中标结果公告期限届满之日起通过苏采云系统查看自己的评审得分及排序情况。</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24、投标文件的澄清</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24.1评标期间，评委会对投标文件中含义不明确、同类问题表述不一致或者有明显文字和计算错误的内容 ，有权要求投标人作出必要的澄清、说明或者补正。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投标人的澄清、说明或者补正不得超出投标文件的范围或者改变投标文件的实质性内容。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评标委员会并非对每个投标人都做澄清要求。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24.3 接到评委会澄清、说明和补正要求的投标人如未按规定做出澄清、说明和补正，其风险由投标人自行承担。</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25、对投标文件的初审</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25.1投标文件初审分为资格审查和符合性审查。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25.1.1 资格审查：依据法律法规和招标文件的规定，由采购人对投标文件中的资格证明文件进行审查。资格审查的结论，采购人以书面形式向评委会进行反馈。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采购人在进行资格性审查的同时，将在“信用中国”网站（</w:t>
      </w:r>
      <w:r>
        <w:rPr>
          <w:rFonts w:hint="eastAsia" w:ascii="宋体" w:hAnsi="宋体" w:eastAsia="宋体" w:cs="宋体"/>
          <w:color w:val="000000"/>
          <w:sz w:val="24"/>
          <w:szCs w:val="24"/>
          <w:lang w:val="zh-CN" w:eastAsia="zh-CN"/>
        </w:rPr>
        <w:fldChar w:fldCharType="begin"/>
      </w:r>
      <w:r>
        <w:rPr>
          <w:rFonts w:hint="eastAsia" w:ascii="宋体" w:hAnsi="宋体" w:eastAsia="宋体" w:cs="宋体"/>
          <w:color w:val="000000"/>
          <w:sz w:val="24"/>
          <w:szCs w:val="24"/>
          <w:lang w:val="zh-CN" w:eastAsia="zh-CN"/>
        </w:rPr>
        <w:instrText xml:space="preserve">HYPERLINK "../../../微信下载的文件/WeChat Files/wxid_f41n0vp20vpw22/FileStorage/File/2025-01/www.creditchina.gov.cn"</w:instrText>
      </w:r>
      <w:r>
        <w:rPr>
          <w:rFonts w:hint="eastAsia" w:ascii="宋体" w:hAnsi="宋体" w:eastAsia="宋体" w:cs="宋体"/>
          <w:color w:val="000000"/>
          <w:sz w:val="24"/>
          <w:szCs w:val="24"/>
          <w:lang w:val="zh-CN" w:eastAsia="zh-CN"/>
        </w:rPr>
        <w:fldChar w:fldCharType="separate"/>
      </w:r>
      <w:r>
        <w:rPr>
          <w:rFonts w:hint="eastAsia" w:ascii="宋体" w:hAnsi="宋体" w:eastAsia="宋体" w:cs="宋体"/>
          <w:color w:val="000000"/>
          <w:sz w:val="24"/>
          <w:szCs w:val="24"/>
          <w:lang w:val="zh-CN" w:eastAsia="zh-CN"/>
        </w:rPr>
        <w:t xml:space="preserve">www.creditchina.gov.cn</w:t>
      </w:r>
      <w:r>
        <w:rPr>
          <w:rFonts w:hint="eastAsia" w:ascii="宋体" w:hAnsi="宋体" w:eastAsia="宋体" w:cs="宋体"/>
          <w:color w:val="000000"/>
          <w:sz w:val="24"/>
          <w:szCs w:val="24"/>
          <w:lang w:val="zh-CN" w:eastAsia="zh-CN"/>
        </w:rPr>
        <w:fldChar w:fldCharType="end"/>
      </w:r>
      <w:r>
        <w:rPr>
          <w:rFonts w:hint="eastAsia" w:ascii="宋体" w:hAnsi="宋体" w:eastAsia="宋体" w:cs="宋体"/>
          <w:color w:val="000000"/>
          <w:sz w:val="24"/>
          <w:szCs w:val="24"/>
          <w:lang w:val="zh-CN" w:eastAsia="zh-CN"/>
        </w:rPr>
        <w:t xml:space="preserve">）查询投标人的信用记录，以确定投标人是否具备投标资格,查询结果留存并归档。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25.1.2 符合性审查：依据招标文件的规定，由评委会从投标文件的有效性、完整性和对招标文件的响应程度进行审查，以确定是否对招标文件的实质性要求作出响应。</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25.1.3 未通过资格审查或符合性审查的投标人，泰州天诚将在苏采云系统中告知未通过资格审查或符合性审查的原因，评审结束后，泰州天诚将不再告知未通过资格审查或符合性审查的原因。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所谓重大偏离或保留是指与招标文件规定的实质性要求存在负偏离，或者在实质上与招标文件不一致，而且限制了合同中买方和泰州天诚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25.3如果投标文件实质上没有响应招标文件的要求，评委会将予以拒绝，投标人不得通过修改或撤销不合要求的偏离或保留而使其投标成为实质性响应的投标。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25.4评委会将对确定为实质性响应的投标进行进一步审核，看其是否有计算上或累加上的算术错误，修正错误的原则如下：</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（1）投标文件中开标一览表内容与投标文件中相应内容不一致的，以开标一览表为准。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（2）大写金额和小写金额不一致的，以大写金额为准。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（3）单价金额小数点或者百分比有明显错位的，以开标一览表的总价为准，并修改单价。</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（4）总价金额与按单价汇总金额不一致的，以单价金额计算结果为准。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sz w:val="22"/>
          <w:szCs w:val="22"/>
          <w:lang w:val="zh-CN" w:eastAsia="zh-CN"/>
        </w:rPr>
      </w:pPr>
      <w:r>
        <w:rPr>
          <w:rFonts w:hint="eastAsia" w:ascii="宋体" w:hAnsi="宋体" w:eastAsia="宋体" w:cs="宋体"/>
          <w:color w:val="000000"/>
          <w:sz w:val="24"/>
          <w:szCs w:val="24"/>
          <w:lang w:val="zh-CN" w:eastAsia="zh-CN"/>
        </w:rPr>
        <w:t xml:space="preserve">同时出现两种以上错误的，按照前款规定的顺序修正。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非单一产品采购项目，招标文件中将载明其中的核心产品。多家投标人提供的核心产品品牌相同的，按前两款规定处理。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25.7投标人在开、评标全过程中应保持通讯畅通，及时登录苏采云系统查阅、答复相关信息，并安排专人与泰州天诚及评标委员会联系。</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25.8 异常低价投标审查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25.8.1 评标过程中出现下列情形之一的，评标委员会应当启动异常低价投标审查程序：</w:t>
      </w:r>
      <w:r/>
    </w:p>
    <w:p>
      <w:pPr>
        <w:numPr>
          <w:ilvl w:val="0"/>
          <w:numId w:val="0"/>
        </w:numPr>
        <w:ind w:left="0" w:right="0" w:firstLine="439"/>
        <w:jc w:val="left"/>
        <w:keepLines w:val="0"/>
        <w:keepNext w:val="0"/>
        <w:pageBreakBefore w:val="0"/>
        <w:spacing w:after="0" w:line="400" w:lineRule="exact"/>
        <w:widowControl w:val="off"/>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zh-CN" w:eastAsia="zh-CN"/>
        </w:rPr>
        <w:t xml:space="preserve">（1）投标报价低于全部通过符合性审查供应商投标报价平均值50%的，即投标报价&lt;全部通过符合性审查供应商投标报价平均值×50%；</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（2）投标报价低于通过符合性审查的次低报价供应商投标报价50%的，即投标报价&lt;通过符合性审查的次低报价供应商投标报价×50%；</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（3）投标报价低于采购项目最高限价45%的，即投标报价&lt;采购项目最高限价×45%；</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（4）评标委员会基于专业判断，认为供应商报价过低，有可能影响产品质量或者不能诚信履约的其他情形。</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26、无效投标条款和废标条款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26.1无效投标条款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 投标人在苏采云系统规定的时间内未成功解密电子投标文件的。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26.1.2 投标人未按照招标文件要求上传电子投标文件的。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26.1.3 投标人同一采购包提交两个（含两个）以上不同的投标报价的。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26.1.4投标人不具备招标文件中规定资格要求的。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26.1.5投标人的报价超过了采购预算或最高限价的。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26.1.6未通过符合性审查的。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26.1.7不符合招标文件中规定的实质性要求的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26.1.9 投标文件含有采购人不能接受的附加条件的。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26.1.10评标委员会按照本招标文件规定对投标人进行异常低价投标审查后，认为投标人不能证明其报价合理性的。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26.1.12 投标文件未按照招标文件要求加盖CA电子公章的。</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26.1.1</w:t>
      </w:r>
      <w:r>
        <w:rPr>
          <w:rFonts w:hint="eastAsia" w:ascii="宋体" w:hAnsi="宋体" w:eastAsia="宋体" w:cs="宋体"/>
          <w:color w:val="000000"/>
          <w:sz w:val="24"/>
          <w:szCs w:val="24"/>
          <w:lang w:val="en-US" w:eastAsia="zh-CN"/>
        </w:rPr>
        <w:t xml:space="preserve">3 投标人所投标产品不符合招标文件中所列国家强制性标准的。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其他法律、法规及本招标文件规定的属无效投标的情形。</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26.2废标条款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26.2.1符合专业条件的供应商或者对招标文件作实质响应的供应商不足三家的。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26.2.2出现影响采购公正的违法、违规行为的。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26.2.3因重大变故，采购任务取消的。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26.2.4评标委员会认定招标文件存在歧义、重大缺陷导致评审工作无法进行。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26.2.5 因苏采云系统系统故障原因造成开标不成功的。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26.3 投标截止时间结束后参加投标的供应商不足三家的处理：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26.3.1如出现投标截止时间结束后参加投标的供应商或者在评标期间对招标文件做出实质响应的供应商不足三家情况，按政府采购相关规定执行。</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六、定标</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27、确定中标单位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27.1中标候选人的选取原则和</w:t>
      </w:r>
      <w:r>
        <w:rPr>
          <w:rFonts w:hint="eastAsia" w:ascii="宋体" w:hAnsi="宋体" w:eastAsia="宋体" w:cs="宋体"/>
          <w:color w:val="auto"/>
          <w:sz w:val="24"/>
          <w:szCs w:val="24"/>
          <w:lang w:val="zh-CN" w:eastAsia="zh-CN"/>
        </w:rPr>
        <w:t xml:space="preserve">数量见招标文件第</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val="zh-CN" w:eastAsia="zh-CN"/>
        </w:rPr>
        <w:t xml:space="preserve">章规定。</w:t>
      </w:r>
      <w:r>
        <w:rPr>
          <w:rFonts w:hint="eastAsia" w:ascii="宋体" w:hAnsi="宋体" w:eastAsia="宋体" w:cs="宋体"/>
          <w:color w:val="000000"/>
          <w:sz w:val="24"/>
          <w:szCs w:val="24"/>
          <w:lang w:val="zh-CN" w:eastAsia="zh-CN"/>
        </w:rPr>
        <w:t xml:space="preserve"> </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27.2 采购人应根据评委会推荐的中标候选人确定中标供应商。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27.3 泰州天诚将在“江苏政府采购网”发布中标公告，公告期限为1个工作日。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 若有充分证据证明，中标供应商出现下列情况之一的，一经查实，将被取消中标资格：</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27.4.1提供虚假材料谋取中标的。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27.4.2向采购人、泰州天诚行贿或者提供其他不正当利益的。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27.4.3属于本文件规定的无效条件，但在评标过程中又未被评委会发现的。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27.4.4与采购人或者其他供应商恶意串通的。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27.4.5采取不正当手段诋毁、排挤其他供应商的。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 有下列情形之一的，视为投标人串通投标，投标无效：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27.5.1不同投标人的投标文件由同一单位或者个人编制。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27.5.2不同投标人委托同一单位或者个人办理投标事宜。</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27.5.3 不同投标人的投标文件载明的项目管理成员或者联系人员为同一人。</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27.5.4不同投标人的投标文件异常一致或者投标报价呈规律性差异。</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28、质疑处理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28.1 提出质疑的供应商应当是参与所质疑项目采购活动的供应商。潜在供应商依法获取其可质疑的采购文件的，可以对采购文件提出质疑。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供应商认为采购文件、采购过程和采购结果使自己的权益受到损害的，可以在知道或应知其权益受到损害之日起七个工作日内，以书面形式根据下述28.4条款的规定向泰州天诚或采购人提出质疑。上述应知其权益受到损害之日，是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28.2.1对可以质疑的采购文件提出质疑的，为收到采购文件之日或者采购文件公告期限届满之日；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28.2.2对采购过程提出质疑的，为各采购程序环节结束之日；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28.2.3对中标或者成交结果提出质疑的，为中标或者成交结果公告期限届满之日。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供应商应当在法定质疑期内一次性提出针对同一采购程序环节的质疑。供应商如在法定期限内对同一采购程序环节提出多次质疑的，泰州天诚、采购人将只对供应商第一次质疑作出答复。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28.4 供应商（含潜在供应商）对采购方式、招标文件中采购需求、供应商资格条件、评标方法与评标标准、合同文本及资格审查结果的询问、质疑请向采购人提出，由采购人负责答复（</w:t>
      </w:r>
      <w:r>
        <w:rPr>
          <w:rFonts w:hint="eastAsia" w:ascii="宋体" w:hAnsi="宋体" w:eastAsia="宋体" w:cs="宋体"/>
          <w:color w:val="000000"/>
          <w:sz w:val="24"/>
          <w:szCs w:val="24"/>
          <w:lang w:val="en-US" w:eastAsia="zh-CN"/>
        </w:rPr>
        <w:t xml:space="preserve">代理机构有授权也可答复</w:t>
      </w:r>
      <w:r>
        <w:rPr>
          <w:rFonts w:hint="eastAsia" w:ascii="宋体" w:hAnsi="宋体" w:eastAsia="宋体" w:cs="宋体"/>
          <w:color w:val="000000"/>
          <w:sz w:val="24"/>
          <w:szCs w:val="24"/>
          <w:lang w:val="zh-CN" w:eastAsia="zh-CN"/>
        </w:rPr>
        <w:t xml:space="preserve">）。供应商对其他事项的询问、质疑请向泰州天诚提出，由泰州天诚负责答复。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采购人及泰州天诚只接收以纸质原件形式送达的质疑,建议供应商尽量通过邮寄方式提交质疑（采购人和泰州天诚不接受无快递运单号的快递）。</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采购人质疑接收人及联系方式见招标文件第一章。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 以下情形的质疑不予受理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28.5.1 内容不符合《政府采购质疑和投诉办法》第十二条规定的质疑。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28.5.2 超出政府采购法定期限的质疑。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28.5.3 以传真、电子邮件等方式递交的非原件形式的质疑。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28.5.4 未参加投标活动的供应商或在投标活动中自身权益未受到损害的供应商所提出的质疑。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28.5.5供应商组成联合体参加投标，联合体中任何一方或多方未按要求签字、盖章、加盖公章的质疑。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28.6 供应商提出书面质疑必须有理、有据，不得捏造事实、提供虚假材料进行恶意质疑。否则，一经查实，泰州天诚有权依据政府采购的有关规定，报请政府采购监管部门对该供应商进行相应的行政处罚和记录该供应商的失信信息。</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29、中标通知书</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中标结果确定后，泰州天诚将向中标供应商发出中标通知书。请中标供应商在中标结果公告届满之日起</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eastAsia="zh-CN"/>
        </w:rPr>
        <w:t xml:space="preserve">日内,</w:t>
      </w:r>
      <w:r>
        <w:rPr>
          <w:rFonts w:hint="eastAsia" w:ascii="宋体" w:hAnsi="宋体" w:eastAsia="宋体" w:cs="宋体"/>
          <w:color w:val="000000"/>
          <w:sz w:val="24"/>
          <w:szCs w:val="24"/>
          <w:lang w:val="en-US" w:eastAsia="zh-CN"/>
        </w:rPr>
        <w:t xml:space="preserve">至泰州天诚领取并缴纳中标服务费</w:t>
      </w:r>
      <w:r>
        <w:rPr>
          <w:rFonts w:hint="eastAsia" w:ascii="宋体" w:hAnsi="宋体" w:eastAsia="宋体" w:cs="宋体"/>
          <w:color w:val="000000"/>
          <w:sz w:val="24"/>
          <w:szCs w:val="24"/>
          <w:lang w:val="zh-CN" w:eastAsia="zh-CN"/>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29.2中标通知书将是合同的一个组成部分。对采购人和中标供应商均具有法律效力。中标通知书发出后，采购人改变中标结果的，或者中标供应商放弃中标项目的，应当依法承担法律责任。</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七、授予合同</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30、签订合同</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30.l中标供应商应当在中标通知书发出之日起三十日内，按照招标文件确定的事项与采购人签订政府采购合同。</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30.2 招标文件、中标供应商的投标文件及招标过程中有关澄清、承诺文件均应作为合同附件。</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31、货物（包含与货物相关的服务）的追加</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32、政府采购履约资金扶持政策</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中标供应商可凭政府采购合同办理融资贷款，详情请见江苏政府采购网“政采贷”专栏。</w:t>
      </w:r>
      <w:r/>
    </w:p>
    <w:p>
      <w:pPr>
        <w:jc w:val="both"/>
        <w:rPr>
          <w:rFonts w:hint="eastAsia" w:ascii="黑体" w:eastAsia="黑体"/>
          <w:color w:val="auto"/>
          <w:sz w:val="36"/>
          <w:lang w:eastAsia="zh-CN"/>
        </w:rPr>
      </w:pPr>
      <w:r>
        <w:rPr>
          <w:rFonts w:hint="eastAsia" w:ascii="黑体" w:eastAsia="黑体"/>
          <w:color w:val="auto"/>
          <w:sz w:val="36"/>
          <w:lang w:eastAsia="zh-CN"/>
        </w:rPr>
      </w:r>
      <w:r/>
    </w:p>
    <w:p>
      <w:pPr>
        <w:pStyle w:val="854"/>
        <w:jc w:val="center"/>
        <w:keepLines/>
        <w:keepNext/>
        <w:pageBreakBefore/>
        <w:spacing w:before="400" w:after="160" w:line="400" w:lineRule="exact"/>
        <w:widowControl/>
        <w:rPr>
          <w:rFonts w:hint="eastAsia" w:ascii="宋体" w:hAnsi="宋体" w:eastAsia="宋体" w:cs="宋体"/>
          <w:lang w:eastAsia="zh-CN"/>
        </w:rPr>
      </w:pPr>
      <w:r/>
      <w:bookmarkStart w:id="72" w:name="_Toc27724"/>
      <w:r/>
      <w:bookmarkStart w:id="73" w:name="_Toc19334"/>
      <w:r/>
      <w:bookmarkStart w:id="74" w:name="_Toc18211"/>
      <w:r/>
      <w:bookmarkStart w:id="75" w:name="_Toc24966"/>
      <w:r>
        <w:rPr>
          <w:rFonts w:hint="eastAsia" w:ascii="宋体" w:hAnsi="宋体" w:eastAsia="宋体" w:cs="宋体"/>
          <w:lang w:val="en-US" w:eastAsia="zh-CN"/>
        </w:rPr>
        <w:t xml:space="preserve">第三章  </w:t>
      </w:r>
      <w:r>
        <w:rPr>
          <w:rFonts w:hint="eastAsia" w:ascii="宋体" w:hAnsi="宋体" w:eastAsia="宋体" w:cs="宋体"/>
          <w:lang w:eastAsia="zh-CN"/>
        </w:rPr>
        <w:t xml:space="preserve">合同文本</w:t>
      </w:r>
      <w:bookmarkEnd w:id="72"/>
      <w:r/>
      <w:r/>
    </w:p>
    <w:p>
      <w:pPr>
        <w:ind w:left="0" w:firstLine="560"/>
        <w:jc w:val="center"/>
        <w:spacing w:before="156" w:after="156"/>
        <w:rPr>
          <w:rFonts w:hint="eastAsia" w:ascii="宋体" w:hAnsi="宋体" w:eastAsia="宋体" w:cs="宋体"/>
          <w:b/>
          <w:sz w:val="30"/>
          <w:szCs w:val="21"/>
        </w:rPr>
        <w:outlineLvl w:val="0"/>
      </w:pPr>
      <w:r/>
      <w:bookmarkStart w:id="76" w:name="_Toc11693"/>
      <w:r/>
      <w:bookmarkStart w:id="77" w:name="_Toc84"/>
      <w:r/>
      <w:bookmarkStart w:id="78" w:name="_Toc32603"/>
      <w:r/>
      <w:bookmarkStart w:id="79" w:name="_Toc20313"/>
      <w:r>
        <w:rPr>
          <w:rFonts w:hint="eastAsia" w:ascii="宋体" w:hAnsi="宋体" w:eastAsia="宋体" w:cs="宋体"/>
          <w:b/>
          <w:sz w:val="30"/>
          <w:szCs w:val="21"/>
        </w:rPr>
        <w:t xml:space="preserve">江苏省政府采购合同（合同编号）</w:t>
      </w:r>
      <w:bookmarkEnd w:id="76"/>
      <w:r/>
      <w:bookmarkEnd w:id="77"/>
      <w:r/>
      <w:bookmarkEnd w:id="78"/>
      <w:r/>
      <w:r/>
    </w:p>
    <w:p>
      <w:pPr>
        <w:ind w:left="0" w:firstLine="560"/>
        <w:jc w:val="center"/>
        <w:spacing w:before="156" w:after="156"/>
        <w:rPr>
          <w:rFonts w:hint="eastAsia" w:ascii="宋体" w:hAnsi="宋体" w:eastAsia="宋体" w:cs="宋体"/>
          <w:b/>
          <w:bCs/>
          <w:sz w:val="30"/>
          <w:szCs w:val="20"/>
        </w:rPr>
        <w:outlineLvl w:val="9"/>
      </w:pPr>
      <w:r/>
      <w:bookmarkStart w:id="80" w:name="_Toc9959"/>
      <w:r>
        <w:rPr>
          <w:rFonts w:hint="eastAsia" w:ascii="宋体" w:hAnsi="宋体" w:eastAsia="宋体" w:cs="宋体"/>
          <w:b/>
          <w:sz w:val="30"/>
          <w:szCs w:val="21"/>
        </w:rPr>
        <w:t xml:space="preserve">（适用于服务类项目）</w:t>
      </w:r>
      <w:bookmarkEnd w:id="80"/>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兴化市人民法院</w:t>
      </w:r>
      <w:r>
        <w:rPr>
          <w:rFonts w:hint="eastAsia" w:ascii="宋体" w:hAnsi="宋体" w:eastAsia="宋体" w:cs="宋体"/>
          <w:sz w:val="24"/>
          <w:szCs w:val="24"/>
          <w:lang w:eastAsia="zh-CN"/>
        </w:rPr>
        <w:t xml:space="preserve">司法辅助事务服务项目</w:t>
      </w:r>
      <w:r>
        <w:rPr>
          <w:rFonts w:hint="eastAsia" w:ascii="宋体" w:hAnsi="宋体" w:eastAsia="宋体" w:cs="宋体"/>
          <w:sz w:val="24"/>
          <w:szCs w:val="24"/>
        </w:rPr>
        <w:t xml:space="preserve"> </w:t>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val="en-US" w:eastAsia="zh-CN"/>
        </w:rPr>
        <w:t xml:space="preserve">JSZC-321281-TZTC-G2026-0003</w:t>
      </w:r>
      <w:r/>
    </w:p>
    <w:p>
      <w:pPr>
        <w:ind w:left="0" w:firstLine="446"/>
        <w:keepLines w:val="0"/>
        <w:keepNext w:val="0"/>
        <w:pageBreakBefore w:val="0"/>
        <w:spacing w:after="100"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采购包号：</w:t>
      </w:r>
      <w:r>
        <w:rPr>
          <w:rFonts w:hint="eastAsia" w:ascii="宋体" w:hAnsi="宋体" w:eastAsia="宋体" w:cs="宋体"/>
          <w:sz w:val="24"/>
          <w:szCs w:val="24"/>
          <w:lang w:val="en-US" w:eastAsia="zh-CN"/>
        </w:rPr>
        <w:t xml:space="preserve">001</w:t>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甲方：（买方/采购人）_________</w:t>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乙方：（卖方/成交供应商）_________</w:t>
      </w:r>
      <w:r/>
    </w:p>
    <w:p>
      <w:pPr>
        <w:ind w:left="0" w:firstLine="446"/>
        <w:keepLines w:val="0"/>
        <w:keepNext w:val="0"/>
        <w:pageBreakBefore w:val="0"/>
        <w:spacing w:after="100" w:line="4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项目竞争性磋商的结果，签署本合同。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1" w:name="_Toc17044"/>
      <w:r/>
      <w:bookmarkStart w:id="82" w:name="_Toc3080"/>
      <w:r>
        <w:rPr>
          <w:rFonts w:hint="eastAsia" w:ascii="宋体" w:hAnsi="宋体" w:eastAsia="宋体" w:cs="宋体"/>
          <w:b/>
          <w:sz w:val="24"/>
          <w:szCs w:val="24"/>
        </w:rPr>
        <w:t xml:space="preserve">一、合同内容</w:t>
      </w:r>
      <w:bookmarkEnd w:id="81"/>
      <w:r/>
      <w:bookmarkEnd w:id="82"/>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3" w:name="_Toc24230"/>
      <w:r/>
      <w:bookmarkStart w:id="84" w:name="_Toc25567"/>
      <w:r>
        <w:rPr>
          <w:rFonts w:hint="eastAsia" w:ascii="宋体" w:hAnsi="宋体" w:eastAsia="宋体" w:cs="宋体"/>
          <w:b/>
          <w:sz w:val="24"/>
          <w:szCs w:val="24"/>
        </w:rPr>
        <w:t xml:space="preserve">二、合同金额</w:t>
      </w:r>
      <w:bookmarkEnd w:id="83"/>
      <w:r/>
      <w:bookmarkEnd w:id="84"/>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本合同金额为（大写）：________圆（______元）人民币或其他币种。</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5" w:name="_Toc24107"/>
      <w:r/>
      <w:bookmarkStart w:id="86" w:name="_Toc19796"/>
      <w:r>
        <w:rPr>
          <w:rFonts w:hint="eastAsia" w:ascii="宋体" w:hAnsi="宋体" w:eastAsia="宋体" w:cs="宋体"/>
          <w:b/>
          <w:sz w:val="24"/>
          <w:szCs w:val="24"/>
        </w:rPr>
        <w:t xml:space="preserve">三、技术资料</w:t>
      </w:r>
      <w:bookmarkEnd w:id="85"/>
      <w:r/>
      <w:bookmarkEnd w:id="86"/>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3.1乙方应按磋商文件规定的时间向甲方提供与合同标的有关的技术资料。</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7" w:name="_Toc5532"/>
      <w:r/>
      <w:bookmarkStart w:id="88" w:name="_Toc8434"/>
      <w:r>
        <w:rPr>
          <w:rFonts w:hint="eastAsia" w:ascii="宋体" w:hAnsi="宋体" w:eastAsia="宋体" w:cs="宋体"/>
          <w:b/>
          <w:sz w:val="24"/>
          <w:szCs w:val="24"/>
        </w:rPr>
        <w:t xml:space="preserve">四、知识产权</w:t>
      </w:r>
      <w:bookmarkEnd w:id="87"/>
      <w:r/>
      <w:bookmarkEnd w:id="88"/>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after="100" w:line="460" w:lineRule="exact"/>
        <w:widowControl w:val="off"/>
        <w:rPr>
          <w:rFonts w:hint="eastAsia" w:ascii="宋体" w:hAnsi="宋体" w:eastAsia="宋体" w:cs="宋体"/>
          <w:sz w:val="24"/>
          <w:szCs w:val="24"/>
          <w:u w:val="single"/>
        </w:rPr>
        <w:outlineLvl w:val="0"/>
      </w:pPr>
      <w:r/>
      <w:bookmarkStart w:id="89" w:name="_Toc3413"/>
      <w:r/>
      <w:bookmarkStart w:id="90" w:name="_Toc31162"/>
      <w:r>
        <w:rPr>
          <w:rFonts w:hint="eastAsia" w:ascii="宋体" w:hAnsi="宋体" w:eastAsia="宋体" w:cs="宋体"/>
          <w:b/>
          <w:sz w:val="24"/>
          <w:szCs w:val="24"/>
        </w:rPr>
        <w:t xml:space="preserve">五、产权担保</w:t>
      </w:r>
      <w:bookmarkEnd w:id="89"/>
      <w:r/>
      <w:bookmarkEnd w:id="90"/>
      <w:r/>
      <w:r/>
    </w:p>
    <w:p>
      <w:pPr>
        <w:ind w:left="0" w:firstLine="480"/>
        <w:keepLines w:val="0"/>
        <w:keepNext w:val="0"/>
        <w:pageBreakBefore w:val="0"/>
        <w:spacing w:after="100"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乙方保证所交付的合同标的的所有权完全属于乙方且无任何抵押、查封等产权瑕疵。</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1" w:name="_Toc26818"/>
      <w:r/>
      <w:bookmarkStart w:id="92" w:name="_Toc3304"/>
      <w:r>
        <w:rPr>
          <w:rFonts w:hint="eastAsia" w:ascii="宋体" w:hAnsi="宋体" w:eastAsia="宋体" w:cs="宋体"/>
          <w:b/>
          <w:sz w:val="24"/>
          <w:szCs w:val="24"/>
        </w:rPr>
        <w:t xml:space="preserve">六、履约保证金</w:t>
      </w:r>
      <w:bookmarkEnd w:id="91"/>
      <w:r/>
      <w:bookmarkEnd w:id="92"/>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乙方交纳人民币_________元作为本合同的履约保证金。（不得超过合同金额的10%</w:t>
      </w:r>
      <w:r>
        <w:rPr>
          <w:rFonts w:hint="eastAsia" w:ascii="宋体" w:hAnsi="宋体" w:eastAsia="宋体" w:cs="宋体"/>
          <w:sz w:val="24"/>
          <w:szCs w:val="24"/>
          <w:lang w:eastAsia="zh-CN"/>
        </w:rPr>
        <w:t xml:space="preserve">，金额：履约保证金=</w:t>
      </w:r>
      <w:r>
        <w:rPr>
          <w:rFonts w:hint="eastAsia" w:ascii="宋体" w:hAnsi="宋体" w:eastAsia="宋体" w:cs="宋体"/>
          <w:sz w:val="24"/>
          <w:szCs w:val="24"/>
          <w:lang w:val="en-US" w:eastAsia="zh-CN"/>
        </w:rPr>
        <w:t xml:space="preserve">合同金额</w:t>
      </w: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6.2合同履行结束后，甲方应及时退还交纳的履约保证金。</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6.2.1履约保证金退还方式：***</w:t>
      </w:r>
      <w:r/>
    </w:p>
    <w:p>
      <w:pPr>
        <w:ind w:left="0" w:firstLine="480"/>
        <w:keepLines w:val="0"/>
        <w:keepNext w:val="0"/>
        <w:pageBreakBefore w:val="0"/>
        <w:spacing w:after="100"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6.2.2履约保证金退还时间：***</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6.2.3履约保证金退还条件：***</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6.2.4履约保证金不予退还的情形：***</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3" w:name="_Toc22898"/>
      <w:r/>
      <w:bookmarkStart w:id="94" w:name="_Toc4267"/>
      <w:r>
        <w:rPr>
          <w:rFonts w:hint="eastAsia" w:ascii="宋体" w:hAnsi="宋体" w:eastAsia="宋体" w:cs="宋体"/>
          <w:b/>
          <w:sz w:val="24"/>
          <w:szCs w:val="24"/>
        </w:rPr>
        <w:t xml:space="preserve">七、合同转包或分包</w:t>
      </w:r>
      <w:bookmarkEnd w:id="93"/>
      <w:r/>
      <w:bookmarkEnd w:id="94"/>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5" w:name="_Toc19425"/>
      <w:r/>
      <w:bookmarkStart w:id="96" w:name="_Toc24126"/>
      <w:r>
        <w:rPr>
          <w:rFonts w:hint="eastAsia" w:ascii="宋体" w:hAnsi="宋体" w:eastAsia="宋体" w:cs="宋体"/>
          <w:b/>
          <w:sz w:val="24"/>
          <w:szCs w:val="24"/>
        </w:rPr>
        <w:t xml:space="preserve">八、合同款项支付</w:t>
      </w:r>
      <w:bookmarkEnd w:id="95"/>
      <w:r/>
      <w:bookmarkEnd w:id="96"/>
      <w:r/>
      <w:r/>
    </w:p>
    <w:p>
      <w:pPr>
        <w:ind w:left="0" w:firstLine="480"/>
        <w:keepLines w:val="0"/>
        <w:keepNext w:val="0"/>
        <w:pageBreakBefore w:val="0"/>
        <w:spacing w:after="100"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8.1合同款项的支付方式及进度安排</w:t>
      </w:r>
      <w:r>
        <w:rPr>
          <w:rFonts w:hint="eastAsia" w:ascii="宋体" w:hAnsi="宋体" w:eastAsia="宋体" w:cs="宋体"/>
          <w:sz w:val="24"/>
          <w:szCs w:val="24"/>
          <w:lang w:eastAsia="zh-CN"/>
        </w:rPr>
        <w:t xml:space="preserve">：</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7" w:name="_Toc7407"/>
      <w:r/>
      <w:bookmarkStart w:id="98" w:name="_Toc23219"/>
      <w:r>
        <w:rPr>
          <w:rFonts w:hint="eastAsia" w:ascii="宋体" w:hAnsi="宋体" w:eastAsia="宋体" w:cs="宋体"/>
          <w:b/>
          <w:sz w:val="24"/>
          <w:szCs w:val="24"/>
        </w:rPr>
        <w:t xml:space="preserve">九、税费</w:t>
      </w:r>
      <w:bookmarkEnd w:id="97"/>
      <w:r/>
      <w:bookmarkEnd w:id="98"/>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9" w:name="_Toc24356"/>
      <w:r/>
      <w:bookmarkStart w:id="100" w:name="_Toc22136"/>
      <w:r>
        <w:rPr>
          <w:rFonts w:hint="eastAsia" w:ascii="宋体" w:hAnsi="宋体" w:eastAsia="宋体" w:cs="宋体"/>
          <w:b/>
          <w:sz w:val="24"/>
          <w:szCs w:val="24"/>
        </w:rPr>
        <w:t xml:space="preserve">十、项目验收</w:t>
      </w:r>
      <w:bookmarkEnd w:id="99"/>
      <w:r/>
      <w:bookmarkEnd w:id="100"/>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1" w:name="_Toc25"/>
      <w:r/>
      <w:bookmarkStart w:id="102" w:name="_Toc6824"/>
      <w:r>
        <w:rPr>
          <w:rFonts w:hint="eastAsia" w:ascii="宋体" w:hAnsi="宋体" w:eastAsia="宋体" w:cs="宋体"/>
          <w:b/>
          <w:sz w:val="24"/>
          <w:szCs w:val="24"/>
        </w:rPr>
        <w:t xml:space="preserve">十一、违约责任</w:t>
      </w:r>
      <w:bookmarkEnd w:id="101"/>
      <w:r/>
      <w:bookmarkEnd w:id="102"/>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11.1甲方无正当理由拒绝接受乙方提供的合同标的的，甲方向乙方偿付拒绝接受合同价款总值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甲方无故逾期验收和办理合同款项支付手续的,甲方应按逾期付款总额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每日向乙方支付违约金。</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11.4 乙方交付合同标的的标准不符合合同规定及磋商文件规定标准的，甲方有权拒绝接受合同标的，并可单方面解除合同。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3" w:name="_Toc3946"/>
      <w:r/>
      <w:bookmarkStart w:id="104" w:name="_Toc18127"/>
      <w:r>
        <w:rPr>
          <w:rFonts w:hint="eastAsia" w:ascii="宋体" w:hAnsi="宋体" w:eastAsia="宋体" w:cs="宋体"/>
          <w:b/>
          <w:sz w:val="24"/>
          <w:szCs w:val="24"/>
        </w:rPr>
        <w:t xml:space="preserve">十二、不可抗力事件处理</w:t>
      </w:r>
      <w:bookmarkEnd w:id="103"/>
      <w:r/>
      <w:bookmarkEnd w:id="104"/>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5" w:name="_Toc15016"/>
      <w:r/>
      <w:bookmarkStart w:id="106" w:name="_Toc20504"/>
      <w:r>
        <w:rPr>
          <w:rFonts w:hint="eastAsia" w:ascii="宋体" w:hAnsi="宋体" w:eastAsia="宋体" w:cs="宋体"/>
          <w:b/>
          <w:sz w:val="24"/>
          <w:szCs w:val="24"/>
        </w:rPr>
        <w:t xml:space="preserve">十三、解决争议的方法</w:t>
      </w:r>
      <w:bookmarkEnd w:id="105"/>
      <w:r/>
      <w:bookmarkEnd w:id="106"/>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13.1双方在签订、履行合同中所发生的一切争议，应通过友好协商解决。如协商不成，由甲方住所地人民法院管辖。</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7" w:name="_Toc12954"/>
      <w:r/>
      <w:bookmarkStart w:id="108" w:name="_Toc3809"/>
      <w:r>
        <w:rPr>
          <w:rFonts w:hint="eastAsia" w:ascii="宋体" w:hAnsi="宋体" w:eastAsia="宋体" w:cs="宋体"/>
          <w:b/>
          <w:sz w:val="24"/>
          <w:szCs w:val="24"/>
        </w:rPr>
        <w:t xml:space="preserve">十四、合同生效及其它</w:t>
      </w:r>
      <w:bookmarkEnd w:id="107"/>
      <w:r/>
      <w:bookmarkEnd w:id="108"/>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合同经双方法定代表人或授权委托代表人签字并加盖单位公章后生效。</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13.2本合同未尽事宜，遵照中华人民共和国现行法律法规有关条文执行。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本合同正本一式三份，具有同等法律效力，甲方、乙方及财政监管部门各执一份。</w:t>
      </w:r>
      <w:r/>
    </w:p>
    <w:p>
      <w:pPr>
        <w:ind w:left="480" w:hanging="480"/>
        <w:keepLines w:val="0"/>
        <w:keepNext w:val="0"/>
        <w:pageBreakBefore w:val="0"/>
        <w:spacing w:before="120" w:after="120"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ind w:left="0" w:firstLine="240"/>
        <w:keepLines w:val="0"/>
        <w:keepNext w:val="0"/>
        <w:pageBreakBefore w:val="0"/>
        <w:spacing w:before="120" w:after="120"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left="0" w:firstLine="0"/>
        <w:keepLines w:val="0"/>
        <w:keepNext w:val="0"/>
        <w:pageBreakBefore w:val="0"/>
        <w:spacing w:before="120" w:after="120"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法定代表人或授权代表：        法定代表人或授权代表：</w:t>
      </w:r>
      <w:r/>
    </w:p>
    <w:p>
      <w:pPr>
        <w:ind w:firstLine="240"/>
        <w:keepLines w:val="0"/>
        <w:keepNext w:val="0"/>
        <w:pageBreakBefore w:val="0"/>
        <w:spacing w:before="120" w:after="120" w:line="420" w:lineRule="exact"/>
        <w:widowControl w:val="off"/>
        <w:rPr>
          <w:rFonts w:hint="eastAsia" w:ascii="宋体" w:hAnsi="宋体" w:eastAsia="宋体" w:cs="宋体"/>
          <w:szCs w:val="21"/>
        </w:rPr>
      </w:pPr>
      <w:r>
        <w:rPr>
          <w:rFonts w:hint="eastAsia" w:ascii="宋体" w:hAnsi="宋体" w:eastAsia="宋体" w:cs="宋体"/>
          <w:sz w:val="24"/>
          <w:szCs w:val="24"/>
        </w:rPr>
        <w:t xml:space="preserve">联系电话：                    联系电话：          </w:t>
      </w:r>
      <w:r/>
    </w:p>
    <w:p>
      <w:pPr>
        <w:ind w:firstLine="420"/>
        <w:keepLines w:val="0"/>
        <w:keepNext w:val="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                                          </w:t>
      </w:r>
      <w:r/>
    </w:p>
    <w:p>
      <w:pPr>
        <w:ind w:firstLine="480"/>
        <w:jc w:val="righ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bookmarkEnd w:id="73"/>
      <w:r/>
      <w:bookmarkEnd w:id="74"/>
      <w:r/>
      <w:bookmarkEnd w:id="75"/>
      <w:r/>
      <w:bookmarkEnd w:id="79"/>
      <w:r/>
      <w:r/>
    </w:p>
    <w:p>
      <w:pPr>
        <w:numPr>
          <w:ilvl w:val="0"/>
          <w:numId w:val="0"/>
        </w:numPr>
        <w:rPr>
          <w:rFonts w:hint="eastAsia"/>
          <w:lang w:eastAsia="zh-CN"/>
        </w:rPr>
      </w:pPr>
      <w:r>
        <w:rPr>
          <w:rFonts w:hint="eastAsia"/>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pStyle w:val="854"/>
        <w:jc w:val="center"/>
        <w:keepLines/>
        <w:keepNext/>
        <w:pageBreakBefore/>
        <w:spacing w:before="300" w:after="160" w:line="400" w:lineRule="exact"/>
        <w:widowControl/>
        <w:rPr>
          <w:rFonts w:hint="eastAsia" w:ascii="宋体" w:hAnsi="宋体" w:eastAsia="宋体" w:cs="宋体"/>
          <w:lang w:val="en-US" w:eastAsia="zh-CN"/>
        </w:rPr>
      </w:pPr>
      <w:r/>
      <w:bookmarkStart w:id="109" w:name="_Toc4017"/>
      <w:r>
        <w:rPr>
          <w:rFonts w:hint="eastAsia" w:ascii="宋体" w:hAnsi="宋体" w:eastAsia="宋体" w:cs="宋体"/>
          <w:lang w:val="en-US" w:eastAsia="zh-CN"/>
        </w:rPr>
        <w:t xml:space="preserve">第四章  采购需求</w:t>
      </w:r>
      <w:bookmarkEnd w:id="109"/>
      <w:r/>
      <w:r/>
    </w:p>
    <w:p>
      <w:pPr>
        <w:pStyle w:val="1070"/>
        <w:ind w:left="0" w:firstLine="562"/>
        <w:jc w:val="left"/>
        <w:keepLines w:val="0"/>
        <w:keepNext w:val="0"/>
        <w:pageBreakBefore w:val="0"/>
        <w:spacing w:before="0" w:beforeAutospacing="0" w:after="0" w:afterAutospacing="0" w:line="52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1、</w:t>
      </w:r>
      <w:r>
        <w:rPr>
          <w:rFonts w:hint="eastAsia" w:ascii="宋体" w:hAnsi="宋体" w:eastAsia="宋体" w:cs="宋体"/>
          <w:b/>
          <w:sz w:val="28"/>
          <w:szCs w:val="28"/>
          <w:lang w:val="en-US" w:eastAsia="zh-CN"/>
        </w:rPr>
        <w:t xml:space="preserve">项目名称：</w:t>
      </w:r>
      <w:r>
        <w:rPr>
          <w:rFonts w:hint="eastAsia" w:ascii="宋体" w:hAnsi="宋体" w:eastAsia="宋体" w:cs="宋体"/>
          <w:b w:val="0"/>
          <w:bCs/>
          <w:sz w:val="28"/>
          <w:szCs w:val="28"/>
          <w:u w:val="single"/>
          <w:lang w:val="en-US" w:eastAsia="zh-CN"/>
        </w:rPr>
        <w:t xml:space="preserve">兴化市人民法院</w:t>
      </w:r>
      <w:r>
        <w:rPr>
          <w:rFonts w:hint="eastAsia" w:ascii="宋体" w:hAnsi="宋体" w:eastAsia="宋体" w:cs="宋体"/>
          <w:b w:val="0"/>
          <w:bCs/>
          <w:color w:val="000000" w:themeColor="text1"/>
          <w:sz w:val="28"/>
          <w:szCs w:val="28"/>
          <w:u w:val="single"/>
          <w:lang w:eastAsia="zh-CN"/>
          <w14:textFill>
            <w14:solidFill>
              <w14:schemeClr w14:val="tx1"/>
            </w14:solidFill>
          </w14:textFill>
        </w:rPr>
        <w:t xml:space="preserve">司法辅助事务服务项目</w:t>
      </w:r>
      <w:r/>
    </w:p>
    <w:p>
      <w:pPr>
        <w:pStyle w:val="1070"/>
        <w:ind w:left="0" w:firstLine="560"/>
        <w:jc w:val="left"/>
        <w:keepLines w:val="0"/>
        <w:keepNext w:val="0"/>
        <w:pageBreakBefore w:val="0"/>
        <w:spacing w:before="0" w:beforeAutospacing="0" w:after="0" w:afterAutospacing="0" w:line="520" w:lineRule="exact"/>
        <w:widowControl/>
        <w:rPr>
          <w:rFonts w:hint="eastAsia" w:ascii="宋体" w:hAnsi="宋体" w:eastAsia="宋体" w:cs="宋体"/>
          <w:b/>
          <w:sz w:val="28"/>
          <w:szCs w:val="28"/>
        </w:rPr>
      </w:pPr>
      <w:r>
        <w:rPr>
          <w:rFonts w:hint="eastAsia" w:ascii="宋体" w:hAnsi="宋体" w:eastAsia="宋体" w:cs="宋体"/>
          <w:sz w:val="28"/>
          <w:szCs w:val="28"/>
        </w:rPr>
        <w:t xml:space="preserve">2、本次采购范围包括</w:t>
      </w:r>
      <w:r>
        <w:rPr>
          <w:rFonts w:hint="eastAsia" w:ascii="宋体" w:hAnsi="宋体" w:eastAsia="宋体" w:cs="宋体"/>
          <w:b/>
          <w:sz w:val="28"/>
          <w:szCs w:val="28"/>
          <w:u w:val="single"/>
        </w:rPr>
        <w:t xml:space="preserve">全年案件事务性工作处理、管理费用、材料费、设备、一切税费、保险费、培训费、资料等的全部费用</w:t>
      </w:r>
      <w:r>
        <w:rPr>
          <w:rFonts w:hint="eastAsia" w:ascii="宋体" w:hAnsi="宋体" w:eastAsia="宋体" w:cs="宋体"/>
          <w:b/>
          <w:sz w:val="28"/>
          <w:szCs w:val="28"/>
        </w:rPr>
        <w:t xml:space="preserve">。</w:t>
      </w:r>
      <w:r/>
    </w:p>
    <w:p>
      <w:pPr>
        <w:pStyle w:val="916"/>
        <w:ind w:left="0" w:firstLine="560"/>
        <w:jc w:val="left"/>
        <w:keepLines w:val="0"/>
        <w:keepNext w:val="0"/>
        <w:pageBreakBefore w:val="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本项目</w:t>
      </w:r>
      <w:r>
        <w:rPr>
          <w:rFonts w:hint="eastAsia" w:ascii="宋体" w:hAnsi="宋体" w:eastAsia="宋体" w:cs="宋体"/>
          <w:color w:val="000000" w:themeColor="text1"/>
          <w:sz w:val="28"/>
          <w:szCs w:val="28"/>
          <w14:textFill>
            <w14:solidFill>
              <w14:schemeClr w14:val="tx1"/>
            </w14:solidFill>
          </w14:textFill>
        </w:rPr>
        <w:t xml:space="preserve">预算金额：</w:t>
      </w:r>
      <w:r>
        <w:rPr>
          <w:rFonts w:hint="eastAsia" w:ascii="宋体" w:hAnsi="宋体" w:cs="宋体"/>
          <w:color w:val="000000" w:themeColor="text1"/>
          <w:sz w:val="28"/>
          <w:szCs w:val="28"/>
          <w:lang w:val="en-US" w:eastAsia="zh-CN"/>
          <w14:textFill>
            <w14:solidFill>
              <w14:schemeClr w14:val="tx1"/>
            </w14:solidFill>
          </w14:textFill>
        </w:rPr>
        <w:t xml:space="preserve">760</w:t>
      </w:r>
      <w:r>
        <w:rPr>
          <w:rFonts w:hint="eastAsia" w:ascii="宋体" w:hAnsi="宋体" w:eastAsia="宋体" w:cs="宋体"/>
          <w:color w:val="000000" w:themeColor="text1"/>
          <w:sz w:val="28"/>
          <w:szCs w:val="28"/>
          <w:lang w:val="en-US" w:eastAsia="zh-CN"/>
          <w14:textFill>
            <w14:solidFill>
              <w14:schemeClr w14:val="tx1"/>
            </w14:solidFill>
          </w14:textFill>
        </w:rPr>
        <w:t xml:space="preserve">.00万</w:t>
      </w:r>
      <w:r>
        <w:rPr>
          <w:rFonts w:hint="eastAsia" w:ascii="宋体" w:hAnsi="宋体" w:eastAsia="宋体" w:cs="宋体"/>
          <w:color w:val="000000" w:themeColor="text1"/>
          <w:sz w:val="28"/>
          <w:szCs w:val="28"/>
          <w14:textFill>
            <w14:solidFill>
              <w14:schemeClr w14:val="tx1"/>
            </w14:solidFill>
          </w14:textFill>
        </w:rPr>
        <w:t xml:space="preserve">元</w:t>
      </w:r>
      <w:r>
        <w:rPr>
          <w:rFonts w:hint="eastAsia" w:ascii="宋体" w:hAnsi="宋体" w:eastAsia="宋体" w:cs="宋体"/>
          <w:color w:val="000000" w:themeColor="text1"/>
          <w:sz w:val="28"/>
          <w:szCs w:val="28"/>
          <w:lang w:val="en-US" w:eastAsia="zh-CN"/>
          <w14:textFill>
            <w14:solidFill>
              <w14:schemeClr w14:val="tx1"/>
            </w14:solidFill>
          </w14:textFill>
        </w:rPr>
        <w:t xml:space="preserve">/2年</w:t>
      </w:r>
      <w:r/>
    </w:p>
    <w:p>
      <w:pPr>
        <w:pStyle w:val="1070"/>
        <w:ind w:left="0" w:firstLine="560"/>
        <w:jc w:val="left"/>
        <w:keepLines w:val="0"/>
        <w:keepNext w:val="0"/>
        <w:pageBreakBefore w:val="0"/>
        <w:spacing w:before="0" w:beforeAutospacing="0" w:after="0" w:afterAutospacing="0" w:line="520" w:lineRule="exact"/>
        <w:widowControl/>
        <w:rPr>
          <w:rFonts w:hint="eastAsia" w:ascii="宋体" w:hAnsi="宋体" w:eastAsia="宋体" w:cs="宋体"/>
          <w:color w:val="ff0000"/>
          <w:sz w:val="28"/>
          <w:szCs w:val="28"/>
        </w:rPr>
      </w:pPr>
      <w:r>
        <w:rPr>
          <w:rFonts w:hint="eastAsia" w:ascii="宋体" w:hAnsi="宋体" w:eastAsia="宋体" w:cs="宋体"/>
          <w:color w:val="000000" w:themeColor="text1"/>
          <w:sz w:val="28"/>
          <w:szCs w:val="28"/>
          <w:lang w:val="en-US" w:eastAsia="zh-CN"/>
          <w14:textFill>
            <w14:solidFill>
              <w14:schemeClr w14:val="tx1"/>
            </w14:solidFill>
          </w14:textFill>
        </w:rPr>
        <w:t xml:space="preserve">4、本项目最高限价：</w:t>
      </w:r>
      <w:r>
        <w:rPr>
          <w:rFonts w:hint="eastAsia" w:eastAsia="宋体" w:cs="宋体"/>
          <w:color w:val="000000" w:themeColor="text1"/>
          <w:sz w:val="28"/>
          <w:szCs w:val="28"/>
          <w:lang w:val="en-US" w:eastAsia="zh-CN"/>
          <w14:textFill>
            <w14:solidFill>
              <w14:schemeClr w14:val="tx1"/>
            </w14:solidFill>
          </w14:textFill>
        </w:rPr>
        <w:t xml:space="preserve">360</w:t>
      </w:r>
      <w:r>
        <w:rPr>
          <w:rFonts w:hint="eastAsia" w:ascii="宋体" w:hAnsi="宋体" w:eastAsia="宋体" w:cs="宋体"/>
          <w:color w:val="000000" w:themeColor="text1"/>
          <w:sz w:val="28"/>
          <w:szCs w:val="28"/>
          <w14:textFill>
            <w14:solidFill>
              <w14:schemeClr w14:val="tx1"/>
            </w14:solidFill>
          </w14:textFill>
        </w:rPr>
        <w:t xml:space="preserve">.00</w:t>
      </w:r>
      <w:r>
        <w:rPr>
          <w:rFonts w:hint="eastAsia" w:ascii="宋体" w:hAnsi="宋体" w:eastAsia="宋体" w:cs="宋体"/>
          <w:color w:val="000000" w:themeColor="text1"/>
          <w:sz w:val="28"/>
          <w:szCs w:val="28"/>
          <w:lang w:val="en-US" w:eastAsia="zh-CN"/>
          <w14:textFill>
            <w14:solidFill>
              <w14:schemeClr w14:val="tx1"/>
            </w14:solidFill>
          </w14:textFill>
        </w:rPr>
        <w:t xml:space="preserve">万</w:t>
      </w:r>
      <w:r>
        <w:rPr>
          <w:rFonts w:hint="eastAsia" w:ascii="宋体" w:hAnsi="宋体" w:eastAsia="宋体" w:cs="宋体"/>
          <w:color w:val="000000" w:themeColor="text1"/>
          <w:sz w:val="28"/>
          <w:szCs w:val="28"/>
          <w14:textFill>
            <w14:solidFill>
              <w14:schemeClr w14:val="tx1"/>
            </w14:solidFill>
          </w14:textFill>
        </w:rPr>
        <w:t xml:space="preserve">元</w:t>
      </w:r>
      <w:r>
        <w:rPr>
          <w:rFonts w:hint="eastAsia" w:ascii="宋体" w:hAnsi="宋体" w:eastAsia="宋体" w:cs="宋体"/>
          <w:color w:val="000000" w:themeColor="text1"/>
          <w:sz w:val="28"/>
          <w:szCs w:val="28"/>
          <w:lang w:val="en-US" w:eastAsia="zh-CN"/>
          <w14:textFill>
            <w14:solidFill>
              <w14:schemeClr w14:val="tx1"/>
            </w14:solidFill>
          </w14:textFill>
        </w:rPr>
        <w:t xml:space="preserve">/1年</w:t>
      </w:r>
      <w:r/>
    </w:p>
    <w:p>
      <w:pPr>
        <w:pStyle w:val="1070"/>
        <w:ind w:left="0" w:firstLine="560"/>
        <w:jc w:val="left"/>
        <w:keepLines w:val="0"/>
        <w:keepNext w:val="0"/>
        <w:pageBreakBefore w:val="0"/>
        <w:spacing w:before="0" w:beforeAutospacing="0" w:after="0" w:afterAutospacing="0"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服务期</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2年。</w:t>
      </w:r>
      <w:r/>
    </w:p>
    <w:p>
      <w:pPr>
        <w:pStyle w:val="1070"/>
        <w:ind w:left="0" w:firstLine="560"/>
        <w:jc w:val="left"/>
        <w:keepLines w:val="0"/>
        <w:keepNext w:val="0"/>
        <w:pageBreakBefore w:val="0"/>
        <w:spacing w:before="0" w:beforeAutospacing="0" w:after="0" w:afterAutospacing="0"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w:t>
      </w:r>
      <w:r>
        <w:rPr>
          <w:rFonts w:hint="eastAsia" w:ascii="宋体" w:hAnsi="宋体" w:eastAsia="宋体" w:cs="宋体"/>
          <w:color w:val="auto"/>
          <w:sz w:val="28"/>
          <w:szCs w:val="28"/>
        </w:rPr>
        <w:t xml:space="preserve">报价</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《开标一览表》</w:t>
      </w:r>
      <w:r>
        <w:rPr>
          <w:rFonts w:hint="eastAsia" w:ascii="宋体" w:hAnsi="宋体" w:eastAsia="宋体" w:cs="宋体"/>
          <w:color w:val="auto"/>
          <w:sz w:val="28"/>
          <w:szCs w:val="28"/>
          <w:lang w:val="en-US" w:eastAsia="zh-CN"/>
        </w:rPr>
        <w:t xml:space="preserve">中的报价</w:t>
      </w:r>
      <w:r>
        <w:rPr>
          <w:rFonts w:hint="eastAsia" w:ascii="宋体" w:hAnsi="宋体" w:eastAsia="宋体" w:cs="宋体"/>
          <w:color w:val="auto"/>
          <w:sz w:val="28"/>
          <w:szCs w:val="28"/>
        </w:rPr>
        <w:t xml:space="preserve">高于采购最高限价的，将被判定为无效投标文件。</w:t>
      </w:r>
      <w:r/>
    </w:p>
    <w:p>
      <w:pPr>
        <w:ind w:left="0" w:firstLine="560"/>
        <w:jc w:val="left"/>
        <w:keepLines w:val="0"/>
        <w:keepNext w:val="0"/>
        <w:pageBreakBefore w:val="0"/>
        <w:spacing w:after="0" w:line="520" w:lineRule="exac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特别提醒：</w:t>
      </w:r>
      <w:r>
        <w:rPr>
          <w:rFonts w:hint="eastAsia" w:ascii="宋体" w:hAnsi="宋体" w:eastAsia="宋体" w:cs="宋体"/>
          <w:color w:val="auto"/>
          <w:sz w:val="28"/>
          <w:szCs w:val="28"/>
        </w:rPr>
        <w:t xml:space="preserve">《开标一览表》</w:t>
      </w:r>
      <w:r>
        <w:rPr>
          <w:rFonts w:hint="eastAsia" w:ascii="宋体" w:hAnsi="宋体" w:eastAsia="宋体" w:cs="宋体"/>
          <w:color w:val="auto"/>
          <w:sz w:val="28"/>
          <w:szCs w:val="28"/>
          <w:lang w:val="en-US" w:eastAsia="zh-CN"/>
        </w:rPr>
        <w:t xml:space="preserve">所填报价为一年服务单价。合同一年一签。</w:t>
      </w:r>
      <w:r/>
    </w:p>
    <w:p>
      <w:pPr>
        <w:ind w:left="0" w:firstLine="560"/>
        <w:jc w:val="left"/>
        <w:keepLines w:val="0"/>
        <w:keepNext w:val="0"/>
        <w:pageBreakBefore w:val="0"/>
        <w:spacing w:after="0" w:line="520" w:lineRule="exac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7、采购标的的所属行业：参照《关于印发中小企业划型标准规定的通知》（工信部联企业[2011]300号）文件，本项目采购标的所属行业为</w:t>
      </w:r>
      <w:r>
        <w:rPr>
          <w:rFonts w:hint="eastAsia" w:ascii="宋体" w:hAnsi="宋体" w:eastAsia="宋体" w:cs="宋体"/>
          <w:b/>
          <w:bCs/>
          <w:color w:val="auto"/>
          <w:sz w:val="28"/>
          <w:szCs w:val="28"/>
          <w:u w:val="single"/>
          <w:lang w:val="en-US" w:eastAsia="zh-CN"/>
        </w:rPr>
        <w:t xml:space="preserve">租赁和商务服务业</w:t>
      </w:r>
      <w:r>
        <w:rPr>
          <w:rFonts w:hint="eastAsia" w:ascii="宋体" w:hAnsi="宋体" w:eastAsia="宋体" w:cs="宋体"/>
          <w:color w:val="auto"/>
          <w:sz w:val="28"/>
          <w:szCs w:val="28"/>
          <w:lang w:val="en-US" w:eastAsia="zh-CN"/>
        </w:rPr>
        <w:t xml:space="preserve">。</w:t>
      </w:r>
      <w:r/>
    </w:p>
    <w:p>
      <w:pPr>
        <w:pStyle w:val="1070"/>
        <w:numPr>
          <w:ilvl w:val="0"/>
          <w:numId w:val="0"/>
        </w:numPr>
        <w:ind w:left="0" w:firstLine="562"/>
        <w:jc w:val="left"/>
        <w:keepLines w:val="0"/>
        <w:keepNext w:val="0"/>
        <w:pageBreakBefore w:val="0"/>
        <w:spacing w:before="0" w:beforeAutospacing="0" w:after="0" w:afterAutospacing="0" w:line="520" w:lineRule="exact"/>
        <w:widowControl/>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eastAsia="宋体" w:cs="宋体"/>
          <w:b/>
          <w:bCs/>
          <w:color w:val="000000" w:themeColor="text1"/>
          <w:sz w:val="28"/>
          <w:szCs w:val="28"/>
          <w:lang w:val="en-US" w:eastAsia="zh-CN"/>
          <w14:textFill>
            <w14:solidFill>
              <w14:schemeClr w14:val="tx1"/>
            </w14:solidFill>
          </w14:textFill>
        </w:rPr>
        <w:t xml:space="preserve">6、</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采购需求</w:t>
      </w:r>
      <w:r/>
    </w:p>
    <w:p>
      <w:pPr>
        <w:numPr>
          <w:ilvl w:val="0"/>
          <w:numId w:val="6"/>
        </w:numPr>
        <w:ind w:left="0" w:firstLine="0"/>
        <w:jc w:val="center"/>
        <w:keepLines w:val="0"/>
        <w:keepNext w:val="0"/>
        <w:pageBreakBefore w:val="0"/>
        <w:spacing w:after="100" w:line="520" w:lineRule="exact"/>
        <w:widowControl/>
        <w:tabs>
          <w:tab w:val="left" w:pos="709" w:leader="none"/>
          <w:tab w:val="left" w:pos="992"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总  则</w:t>
      </w:r>
      <w:r/>
    </w:p>
    <w:p>
      <w:pPr>
        <w:numPr>
          <w:ilvl w:val="0"/>
          <w:numId w:val="7"/>
        </w:numPr>
        <w:ind w:left="0" w:firstLine="480"/>
        <w:jc w:val="left"/>
        <w:keepLines w:val="0"/>
        <w:keepNext w:val="0"/>
        <w:pageBreakBefore w:val="0"/>
        <w:spacing w:after="0" w:line="4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本次招标的范围为：兴化市人民法院司法辅助事务性工作服务采购项目。</w:t>
      </w:r>
      <w:r/>
    </w:p>
    <w:p>
      <w:pPr>
        <w:numPr>
          <w:ilvl w:val="0"/>
          <w:numId w:val="7"/>
        </w:numPr>
        <w:ind w:left="0" w:firstLine="480"/>
        <w:jc w:val="left"/>
        <w:keepLines w:val="0"/>
        <w:keepNext w:val="0"/>
        <w:pageBreakBefore w:val="0"/>
        <w:spacing w:after="0" w:line="4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除经兴化市人民法院同意外，</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不得再以任何方式转包或分包。</w:t>
      </w:r>
      <w:r/>
    </w:p>
    <w:p>
      <w:pPr>
        <w:numPr>
          <w:ilvl w:val="0"/>
          <w:numId w:val="7"/>
        </w:numPr>
        <w:ind w:left="0" w:firstLine="480"/>
        <w:jc w:val="left"/>
        <w:keepLines w:val="0"/>
        <w:keepNext w:val="0"/>
        <w:pageBreakBefore w:val="0"/>
        <w:spacing w:after="0" w:line="4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承包及负责招标文件对</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要求的一切事宜及责任。</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合同签订事宜：中标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应当在中标通知书发出后</w:t>
      </w:r>
      <w:r>
        <w:rPr>
          <w:rFonts w:hint="eastAsia" w:ascii="宋体" w:hAnsi="宋体" w:eastAsia="宋体" w:cs="宋体"/>
          <w:color w:val="000000"/>
          <w:sz w:val="24"/>
          <w:szCs w:val="24"/>
          <w:lang w:val="en-US" w:eastAsia="zh-CN"/>
        </w:rPr>
        <w:t xml:space="preserve">立即</w:t>
      </w:r>
      <w:r>
        <w:rPr>
          <w:rFonts w:hint="eastAsia" w:ascii="宋体" w:hAnsi="宋体" w:eastAsia="宋体" w:cs="宋体"/>
          <w:color w:val="000000"/>
          <w:sz w:val="24"/>
          <w:szCs w:val="24"/>
        </w:rPr>
        <w:t xml:space="preserve">与兴化市人民法院签订合同，签订合同后</w:t>
      </w:r>
      <w:r>
        <w:rPr>
          <w:rFonts w:hint="eastAsia" w:ascii="宋体" w:hAnsi="宋体" w:eastAsia="宋体" w:cs="宋体"/>
          <w:color w:val="000000"/>
          <w:sz w:val="24"/>
          <w:szCs w:val="24"/>
          <w:lang w:val="en-US" w:eastAsia="zh-CN"/>
        </w:rPr>
        <w:t xml:space="preserve">按照合同服务时间</w:t>
      </w:r>
      <w:r>
        <w:rPr>
          <w:rFonts w:hint="eastAsia" w:ascii="宋体" w:hAnsi="宋体" w:eastAsia="宋体" w:cs="宋体"/>
          <w:color w:val="000000"/>
          <w:sz w:val="24"/>
          <w:szCs w:val="24"/>
        </w:rPr>
        <w:t xml:space="preserve">进场正常开展工作。合同一年一签，经采购人考核合格，可续签下一年度合同</w:t>
      </w:r>
      <w:r>
        <w:rPr>
          <w:rFonts w:hint="eastAsia" w:ascii="宋体" w:hAnsi="宋体" w:eastAsia="宋体" w:cs="宋体"/>
          <w:b/>
          <w:bCs/>
          <w:color w:val="000000"/>
          <w:sz w:val="24"/>
          <w:szCs w:val="24"/>
          <w:lang w:val="en-US" w:eastAsia="zh-CN"/>
        </w:rPr>
        <w:t xml:space="preserve">，如考核不合格，采购人有权拒绝续签合同，并不承担任何责任。</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根据项目内容要求，完成整体运作流程图、设置岗位工作说明书、工作流程、工作业务量。</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需负责各岗位人员的招聘、上岗培训、日常管理、业务流程等全面性的工作。不得出现因岗位设置不齐全、岗位人数不符合而导致的工作效率问题，拖延法院的案件流转速度。</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兴化市人民法院负责对项目运转的结果和质效进行验收。</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本项目涉及人民法院日常审判业务流程及节点，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根据自身情况如有需要前往勘查现场。</w:t>
      </w:r>
      <w:r/>
    </w:p>
    <w:p>
      <w:pPr>
        <w:numPr>
          <w:ilvl w:val="0"/>
          <w:numId w:val="6"/>
        </w:numPr>
        <w:ind w:left="0" w:firstLine="0"/>
        <w:jc w:val="center"/>
        <w:keepLines w:val="0"/>
        <w:keepNext w:val="0"/>
        <w:pageBreakBefore w:val="0"/>
        <w:spacing w:before="100" w:after="100" w:line="520" w:lineRule="exact"/>
        <w:widowControl/>
        <w:tabs>
          <w:tab w:val="left" w:pos="709" w:leader="none"/>
          <w:tab w:val="left" w:pos="992"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项目需求</w:t>
      </w:r>
      <w:r/>
    </w:p>
    <w:tbl>
      <w:tblPr>
        <w:tblStyle w:val="864"/>
        <w:tblW w:w="8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7"/>
        <w:gridCol w:w="1459"/>
        <w:gridCol w:w="3519"/>
        <w:gridCol w:w="1676"/>
      </w:tblGrid>
      <w:tr>
        <w:trPr>
          <w:jc w:val="center"/>
          <w:trHeight w:val="588"/>
          <w:tblHeader/>
        </w:trPr>
        <w:tc>
          <w:tcPr>
            <w:tcW w:w="197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工作概述</w:t>
            </w:r>
            <w:r/>
          </w:p>
        </w:tc>
        <w:tc>
          <w:tcPr>
            <w:tcW w:w="145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服务期限</w:t>
            </w:r>
            <w:r/>
          </w:p>
        </w:tc>
        <w:tc>
          <w:tcPr>
            <w:tcW w:w="351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近三年度接、收案件数量</w:t>
            </w:r>
            <w:r/>
          </w:p>
        </w:tc>
        <w:tc>
          <w:tcPr>
            <w:tcW w:w="167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工作人员数量</w:t>
            </w:r>
            <w:r/>
          </w:p>
        </w:tc>
      </w:tr>
      <w:tr>
        <w:trPr>
          <w:jc w:val="center"/>
          <w:trHeight w:val="1124"/>
        </w:trPr>
        <w:tc>
          <w:tcPr>
            <w:tcW w:w="197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司法辅助事务性工作社会化服务</w:t>
            </w:r>
            <w:r/>
          </w:p>
        </w:tc>
        <w:tc>
          <w:tcPr>
            <w:tcW w:w="145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2年</w:t>
            </w:r>
            <w:r/>
          </w:p>
        </w:tc>
        <w:tc>
          <w:tcPr>
            <w:tcW w:w="351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23年、收21384、结21749；</w:t>
            </w:r>
            <w:r/>
          </w:p>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24年、收22222、结21709；</w:t>
            </w:r>
            <w:r/>
          </w:p>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25年、收30206、结27662。</w:t>
            </w:r>
            <w:r/>
          </w:p>
        </w:tc>
        <w:tc>
          <w:tcPr>
            <w:tcW w:w="167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50人</w:t>
            </w:r>
            <w:r/>
          </w:p>
        </w:tc>
      </w:tr>
    </w:tbl>
    <w:p>
      <w:pPr>
        <w:numPr>
          <w:ilvl w:val="0"/>
          <w:numId w:val="6"/>
        </w:numPr>
        <w:ind w:left="0" w:firstLine="0"/>
        <w:jc w:val="center"/>
        <w:keepLines w:val="0"/>
        <w:keepNext w:val="0"/>
        <w:pageBreakBefore w:val="0"/>
        <w:spacing w:before="100" w:after="10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司法辅助事务性工作社会化服务人员条件、办公设备要求</w:t>
      </w:r>
      <w:r/>
    </w:p>
    <w:p>
      <w:pPr>
        <w:numPr>
          <w:ilvl w:val="0"/>
          <w:numId w:val="8"/>
        </w:numPr>
        <w:ind w:left="0" w:firstLine="420"/>
        <w:keepLines w:val="0"/>
        <w:keepNext w:val="0"/>
        <w:pageBreakBefore w:val="0"/>
        <w:spacing w:after="0" w:line="5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现场服务人员学历要求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项目管理人员必须是本科及以上学历，项目其他人员须是大专及以上学历。</w:t>
      </w:r>
      <w:r/>
    </w:p>
    <w:p>
      <w:pPr>
        <w:numPr>
          <w:ilvl w:val="0"/>
          <w:numId w:val="8"/>
        </w:numPr>
        <w:ind w:left="0" w:firstLine="420"/>
        <w:keepLines w:val="0"/>
        <w:keepNext w:val="0"/>
        <w:pageBreakBefore w:val="0"/>
        <w:spacing w:after="0" w:line="5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现场服务人员素质要求</w:t>
      </w:r>
      <w:r>
        <w:rPr>
          <w:rFonts w:hint="eastAsia" w:ascii="宋体" w:hAnsi="宋体" w:eastAsia="宋体" w:cs="宋体"/>
          <w:color w:val="000000"/>
          <w:sz w:val="24"/>
          <w:szCs w:val="24"/>
          <w:lang w:eastAsia="zh-CN"/>
        </w:rPr>
        <w:t xml:space="preserve">：</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具有中华人民共和国国籍，拥护党的理论和路线方针政策，遵纪守法，具有较强的政治素质、良好的职业道德，无违法违纪受处分记录，热爱法院工作；</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身体健康，五官端正，无传染病；具有正常履行职责的身体条件和工作能力，能胜任相关司法辅助性岗位的工作；</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具有较强的语言表达能力及组织协调能力；工作积极主动、执行能力强；具有良好的团队合作精神、强烈的责任感和进取心，严格的组织纪律性和保密意识；</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能熟练操作计算机，会使用常用办公软件（如：Word、Excel等），快速进行文字输入工作及档案整理工作；</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严格遵守泰州市兴化市人民法院日常规章管理制度和工作。</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有下列情形之一的不得担任本项目的工作人员：</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本人及其近亲属因犯罪受过刑事处罚的；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曾被开除公职或辞退的；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涉嫌违法违纪正在接受审查的，尚未作出结论的；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本人及其近亲属有不良信用记录的，被法院列入失信人员名单的；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法律、法规规定的其他不得应聘的情形。</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最终现场服务人员由</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进行政审，政审合格后方可上岗。</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现场服务人员应统一着装上岗，统一着装须标有明显的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公司标识标牌等。</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办公设备要求</w:t>
      </w:r>
      <w:r>
        <w:rPr>
          <w:rFonts w:hint="eastAsia" w:ascii="宋体" w:hAnsi="宋体" w:eastAsia="宋体" w:cs="宋体"/>
          <w:color w:val="000000"/>
          <w:sz w:val="24"/>
          <w:szCs w:val="24"/>
          <w:lang w:eastAsia="zh-CN"/>
        </w:rPr>
        <w:t xml:space="preserve">：</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由泰州市兴化市人民法院负责提供服务场地、必要的办公条件(包括但不限于办公桌椅、文件柜、储物柜等)和工作用品及耗材；</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由兴化市人民法院负责提供办公设备(包括但不限于电脑、打印机、扫描仪、电话机等)。</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应当正确使用所有办公设备，如因</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工作人员使用不当导致设备毁损的，</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应当承担相应的赔偿责任。</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相关要求</w:t>
      </w:r>
      <w:r>
        <w:rPr>
          <w:rFonts w:hint="eastAsia" w:ascii="宋体" w:hAnsi="宋体" w:eastAsia="宋体" w:cs="宋体"/>
          <w:color w:val="000000"/>
          <w:sz w:val="24"/>
          <w:szCs w:val="24"/>
          <w:lang w:eastAsia="zh-CN"/>
        </w:rPr>
        <w:t xml:space="preserve">：</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1.中标单位严格按合同法予以员工交纳“五险一金’；</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2.中标单位签定合同七个工作日内，需要向甲方交纳合同总价的10%，作为合同履约保证金；</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3.中标单位应加强对人员管理、培训、教育；利用一切办法调动员工工作积极性；</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4.中标单位提供50名符合规定的员工用于本项目工作，从离岗到新员工上岗，补缺时间不得超过7个工作日；</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5.本项目员工不得从事本项目之外的工作，法务外包项目与卷宗扫描项目之间员工不得借用，不得对调使用；</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6.中标单位因为员工工作失误，引发导致当事人信访、投诉所产生的损失、费用，应当由中标单位主动对接负责赔偿。</w:t>
      </w:r>
      <w:r/>
    </w:p>
    <w:p>
      <w:pPr>
        <w:numPr>
          <w:ilvl w:val="0"/>
          <w:numId w:val="6"/>
        </w:numPr>
        <w:ind w:left="0" w:firstLine="0"/>
        <w:jc w:val="center"/>
        <w:keepLines w:val="0"/>
        <w:keepNext w:val="0"/>
        <w:pageBreakBefore w:val="0"/>
        <w:spacing w:before="100" w:after="10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项目内容</w:t>
      </w:r>
      <w:r/>
    </w:p>
    <w:p>
      <w:pPr>
        <w:ind w:firstLine="561"/>
        <w:keepLines w:val="0"/>
        <w:keepNext w:val="0"/>
        <w:pageBreakBefore w:val="0"/>
        <w:spacing w:after="0" w:line="360" w:lineRule="auto"/>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兴化市人民法院司法辅助事务服务，包含诉讼服务辅助工作、审判业务辅助工作、执行业务辅助工作等一系列的辅助事务性工作。</w:t>
      </w:r>
      <w:r/>
    </w:p>
    <w:tbl>
      <w:tblPr>
        <w:tblStyle w:val="864"/>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337"/>
        <w:gridCol w:w="2936"/>
        <w:gridCol w:w="1337"/>
        <w:gridCol w:w="1022"/>
      </w:tblGrid>
      <w:tr>
        <w:trPr>
          <w:jc w:val="center"/>
          <w:trHeight w:val="376"/>
          <w:tblHeader/>
        </w:trPr>
        <w:tc>
          <w:tcPr>
            <w:shd w:val="clear" w:color="auto" w:fill="auto"/>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序号</w:t>
            </w:r>
            <w:r/>
          </w:p>
        </w:tc>
        <w:tc>
          <w:tcPr>
            <w:shd w:val="clear" w:color="auto" w:fill="auto"/>
            <w:tcW w:w="2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岗位类型</w:t>
            </w:r>
            <w:r/>
          </w:p>
        </w:tc>
        <w:tc>
          <w:tcPr>
            <w:shd w:val="clear" w:color="auto" w:fill="auto"/>
            <w:tcW w:w="293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岗位明细</w:t>
            </w:r>
            <w:r/>
          </w:p>
        </w:tc>
        <w:tc>
          <w:tcPr>
            <w:shd w:val="clear" w:color="auto" w:fill="auto"/>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配置人数</w:t>
            </w:r>
            <w:r/>
          </w:p>
        </w:tc>
        <w:tc>
          <w:tcPr>
            <w:shd w:val="clear" w:color="auto" w:fill="auto"/>
            <w:tcW w:w="102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备注</w:t>
            </w:r>
            <w:r/>
          </w:p>
        </w:tc>
      </w:tr>
      <w:tr>
        <w:trPr>
          <w:jc w:val="center"/>
          <w:trHeight w:val="419"/>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管理人员</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业务主管</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行政助理</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r>
      <w:tr>
        <w:trPr>
          <w:jc w:val="center"/>
          <w:trHeight w:val="324"/>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3</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color w:val="222222"/>
                <w:sz w:val="24"/>
                <w:szCs w:val="24"/>
                <w:lang w:bidi="ar"/>
              </w:rPr>
              <w:t xml:space="preserve">诉讼辅助</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事务小组</w:t>
            </w:r>
            <w:r/>
          </w:p>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color w:val="222222"/>
                <w:sz w:val="24"/>
                <w:szCs w:val="24"/>
                <w:lang w:bidi="ar"/>
              </w:rPr>
              <w:t xml:space="preserve">（10人）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立案诉导</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9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4</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智能编目扫描</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8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5</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立案录入</w:t>
            </w:r>
            <w:r/>
          </w:p>
        </w:tc>
        <w:tc>
          <w:tcPr>
            <w:tcW w:w="1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1022"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7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6</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跨域立案</w:t>
            </w:r>
            <w:r/>
          </w:p>
        </w:tc>
        <w:tc>
          <w:tcPr>
            <w:tcW w:w="1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22"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7</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诉前调解录入</w:t>
            </w:r>
            <w:r/>
          </w:p>
        </w:tc>
        <w:tc>
          <w:tcPr>
            <w:tcW w:w="1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8</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“微解纷”平台维护</w:t>
            </w:r>
            <w:r/>
          </w:p>
        </w:tc>
        <w:tc>
          <w:tcPr>
            <w:tcW w:w="1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9</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材料收转岗</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10</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鉴定辅助</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11</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档案卷调档</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48"/>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12</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审判辅助</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事务小组</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lang w:bidi="ar"/>
              </w:rPr>
              <w:t xml:space="preserve">（20人）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卷宗流转</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13</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案件排期</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14</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应诉文书制作</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15</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sz w:val="24"/>
                <w:szCs w:val="24"/>
                <w:lang w:bidi="ar"/>
              </w:rPr>
              <w:t xml:space="preserve">跟案送达</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16</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派出法庭送达</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ff0000"/>
                <w:sz w:val="24"/>
                <w:szCs w:val="24"/>
                <w:lang w:bidi="ar"/>
              </w:rPr>
            </w:pPr>
            <w:r>
              <w:rPr>
                <w:rFonts w:hint="eastAsia" w:ascii="宋体" w:hAnsi="宋体" w:eastAsia="宋体" w:cs="宋体"/>
                <w:color w:val="ff0000"/>
                <w:sz w:val="24"/>
                <w:szCs w:val="24"/>
                <w:lang w:bidi="ar"/>
              </w:rPr>
            </w:r>
            <w:r/>
          </w:p>
        </w:tc>
      </w:tr>
      <w:tr>
        <w:trPr>
          <w:jc w:val="center"/>
          <w:trHeight w:val="342"/>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17</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sz w:val="24"/>
                <w:szCs w:val="24"/>
                <w:lang w:bidi="ar"/>
              </w:rPr>
              <w:t xml:space="preserve">EMS对接岗</w:t>
            </w:r>
            <w:r/>
          </w:p>
        </w:tc>
        <w:tc>
          <w:tcPr>
            <w:tcW w:w="1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W w:w="1022"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66"/>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18</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公告岗</w:t>
            </w:r>
            <w:r/>
          </w:p>
        </w:tc>
        <w:tc>
          <w:tcPr>
            <w:tcW w:w="1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022"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19</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执行辅助</w:t>
            </w:r>
            <w:r/>
          </w:p>
          <w:p>
            <w:pPr>
              <w:ind w:left="0" w:right="0" w:firstLine="0"/>
              <w:jc w:val="center"/>
              <w:keepLines w:val="0"/>
              <w:keepNext w:val="0"/>
              <w:pageBreakBefore w:val="0"/>
              <w:spacing w:after="0" w:line="240" w:lineRule="exact"/>
              <w:widowControl/>
              <w:rPr>
                <w:rFonts w:hint="eastAsia" w:ascii="宋体" w:hAnsi="宋体" w:eastAsia="宋体" w:cs="宋体"/>
                <w:b/>
                <w:color w:val="auto"/>
                <w:sz w:val="24"/>
                <w:szCs w:val="24"/>
              </w:rPr>
            </w:pPr>
            <w:r>
              <w:rPr>
                <w:rFonts w:hint="eastAsia" w:ascii="宋体" w:hAnsi="宋体" w:eastAsia="宋体" w:cs="宋体"/>
                <w:color w:val="auto"/>
                <w:sz w:val="24"/>
                <w:szCs w:val="24"/>
                <w:lang w:bidi="ar"/>
              </w:rPr>
              <w:t xml:space="preserve">事务小组</w:t>
            </w:r>
            <w:r/>
          </w:p>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bidi="ar"/>
              </w:rPr>
              <w:t xml:space="preserve">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立案录入</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20</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color w:val="auto"/>
                <w:sz w:val="24"/>
                <w:szCs w:val="24"/>
              </w:rPr>
            </w:pPr>
            <w:r>
              <w:rPr>
                <w:rFonts w:hint="eastAsia" w:ascii="宋体" w:hAnsi="宋体" w:eastAsia="宋体" w:cs="宋体"/>
                <w:color w:val="auto"/>
                <w:sz w:val="24"/>
                <w:szCs w:val="24"/>
                <w:lang w:bidi="ar"/>
              </w:rPr>
              <w:t xml:space="preserve">电话接听</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21</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卷宗流转</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22</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网络查控</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3</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23</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sz w:val="24"/>
                <w:szCs w:val="24"/>
                <w:lang w:bidi="ar"/>
              </w:rPr>
              <w:t xml:space="preserve">文书草拟</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24</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执行中间库（4人）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扫描岗</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25</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节点预警</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26</w:t>
            </w:r>
            <w:r/>
          </w:p>
        </w:tc>
        <w:tc>
          <w:tcPr>
            <w:tcW w:w="2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sz w:val="24"/>
                <w:szCs w:val="24"/>
              </w:rPr>
            </w:pPr>
            <w:r>
              <w:rPr>
                <w:rFonts w:hint="eastAsia" w:ascii="宋体" w:hAnsi="宋体" w:eastAsia="宋体" w:cs="宋体"/>
                <w:color w:val="222222"/>
                <w:sz w:val="24"/>
                <w:szCs w:val="24"/>
                <w:lang w:bidi="ar"/>
              </w:rPr>
              <w:t xml:space="preserve">卷宗装订小组（6人）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卷宗装订</w:t>
            </w:r>
            <w:r/>
          </w:p>
        </w:tc>
        <w:tc>
          <w:tcPr>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1022" w:type="dxa"/>
            <w:vAlign w:val="center"/>
            <w:textDirection w:val="lrTb"/>
            <w:noWrap w:val="false"/>
          </w:tcPr>
          <w:p>
            <w:pPr>
              <w:ind w:left="0" w:right="0" w:firstLine="0"/>
              <w:jc w:val="center"/>
              <w:spacing w:line="240" w:lineRule="auto"/>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222222"/>
                <w:sz w:val="24"/>
                <w:szCs w:val="24"/>
                <w:lang w:val="en-US" w:eastAsia="zh-CN" w:bidi="ar"/>
              </w:rPr>
            </w:pPr>
            <w:r>
              <w:rPr>
                <w:rFonts w:hint="eastAsia" w:ascii="宋体" w:hAnsi="宋体" w:eastAsia="宋体" w:cs="宋体"/>
                <w:color w:val="222222"/>
                <w:sz w:val="24"/>
                <w:szCs w:val="24"/>
                <w:lang w:val="en-US" w:eastAsia="zh-CN" w:bidi="ar"/>
              </w:rPr>
              <w:t xml:space="preserve">27</w:t>
            </w:r>
            <w:r/>
          </w:p>
        </w:tc>
        <w:tc>
          <w:tcPr>
            <w:tcW w:w="2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网络管理员</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网络管理</w:t>
            </w:r>
            <w:r/>
          </w:p>
        </w:tc>
        <w:tc>
          <w:tcPr>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w:t>
            </w:r>
            <w:r/>
          </w:p>
        </w:tc>
        <w:tc>
          <w:tcPr>
            <w:tcW w:w="1022" w:type="dxa"/>
            <w:vAlign w:val="center"/>
            <w:textDirection w:val="lrTb"/>
            <w:noWrap w:val="false"/>
          </w:tcPr>
          <w:p>
            <w:pPr>
              <w:ind w:left="0" w:right="0" w:firstLine="0"/>
              <w:jc w:val="center"/>
              <w:spacing w:line="240" w:lineRule="auto"/>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gridSpan w:val="3"/>
            <w:tcW w:w="5971" w:type="dxa"/>
            <w:vAlign w:val="center"/>
            <w:textDirection w:val="lrTb"/>
            <w:noWrap w:val="false"/>
          </w:tcPr>
          <w:p>
            <w:pPr>
              <w:ind w:left="0" w:right="0" w:firstLine="0"/>
              <w:jc w:val="center"/>
              <w:keepLines w:val="0"/>
              <w:keepNext w:val="0"/>
              <w:pageBreakBefore w:val="0"/>
              <w:spacing w:after="0" w:line="240" w:lineRule="auto"/>
              <w:widowControl/>
              <w:tabs>
                <w:tab w:val="left" w:pos="1915" w:leader="none"/>
              </w:tabs>
              <w:rPr>
                <w:rFonts w:hint="eastAsia" w:ascii="宋体" w:hAnsi="宋体" w:eastAsia="宋体" w:cs="宋体"/>
                <w:b/>
                <w:color w:val="222222"/>
                <w:sz w:val="24"/>
                <w:szCs w:val="24"/>
                <w:lang w:bidi="ar"/>
              </w:rPr>
            </w:pPr>
            <w:r>
              <w:rPr>
                <w:rFonts w:hint="eastAsia" w:ascii="宋体" w:hAnsi="宋体" w:eastAsia="宋体" w:cs="宋体"/>
                <w:b/>
                <w:color w:val="222222"/>
                <w:sz w:val="24"/>
                <w:szCs w:val="24"/>
                <w:lang w:bidi="ar"/>
              </w:rPr>
              <w:t xml:space="preserve">合计</w:t>
            </w:r>
            <w:r/>
          </w:p>
        </w:tc>
        <w:tc>
          <w:tcPr>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50</w:t>
            </w:r>
            <w:r/>
          </w:p>
        </w:tc>
        <w:tc>
          <w:tcPr>
            <w:tcW w:w="1022" w:type="dxa"/>
            <w:vAlign w:val="center"/>
            <w:textDirection w:val="lrTb"/>
            <w:noWrap w:val="false"/>
          </w:tcPr>
          <w:p>
            <w:pPr>
              <w:ind w:left="0" w:right="0" w:firstLine="0"/>
              <w:jc w:val="center"/>
              <w:spacing w:line="240" w:lineRule="auto"/>
              <w:rPr>
                <w:rFonts w:hint="eastAsia" w:ascii="宋体" w:hAnsi="宋体" w:eastAsia="宋体" w:cs="宋体"/>
                <w:b/>
                <w:color w:val="222222"/>
                <w:sz w:val="24"/>
                <w:szCs w:val="24"/>
                <w:lang w:bidi="ar"/>
              </w:rPr>
            </w:pPr>
            <w:r>
              <w:rPr>
                <w:rFonts w:hint="eastAsia" w:ascii="宋体" w:hAnsi="宋体" w:eastAsia="宋体" w:cs="宋体"/>
                <w:b/>
                <w:color w:val="222222"/>
                <w:sz w:val="24"/>
                <w:szCs w:val="24"/>
                <w:lang w:bidi="ar"/>
              </w:rPr>
            </w:r>
            <w:r/>
          </w:p>
        </w:tc>
      </w:tr>
    </w:tbl>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管理要求</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工作人员须严格遵守兴化市人民法院的相关工作守则和作息时间，并听从兴化市人民法院的安排和分配，在指定的工作场所完成事务类工作，遵守和维护工作秩序。</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不得利用工作之便，进行任何非法或本项目范围外的活动，不得有意损坏、丢失、涂改、抽换、伪造档案资料，不得擅自修改、复制案件档案资料及带离开工作场所。如经发现，兴化市人民法院有权终止该员工的服务，并要求</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及时更换服务人员，构成犯罪的依法追究该员工法律责任。</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sz w:val="24"/>
          <w:szCs w:val="24"/>
          <w:lang w:val="zh-CN"/>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工作人员在实施服务过程中，兴化市人民法院有监督检查权。如发现问题，兴化市人民法院有权向</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提出整改意见；</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应在收到整改意见后五个工作日内将整改情况及配套管理制度等以正式回函的方式回复兴化市人民法院。</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应按交接工作清单的要求按时保质保量地完成服务工作，并按该工作清单约定的时间和方式向兴化市人民法院交付工作成果。兴化市人民法院应对</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提交的工作成果按约定质量标准进行验收，并出具验收意见及评分。</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应充分发挥专业管理优势，定期组织工作人员开展丰富多样的活动及培训工作，以增强队伍的凝聚力和归属感。</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职责范围</w:t>
      </w:r>
      <w:r/>
    </w:p>
    <w:p>
      <w:pPr>
        <w:numPr>
          <w:ilvl w:val="0"/>
          <w:numId w:val="10"/>
        </w:numPr>
        <w:ind w:left="0" w:firstLine="480"/>
        <w:keepLines w:val="0"/>
        <w:keepNext w:val="0"/>
        <w:pageBreakBefore w:val="0"/>
        <w:spacing w:after="0" w:line="54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采购人职责范围</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bCs/>
          <w:color w:val="000000"/>
          <w:sz w:val="24"/>
          <w:szCs w:val="24"/>
        </w:rPr>
        <w:t xml:space="preserve">兴化市人民法院负责协调各岗位相关部门配合开展工作，提供司法辅助综合事务咨询支持。</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兴化市人民法院应配合</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开展各项培训、员工管理等事项。</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提供的外包服务享有监督和检查权，并按约定时间向</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支付项目服务费用。</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在服务期内对工作人员进行管理等需要兴化市人民法院配合的工作时，兴化市人民法院应积极配合。</w:t>
      </w:r>
      <w:r/>
    </w:p>
    <w:p>
      <w:pPr>
        <w:numPr>
          <w:ilvl w:val="0"/>
          <w:numId w:val="10"/>
        </w:numPr>
        <w:ind w:left="0" w:firstLine="480"/>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职责范围</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中标供应商应了解</w:t>
      </w:r>
      <w:r>
        <w:rPr>
          <w:rFonts w:hint="eastAsia" w:ascii="宋体" w:hAnsi="宋体" w:eastAsia="宋体" w:cs="宋体"/>
          <w:sz w:val="24"/>
          <w:szCs w:val="24"/>
        </w:rPr>
        <w:t xml:space="preserve">兴化市人民法院</w:t>
      </w:r>
      <w:r>
        <w:rPr>
          <w:rFonts w:hint="eastAsia" w:ascii="宋体" w:hAnsi="宋体" w:eastAsia="宋体" w:cs="宋体"/>
          <w:sz w:val="24"/>
          <w:szCs w:val="24"/>
          <w:lang w:val="zh-CN"/>
        </w:rPr>
        <w:t xml:space="preserve">的工作流程、工作内容、工作环境等状况，负责组建服务团队，提供高质量的司法辅助事务性工作，并</w:t>
      </w:r>
      <w:r>
        <w:rPr>
          <w:rFonts w:hint="eastAsia" w:ascii="宋体" w:hAnsi="宋体" w:eastAsia="宋体" w:cs="宋体"/>
          <w:sz w:val="24"/>
          <w:szCs w:val="24"/>
        </w:rPr>
        <w:t xml:space="preserve">按约定保质保量向兴化市人民法院提供服务，保证提供服务的团队人员的数量和素质满足履行本项目要求</w:t>
      </w:r>
      <w:r>
        <w:rPr>
          <w:rFonts w:hint="eastAsia" w:ascii="宋体" w:hAnsi="宋体" w:eastAsia="宋体" w:cs="宋体"/>
          <w:bCs/>
          <w:color w:val="000000"/>
          <w:sz w:val="24"/>
          <w:szCs w:val="24"/>
        </w:rPr>
        <w:t xml:space="preserve">。</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服务期内中标供应商有权对工作人员的数量和工作标准按照兴化市人民法院的要求进行合理地调整。中标供应商应积极寻求更有效的管理手段，</w:t>
      </w:r>
      <w:r>
        <w:rPr>
          <w:rFonts w:hint="eastAsia" w:ascii="宋体" w:hAnsi="宋体" w:eastAsia="宋体" w:cs="宋体"/>
          <w:sz w:val="24"/>
          <w:szCs w:val="24"/>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0</wp:posOffset>
                </wp:positionH>
                <wp:positionV relativeFrom="page">
                  <wp:posOffset>10692130</wp:posOffset>
                </wp:positionV>
                <wp:extent cx="1270" cy="127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lIns="0" tIns="0" rIns="0" bIns="0" upright="1"/>
                    </wps:wsp>
                  </a:graphicData>
                </a:graphic>
              </wp:anchor>
            </w:drawing>
          </mc:Choice>
          <mc:Fallback>
            <w:pict>
              <v:shape id="shape 5" o:spid="_x0000_s5" o:spt="202" type="#_x0000_t202" style="position:absolute;z-index:251661312;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rPr>
          <w:rFonts w:hint="eastAsia" w:ascii="宋体" w:hAnsi="宋体" w:eastAsia="宋体" w:cs="宋体"/>
          <w:sz w:val="24"/>
          <w:szCs w:val="24"/>
          <w:lang w:val="zh-CN"/>
        </w:rPr>
        <w:t xml:space="preserve">不断优化流程标准和服务规范</w:t>
      </w:r>
      <w:r>
        <w:rPr>
          <w:rFonts w:hint="eastAsia" w:ascii="宋体" w:hAnsi="宋体" w:eastAsia="宋体" w:cs="宋体"/>
          <w:color w:val="000000"/>
          <w:sz w:val="24"/>
          <w:szCs w:val="24"/>
        </w:rPr>
        <w:t xml:space="preserve">。</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中标供应商支付给工作人员的工资</w:t>
      </w:r>
      <w:r>
        <w:rPr>
          <w:rFonts w:hint="eastAsia" w:ascii="宋体" w:hAnsi="宋体" w:eastAsia="宋体" w:cs="宋体"/>
          <w:sz w:val="24"/>
          <w:szCs w:val="24"/>
        </w:rPr>
        <w:t xml:space="preserve">应</w:t>
      </w:r>
      <w:r>
        <w:rPr>
          <w:rFonts w:hint="eastAsia" w:ascii="宋体" w:hAnsi="宋体" w:eastAsia="宋体" w:cs="宋体"/>
          <w:sz w:val="24"/>
          <w:szCs w:val="24"/>
          <w:lang w:val="zh-CN"/>
        </w:rPr>
        <w:t xml:space="preserve">遵守国家相关规定不得低于兴化</w:t>
      </w:r>
      <w:r>
        <w:rPr>
          <w:rFonts w:hint="eastAsia" w:ascii="宋体" w:hAnsi="宋体" w:eastAsia="宋体" w:cs="宋体"/>
          <w:sz w:val="24"/>
          <w:szCs w:val="24"/>
        </w:rPr>
        <w:t xml:space="preserve">市</w:t>
      </w:r>
      <w:r>
        <w:rPr>
          <w:rFonts w:hint="eastAsia" w:ascii="宋体" w:hAnsi="宋体" w:eastAsia="宋体" w:cs="宋体"/>
          <w:sz w:val="24"/>
          <w:szCs w:val="24"/>
          <w:lang w:val="zh-CN"/>
        </w:rPr>
        <w:t xml:space="preserve">当地政府规定的最低工资标准</w:t>
      </w:r>
      <w:r>
        <w:rPr>
          <w:rFonts w:hint="eastAsia" w:ascii="宋体" w:hAnsi="宋体" w:eastAsia="宋体" w:cs="宋体"/>
          <w:color w:val="000000"/>
          <w:sz w:val="24"/>
          <w:szCs w:val="24"/>
        </w:rPr>
        <w:t xml:space="preserve">。</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中标供应商负责完善工作人员的各项专业管理工作，还应负责工作人员的工伤、人身意外、劳资纠纷等造成的责任。</w:t>
      </w:r>
      <w:r>
        <w:rPr>
          <w:rFonts w:hint="eastAsia" w:ascii="宋体" w:hAnsi="宋体" w:eastAsia="宋体" w:cs="宋体"/>
          <w:color w:val="000000"/>
          <w:sz w:val="24"/>
          <w:szCs w:val="24"/>
        </w:rPr>
        <w:t xml:space="preserve">  </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8"/>
          <w:szCs w:val="28"/>
        </w:rPr>
      </w:pPr>
      <w:r>
        <w:rPr>
          <w:rFonts w:hint="eastAsia" w:ascii="宋体" w:hAnsi="宋体" w:eastAsia="宋体" w:cs="宋体"/>
          <w:sz w:val="24"/>
          <w:szCs w:val="24"/>
          <w:lang w:val="zh-CN"/>
        </w:rPr>
        <w:t xml:space="preserve">中标供应商应加强对工作人员的教育和管理，遵守兴化市人民法院有关规章管理制度。中标供应商的用工要符合国家的相关规定，中标供应商必须与招聘人员及时签订用工合同，并按照国家相关法律规定为招聘人员缴纳各项保险等。</w:t>
      </w:r>
      <w:r>
        <w:rPr>
          <w:rFonts w:hint="eastAsia" w:ascii="宋体" w:hAnsi="宋体" w:eastAsia="宋体" w:cs="宋体"/>
          <w:sz w:val="28"/>
          <w:szCs w:val="2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0</wp:posOffset>
                </wp:positionH>
                <wp:positionV relativeFrom="page">
                  <wp:posOffset>10692130</wp:posOffset>
                </wp:positionV>
                <wp:extent cx="1270" cy="127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lIns="0" tIns="0" rIns="0" bIns="0" upright="1"/>
                    </wps:wsp>
                  </a:graphicData>
                </a:graphic>
              </wp:anchor>
            </w:drawing>
          </mc:Choice>
          <mc:Fallback>
            <w:pict>
              <v:shape id="shape 6" o:spid="_x0000_s6" o:spt="202" type="#_x0000_t202" style="position:absolute;z-index:251660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保密要求</w:t>
      </w:r>
      <w:r/>
    </w:p>
    <w:p>
      <w:pPr>
        <w:numPr>
          <w:ilvl w:val="0"/>
          <w:numId w:val="13"/>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及其工作人员应严守在履行本合同中通过各种方式知悉的兴化市人民法院案件信息、技术秘密和其他业务信息，不得向兴化市人民法院以外第三人以任何方式泄露，双方还需签订《保密协议》，并提交壹份兴化市人民法院备案。</w:t>
      </w:r>
      <w:r/>
    </w:p>
    <w:p>
      <w:pPr>
        <w:numPr>
          <w:ilvl w:val="0"/>
          <w:numId w:val="13"/>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在进行服务过程中，必须确保兴化市人民法院的信息安全，未经兴化市人民法院同意不得擅自删除、修改和转移兴化市人民法院业务系统中的信息，并为其保密。</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员工泄露兴化市人民法院工作秘密造成兴化市人民法院损失的，</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应赔偿兴化市人民法院损失，</w:t>
      </w:r>
      <w:r>
        <w:rPr>
          <w:rFonts w:hint="eastAsia" w:ascii="宋体" w:hAnsi="宋体" w:eastAsia="宋体" w:cs="宋体"/>
          <w:color w:val="000000"/>
          <w:sz w:val="24"/>
          <w:szCs w:val="24"/>
          <w:lang w:eastAsia="zh-CN"/>
        </w:rPr>
        <w:t xml:space="preserve">中标供应商</w:t>
      </w:r>
      <w:r>
        <w:rPr>
          <w:rFonts w:hint="eastAsia" w:ascii="宋体" w:hAnsi="宋体" w:eastAsia="宋体" w:cs="宋体"/>
          <w:sz w:val="24"/>
          <w:szCs w:val="24"/>
        </w:rPr>
        <w:t xml:space="preserve">事后可根据实际情况向该</w:t>
      </w:r>
      <w:r>
        <w:rPr>
          <w:rFonts w:hint="eastAsia" w:ascii="宋体" w:hAnsi="宋体" w:eastAsia="宋体" w:cs="宋体"/>
          <w:color w:val="000000"/>
          <w:sz w:val="24"/>
          <w:szCs w:val="24"/>
        </w:rPr>
        <w:t xml:space="preserve">工作人员进行追偿</w:t>
      </w:r>
      <w:r>
        <w:rPr>
          <w:rFonts w:hint="eastAsia" w:ascii="宋体" w:hAnsi="宋体" w:eastAsia="宋体" w:cs="宋体"/>
          <w:sz w:val="24"/>
          <w:szCs w:val="24"/>
        </w:rPr>
        <w:t xml:space="preserve">。</w:t>
      </w:r>
      <w:r/>
    </w:p>
    <w:p>
      <w:pPr>
        <w:numPr>
          <w:ilvl w:val="0"/>
          <w:numId w:val="13"/>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服务结束后，</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应返还兴化市人民法院提供的相关资料和服务过程中取得的任何材料，不得存留原件或复制品。</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default" w:ascii="宋体" w:hAnsi="宋体" w:eastAsia="宋体" w:cs="宋体"/>
          <w:b/>
          <w:bCs/>
          <w:color w:val="auto"/>
          <w:sz w:val="28"/>
          <w:szCs w:val="28"/>
          <w:lang w:val="en-US" w:eastAsia="zh-CN"/>
        </w:rPr>
      </w:pPr>
      <w:r/>
      <w:bookmarkStart w:id="110" w:name="heading_0"/>
      <w:r>
        <w:rPr>
          <w:rFonts w:hint="eastAsia" w:ascii="宋体" w:hAnsi="宋体" w:eastAsia="宋体" w:cs="宋体"/>
          <w:b/>
          <w:bCs/>
          <w:color w:val="auto"/>
          <w:sz w:val="28"/>
          <w:szCs w:val="28"/>
          <w:lang w:val="en-US" w:eastAsia="zh-CN"/>
        </w:rPr>
        <w:t xml:space="preserve">服务方案要求</w:t>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outlineLvl w:val="1"/>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、服务方案</w:t>
      </w:r>
      <w:bookmarkEnd w:id="110"/>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结合本项目司法服务外包需求，编制针对性服务方案，明确服务范围、服务内容、工作实施流程、服务质量管控标准、日常服务响应机制、突发事件应急处置预案等内容，方案需贴合法院司法工作实际，具备可操作性与落地性。</w:t>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outlineLvl w:val="1"/>
      </w:pPr>
      <w:r/>
      <w:bookmarkStart w:id="111" w:name="heading_1"/>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、管理框架及岗位设置</w:t>
      </w:r>
      <w:bookmarkEnd w:id="111"/>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投标人应制定本项目专属组织管理框架，明确项目管理体系、各层级管理职责、岗位配置方案，合理设置服务岗位，明晰各岗位职责分工、定岗定员要求，确保管理架构顺畅、岗位配置与项目需求高度匹配。</w:t>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outlineLvl w:val="1"/>
      </w:pPr>
      <w:r/>
      <w:bookmarkStart w:id="112" w:name="heading_2"/>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、内部管理</w:t>
      </w:r>
      <w:bookmarkEnd w:id="112"/>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投标人应建立适配法院司法服务工作的内部管理体系，制定日常工作管理、人员考勤、工作考核、日常监督、问题整改等全流程内部管理制度，保障项目规范化运转。</w:t>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outlineLvl w:val="1"/>
      </w:pPr>
      <w:r/>
      <w:bookmarkStart w:id="113" w:name="heading_3"/>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四</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、人力资源保障</w:t>
      </w:r>
      <w:bookmarkEnd w:id="113"/>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明确本项目服务人员配置数量、岗位任职条件、人员资质经验要求，制定人员到岗保障、人员稳定性管理、人员应急替补等人力资源保障措施。评审委员会根据人员配置充足性、保障措施完善性、方案可行性进行量化评分。</w:t>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outlineLvl w:val="1"/>
      </w:pPr>
      <w:r/>
      <w:bookmarkStart w:id="114" w:name="heading_4"/>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五</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、培训计划</w:t>
      </w:r>
      <w:bookmarkEnd w:id="114"/>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制定完善的项目培训计划，涵盖岗前培训、在岗常态化培训、司法服务专项培训，明确培训内容、培训频次、培训实施方式及培训效果考核方式，培训内容需贴合法院工作纪律、业务规范及服务要求。评审委员会根据培训体系完整性、内容针对性、计划可落地性进行量化评分。</w:t>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outlineLvl w:val="1"/>
      </w:pPr>
      <w:r/>
      <w:bookmarkStart w:id="115" w:name="heading_5"/>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六</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、保密制度及保密措施</w:t>
      </w:r>
      <w:bookmarkEnd w:id="115"/>
      <w:r/>
      <w:r/>
    </w:p>
    <w:p>
      <w:pPr>
        <w:ind w:left="0" w:firstLine="480"/>
        <w:jc w:val="left"/>
        <w:keepLines w:val="0"/>
        <w:keepNext w:val="0"/>
        <w:pageBreakBefore w:val="0"/>
        <w:spacing w:after="0" w:line="500" w:lineRule="exact"/>
        <w:widowControl/>
        <w:rPr>
          <w:rFonts w:hint="eastAsia" w:ascii="宋体" w:hAnsi="宋体" w:eastAsia="宋体" w:cs="宋体"/>
          <w:b w:val="0"/>
          <w:bCs/>
          <w:sz w:val="28"/>
          <w:szCs w:val="28"/>
        </w:rPr>
      </w:pPr>
      <w:r>
        <w:rPr>
          <w:rFonts w:hint="eastAsia" w:ascii="宋体" w:hAnsi="宋体" w:eastAsia="宋体" w:cs="宋体"/>
          <w:b w:val="0"/>
          <w:bCs/>
          <w:sz w:val="24"/>
          <w:szCs w:val="24"/>
        </w:rPr>
        <w:t xml:space="preserve">投标人应制定符合法院司法保密工作要求的保密管理制度，明确保密管理范围、保密工作责任，制定人员、文件、场所、信息数据等全方位保密防控措施，落实保密责任与日常保密管控要求。评审委员会根据保密制度完善性、保密措施全面性、合规性进行量化评分。</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罚则</w:t>
      </w:r>
      <w:r/>
    </w:p>
    <w:p>
      <w:pPr>
        <w:numPr>
          <w:ilvl w:val="0"/>
          <w:numId w:val="14"/>
        </w:numPr>
        <w:ind w:left="0" w:firstLine="480"/>
        <w:jc w:val="left"/>
        <w:keepLines/>
        <w:keepNext w:val="0"/>
        <w:pageBreakBefore w:val="0"/>
        <w:spacing w:after="0" w:line="540" w:lineRule="exact"/>
        <w:widowControl/>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因</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工作人员蓄意破坏设备设施、违反规程造成重大事故、违反规定公开发布敏感信息造成重大影响的，一经查实则视为</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严重违约，情节严重的依法追究其法律责任。</w:t>
      </w:r>
      <w:r/>
    </w:p>
    <w:p>
      <w:pPr>
        <w:numPr>
          <w:ilvl w:val="0"/>
          <w:numId w:val="14"/>
        </w:numPr>
        <w:ind w:left="0" w:firstLine="480"/>
        <w:jc w:val="left"/>
        <w:keepLines w:val="0"/>
        <w:keepNext w:val="0"/>
        <w:pageBreakBefore w:val="0"/>
        <w:spacing w:after="0" w:line="540" w:lineRule="exact"/>
        <w:widowControl/>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若</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在服务期内违反其服务承诺或本招标文件的要求三次或以上，则视为</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违约，兴化市人民法院有权拒绝支付本期项目服务费。</w:t>
      </w:r>
      <w:r/>
    </w:p>
    <w:p>
      <w:pPr>
        <w:numPr>
          <w:ilvl w:val="0"/>
          <w:numId w:val="14"/>
        </w:numPr>
        <w:ind w:left="0" w:firstLine="480"/>
        <w:jc w:val="left"/>
        <w:keepLines w:val="0"/>
        <w:keepNext w:val="0"/>
        <w:pageBreakBefore w:val="0"/>
        <w:spacing w:after="0" w:line="540" w:lineRule="exact"/>
        <w:widowControl/>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每月结束，由兴化市人民法院评定本月度服务绩效，乙方签字确认后，按照考核结果直接在下月服务费中予以扣减</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报价要求</w:t>
      </w:r>
      <w:r/>
    </w:p>
    <w:p>
      <w:pPr>
        <w:numPr>
          <w:ilvl w:val="0"/>
          <w:numId w:val="15"/>
        </w:numPr>
        <w:ind w:left="0" w:firstLine="420"/>
        <w:jc w:val="left"/>
        <w:keepLines w:val="0"/>
        <w:keepNext w:val="0"/>
        <w:pageBreakBefore w:val="0"/>
        <w:spacing w:after="0" w:line="540" w:lineRule="exact"/>
        <w:widowControl w:val="off"/>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服务期内由</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按中标价</w:t>
      </w:r>
      <w:r>
        <w:rPr>
          <w:rFonts w:hint="eastAsia" w:ascii="宋体" w:hAnsi="宋体" w:eastAsia="宋体" w:cs="宋体"/>
          <w:bCs/>
          <w:color w:val="000000"/>
          <w:sz w:val="24"/>
          <w:szCs w:val="24"/>
          <w:lang w:val="en-US" w:eastAsia="zh-CN"/>
        </w:rPr>
        <w:t xml:space="preserve">每年</w:t>
      </w:r>
      <w:r>
        <w:rPr>
          <w:rFonts w:hint="eastAsia" w:ascii="宋体" w:hAnsi="宋体" w:eastAsia="宋体" w:cs="宋体"/>
          <w:bCs/>
          <w:color w:val="000000"/>
          <w:sz w:val="24"/>
          <w:szCs w:val="24"/>
        </w:rPr>
        <w:t xml:space="preserve">总价包干，投标报价应包括：全年案件事务性工作处理、所有人员工资、社保费用、医疗费用、管理费用、一切税费（包括增值税发票）、保险费、培训费、资料等的全部费用。</w:t>
      </w:r>
      <w:r/>
    </w:p>
    <w:p>
      <w:pPr>
        <w:numPr>
          <w:ilvl w:val="0"/>
          <w:numId w:val="15"/>
        </w:numPr>
        <w:ind w:left="0" w:firstLine="420"/>
        <w:jc w:val="left"/>
        <w:keepLines w:val="0"/>
        <w:keepNext w:val="0"/>
        <w:pageBreakBefore w:val="0"/>
        <w:spacing w:after="0" w:line="540" w:lineRule="exact"/>
        <w:widowControl w:val="off"/>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中标价包含合同期内的招标文件要求所有服务范围，服务内容有增加的不得超过原合同采购金额10%。超出部分经双方协商书面达成一致，办理政府采购审批手续后，另外支付服务费用。</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付款方式</w:t>
      </w:r>
      <w:r/>
    </w:p>
    <w:p>
      <w:pPr>
        <w:numPr>
          <w:ilvl w:val="0"/>
          <w:numId w:val="16"/>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项目费用按月支付。每期支付时间为下一月的10日前，</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须在每次支付前向兴化市人民法院提供合法有效的增值税发票，兴化市人民法院核对无误后在约定时间内完成支付。</w:t>
      </w:r>
      <w:r/>
    </w:p>
    <w:p>
      <w:pPr>
        <w:numPr>
          <w:ilvl w:val="0"/>
          <w:numId w:val="16"/>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双方往来款采用银行转账方式办理，如有变更修改，以书面通知为准。</w:t>
      </w:r>
      <w:r/>
    </w:p>
    <w:p>
      <w:pPr>
        <w:numPr>
          <w:ilvl w:val="0"/>
          <w:numId w:val="16"/>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对于满足合同约定支付条件的，兴化市人民法院应当自收到发票后在约定时间内将资金支付到约定的</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指定银行账户，不得以机构变动、人员更替、政策调整等为由延迟付款，不得将采购文件和合同中未规定的义务作为向</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付款的条件。对于因兴化市人民法院原因导致变更、中止或者终止政府采购合同的，兴化市人民法院依照合同约定对</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受到的损失予以等价赔偿和补偿。</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范围验收标准</w:t>
      </w:r>
      <w:r/>
    </w:p>
    <w:p>
      <w:pPr>
        <w:numPr>
          <w:ilvl w:val="0"/>
          <w:numId w:val="17"/>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服务质量标准：中标</w:t>
      </w:r>
      <w:r>
        <w:rPr>
          <w:rFonts w:hint="eastAsia" w:ascii="宋体" w:hAnsi="宋体" w:eastAsia="宋体" w:cs="宋体"/>
          <w:bCs/>
          <w:color w:val="000000"/>
          <w:sz w:val="24"/>
          <w:szCs w:val="24"/>
          <w:lang w:eastAsia="zh-CN"/>
        </w:rPr>
        <w:t xml:space="preserve">人</w:t>
      </w:r>
      <w:r>
        <w:rPr>
          <w:rFonts w:hint="eastAsia" w:ascii="宋体" w:hAnsi="宋体" w:eastAsia="宋体" w:cs="宋体"/>
          <w:bCs/>
          <w:color w:val="000000"/>
          <w:sz w:val="24"/>
          <w:szCs w:val="24"/>
        </w:rPr>
        <w:t xml:space="preserve">服务团队人员按兴化市人民法院规定进行司法辅助事务性工作，所完成的工作质量需达到兴化市人民法院要求。</w:t>
      </w:r>
      <w:r/>
    </w:p>
    <w:p>
      <w:pPr>
        <w:numPr>
          <w:ilvl w:val="0"/>
          <w:numId w:val="17"/>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服务验收标准：中标</w:t>
      </w:r>
      <w:r>
        <w:rPr>
          <w:rFonts w:hint="eastAsia" w:ascii="宋体" w:hAnsi="宋体" w:eastAsia="宋体" w:cs="宋体"/>
          <w:bCs/>
          <w:color w:val="000000"/>
          <w:sz w:val="24"/>
          <w:szCs w:val="24"/>
          <w:lang w:eastAsia="zh-CN"/>
        </w:rPr>
        <w:t xml:space="preserve">人</w:t>
      </w:r>
      <w:r>
        <w:rPr>
          <w:rFonts w:hint="eastAsia" w:ascii="宋体" w:hAnsi="宋体" w:eastAsia="宋体" w:cs="宋体"/>
          <w:bCs/>
          <w:color w:val="000000"/>
          <w:sz w:val="24"/>
          <w:szCs w:val="24"/>
        </w:rPr>
        <w:t xml:space="preserve">按兴化市人民法院要求按时按质完成工作任务。</w:t>
      </w:r>
      <w:r/>
    </w:p>
    <w:p>
      <w:pPr>
        <w:numPr>
          <w:ilvl w:val="0"/>
          <w:numId w:val="17"/>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如遇对业务整理流程的调整，则提前一个月向</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提供最新验收标准，</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应按新标准按时完成工作。</w:t>
      </w:r>
      <w:r/>
    </w:p>
    <w:p>
      <w:pPr>
        <w:numPr>
          <w:ilvl w:val="0"/>
          <w:numId w:val="6"/>
        </w:numPr>
        <w:ind w:left="0" w:firstLine="0"/>
        <w:jc w:val="center"/>
        <w:keepLines w:val="0"/>
        <w:keepNext w:val="0"/>
        <w:pageBreakBefore w:val="0"/>
        <w:spacing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配合条件</w:t>
      </w:r>
      <w:r/>
    </w:p>
    <w:p>
      <w:pPr>
        <w:numPr>
          <w:ilvl w:val="0"/>
          <w:numId w:val="0"/>
        </w:numPr>
        <w:ind w:left="0" w:firstLine="48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bCs/>
          <w:color w:val="000000"/>
          <w:sz w:val="24"/>
          <w:szCs w:val="24"/>
        </w:rPr>
        <w:t xml:space="preserve">在投标文件中要列明在项目实施过程中要求兴化市人民法院提供的配合条件。</w:t>
      </w:r>
      <w:r/>
    </w:p>
    <w:p>
      <w:pPr>
        <w:numPr>
          <w:ilvl w:val="0"/>
          <w:numId w:val="6"/>
        </w:numPr>
        <w:ind w:left="0" w:firstLine="0"/>
        <w:jc w:val="center"/>
        <w:keepLines w:val="0"/>
        <w:keepNext w:val="0"/>
        <w:pageBreakBefore w:val="0"/>
        <w:spacing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附件</w:t>
      </w:r>
      <w:r/>
    </w:p>
    <w:p>
      <w:pPr>
        <w:ind w:firstLine="630"/>
        <w:spacing w:line="460" w:lineRule="exact"/>
        <w:tabs>
          <w:tab w:val="left" w:pos="755" w:leader="none"/>
          <w:tab w:val="left" w:pos="1620" w:leader="none"/>
          <w:tab w:val="left" w:pos="2562" w:leader="none"/>
        </w:tabs>
        <w:rPr>
          <w:rFonts w:hint="eastAsia" w:ascii="宋体" w:hAnsi="宋体" w:eastAsia="宋体" w:cs="宋体"/>
          <w:b/>
          <w:bCs/>
          <w:spacing w:val="12"/>
          <w:sz w:val="28"/>
          <w:szCs w:val="28"/>
        </w:rPr>
      </w:pPr>
      <w:r>
        <w:rPr>
          <w:rFonts w:hint="eastAsia" w:ascii="宋体" w:hAnsi="宋体" w:eastAsia="宋体" w:cs="宋体"/>
          <w:sz w:val="28"/>
          <w:szCs w:val="28"/>
        </w:rPr>
        <w:t xml:space="preserve">              </w:t>
      </w:r>
      <w:r>
        <w:rPr>
          <w:rFonts w:hint="eastAsia" w:ascii="宋体" w:hAnsi="宋体" w:eastAsia="宋体" w:cs="宋体"/>
          <w:b/>
          <w:bCs/>
          <w:spacing w:val="12"/>
          <w:sz w:val="28"/>
          <w:szCs w:val="28"/>
        </w:rPr>
        <w:t xml:space="preserve">监督管理和考核（总分100分）</w:t>
      </w:r>
      <w:r/>
    </w:p>
    <w:p>
      <w:pPr>
        <w:numPr>
          <w:ilvl w:val="0"/>
          <w:numId w:val="0"/>
        </w:numPr>
        <w:ind w:left="0" w:firstLine="420"/>
        <w:jc w:val="left"/>
        <w:keepLines w:val="0"/>
        <w:keepNext w:val="0"/>
        <w:pageBreakBefore w:val="0"/>
        <w:spacing w:after="0" w:line="540" w:lineRule="exact"/>
        <w:widowControl w:val="off"/>
        <w:tabs>
          <w:tab w:val="left" w:pos="0" w:leader="none"/>
        </w:tabs>
        <w:rPr>
          <w:rFonts w:hint="eastAsia" w:ascii="宋体" w:hAnsi="宋体" w:eastAsia="宋体" w:cs="宋体"/>
          <w:bCs/>
          <w:color w:val="000000"/>
          <w:sz w:val="28"/>
          <w:szCs w:val="28"/>
        </w:rPr>
      </w:pPr>
      <w:r>
        <w:rPr>
          <w:rFonts w:hint="eastAsia" w:ascii="宋体" w:hAnsi="宋体" w:eastAsia="宋体" w:cs="宋体"/>
          <w:bCs/>
          <w:color w:val="000000"/>
          <w:sz w:val="24"/>
          <w:szCs w:val="24"/>
        </w:rPr>
        <w:t xml:space="preserve">服务费用由分期付款总额和质量保证金两部分构成，其中质量保证金为服务费用中标价的10%，具体按每月考核结果支付。项目考核得分≥90分，全额支付质量保证金；低于90分的，按以下方法支付：月质量保证金付款金额＝月质量保证金（中标价除以12个月）×考核得分的％；考核得分低于60分的，扣减全额质量保证金。如出现以下情形，将予以扣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在法定工作时间，工作人员无故缺勤、迟到、早退的，每人次扣1分。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未在规定时间内完成服务服务事项的，每件次扣0.5分。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完成服务服务事项的完整性、准确率低于（差错率高于）规定的要求，经确认后应加以纠正，未及时或不能纠正的，每件次扣1分。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违反内部规章制度，不听从安排和分配，扰乱工作秩序的，每人次扣5分。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损坏、丢失、涂改、抽换、伪造档案的，扣减全额质量保证金。涉嫌违法的将移送相关部门处理。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违反保密协议，对外泄露保密信息内容，擅自修改、复制案件档案资料的，扣减全额质量保证金。</w:t>
      </w:r>
      <w:r/>
    </w:p>
    <w:p>
      <w:pPr>
        <w:rPr>
          <w:rFonts w:hint="eastAsia" w:cs="仿宋_GB2312" w:asciiTheme="minorEastAsia" w:hAnsiTheme="minorEastAsia" w:eastAsiaTheme="minorEastAsia"/>
          <w:color w:val="000000" w:themeColor="text1"/>
          <w:sz w:val="28"/>
          <w:szCs w:val="28"/>
          <w14:textFill>
            <w14:solidFill>
              <w14:schemeClr w14:val="tx1"/>
            </w14:solidFill>
          </w14:textFill>
        </w:rPr>
      </w:pPr>
      <w:r>
        <w:rPr>
          <w:rFonts w:hint="eastAsia" w:cs="仿宋_GB2312" w:asciiTheme="minorEastAsia" w:hAnsiTheme="minorEastAsia" w:eastAsiaTheme="minorEastAsia"/>
          <w:color w:val="000000" w:themeColor="text1"/>
          <w:sz w:val="28"/>
          <w:szCs w:val="28"/>
          <w14:textFill>
            <w14:solidFill>
              <w14:schemeClr w14:val="tx1"/>
            </w14:solidFill>
          </w14:textFill>
        </w:rPr>
      </w:r>
      <w:r/>
    </w:p>
    <w:p>
      <w:pPr>
        <w:pStyle w:val="854"/>
        <w:jc w:val="center"/>
        <w:keepLines/>
        <w:keepNext/>
        <w:pageBreakBefore/>
        <w:spacing w:before="100" w:after="100" w:line="400" w:lineRule="exact"/>
        <w:widowControl/>
        <w:rPr>
          <w:rFonts w:hint="eastAsia" w:ascii="宋体" w:hAnsi="宋体" w:eastAsia="宋体" w:cs="宋体"/>
          <w:lang w:val="en-US" w:eastAsia="zh-CN"/>
        </w:rPr>
      </w:pPr>
      <w:r/>
      <w:bookmarkStart w:id="116" w:name="_Toc13801"/>
      <w:r>
        <w:rPr>
          <w:rFonts w:hint="eastAsia" w:ascii="宋体" w:hAnsi="宋体" w:eastAsia="宋体" w:cs="宋体"/>
          <w:lang w:val="en-US" w:eastAsia="zh-CN"/>
        </w:rPr>
        <w:t xml:space="preserve">第五章  评标方法与评标标准</w:t>
      </w:r>
      <w:bookmarkEnd w:id="116"/>
      <w:r/>
      <w:r/>
    </w:p>
    <w:p>
      <w:pPr>
        <w:ind w:firstLine="48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如</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得</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分且投标报价、量化指标评审得分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均相同</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，由评标委员会在评审现场抽签确定。本项目选取1名中标候选人。</w:t>
      </w:r>
      <w:r/>
    </w:p>
    <w:p>
      <w:pPr>
        <w:ind w:left="0" w:firstLine="36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政府采购政策功能落实</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1、小微型企业价格扣除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（1）本项目对小型和微型企业提供的服务给予10%的扣除价格，用扣除后的价格参与评审。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（2）供应商需按照采购文件的要求提供相应的《中小微企业声明函》。</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2、残疾人福利单位价格扣除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（1）本项目对残疾人福利性单位视同小型、微型企业，给予10%的价格扣除，用扣除后的价格参与评审。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（2）残疾人福利单位需按照采购文件的要求提供《残疾人福利性单位声明函》。</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（3）残疾人福利单位标准请参照《关于促进残疾人就业政府采购政策的通知》（财库〔2017〕141号）。</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3、监狱和戒毒企业价格扣除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（3）监狱企业标准请参照《关于政府采购支持监狱企业发展有关问题的通知》（财库〔2014〕68号）。</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4、残疾人福利单位、监狱企业属于小型、微型企业的，不重复享受政策。</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6、联合体各方均为小型、微型企业（残疾人福利单位、监狱企业）的，联合体享受10%价格扣除，用扣除后的价格参与评审。</w:t>
      </w:r>
      <w:r/>
    </w:p>
    <w:tbl>
      <w:tblPr>
        <w:tblStyle w:val="864"/>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905"/>
        <w:gridCol w:w="1248"/>
        <w:gridCol w:w="5502"/>
      </w:tblGrid>
      <w:tr>
        <w:trPr>
          <w:jc w:val="center"/>
          <w:trHeight w:val="336"/>
        </w:trPr>
        <w:tc>
          <w:tcPr>
            <w:gridSpan w:val="2"/>
            <w:shd w:val="clear" w:color="auto" w:fill="auto"/>
            <w:tcW w:w="1866"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评分项目</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满分分值</w:t>
            </w:r>
            <w:r/>
          </w:p>
        </w:tc>
        <w:tc>
          <w:tcPr>
            <w:shd w:val="clear" w:color="auto" w:fill="auto"/>
            <w:tcW w:w="5502"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评分细则</w:t>
            </w:r>
            <w:r/>
          </w:p>
        </w:tc>
      </w:tr>
      <w:tr>
        <w:trPr>
          <w:jc w:val="center"/>
          <w:trHeight w:val="90"/>
        </w:trPr>
        <w:tc>
          <w:tcPr>
            <w:gridSpan w:val="2"/>
            <w:shd w:val="clear" w:color="auto" w:fill="auto"/>
            <w:tcW w:w="1866" w:type="dxa"/>
            <w:vAlign w:val="center"/>
            <w:textDirection w:val="lrTb"/>
            <w:noWrap w:val="false"/>
          </w:tcPr>
          <w:p>
            <w:pPr>
              <w:ind w:right="-189"/>
              <w:jc w:val="both"/>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价格</w:t>
            </w:r>
            <w:r>
              <w:rPr>
                <w:rFonts w:hint="eastAsia" w:ascii="宋体" w:hAnsi="宋体" w:eastAsia="宋体" w:cs="宋体"/>
                <w:color w:val="000000"/>
                <w:sz w:val="24"/>
                <w:szCs w:val="24"/>
                <w:lang w:bidi="ar"/>
              </w:rPr>
              <w:t xml:space="preserve">部分(</w:t>
            </w:r>
            <w:r>
              <w:rPr>
                <w:rFonts w:hint="eastAsia" w:ascii="宋体" w:hAnsi="宋体" w:eastAsia="宋体" w:cs="宋体"/>
                <w:color w:val="000000"/>
                <w:sz w:val="24"/>
                <w:szCs w:val="24"/>
                <w:lang w:val="en-US" w:eastAsia="zh-CN" w:bidi="ar"/>
              </w:rPr>
              <w:t xml:space="preserve">25</w:t>
            </w:r>
            <w:r>
              <w:rPr>
                <w:rFonts w:hint="eastAsia" w:ascii="宋体" w:hAnsi="宋体" w:eastAsia="宋体" w:cs="宋体"/>
                <w:color w:val="000000"/>
                <w:sz w:val="24"/>
                <w:szCs w:val="24"/>
                <w:lang w:bidi="ar"/>
              </w:rPr>
              <w:t xml:space="preserve">分)</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25</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1.价格分采用低价优先法计算，即满足采购文件要求且报价最低的供应商报价为评标基准价，其价格分为满分</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，其它投标人的价格分统一按照以下公式计算：</w:t>
            </w:r>
            <w:r/>
          </w:p>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投标报价得分=（评标基准价/该投标人的投标报价）×</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值保留小数点后2位。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p>
          <w:p>
            <w:pPr>
              <w:jc w:val="left"/>
              <w:keepLines w:val="0"/>
              <w:keepNext w:val="0"/>
              <w:pageBreakBefore w:val="0"/>
              <w:spacing w:after="0"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hint="eastAsia" w:ascii="宋体" w:hAnsi="宋体" w:eastAsia="宋体" w:cs="宋体"/>
                <w:color w:val="000000"/>
                <w:sz w:val="24"/>
                <w:szCs w:val="24"/>
                <w:lang w:val="en-US" w:eastAsia="zh-CN"/>
              </w:rPr>
              <w:t xml:space="preserve">具体按招标文件相关要求。</w:t>
            </w:r>
            <w:r/>
          </w:p>
        </w:tc>
      </w:tr>
      <w:tr>
        <w:trPr>
          <w:jc w:val="center"/>
          <w:trHeight w:val="90"/>
        </w:trPr>
        <w:tc>
          <w:tcPr>
            <w:shd w:val="clear" w:color="auto" w:fill="auto"/>
            <w:tcW w:w="961" w:type="dxa"/>
            <w:vAlign w:val="center"/>
            <w:vMerge w:val="restart"/>
            <w:textDirection w:val="lrTb"/>
            <w:noWrap w:val="false"/>
          </w:tcPr>
          <w:p>
            <w:pPr>
              <w:ind w:right="-134"/>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技术分（</w:t>
            </w:r>
            <w:r>
              <w:rPr>
                <w:rFonts w:hint="eastAsia" w:ascii="宋体" w:hAnsi="宋体" w:eastAsia="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分）</w:t>
            </w:r>
            <w:r/>
          </w:p>
        </w:tc>
        <w:tc>
          <w:tcPr>
            <w:shd w:val="clear" w:color="auto" w:fill="auto"/>
            <w:tcW w:w="905" w:type="dxa"/>
            <w:vAlign w:val="center"/>
            <w:textDirection w:val="lrTb"/>
            <w:noWrap w:val="false"/>
          </w:tcPr>
          <w:p>
            <w:pPr>
              <w:ind w:right="-189"/>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服务方案</w:t>
            </w:r>
            <w:r/>
          </w:p>
        </w:tc>
        <w:tc>
          <w:tcPr>
            <w:shd w:val="clear" w:color="auto" w:fill="auto"/>
            <w:tcW w:w="124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投标人针对本项目的特点和要求编制解决方案，方案优于采购需求的得6分；符合采购需求的得3分；不符合采购需求或未提供的不得分。</w:t>
            </w:r>
            <w:r/>
          </w:p>
        </w:tc>
      </w:tr>
      <w:tr>
        <w:trPr>
          <w:jc w:val="center"/>
          <w:trHeight w:val="986"/>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管理架构及岗位设置</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rPr>
              <w:t xml:space="preserve">投标人针对本项目服务要求编制团队管理架构及岗位职责说明，根据其内容的专业性、针对性、合理性等因素进行评审打分：优于采购需求的得6分；符合采购需求的得3分；不符合采购需求或未提供的不得分。</w:t>
            </w:r>
            <w:r/>
          </w:p>
        </w:tc>
      </w:tr>
      <w:tr>
        <w:trPr>
          <w:jc w:val="center"/>
          <w:trHeight w:val="986"/>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内部管理</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根据投标人是否具有完善的内部管理制度，优于采购需求的得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eastAsia="zh-Hans"/>
              </w:rPr>
              <w:t xml:space="preserve">分；符合采购需求的得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分；不符合采购需求或未提供的不得分。</w:t>
            </w:r>
            <w:r/>
          </w:p>
        </w:tc>
      </w:tr>
      <w:tr>
        <w:trPr>
          <w:jc w:val="center"/>
          <w:trHeight w:val="399"/>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人力资源保障</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根据投标人对项目的人员储备计划、人员稳定保障措施</w:t>
            </w:r>
            <w:r>
              <w:rPr>
                <w:rFonts w:hint="eastAsia" w:ascii="宋体" w:hAnsi="宋体" w:eastAsia="宋体" w:cs="宋体"/>
                <w:color w:val="auto"/>
                <w:sz w:val="24"/>
                <w:szCs w:val="24"/>
                <w:lang w:val="en-US" w:eastAsia="zh-CN" w:bidi="ar-SA"/>
              </w:rPr>
              <w:t xml:space="preserve">等方案</w:t>
            </w:r>
            <w:r>
              <w:rPr>
                <w:rFonts w:hint="eastAsia" w:ascii="宋体" w:hAnsi="宋体" w:eastAsia="宋体" w:cs="宋体"/>
                <w:color w:val="auto"/>
                <w:sz w:val="24"/>
                <w:szCs w:val="24"/>
                <w:lang w:val="en-US" w:eastAsia="zh-Hans" w:bidi="ar-SA"/>
              </w:rPr>
              <w:t xml:space="preserve">进行评审：优于采购需求的得</w:t>
            </w: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lang w:val="en-US" w:eastAsia="zh-Hans" w:bidi="ar-SA"/>
              </w:rPr>
              <w:t xml:space="preserve">分；符合采购需求的得</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val="en-US" w:eastAsia="zh-Hans" w:bidi="ar-SA"/>
              </w:rPr>
              <w:t xml:space="preserve">分；不符合采购需求或未提供的不得分。</w:t>
            </w:r>
            <w:r/>
          </w:p>
        </w:tc>
      </w:tr>
      <w:tr>
        <w:trPr>
          <w:jc w:val="center"/>
          <w:trHeight w:val="684"/>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培训计划</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根据投标人对项目人员的岗前培训、在岗培训、考勤等方案进行评审：</w:t>
            </w:r>
            <w:r>
              <w:rPr>
                <w:rFonts w:hint="eastAsia" w:ascii="宋体" w:hAnsi="宋体" w:eastAsia="宋体" w:cs="宋体"/>
                <w:color w:val="auto"/>
                <w:sz w:val="24"/>
                <w:szCs w:val="24"/>
                <w:lang w:val="en-US" w:eastAsia="zh-Hans"/>
              </w:rPr>
              <w:t xml:space="preserve">优于采购需求的得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eastAsia="zh-Hans"/>
              </w:rPr>
              <w:t xml:space="preserve">分；符合采购需求的得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分；不符合采购需求或未提供的不得分。</w:t>
            </w:r>
            <w:r/>
          </w:p>
        </w:tc>
      </w:tr>
      <w:tr>
        <w:trPr>
          <w:jc w:val="center"/>
          <w:trHeight w:val="374"/>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保密制度及保密措施</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p>
        </w:tc>
        <w:tc>
          <w:tcPr>
            <w:shd w:val="clear" w:color="auto" w:fill="auto"/>
            <w:tcW w:w="5502"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根据投标人的保密制度和保密措施进行评审：</w:t>
            </w:r>
            <w:r>
              <w:rPr>
                <w:rFonts w:hint="eastAsia" w:ascii="宋体" w:hAnsi="宋体" w:eastAsia="宋体" w:cs="宋体"/>
                <w:color w:val="auto"/>
                <w:sz w:val="24"/>
                <w:szCs w:val="24"/>
                <w:lang w:val="en-US" w:eastAsia="zh-Hans"/>
              </w:rPr>
              <w:t xml:space="preserve">优于采购需求的得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eastAsia="zh-Hans"/>
              </w:rPr>
              <w:t xml:space="preserve">分；符合采购需求的得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分；不符合采购需求或未提供的不得分。</w:t>
            </w:r>
            <w:r/>
          </w:p>
        </w:tc>
      </w:tr>
      <w:tr>
        <w:trPr>
          <w:jc w:val="center"/>
          <w:trHeight w:val="698"/>
        </w:trPr>
        <w:tc>
          <w:tcPr>
            <w:shd w:val="clear" w:color="auto" w:fill="auto"/>
            <w:tcW w:w="961" w:type="dxa"/>
            <w:vAlign w:val="center"/>
            <w:vMerge w:val="restart"/>
            <w:textDirection w:val="lrTb"/>
            <w:noWrap w:val="false"/>
          </w:tcPr>
          <w:p>
            <w:pPr>
              <w:ind w:right="-134"/>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商务分（</w:t>
            </w:r>
            <w:r>
              <w:rPr>
                <w:rFonts w:hint="eastAsia" w:ascii="宋体" w:hAnsi="宋体" w:eastAsia="宋体" w:cs="宋体"/>
                <w:color w:val="000000"/>
                <w:sz w:val="24"/>
                <w:szCs w:val="24"/>
                <w:lang w:bidi="ar"/>
              </w:rPr>
              <w:t xml:space="preserve">39分）</w:t>
            </w:r>
            <w:r/>
          </w:p>
        </w:tc>
        <w:tc>
          <w:tcPr>
            <w:shd w:val="clear" w:color="auto" w:fill="auto"/>
            <w:tcW w:w="905"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履约能力</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3</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具有由国家认证认可监督管理委员会认可、经市场监管部门批准设立的合法认证机构颁发并在有效期内的认证证书进行评审：(1)“ISO9001质量管理体系认证”、(2)“ISO14001环境管理体系认证”、(3)“ISO45001职业健康安全管理体系认证”；每有一个得1分，最高得分为3分，未提供的不得分。（提供原件扫描件。评标委员会有权通过全国认证认可信息公共服务平台（CX.CNCA.CN）现场核验证书真伪及有效性，查询不到、发证机构不具备合法资质、证书过期或状态异常的，不予计分。）</w:t>
            </w:r>
            <w:r/>
          </w:p>
        </w:tc>
      </w:tr>
      <w:tr>
        <w:trPr>
          <w:jc w:val="center"/>
          <w:trHeight w:val="102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905"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10</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根据投标人自 2022年1月1日起（以合同服务时间为准）司法辅助事务性服务业绩进行评审：具有类似行业司法辅助事务性服务业绩的，每有1个得0.5分，本项最高得10分；</w:t>
            </w:r>
            <w:r/>
          </w:p>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注：提供合同原件扫描件，需能够清晰、明确反映投标人名称、合同服务时间、服务内容等主要信息，未提供、提供不全或提供不清晰的均不得分。</w:t>
            </w:r>
            <w:r/>
          </w:p>
        </w:tc>
      </w:tr>
      <w:tr>
        <w:trPr>
          <w:jc w:val="center"/>
          <w:trHeight w:val="102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905"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投标人业绩评价</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根据投标人得分业绩业主单位（采购人）给予服务评价好评（结果为“良好”或“优秀”或相同含义的评价)进行评审，每有1得1分，本项最高得10分。</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注：投标文件中提供证明材料原件扫描件(项目名称须与对应合同一致，须加盖采购单位或使用部门公章，否则不得分)，未按要求提供的不得分。</w:t>
            </w:r>
            <w:r/>
          </w:p>
        </w:tc>
      </w:tr>
      <w:tr>
        <w:trPr>
          <w:jc w:val="center"/>
          <w:trHeight w:val="102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905"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人员情况</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16</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的拟投入人员配置情情况进行评审：(1)投标人拟投入人员具有档案行政管理部分颁发的《档案人员上岗培训合格证书》或《档案人员上岗合格证》每一人得1分，该项最高得5分。(2)拟投入本项目的人员具有法律专业本科及以上学历的，每有1个得1分,该项最高得9分。（3）拟投入本项目的人员具有国家人力资源和社会保障部颁发的《人力资源管理师》证的，每有1人得1分，该项最高得2分。</w:t>
            </w:r>
            <w:r/>
          </w:p>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说明：提供人员证书原件扫描件，同时提供需提供相应人员至投标截止时间前6个月内任意1个月在投标人单位的参保证明原件扫描件，未按要求提供的不得分。</w:t>
            </w:r>
            <w:r/>
          </w:p>
        </w:tc>
      </w:tr>
    </w:tbl>
    <w:p>
      <w:pPr>
        <w:pStyle w:val="871"/>
        <w:jc w:val="center"/>
        <w:keepLines w:val="0"/>
        <w:keepNext w:val="0"/>
        <w:pageBreakBefore w:val="0"/>
        <w:spacing w:after="0"/>
        <w:widowControl w:val="off"/>
        <w:rPr>
          <w:rFonts w:hint="eastAsia" w:ascii="仿宋" w:hAnsi="仿宋" w:eastAsia="仿宋" w:cs="仿宋"/>
          <w:b/>
          <w:bCs/>
          <w:color w:val="000000" w:themeColor="text1"/>
          <w:spacing w:val="-20"/>
          <w:sz w:val="48"/>
          <w:szCs w:val="48"/>
          <w14:textFill>
            <w14:solidFill>
              <w14:schemeClr w14:val="tx1"/>
            </w14:solidFill>
          </w14:textFill>
        </w:rPr>
      </w:pPr>
      <w:r>
        <w:rPr>
          <w:rFonts w:hint="eastAsia" w:ascii="仿宋" w:hAnsi="仿宋" w:eastAsia="仿宋" w:cs="仿宋"/>
          <w:b/>
          <w:bCs/>
          <w:color w:val="000000" w:themeColor="text1"/>
          <w:spacing w:val="-20"/>
          <w:sz w:val="48"/>
          <w:szCs w:val="48"/>
          <w14:textFill>
            <w14:solidFill>
              <w14:schemeClr w14:val="tx1"/>
            </w14:solidFill>
          </w14:textFill>
        </w:rPr>
      </w:r>
      <w:r/>
    </w:p>
    <w:p>
      <w:pPr>
        <w:pStyle w:val="854"/>
        <w:keepLines/>
        <w:keepNext/>
        <w:pageBreakBefore/>
        <w:spacing w:before="100" w:after="100" w:line="400" w:lineRule="exact"/>
        <w:widowControl/>
        <w:rPr>
          <w:rFonts w:hint="eastAsia"/>
        </w:rPr>
      </w:pPr>
      <w:r/>
      <w:bookmarkStart w:id="117" w:name="_Toc5670"/>
      <w:r/>
      <w:bookmarkStart w:id="118" w:name="_Toc18027"/>
      <w:r>
        <w:rPr>
          <w:rFonts w:hint="eastAsia"/>
          <w:lang w:val="en-US" w:eastAsia="zh-CN"/>
        </w:rPr>
        <w:t xml:space="preserve">第六章  </w:t>
      </w:r>
      <w:bookmarkEnd w:id="117"/>
      <w:r/>
      <w:bookmarkStart w:id="119" w:name="_Toc28896"/>
      <w:r>
        <w:rPr>
          <w:rFonts w:hint="eastAsia"/>
        </w:rPr>
        <w:t xml:space="preserve">投标文件相关格式</w:t>
      </w:r>
      <w:bookmarkEnd w:id="118"/>
      <w:r/>
      <w:bookmarkEnd w:id="119"/>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ind w:firstLine="1080"/>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eastAsia="宋体"/>
          <w:b/>
          <w:color w:val="000000" w:themeColor="text1"/>
          <w:sz w:val="36"/>
          <w:szCs w:val="21"/>
          <w:u w:val="single"/>
          <w:lang w:val="en-US" w:eastAsia="zh-CN"/>
          <w14:textFill>
            <w14:solidFill>
              <w14:schemeClr w14:val="tx1"/>
            </w14:solidFill>
          </w14:textFill>
        </w:rPr>
        <w:t xml:space="preserve">   </w:t>
      </w:r>
      <w:r>
        <w:rPr>
          <w:rFonts w:hint="eastAsia" w:ascii="宋体" w:hAnsi="宋体"/>
          <w:b/>
          <w:color w:val="000000" w:themeColor="text1"/>
          <w:sz w:val="36"/>
          <w:szCs w:val="21"/>
          <w:u w:val="single"/>
          <w14:textFill>
            <w14:solidFill>
              <w14:schemeClr w14:val="tx1"/>
            </w14:solidFill>
          </w14:textFill>
        </w:rPr>
        <w:t xml:space="preserve">        </w:t>
      </w:r>
      <w:r/>
    </w:p>
    <w:p>
      <w:pPr>
        <w:ind w:firstLine="1080"/>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eastAsia="宋体"/>
          <w:b/>
          <w:color w:val="000000" w:themeColor="text1"/>
          <w:sz w:val="36"/>
          <w:szCs w:val="21"/>
          <w:u w:val="single"/>
          <w:lang w:val="en-US" w:eastAsia="zh-CN"/>
          <w14:textFill>
            <w14:solidFill>
              <w14:schemeClr w14:val="tx1"/>
            </w14:solidFill>
          </w14:textFill>
        </w:rPr>
        <w:t xml:space="preserve">    </w:t>
      </w:r>
      <w:r>
        <w:rPr>
          <w:rFonts w:hint="eastAsia" w:ascii="宋体" w:hAnsi="宋体"/>
          <w:b/>
          <w:color w:val="000000" w:themeColor="text1"/>
          <w:sz w:val="36"/>
          <w:szCs w:val="21"/>
          <w:u w:val="single"/>
          <w14:textFill>
            <w14:solidFill>
              <w14:schemeClr w14:val="tx1"/>
            </w14:solidFill>
          </w14:textFill>
        </w:rPr>
        <w:t xml:space="preserve">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投标人名称 ：</w:t>
      </w:r>
      <w:r>
        <w:rPr>
          <w:rFonts w:hint="eastAsia" w:ascii="宋体" w:hAnsi="宋体"/>
          <w:b/>
          <w:color w:val="000000" w:themeColor="text1"/>
          <w:sz w:val="36"/>
          <w:szCs w:val="21"/>
          <w:u w:val="single"/>
          <w14:textFill>
            <w14:solidFill>
              <w14:schemeClr w14:val="tx1"/>
            </w14:solidFill>
          </w14:textFill>
        </w:rPr>
        <w:t xml:space="preserve">（加盖CA电子公章）</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eastAsia="宋体"/>
          <w:b/>
          <w:color w:val="000000" w:themeColor="text1"/>
          <w:sz w:val="36"/>
          <w:szCs w:val="21"/>
          <w:u w:val="single"/>
          <w:lang w:val="en-US" w:eastAsia="zh-CN"/>
          <w14:textFill>
            <w14:solidFill>
              <w14:schemeClr w14:val="tx1"/>
            </w14:solidFill>
          </w14:textFill>
        </w:rPr>
        <w:t xml:space="preserve">    </w:t>
      </w:r>
      <w:r>
        <w:rPr>
          <w:rFonts w:hint="eastAsia" w:ascii="宋体" w:hAnsi="宋体"/>
          <w:b/>
          <w:color w:val="000000" w:themeColor="text1"/>
          <w:sz w:val="36"/>
          <w:szCs w:val="21"/>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5"/>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pageBreakBefore/>
        <w:spacing w:after="0" w:line="400" w:lineRule="exact"/>
        <w:widowControl/>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投标文件的</w:t>
      </w:r>
      <w:r>
        <w:rPr>
          <w:rFonts w:ascii="宋体" w:hAnsi="宋体"/>
          <w:b/>
          <w:bCs/>
          <w:color w:val="000000" w:themeColor="text1"/>
          <w:sz w:val="32"/>
          <w:szCs w:val="32"/>
          <w14:textFill>
            <w14:solidFill>
              <w14:schemeClr w14:val="tx1"/>
            </w14:solidFill>
          </w14:textFill>
        </w:rPr>
        <w:t xml:space="preserve">组成</w:t>
      </w:r>
      <w:r/>
    </w:p>
    <w:p>
      <w:pPr>
        <w:ind w:left="440" w:firstLine="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1.开标一览表（格式见附件1）</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2.投标分项报价表（格式见附件2）</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3.技术要求响应及偏离表（格式见附件3）</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4.商务要求响应及偏离表（格式见附件4）</w:t>
      </w:r>
      <w:r/>
    </w:p>
    <w:p>
      <w:pPr>
        <w:ind w:left="440" w:firstLine="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提供投标人提供2024或2025年度财务报告，至少包含资产负债表、利润表；或投标截止时间前六个月内银行出具的资信证明；成立不满一年无须提供</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依法缴纳税收和社会保障资金的相关材料：提供提交投标文件截止时间前</w:t>
      </w:r>
      <w:r>
        <w:rPr>
          <w:rFonts w:hint="eastAsia" w:ascii="宋体" w:hAnsi="宋体" w:eastAsia="宋体" w:cs="宋体"/>
          <w:color w:val="000000" w:themeColor="text1"/>
          <w:sz w:val="24"/>
          <w:szCs w:val="24"/>
          <w:lang w:val="en-US" w:eastAsia="zh-CN"/>
          <w14:textFill>
            <w14:solidFill>
              <w14:schemeClr w14:val="tx1"/>
            </w14:solidFill>
          </w14:textFill>
        </w:rPr>
        <w:t xml:space="preserve">一年</w:t>
      </w:r>
      <w:r>
        <w:rPr>
          <w:rFonts w:hint="eastAsia" w:ascii="宋体" w:hAnsi="宋体" w:eastAsia="宋体" w:cs="宋体"/>
          <w:color w:val="000000" w:themeColor="text1"/>
          <w:sz w:val="24"/>
          <w:szCs w:val="24"/>
          <w:lang w:eastAsia="zh-CN"/>
          <w14:textFill>
            <w14:solidFill>
              <w14:schemeClr w14:val="tx1"/>
            </w14:solidFill>
          </w14:textFill>
        </w:rPr>
        <w:t xml:space="preserve">内</w:t>
      </w:r>
      <w:r>
        <w:rPr>
          <w:rFonts w:hint="eastAsia" w:ascii="宋体" w:hAnsi="宋体" w:eastAsia="宋体" w:cs="宋体"/>
          <w:color w:val="000000" w:themeColor="text1"/>
          <w:sz w:val="24"/>
          <w:szCs w:val="24"/>
          <w:lang w:val="en-US" w:eastAsia="zh-CN"/>
          <w14:textFill>
            <w14:solidFill>
              <w14:schemeClr w14:val="tx1"/>
            </w14:solidFill>
          </w14:textFill>
        </w:rPr>
        <w:t xml:space="preserve">至少</w:t>
      </w:r>
      <w:r>
        <w:rPr>
          <w:rFonts w:hint="eastAsia" w:ascii="宋体" w:hAnsi="宋体" w:eastAsia="宋体" w:cs="宋体"/>
          <w:color w:val="000000" w:themeColor="text1"/>
          <w:sz w:val="24"/>
          <w:szCs w:val="24"/>
          <w:lang w:eastAsia="zh-CN"/>
          <w14:textFill>
            <w14:solidFill>
              <w14:schemeClr w14:val="tx1"/>
            </w14:solidFill>
          </w14:textFill>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4.具备履行合同所必需的设备和专业技术能力的书面声明（格式见附件5）</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 3 年内在经营活动中没有重大违法记录的书面声明（格式见附件6）</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8.法人授权书（格式见附件7）</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9.投标函（格式见附件8）</w:t>
      </w:r>
      <w:r/>
    </w:p>
    <w:p>
      <w:pPr>
        <w:ind w:left="0" w:firstLine="480"/>
        <w:keepLines w:val="0"/>
        <w:keepNext w:val="0"/>
        <w:pageBreakBefore w:val="0"/>
        <w:spacing w:before="100" w:after="100" w:line="400" w:lineRule="exact"/>
        <w:rPr>
          <w:rFonts w:hint="eastAsia" w:ascii="宋体" w:hAnsi="宋体" w:eastAsia="宋体" w:cs="宋体"/>
          <w:sz w:val="24"/>
          <w:szCs w:val="24"/>
        </w:rPr>
      </w:pPr>
      <w:r>
        <w:rPr>
          <w:rFonts w:hint="eastAsia" w:ascii="宋体" w:hAnsi="宋体" w:eastAsia="宋体" w:cs="宋体"/>
          <w:sz w:val="24"/>
          <w:szCs w:val="24"/>
        </w:rPr>
        <w:t xml:space="preserve">10.中小微企业声明函（如果本项目专门面向中小微型企业采购，则必须提供。格式见附件9）</w:t>
      </w:r>
      <w:r/>
    </w:p>
    <w:p>
      <w:pPr>
        <w:ind w:left="0" w:firstLine="480"/>
        <w:keepLines w:val="0"/>
        <w:keepNext w:val="0"/>
        <w:pageBreakBefore w:val="0"/>
        <w:spacing w:before="100" w:after="100" w:line="400" w:lineRule="exact"/>
        <w:rPr>
          <w:rFonts w:hint="eastAsia" w:ascii="宋体" w:hAnsi="宋体" w:eastAsia="宋体" w:cs="宋体"/>
          <w:sz w:val="24"/>
          <w:szCs w:val="24"/>
        </w:rPr>
      </w:pPr>
      <w:r>
        <w:rPr>
          <w:rFonts w:hint="eastAsia" w:ascii="宋体" w:hAnsi="宋体" w:eastAsia="宋体" w:cs="宋体"/>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12.联合体协议（如果本项目接受联合体参加投标，投标人是联合体的，则必须提供。格式见附件11）</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总备注：上述“资格审查内容”中1-5条、8、9条投标人必须在投标文件中提供相关材料，否则作无效投标处理；</w:t>
      </w:r>
      <w:r>
        <w:rPr>
          <w:rFonts w:hint="eastAsia" w:ascii="宋体" w:hAnsi="宋体"/>
          <w:sz w:val="24"/>
          <w:szCs w:val="24"/>
        </w:rPr>
        <w:t xml:space="preserve">6、10、11、12</w:t>
      </w:r>
      <w:r>
        <w:rPr>
          <w:rFonts w:hint="eastAsia" w:ascii="宋体" w:hAnsi="宋体" w:eastAsia="宋体" w:cs="宋体"/>
          <w:color w:val="000000" w:themeColor="text1"/>
          <w:sz w:val="24"/>
          <w:szCs w:val="24"/>
          <w14:textFill>
            <w14:solidFill>
              <w14:schemeClr w14:val="tx1"/>
            </w14:solidFill>
          </w14:textFill>
        </w:rPr>
        <w:t xml:space="preserve">条如招标文件要求必须提供相关材料而未提供的，作无效投标处理。</w:t>
      </w:r>
      <w:r/>
    </w:p>
    <w:p>
      <w:pPr>
        <w:ind w:left="48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firstLine="480"/>
        <w:keepLines w:val="0"/>
        <w:keepNext w:val="0"/>
        <w:pageBreakBefore w:val="0"/>
        <w:spacing w:after="100" w:line="40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投标人必须对招标文件（含技术要求和商务要求）中要求逐条做出响应，并按照招标文件要求提供证明材料，否则作无效投标处理。（格式见附件12）</w:t>
      </w:r>
      <w:r/>
    </w:p>
    <w:p>
      <w:pPr>
        <w:ind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95"/>
        <w:ind w:left="0" w:firstLine="0"/>
        <w:rPr>
          <w:rFonts w:hint="eastAsia" w:ascii="宋体" w:hAnsi="宋体" w:eastAsia="宋体" w:cs="宋体"/>
          <w:b/>
          <w:bCs/>
          <w:color w:val="000000"/>
          <w:sz w:val="28"/>
          <w:szCs w:val="28"/>
        </w:rPr>
      </w:pPr>
      <w:r/>
      <w:bookmarkStart w:id="120" w:name="_Toc15944"/>
      <w:r/>
      <w:bookmarkStart w:id="121" w:name="_Toc30076"/>
      <w:r/>
      <w:bookmarkStart w:id="122" w:name="_Toc31409"/>
      <w:r>
        <w:rPr>
          <w:rFonts w:hint="eastAsia" w:ascii="宋体" w:hAnsi="宋体" w:eastAsia="宋体" w:cs="宋体"/>
          <w:b/>
          <w:bCs/>
          <w:color w:val="000000"/>
          <w:sz w:val="28"/>
          <w:szCs w:val="28"/>
          <w:lang w:val="en-US" w:eastAsia="zh-CN"/>
        </w:rPr>
        <w:t xml:space="preserve">注：</w:t>
      </w:r>
      <w:r>
        <w:rPr>
          <w:rFonts w:hint="eastAsia" w:ascii="宋体" w:hAnsi="宋体" w:eastAsia="宋体" w:cs="宋体"/>
          <w:b/>
          <w:bCs/>
          <w:color w:val="000000"/>
          <w:sz w:val="28"/>
          <w:szCs w:val="28"/>
        </w:rPr>
        <w:t xml:space="preserve">本章仅提供</w:t>
      </w:r>
      <w:r>
        <w:rPr>
          <w:rFonts w:hint="eastAsia" w:ascii="宋体" w:hAnsi="宋体" w:eastAsia="宋体" w:cs="宋体"/>
          <w:b/>
          <w:bCs/>
          <w:color w:val="000000"/>
          <w:sz w:val="28"/>
          <w:szCs w:val="28"/>
          <w:lang w:val="en-US" w:eastAsia="zh-CN"/>
        </w:rPr>
        <w:t xml:space="preserve">投标</w:t>
      </w:r>
      <w:r>
        <w:rPr>
          <w:rFonts w:hint="eastAsia" w:ascii="宋体" w:hAnsi="宋体" w:eastAsia="宋体" w:cs="宋体"/>
          <w:b/>
          <w:bCs/>
          <w:color w:val="000000"/>
          <w:sz w:val="28"/>
          <w:szCs w:val="28"/>
        </w:rPr>
        <w:t xml:space="preserve">文件中的部分文件格式，不应被理解为包含了</w:t>
      </w:r>
      <w:r>
        <w:rPr>
          <w:rFonts w:hint="eastAsia" w:ascii="宋体" w:hAnsi="宋体" w:eastAsia="宋体" w:cs="宋体"/>
          <w:b/>
          <w:bCs/>
          <w:color w:val="000000"/>
          <w:sz w:val="28"/>
          <w:szCs w:val="28"/>
          <w:lang w:val="en-US" w:eastAsia="zh-CN"/>
        </w:rPr>
        <w:t xml:space="preserve">投标</w:t>
      </w:r>
      <w:r>
        <w:rPr>
          <w:rFonts w:hint="eastAsia" w:ascii="宋体" w:hAnsi="宋体" w:eastAsia="宋体" w:cs="宋体"/>
          <w:b/>
          <w:bCs/>
          <w:color w:val="000000"/>
          <w:sz w:val="28"/>
          <w:szCs w:val="28"/>
        </w:rPr>
        <w:t xml:space="preserve">文件所需的全部资料</w:t>
      </w:r>
      <w:bookmarkEnd w:id="120"/>
      <w:r/>
      <w:bookmarkEnd w:id="121"/>
      <w:r/>
      <w:bookmarkEnd w:id="122"/>
      <w:r/>
      <w:r/>
    </w:p>
    <w:p>
      <w:pPr>
        <w:pStyle w:val="895"/>
        <w:ind w:left="0" w:firstLine="0"/>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5"/>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5"/>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5"/>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5"/>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5"/>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both"/>
        <w:keepLines w:val="0"/>
        <w:keepNext/>
        <w:pageBreakBefore/>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w:t>
      </w:r>
      <w:r>
        <w:rPr>
          <w:rFonts w:hint="eastAsia" w:ascii="宋体" w:hAnsi="宋体" w:eastAsia="宋体" w:cs="宋体"/>
          <w:b/>
          <w:color w:val="000000" w:themeColor="text1"/>
          <w:sz w:val="36"/>
          <w:szCs w:val="36"/>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开标一览表</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864"/>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7"/>
      </w:tblGrid>
      <w:tr>
        <w:trPr>
          <w:cantSplit/>
          <w:jc w:val="center"/>
          <w:trHeight w:val="725"/>
        </w:trPr>
        <w:tc>
          <w:tcPr>
            <w:tcW w:w="833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每年投标</w:t>
            </w:r>
            <w:r>
              <w:rPr>
                <w:rFonts w:hint="eastAsia" w:ascii="宋体" w:hAnsi="宋体" w:eastAsia="宋体" w:cs="宋体"/>
                <w:b w:val="0"/>
                <w:bCs w:val="0"/>
                <w:color w:val="000000" w:themeColor="text1"/>
                <w:sz w:val="24"/>
                <w:szCs w:val="24"/>
                <w14:textFill>
                  <w14:solidFill>
                    <w14:schemeClr w14:val="tx1"/>
                  </w14:solidFill>
                </w14:textFill>
              </w:rPr>
              <w:t xml:space="preserve">报价</w:t>
            </w:r>
            <w:r/>
          </w:p>
        </w:tc>
      </w:tr>
      <w:tr>
        <w:trPr>
          <w:cantSplit/>
          <w:jc w:val="center"/>
          <w:trHeight w:val="612"/>
        </w:trPr>
        <w:tc>
          <w:tcPr>
            <w:tcW w:w="833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附件2</w:t>
      </w:r>
      <w:r>
        <w:rPr>
          <w:rFonts w:hint="eastAsia" w:ascii="宋体" w:hAnsi="宋体" w:eastAsia="宋体" w:cs="宋体"/>
          <w:b/>
          <w:color w:val="000000" w:themeColor="text1"/>
          <w:sz w:val="36"/>
          <w:szCs w:val="36"/>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投标分项报价表</w:t>
      </w:r>
      <w:r/>
    </w:p>
    <w:tbl>
      <w:tblPr>
        <w:tblStyle w:val="8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3016"/>
        <w:gridCol w:w="698"/>
        <w:gridCol w:w="698"/>
        <w:gridCol w:w="1421"/>
        <w:gridCol w:w="1421"/>
      </w:tblGrid>
      <w:tr>
        <w:trPr>
          <w:jc w:val="center"/>
          <w:trHeight w:val="478"/>
          <w:tblHeader/>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服务内容</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ascii="宋体" w:hAnsi="宋体"/>
                <w:b/>
                <w:sz w:val="24"/>
              </w:rPr>
              <w:t xml:space="preserve">单位</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数量</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单价（元）</w:t>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总价（元）</w:t>
            </w:r>
            <w:r/>
          </w:p>
        </w:tc>
      </w:tr>
      <w:tr>
        <w:trPr>
          <w:jc w:val="center"/>
          <w:trHeight w:val="745"/>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w:t>
            </w:r>
            <w:r/>
          </w:p>
        </w:tc>
        <w:tc>
          <w:tcPr>
            <w:tcBorders>
              <w:left w:val="single" w:color="000000" w:sz="4" w:space="0"/>
              <w:right w:val="single" w:color="000000" w:sz="4" w:space="0"/>
            </w:tcBorders>
            <w:tcW w:w="0" w:type="auto"/>
            <w:vAlign w:val="center"/>
            <w:textDirection w:val="lrTb"/>
            <w:noWrap w:val="false"/>
          </w:tcPr>
          <w:p>
            <w:pPr>
              <w:pStyle w:val="1093"/>
              <w:ind w:left="0" w:right="0" w:firstLine="0"/>
              <w:jc w:val="center"/>
              <w:keepLines w:val="0"/>
              <w:keepNext w:val="0"/>
              <w:pageBreakBefore w:val="0"/>
              <w:spacing w:line="240" w:lineRule="auto"/>
              <w:widowControl/>
              <w:rPr>
                <w:rFonts w:hint="eastAsia" w:ascii="宋体" w:hAnsi="宋体" w:eastAsia="宋体" w:cs="宋体"/>
                <w:sz w:val="28"/>
                <w:szCs w:val="28"/>
              </w:rPr>
            </w:pPr>
            <w:r>
              <w:rPr>
                <w:rFonts w:hint="eastAsia" w:ascii="宋体" w:hAnsi="宋体" w:eastAsia="宋体" w:cs="宋体"/>
                <w:color w:val="000000" w:themeColor="text1"/>
                <w:sz w:val="28"/>
                <w:szCs w:val="28"/>
                <w:lang w:eastAsia="zh-CN"/>
                <w14:textFill>
                  <w14:solidFill>
                    <w14:schemeClr w14:val="tx1"/>
                  </w14:solidFill>
                </w14:textFill>
              </w:rPr>
              <w:t xml:space="preserve">司法辅助事务服务项目</w:t>
            </w:r>
            <w:r/>
          </w:p>
        </w:tc>
        <w:tc>
          <w:tcPr>
            <w:tcBorders>
              <w:left w:val="single" w:color="000000" w:sz="4" w:space="0"/>
              <w:right w:val="single" w:color="000000" w:sz="4" w:space="0"/>
            </w:tcBorders>
            <w:tcW w:w="0" w:type="auto"/>
            <w:vAlign w:val="center"/>
            <w:textDirection w:val="lrTb"/>
            <w:noWrap w:val="false"/>
          </w:tcPr>
          <w:p>
            <w:pPr>
              <w:pStyle w:val="1093"/>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w:t>
            </w:r>
            <w:r/>
          </w:p>
        </w:tc>
        <w:tc>
          <w:tcPr>
            <w:tcBorders>
              <w:left w:val="single" w:color="000000" w:sz="4" w:space="0"/>
              <w:right w:val="single" w:color="000000" w:sz="4" w:space="0"/>
            </w:tcBorders>
            <w:tcW w:w="0" w:type="auto"/>
            <w:vAlign w:val="center"/>
            <w:textDirection w:val="lrTb"/>
            <w:noWrap w:val="false"/>
          </w:tcPr>
          <w:p>
            <w:pPr>
              <w:pStyle w:val="1093"/>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895"/>
        <w:ind w:left="0" w:firstLine="0"/>
        <w:jc w:val="both"/>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95"/>
        <w:jc w:val="right"/>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95"/>
        <w:jc w:val="right"/>
        <w:rPr>
          <w:rFonts w:hint="eastAsia"/>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2.“投标分项报价表”中“投标总报价”数额应当与“开标一览表”中“投标总报价”数额一致。</w:t>
      </w:r>
      <w:r/>
    </w:p>
    <w:p>
      <w:pPr>
        <w:ind w:firstLine="480"/>
        <w:keepLines w:val="0"/>
        <w:keepNext w:val="0"/>
        <w:pageBreakBefore w:val="0"/>
        <w:spacing w:before="200" w:line="400" w:lineRule="exact"/>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2"/>
        <w:keepLines w:val="0"/>
        <w:keepNext w:val="0"/>
        <w:pageBreakBefore w:val="0"/>
        <w:spacing w:before="200" w:line="400" w:lineRule="exact"/>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4</w:t>
      </w:r>
      <w:r>
        <w:rPr>
          <w:rFonts w:hint="eastAsia" w:ascii="宋体" w:hAnsi="宋体" w:eastAsia="宋体" w:cs="宋体"/>
          <w:b/>
          <w:color w:val="000000" w:themeColor="text1"/>
          <w:sz w:val="24"/>
          <w:szCs w:val="24"/>
          <w14:textFill>
            <w14:solidFill>
              <w14:schemeClr w14:val="tx1"/>
            </w14:solidFill>
          </w14:textFill>
        </w:rPr>
        <w:t xml:space="preserve">.投标人需认真填写本报价表，尤其注意规格型号的准确填写。</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.项目经办人可以根据项目实际需要对表格结构进行调整。</w:t>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附件3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864"/>
        <w:tblW w:w="8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802"/>
        <w:gridCol w:w="2650"/>
        <w:gridCol w:w="2312"/>
      </w:tblGrid>
      <w:tr>
        <w:trPr>
          <w:cantSplit/>
          <w:jc w:val="center"/>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技术要求</w:t>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1.投标人需对招标文件技术要求逐条做出明确响应。</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2.如果招标文件要求提供证明材料，投标人需将证明材料列于该表之下。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zh-CN"/>
          <w14:textFill>
            <w14:solidFill>
              <w14:schemeClr w14:val="tx1"/>
            </w14:solidFill>
          </w14:textFill>
        </w:rPr>
        <w:t xml:space="preserve">投标人未对实质性要求逐条作出明确响应的，或未按招标文件要求提供证明材料的，该采购包作无效投标处理。</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4、除以上要求，</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投标人的投标文件中的内容与招标文件（含招标文件的澄清或者修改的内容，下同）的要求不同时，逐条列在偏离表中，否则将认为投标人接受招标文件的要求。</w:t>
      </w:r>
      <w:r/>
    </w:p>
    <w:p>
      <w:pPr>
        <w:pStyle w:val="8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95"/>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附件4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864"/>
        <w:tblW w:w="86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24"/>
        <w:gridCol w:w="2833"/>
        <w:gridCol w:w="2235"/>
      </w:tblGrid>
      <w:tr>
        <w:trPr>
          <w:cantSplit/>
          <w:jc w:val="center"/>
        </w:trPr>
        <w:tc>
          <w:tcPr>
            <w:tcW w:w="78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82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商务要求</w:t>
            </w:r>
            <w:r/>
          </w:p>
        </w:tc>
        <w:tc>
          <w:tcPr>
            <w:tcW w:w="283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223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sz w:val="24"/>
          <w:szCs w:val="24"/>
        </w:rPr>
        <w:t xml:space="preserve">投标人需对招标文件商务要求逐条做出明确响应。</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2.如果招标文件要求提供证明材料，投标人需将证明材料列于该表之下。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投标人未对实质性要求逐条作出明确响应的，或未按招标文件要求提供证明材料的，该采购包作无效投标处理。</w:t>
      </w:r>
      <w:r/>
    </w:p>
    <w:p>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4.除以上要求，投标人的投标文件中的内容与招标文件（含招标文件的澄清或者修改的内容，下同）的要求不同时，逐条列在偏离表中，否则将认为投标人接受招标文件的要求。</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95"/>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附件5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具备履行合同所必需的设备和专业技术能力的书面声明</w:t>
      </w:r>
      <w:r/>
    </w:p>
    <w:p>
      <w:pPr>
        <w:ind w:firstLine="493"/>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主要设备有：</w:t>
      </w:r>
      <w:r>
        <w:rPr>
          <w:rFonts w:hint="eastAsia" w:ascii="宋体" w:hAnsi="宋体" w:eastAsia="宋体" w:cs="宋体"/>
          <w:bCs/>
          <w:color w:val="000000" w:themeColor="text1"/>
          <w:sz w:val="24"/>
          <w:szCs w:val="21"/>
          <w:u w:val="single"/>
          <w14:textFill>
            <w14:solidFill>
              <w14:schemeClr w14:val="tx1"/>
            </w14:solidFill>
          </w14:textFill>
        </w:rPr>
        <w:t xml:space="preserve">      </w:t>
      </w:r>
      <w:r>
        <w:rPr>
          <w:rFonts w:hint="eastAsia" w:ascii="宋体" w:hAnsi="宋体" w:eastAsia="宋体" w:cs="宋体"/>
          <w:bCs/>
          <w:color w:val="000000" w:themeColor="text1"/>
          <w:sz w:val="24"/>
          <w:szCs w:val="21"/>
          <w14:textFill>
            <w14:solidFill>
              <w14:schemeClr w14:val="tx1"/>
            </w14:solidFill>
          </w14:textFill>
        </w:rPr>
        <w:t xml:space="preserve">。</w:t>
      </w:r>
      <w:r/>
    </w:p>
    <w:p>
      <w:pPr>
        <w:ind w:firstLine="492"/>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主要专业技术能力有：</w:t>
      </w:r>
      <w:r>
        <w:rPr>
          <w:rFonts w:hint="eastAsia" w:ascii="宋体" w:hAnsi="宋体" w:eastAsia="宋体" w:cs="宋体"/>
          <w:bCs/>
          <w:color w:val="000000" w:themeColor="text1"/>
          <w:sz w:val="24"/>
          <w:szCs w:val="21"/>
          <w:u w:val="single"/>
          <w14:textFill>
            <w14:solidFill>
              <w14:schemeClr w14:val="tx1"/>
            </w14:solidFill>
          </w14:textFill>
        </w:rPr>
        <w:t xml:space="preserve">         </w:t>
      </w:r>
      <w:r>
        <w:rPr>
          <w:rFonts w:hint="eastAsia" w:ascii="宋体" w:hAnsi="宋体" w:eastAsia="宋体" w:cs="宋体"/>
          <w:bCs/>
          <w:color w:val="000000" w:themeColor="text1"/>
          <w:sz w:val="24"/>
          <w:szCs w:val="21"/>
          <w14:textFill>
            <w14:solidFill>
              <w14:schemeClr w14:val="tx1"/>
            </w14:solidFill>
          </w14:textFill>
        </w:rPr>
        <w:t xml:space="preserve">。</w:t>
      </w:r>
      <w:r/>
    </w:p>
    <w:p>
      <w:pPr>
        <w:pStyle w:val="895"/>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95"/>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95"/>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附件6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firstLine="48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我单位郑重声明：参加本次政府采购</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项目名称：</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none"/>
          <w:lang w:val="en-US" w:eastAsia="zh-CN"/>
          <w14:textFill>
            <w14:solidFill>
              <w14:schemeClr w14:val="tx1"/>
            </w14:solidFill>
          </w14:textFill>
        </w:rPr>
        <w:t xml:space="preserve">，项目编号：</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活动前3年内，我单位在经营活动中没有因违法经营受到刑事处罚或者责令停产停业、吊销许可证或者执照、较大数额罚款等行政处罚。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895"/>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firstLine="48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附件7  </w:t>
      </w:r>
      <w:r>
        <w:rPr>
          <w:rFonts w:hint="eastAsia" w:ascii="宋体" w:hAnsi="宋体" w:eastAsia="宋体" w:cs="宋体"/>
          <w:b/>
          <w:color w:val="000000" w:themeColor="text1"/>
          <w:sz w:val="24"/>
          <w:szCs w:val="21"/>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firstLine="482"/>
        <w:keepLines w:val="0"/>
        <w:keepNext w:val="0"/>
        <w:pageBreakBefore w:val="0"/>
        <w:spacing w:line="6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本授权书声明：____________（投标人名称）授权________________（被授权人的姓名）为我方</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firstLine="480"/>
        <w:keepLines w:val="0"/>
        <w:keepNext w:val="0"/>
        <w:pageBreakBefore w:val="0"/>
        <w:spacing w:line="4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123" w:name="_格式3__银行出具的资信证明"/>
      <w:r/>
      <w:bookmarkEnd w:id="123"/>
      <w:r/>
      <w:bookmarkStart w:id="124" w:name="_Hlt26671380"/>
      <w:r/>
      <w:bookmarkEnd w:id="124"/>
      <w:r/>
      <w:bookmarkStart w:id="125" w:name="_Hlt26955070"/>
      <w:r/>
      <w:bookmarkEnd w:id="125"/>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4"/>
      </w:tblGrid>
      <w:tr>
        <w:trPr>
          <w:jc w:val="center"/>
          <w:trHeight w:val="1657"/>
        </w:trPr>
        <w:tc>
          <w:tcPr>
            <w:tcW w:w="7354"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7354"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keepLines w:val="0"/>
        <w:keepNext/>
        <w:pageBreakBefore/>
        <w:spacing w:after="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投标函</w:t>
      </w:r>
      <w:r/>
    </w:p>
    <w:p>
      <w:pPr>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firstLine="482"/>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招标文件，正式授权下述签字人_____(姓名)代表我方_____________（投标人的名称），全权处理本次项目投标的有关事宜。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1.按招标文件规定的各项要求，向买方提供所需货物（包含与货物相关的服务）。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2.我们完全理解贵方不一定将合同授予最低报价的投标人。</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4.我们同意从规定的开标日期起遵循本投标文件，并在规定的投标有效期期满之前均具有约束力。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1073"/>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企业名称：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 </w:t>
      </w:r>
      <w:r/>
    </w:p>
    <w:p>
      <w:pPr>
        <w:ind w:left="416" w:firstLine="21"/>
        <w:jc w:val="center"/>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keepLines w:val="0"/>
        <w:keepNext/>
        <w:pageBreakBefore/>
        <w:spacing w:after="0" w:line="440" w:lineRule="exact"/>
        <w:widowControl/>
        <w:tabs>
          <w:tab w:val="left" w:pos="0" w:leader="none"/>
        </w:tabs>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中小微企业声明函（服务类项目）</w:t>
      </w:r>
      <w:r/>
    </w:p>
    <w:p>
      <w:pPr>
        <w:pStyle w:val="1072"/>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郑重声明，根据《政府采购促进中小企业发展管理办法》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财库﹝2020﹞46号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本公司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参加</w:t>
      </w:r>
      <w:r>
        <w:rPr>
          <w:rFonts w:hint="eastAsia" w:ascii="宋体" w:hAnsi="宋体" w:eastAsia="宋体" w:cs="宋体"/>
          <w:sz w:val="24"/>
          <w:szCs w:val="24"/>
          <w:u w:val="single"/>
          <w:lang w:val="en-US" w:eastAsia="zh-CN"/>
        </w:rPr>
        <w:t xml:space="preserve">兴化市人民法院</w:t>
      </w:r>
      <w:r>
        <w:rPr>
          <w:rFonts w:hint="eastAsia" w:ascii="宋体" w:hAnsi="宋体" w:eastAsia="宋体" w:cs="宋体"/>
          <w:sz w:val="24"/>
          <w:szCs w:val="24"/>
          <w:lang w:val="en-US" w:eastAsia="zh-CN"/>
        </w:rPr>
        <w:t xml:space="preserve">单位的</w:t>
      </w:r>
      <w:r>
        <w:rPr>
          <w:rFonts w:hint="eastAsia" w:ascii="宋体" w:hAnsi="宋体" w:eastAsia="宋体" w:cs="宋体"/>
          <w:sz w:val="24"/>
          <w:szCs w:val="24"/>
          <w:u w:val="single"/>
          <w:lang w:val="en-US" w:eastAsia="zh-CN"/>
        </w:rPr>
        <w:t xml:space="preserve">司法辅助事务服务项目</w:t>
      </w:r>
      <w:r>
        <w:rPr>
          <w:rFonts w:hint="eastAsia" w:ascii="宋体" w:hAnsi="宋体" w:eastAsia="宋体" w:cs="宋体"/>
          <w:b w:val="0"/>
          <w:bCs w:val="0"/>
          <w:color w:val="auto"/>
          <w:sz w:val="24"/>
          <w:szCs w:val="24"/>
          <w:u w:val="single"/>
          <w:lang w:eastAsia="zh-CN"/>
        </w:rPr>
        <w:t xml:space="preserve">（采购编号：</w:t>
      </w:r>
      <w:r>
        <w:rPr>
          <w:rFonts w:hint="eastAsia" w:ascii="宋体" w:hAnsi="宋体" w:eastAsia="宋体" w:cs="宋体"/>
          <w:b w:val="0"/>
          <w:bCs w:val="0"/>
          <w:color w:val="auto"/>
          <w:sz w:val="24"/>
          <w:szCs w:val="24"/>
          <w:u w:val="single"/>
          <w:lang w:val="en-US" w:eastAsia="zh-CN"/>
        </w:rPr>
        <w:t xml:space="preserve">JSZC-321281-TZTC-G2026-0003</w:t>
      </w:r>
      <w:r>
        <w:rPr>
          <w:rFonts w:hint="eastAsia" w:ascii="宋体" w:hAnsi="宋体" w:eastAsia="宋体" w:cs="宋体"/>
          <w:b w:val="0"/>
          <w:bCs w:val="0"/>
          <w:color w:val="auto"/>
          <w:sz w:val="24"/>
          <w:szCs w:val="24"/>
          <w:u w:val="single"/>
          <w:lang w:eastAsia="zh-CN"/>
        </w:rPr>
        <w:t xml:space="preserve">）</w:t>
      </w:r>
      <w:r>
        <w:rPr>
          <w:rFonts w:hint="eastAsia" w:ascii="宋体" w:hAnsi="宋体" w:eastAsia="宋体" w:cs="宋体"/>
          <w:sz w:val="24"/>
          <w:szCs w:val="24"/>
        </w:rPr>
        <w:t xml:space="preserve">采购活动，服务全部由符合政策要求的中小企业承接</w:t>
      </w:r>
      <w:r>
        <w:rPr>
          <w:rFonts w:hint="eastAsia" w:ascii="宋体" w:hAnsi="宋体" w:eastAsia="宋体" w:cs="宋体"/>
          <w:sz w:val="24"/>
          <w:szCs w:val="24"/>
          <w:lang w:eastAsia="zh-CN"/>
        </w:rPr>
        <w:t xml:space="preserve">。相关企业（含联合体中的中小企业、签订分包意向协议的中小企业）的具体情况如下：</w:t>
      </w:r>
      <w:r/>
    </w:p>
    <w:p>
      <w:pPr>
        <w:numPr>
          <w:ilvl w:val="0"/>
          <w:numId w:val="0"/>
        </w:numPr>
        <w:ind w:firstLine="480"/>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u w:val="single"/>
          <w:lang w:val="en-US" w:eastAsia="zh-CN"/>
        </w:rPr>
        <w:t xml:space="preserve">兴化市人民法院司法辅助事务服务项目</w:t>
      </w:r>
      <w:r>
        <w:rPr>
          <w:rFonts w:hint="eastAsia" w:ascii="宋体" w:hAnsi="宋体" w:eastAsia="宋体" w:cs="宋体"/>
          <w:sz w:val="24"/>
          <w:szCs w:val="24"/>
        </w:rPr>
        <w:t xml:space="preserve">，属于</w:t>
      </w:r>
      <w:r>
        <w:rPr>
          <w:rFonts w:hint="eastAsia" w:ascii="宋体" w:hAnsi="宋体" w:eastAsia="宋体" w:cs="宋体"/>
          <w:b/>
          <w:bCs/>
          <w:sz w:val="24"/>
          <w:szCs w:val="24"/>
          <w:u w:val="single"/>
          <w:lang w:val="en-US" w:eastAsia="zh-CN"/>
        </w:rPr>
        <w:t xml:space="preserve">租赁和商务服务业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color w:val="000000"/>
          <w:sz w:val="24"/>
          <w:szCs w:val="24"/>
          <w:u w:val="single"/>
        </w:rPr>
        <w:t xml:space="preserve">□</w:t>
      </w:r>
      <w:r>
        <w:rPr>
          <w:rFonts w:hint="eastAsia" w:ascii="宋体" w:hAnsi="宋体" w:eastAsia="宋体" w:cs="宋体"/>
          <w:b/>
          <w:sz w:val="24"/>
          <w:szCs w:val="24"/>
          <w:u w:val="single"/>
        </w:rPr>
        <w:t xml:space="preserve">中型企业、</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rPr>
        <w:t xml:space="preserve">小型企业、</w:t>
      </w:r>
      <w:r>
        <w:rPr>
          <w:rFonts w:hint="eastAsia" w:ascii="宋体" w:hAnsi="宋体" w:eastAsia="宋体" w:cs="宋体"/>
          <w:sz w:val="24"/>
          <w:szCs w:val="24"/>
          <w:u w:val="single"/>
          <w:lang w:eastAsia="zh-CN"/>
        </w:rPr>
        <w:t xml:space="preserve">□</w:t>
      </w:r>
      <w:r>
        <w:rPr>
          <w:rFonts w:hint="eastAsia" w:ascii="宋体" w:hAnsi="宋体" w:eastAsia="宋体" w:cs="宋体"/>
          <w:b/>
          <w:sz w:val="24"/>
          <w:szCs w:val="24"/>
          <w:u w:val="single"/>
        </w:rPr>
        <w:t xml:space="preserve">微型企业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pStyle w:val="1072"/>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p>
    <w:p>
      <w:pPr>
        <w:pStyle w:val="1072"/>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072"/>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1073"/>
        <w:ind w:right="565"/>
        <w:jc w:val="center"/>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pStyle w:val="1073"/>
        <w:ind w:right="565"/>
        <w:jc w:val="center"/>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企业名称：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 </w:t>
      </w:r>
      <w:r/>
    </w:p>
    <w:p>
      <w:pPr>
        <w:pStyle w:val="1073"/>
        <w:ind w:right="565" w:firstLine="2880"/>
        <w:jc w:val="both"/>
        <w:keepLines w:val="0"/>
        <w:keepNext w:val="0"/>
        <w:pageBreakBefore w:val="0"/>
        <w:spacing w:after="100" w:line="360" w:lineRule="auto"/>
        <w:rPr>
          <w:rFonts w:hint="eastAsia" w:ascii="宋体" w:hAnsi="宋体" w:eastAsia="宋体" w:cs="宋体"/>
          <w:b/>
          <w:bCs/>
          <w:sz w:val="21"/>
          <w:szCs w:val="21"/>
          <w:lang w:eastAsia="zh-CN"/>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期：</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备注：</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1.从业人员、营业收入、资产总额填报上一年度数据，无上一年度数据的新成立企业可不填报。</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lang w:eastAsia="zh-CN"/>
          <w14:textFill>
            <w14:solidFill>
              <w14:schemeClr w14:val="tx1"/>
            </w14:solidFill>
          </w14:textFill>
        </w:rPr>
        <w:t xml:space="preserve">中标、成交供应商为小型、微型企业的，采购人或者其委托的采购代理机构有权随中标、成交结果同时公告其《中小企业声明函》，接受社会监督。</w:t>
      </w:r>
      <w:r/>
    </w:p>
    <w:p>
      <w:pPr>
        <w:jc w:val="both"/>
        <w:keepLines w:val="0"/>
        <w:keepNext w:val="0"/>
        <w:pageBreakBefore w:val="0"/>
        <w:spacing w:after="0" w:line="360" w:lineRule="exact"/>
        <w:widowControl/>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color w:val="000000"/>
          <w:sz w:val="24"/>
          <w:szCs w:val="24"/>
        </w:rPr>
        <w:t xml:space="preserve">供应商</w:t>
      </w:r>
      <w:r>
        <w:rPr>
          <w:rFonts w:ascii="宋体" w:hAnsi="宋体"/>
          <w:color w:val="000000"/>
          <w:sz w:val="24"/>
          <w:szCs w:val="24"/>
        </w:rPr>
        <w:t xml:space="preserve">自行勾选企业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keepLines w:val="0"/>
        <w:keepNext/>
        <w:pageBreakBefore/>
        <w:spacing w:after="0" w:line="440" w:lineRule="exact"/>
        <w:widowControl/>
        <w:tabs>
          <w:tab w:val="left" w:pos="0" w:leader="none"/>
        </w:tabs>
        <w:rPr>
          <w:rFonts w:hint="default" w:ascii="宋体" w:hAnsi="宋体" w:eastAsia="宋体" w:cs="宋体"/>
          <w:color w:val="000000" w:themeColor="text1"/>
          <w:sz w:val="24"/>
          <w:szCs w:val="21"/>
          <w:lang w:val="en-US"/>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ind w:firstLine="723"/>
        <w:jc w:val="center"/>
        <w:keepLines w:val="0"/>
        <w:keepNext/>
        <w:pageBreakBefore w:val="0"/>
        <w:spacing w:line="440" w:lineRule="exact"/>
        <w:widowControl w:val="off"/>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eastAsia="宋体" w:cs="宋体"/>
          <w:b/>
          <w:color w:val="000000" w:themeColor="text1"/>
          <w:sz w:val="36"/>
          <w:szCs w:val="36"/>
          <w:lang w:eastAsia="zh-CN"/>
          <w14:textFill>
            <w14:solidFill>
              <w14:schemeClr w14:val="tx1"/>
            </w14:solidFill>
          </w14:textFill>
        </w:rPr>
        <w:t xml:space="preserve">残疾人福利性单位声明函</w:t>
      </w:r>
      <w:r/>
    </w:p>
    <w:p>
      <w:pPr>
        <w:ind w:firstLine="482"/>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lang w:val="en-US" w:eastAsia="zh-CN"/>
        </w:rPr>
        <w:t xml:space="preserve">兴化市人民法院</w:t>
      </w:r>
      <w:r>
        <w:rPr>
          <w:rFonts w:hint="eastAsia" w:ascii="宋体" w:hAnsi="宋体" w:eastAsia="宋体" w:cs="宋体"/>
          <w:color w:val="000000" w:themeColor="text1"/>
          <w:sz w:val="24"/>
          <w:szCs w:val="24"/>
          <w14:textFill>
            <w14:solidFill>
              <w14:schemeClr w14:val="tx1"/>
            </w14:solidFill>
          </w14:textFill>
        </w:rPr>
        <w:t xml:space="preserve">单位的采购文件编号为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JSZC-321281-TZTC-G2026-0003</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sz w:val="24"/>
          <w:szCs w:val="24"/>
          <w:u w:val="single"/>
          <w:lang w:val="en-US" w:eastAsia="zh-CN"/>
        </w:rPr>
        <w:t xml:space="preserve">司法辅助事务服务</w:t>
      </w:r>
      <w:r>
        <w:rPr>
          <w:rFonts w:hint="eastAsia" w:ascii="宋体" w:hAnsi="宋体" w:eastAsia="宋体" w:cs="宋体"/>
          <w:color w:val="000000" w:themeColor="text1"/>
          <w:sz w:val="24"/>
          <w:szCs w:val="24"/>
          <w14:textFill>
            <w14:solidFill>
              <w14:schemeClr w14:val="tx1"/>
            </w14:solidFill>
          </w14:textFill>
        </w:rPr>
        <w:t xml:space="preserve">项目（采购包号：</w:t>
      </w:r>
      <w:r>
        <w:rPr>
          <w:rFonts w:hint="eastAsia" w:ascii="宋体" w:hAnsi="宋体" w:eastAsia="宋体" w:cs="宋体"/>
          <w:color w:val="000000" w:themeColor="text1"/>
          <w:sz w:val="24"/>
          <w:szCs w:val="24"/>
          <w:lang w:val="en-US" w:eastAsia="zh-CN"/>
          <w14:textFill>
            <w14:solidFill>
              <w14:schemeClr w14:val="tx1"/>
            </w14:solidFill>
          </w14:textFill>
        </w:rPr>
        <w:t xml:space="preserve">01</w:t>
      </w:r>
      <w:r>
        <w:rPr>
          <w:rFonts w:hint="eastAsia" w:ascii="宋体" w:hAnsi="宋体" w:eastAsia="宋体" w:cs="宋体"/>
          <w:color w:val="000000" w:themeColor="text1"/>
          <w:sz w:val="24"/>
          <w:szCs w:val="24"/>
          <w14:textFill>
            <w14:solidFill>
              <w14:schemeClr w14:val="tx1"/>
            </w14:solidFill>
          </w14:textFill>
        </w:rPr>
        <w:t xml:space="preserve">）采购活动</w:t>
      </w:r>
      <w:r>
        <w:rPr>
          <w:rFonts w:hint="eastAsia" w:ascii="宋体" w:hAnsi="宋体" w:eastAsia="宋体" w:cs="宋体"/>
          <w:color w:val="000000" w:themeColor="text1"/>
          <w:sz w:val="24"/>
          <w:szCs w:val="24"/>
          <w:lang w:val="en-US" w:eastAsia="zh-CN"/>
          <w14:textFill>
            <w14:solidFill>
              <w14:schemeClr w14:val="tx1"/>
            </w14:solidFill>
          </w14:textFill>
        </w:rPr>
        <w:t xml:space="preserve">由</w:t>
      </w:r>
      <w:r>
        <w:rPr>
          <w:rFonts w:hint="eastAsia" w:ascii="宋体" w:hAnsi="宋体" w:eastAsia="宋体" w:cs="宋体"/>
          <w:color w:val="000000" w:themeColor="text1"/>
          <w:sz w:val="24"/>
          <w:szCs w:val="24"/>
          <w14:textFill>
            <w14:solidFill>
              <w14:schemeClr w14:val="tx1"/>
            </w14:solidFill>
          </w14:textFill>
        </w:rPr>
        <w:t xml:space="preserve">本单位提供服务。</w:t>
      </w:r>
      <w:r/>
    </w:p>
    <w:p>
      <w:pPr>
        <w:ind w:firstLine="482"/>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非专门面向中小微型企业采购的项目，供应商如不提供此声明函，价格将不做相应扣除。</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3.中标/成交供应商为残疾人福利性单位的，此声明函将随中标/成交结果同时公告，接受社会监督。</w:t>
      </w:r>
      <w:r/>
    </w:p>
    <w:p>
      <w:pPr>
        <w:ind w:firstLine="624"/>
        <w:spacing w:line="588"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ind w:right="1559" w:firstLine="624"/>
        <w:jc w:val="center"/>
        <w:spacing w:line="400" w:lineRule="exact"/>
        <w:tabs>
          <w:tab w:val="left" w:pos="48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right="1559" w:firstLine="480"/>
        <w:jc w:val="center"/>
        <w:spacing w:line="400" w:lineRule="exact"/>
        <w:tabs>
          <w:tab w:val="left" w:pos="48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  期：</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keepLines w:val="0"/>
        <w:keepNext/>
        <w:pageBreakBefore/>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附件11</w:t>
      </w:r>
      <w:r/>
    </w:p>
    <w:p>
      <w:pPr>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eastAsia="zh-CN"/>
          <w14:textFill>
            <w14:solidFill>
              <w14:schemeClr w14:val="tx1"/>
            </w14:solidFill>
          </w14:textFill>
        </w:rPr>
        <w:t xml:space="preserve">联合体协议（参考格式）</w:t>
      </w:r>
      <w:r/>
    </w:p>
    <w:p>
      <w:pPr>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（联合体中各供应商全称）在此达成以下协议：</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1、我们</w:t>
      </w:r>
      <w:r>
        <w:rPr>
          <w:rFonts w:hint="eastAsia" w:ascii="宋体" w:hAnsi="宋体" w:eastAsia="宋体" w:cs="宋体"/>
          <w:color w:val="000000" w:themeColor="text1"/>
          <w:sz w:val="24"/>
          <w:szCs w:val="24"/>
          <w:u w:val="single"/>
          <w14:textFill>
            <w14:solidFill>
              <w14:schemeClr w14:val="tx1"/>
            </w14:solidFill>
          </w14:textFill>
        </w:rPr>
        <w:t xml:space="preserve"> （供应商1），（供应商2） ，……</w:t>
      </w:r>
      <w:r>
        <w:rPr>
          <w:rFonts w:hint="eastAsia" w:ascii="宋体" w:hAnsi="宋体" w:eastAsia="宋体" w:cs="宋体"/>
          <w:color w:val="000000" w:themeColor="text1"/>
          <w:sz w:val="24"/>
          <w:szCs w:val="24"/>
          <w14:textFill>
            <w14:solidFill>
              <w14:schemeClr w14:val="tx1"/>
            </w14:solidFill>
          </w14:textFill>
        </w:rPr>
        <w:t xml:space="preserve">自愿组成联合体，参加江苏省政府采购中心组织的采购编号为</w:t>
      </w:r>
      <w:r>
        <w:rPr>
          <w:rFonts w:hint="eastAsia" w:ascii="宋体" w:hAnsi="宋体" w:eastAsia="宋体" w:cs="宋体"/>
          <w:color w:val="000000" w:themeColor="text1"/>
          <w:sz w:val="24"/>
          <w:szCs w:val="24"/>
          <w:u w:val="single"/>
          <w14:textFill>
            <w14:solidFill>
              <w14:schemeClr w14:val="tx1"/>
            </w14:solidFill>
          </w14:textFill>
        </w:rPr>
        <w:t xml:space="preserve">（编号全称），（项目全称）</w:t>
      </w:r>
      <w:r>
        <w:rPr>
          <w:rFonts w:hint="eastAsia" w:ascii="宋体" w:hAnsi="宋体" w:eastAsia="宋体" w:cs="宋体"/>
          <w:color w:val="000000" w:themeColor="text1"/>
          <w:sz w:val="24"/>
          <w:szCs w:val="24"/>
          <w14:textFill>
            <w14:solidFill>
              <w14:schemeClr w14:val="tx1"/>
            </w14:solidFill>
          </w14:textFill>
        </w:rPr>
        <w:t xml:space="preserve">项目（采购包号：**）的政府采购活动，我联合体指定</w:t>
      </w:r>
      <w:r>
        <w:rPr>
          <w:rFonts w:hint="eastAsia" w:ascii="宋体" w:hAnsi="宋体" w:eastAsia="宋体" w:cs="宋体"/>
          <w:color w:val="000000" w:themeColor="text1"/>
          <w:sz w:val="24"/>
          <w:szCs w:val="24"/>
          <w:u w:val="single"/>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为牵头单位（牵头单位必须为联合体成员）。</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3、其中</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bookmarkStart w:id="126" w:name="_GoBack"/>
      <w:r/>
      <w:bookmarkEnd w:id="126"/>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ind w:firstLine="645"/>
        <w:spacing w:line="56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w:t>
      </w:r>
      <w:r/>
    </w:p>
    <w:p>
      <w:pPr>
        <w:ind w:firstLine="646"/>
        <w:jc w:val="right"/>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联合体中各供应商全称（公章）：     </w:t>
      </w:r>
      <w:r/>
    </w:p>
    <w:p>
      <w:pPr>
        <w:ind w:firstLine="646"/>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日期：</w:t>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备注：本招标文件中要求加盖CA电子签章的地方，仅需加盖牵头单位的CA电子签章。</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keepLines w:val="0"/>
        <w:keepNext/>
        <w:pageBreakBefore/>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p>
    <w:p>
      <w:pPr>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871"/>
        <w:rPr>
          <w:rFonts w:hint="eastAsia" w:ascii="宋体" w:hAnsi="宋体" w:eastAsia="宋体" w:cs="宋体"/>
        </w:rPr>
      </w:pPr>
      <w:r>
        <w:rPr>
          <w:rFonts w:hint="eastAsia" w:ascii="宋体" w:hAnsi="宋体" w:eastAsia="宋体" w:cs="宋体"/>
        </w:rPr>
      </w:r>
      <w:r/>
    </w:p>
    <w:tbl>
      <w:tblPr>
        <w:tblStyle w:val="896"/>
        <w:tblW w:w="7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3"/>
        <w:gridCol w:w="1850"/>
        <w:gridCol w:w="1745"/>
        <w:gridCol w:w="1391"/>
        <w:gridCol w:w="887"/>
      </w:tblGrid>
      <w:tr>
        <w:trPr>
          <w:jc w:val="center"/>
          <w:trHeight w:val="697" w:hRule="exact"/>
        </w:trPr>
        <w:tc>
          <w:tcPr>
            <w:tcW w:w="802"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1323" w:type="dxa"/>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185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745" w:type="dxa"/>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服务评价</w:t>
            </w:r>
            <w:r/>
          </w:p>
        </w:tc>
        <w:tc>
          <w:tcPr>
            <w:tcW w:w="1391"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甲方联系人及电话</w:t>
            </w:r>
            <w:r/>
          </w:p>
        </w:tc>
        <w:tc>
          <w:tcPr>
            <w:tcW w:w="88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3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3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3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32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32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9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eastAsia="zh-CN"/>
        </w:rPr>
        <w:t xml:space="preserve">投标人</w:t>
      </w:r>
      <w:r>
        <w:rPr>
          <w:rFonts w:hint="eastAsia" w:ascii="宋体" w:hAnsi="宋体" w:eastAsia="宋体" w:cs="宋体"/>
          <w:sz w:val="24"/>
        </w:rPr>
        <w:t xml:space="preserve">可参照上述格式自制表格，但应至少包含上述表格内条目。</w:t>
      </w:r>
      <w:r/>
    </w:p>
    <w:p>
      <w:pPr>
        <w:numPr>
          <w:ilvl w:val="0"/>
          <w:numId w:val="19"/>
        </w:num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投标人</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numPr>
          <w:ilvl w:val="0"/>
          <w:numId w:val="19"/>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后附业绩请按上面序号排放。</w:t>
      </w:r>
      <w:r/>
    </w:p>
    <w:p>
      <w:pPr>
        <w:pStyle w:val="895"/>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5"/>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center"/>
        <w:keepLines w:val="0"/>
        <w:keepNext/>
        <w:pageBreakBefore/>
        <w:spacing w:after="40"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质疑函范本</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keepLines w:val="0"/>
        <w:keepNext w:val="0"/>
        <w:pageBreakBefore w:val="0"/>
        <w:spacing w:after="0"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w:t>
      </w:r>
      <w:r/>
    </w:p>
    <w:p>
      <w:pPr>
        <w:keepLines w:val="0"/>
        <w:keepNext w:val="0"/>
        <w:pageBreakBefore w:val="0"/>
        <w:spacing w:after="0" w:line="50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keepLines w:val="0"/>
        <w:keepNext w:val="0"/>
        <w:pageBreakBefore w:val="0"/>
        <w:spacing w:after="0" w:line="50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日期：    </w:t>
      </w:r>
      <w:r/>
    </w:p>
    <w:p>
      <w:pPr>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pStyle w:val="866"/>
        <w:rPr>
          <w:rFonts w:hint="eastAsia"/>
        </w:rPr>
      </w:pPr>
      <w:r>
        <w:rPr>
          <w:rFonts w:hint="eastAsia"/>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spacing w:line="300" w:lineRule="auto"/>
        <w:rPr>
          <w:rFonts w:hint="eastAsia" w:ascii="黑体" w:eastAsia="黑体"/>
          <w:color w:val="auto"/>
          <w:sz w:val="36"/>
          <w:lang w:eastAsia="zh-CN"/>
        </w:rPr>
      </w:pPr>
      <w:r>
        <w:rPr>
          <w:rFonts w:hint="eastAsia" w:ascii="黑体" w:eastAsia="黑体"/>
          <w:color w:val="auto"/>
          <w:sz w:val="36"/>
          <w:lang w:eastAsia="zh-CN"/>
        </w:rPr>
      </w:r>
      <w:r/>
    </w:p>
    <w:sectPr>
      <w:footerReference w:type="default" r:id="rId15"/>
      <w:footnotePr/>
      <w:endnotePr/>
      <w:type w:val="nextPage"/>
      <w:pgSz w:w="11906" w:h="16838" w:orient="portrait"/>
      <w:pgMar w:top="1440" w:right="152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楷体">
    <w:panose1 w:val="02010609060101010101"/>
  </w:font>
  <w:font w:name="方正仿宋_GB2312">
    <w:panose1 w:val="020B0503020202020204"/>
  </w:font>
  <w:font w:name="Cambria">
    <w:panose1 w:val="02040503050406030204"/>
  </w:font>
  <w:font w:name="Symbol">
    <w:panose1 w:val="05050102010706020507"/>
  </w:font>
  <w:font w:name="文鼎小标宋">
    <w:panose1 w:val="020B0503020202020204"/>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Wingdings">
    <w:panose1 w:val="05000000000000000000"/>
  </w:font>
  <w:font w:name="Century Schoolbook">
    <w:panose1 w:val="02040604050505020304"/>
  </w:font>
  <w:font w:name="华文楷体">
    <w:panose1 w:val="02010600040101010101"/>
  </w:font>
  <w:font w:name="方正黑体简体">
    <w:panose1 w:val="020B050302020202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right="0"/>
      <w:jc w:val="both"/>
      <w:keepLines w:val="0"/>
      <w:keepNext w:val="0"/>
      <w:pageBreakBefore w:val="0"/>
      <w:spacing w:after="0"/>
      <w:widowControl/>
      <w:tabs>
        <w:tab w:val="clear" w:pos="4153" w:leader="none"/>
        <w:tab w:val="center" w:pos="4290" w:leader="none"/>
        <w:tab w:val="clear" w:pos="8306" w:leader="none"/>
        <w:tab w:val="right" w:pos="8580" w:leader="none"/>
      </w:tabs>
      <w:pBdr>
        <w:top w:val="single" w:color="auto" w:sz="4"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5048250</wp:posOffset>
              </wp:positionH>
              <wp:positionV relativeFrom="paragraph">
                <wp:posOffset>0</wp:posOffset>
              </wp:positionV>
              <wp:extent cx="40005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4000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jc w:val="center"/>
                          </w:pPr>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argin-left:397.5pt;mso-position-horizontal:absolute;mso-position-vertical-relative:text;margin-top:0.0pt;mso-position-vertical:absolute;width:31.5pt;height:144.0pt;mso-wrap-distance-left:9.0pt;mso-wrap-distance-top:0.0pt;mso-wrap-distance-right:9.0pt;mso-wrap-distance-bottom:0.0pt;v-text-anchor:top;visibility:visible;" filled="f" stroked="f" strokeweight="0.50pt">
              <v:textbox inset="0,0,0,0">
                <w:txbxContent>
                  <w:p>
                    <w:pPr>
                      <w:pStyle w:val="880"/>
                      <w:jc w:val="cente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right="0"/>
      <w:jc w:val="both"/>
      <w:keepLines w:val="0"/>
      <w:keepNext w:val="0"/>
      <w:pageBreakBefore w:val="0"/>
      <w:spacing w:after="0"/>
      <w:widowControl/>
      <w:tabs>
        <w:tab w:val="clear" w:pos="4153" w:leader="none"/>
        <w:tab w:val="center" w:pos="4290" w:leader="none"/>
        <w:tab w:val="clear" w:pos="8306" w:leader="none"/>
        <w:tab w:val="right" w:pos="8580" w:leader="none"/>
      </w:tabs>
      <w:pBdr>
        <w:top w:val="single" w:color="auto" w:sz="4"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fldSimple w:instr="NUMPAGES \* MERGEFORMAT">
                            <w:r>
                              <w:t xml:space="preserve">51</w:t>
                            </w:r>
                          </w:fldSimple>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fldSimple w:instr="NUMPAGES \* MERGEFORMAT">
                      <w:r>
                        <w:t xml:space="preserve">51</w:t>
                      </w:r>
                    </w:fldSimple>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5048250</wp:posOffset>
              </wp:positionH>
              <wp:positionV relativeFrom="paragraph">
                <wp:posOffset>0</wp:posOffset>
              </wp:positionV>
              <wp:extent cx="40005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4000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jc w:val="center"/>
                          </w:pPr>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argin-left:397.5pt;mso-position-horizontal:absolute;mso-position-vertical-relative:text;margin-top:0.0pt;mso-position-vertical:absolute;width:31.5pt;height:144.0pt;mso-wrap-distance-left:9.0pt;mso-wrap-distance-top:0.0pt;mso-wrap-distance-right:9.0pt;mso-wrap-distance-bottom:0.0pt;v-text-anchor:top;visibility:visible;" filled="f" stroked="f" strokeweight="0.50pt">
              <v:textbox inset="0,0,0,0">
                <w:txbxContent>
                  <w:p>
                    <w:pPr>
                      <w:pStyle w:val="880"/>
                      <w:jc w:val="cente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clear" w:pos="8306" w:leader="none"/>
        <w:tab w:val="right" w:pos="8580" w:leader="none"/>
      </w:tabs>
      <w:rPr>
        <w:rFonts w:hint="default" w:eastAsiaTheme="minorEastAsia"/>
        <w:sz w:val="24"/>
        <w:szCs w:val="24"/>
        <w:lang w:val="en-US" w:eastAsia="zh-CN"/>
      </w:rPr>
      <w:pBdr>
        <w:bottom w:val="single" w:color="auto" w:sz="4" w:space="1"/>
      </w:pBdr>
    </w:pPr>
    <w:r>
      <w:rPr>
        <w:rFonts w:hint="eastAsia" w:ascii="宋体" w:hAnsi="宋体" w:eastAsia="宋体" w:cs="宋体"/>
        <w:sz w:val="24"/>
        <w:szCs w:val="24"/>
        <w:lang w:val="en-US" w:eastAsia="zh-CN"/>
      </w:rPr>
      <w:t xml:space="preserve">JSZC-321281-TZTC-G2026-0003  </w:t>
    </w:r>
    <w:r>
      <w:rPr>
        <w:rFonts w:hint="eastAsia" w:ascii="宋体" w:hAnsi="宋体" w:eastAsia="宋体" w:cs="宋体"/>
        <w:sz w:val="24"/>
        <w:szCs w:val="24"/>
        <w:lang w:val="en-US" w:eastAsia="zh-CN" w:bidi="ar"/>
      </w:rPr>
      <w:t xml:space="preserve">      </w:t>
    </w: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rPr>
        <w:rFonts w:hint="eastAsia" w:ascii="宋体" w:hAnsi="宋体" w:eastAsia="宋体" w:cs="宋体"/>
        <w:sz w:val="24"/>
        <w:szCs w:val="24"/>
        <w:lang w:val="en-US" w:eastAsia="zh-CN" w:bidi="ar"/>
      </w:rPr>
      <w:t xml:space="preserve">                       </w:t>
    </w:r>
    <w:r>
      <w:rPr>
        <w:rFonts w:hint="eastAsia" w:ascii="仿宋" w:hAnsi="仿宋" w:eastAsia="仿宋" w:cs="仿宋"/>
        <w:sz w:val="24"/>
        <w:szCs w:val="24"/>
        <w:lang w:val="en-US" w:eastAsia="zh-CN" w:bidi="ar"/>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keepLines w:val="0"/>
      <w:keepNext w:val="0"/>
      <w:pageBreakBefore w:val="0"/>
      <w:spacing w:after="0"/>
      <w:widowControl/>
      <w:tabs>
        <w:tab w:val="clear" w:pos="8306" w:leader="none"/>
        <w:tab w:val="right" w:pos="8580" w:leader="none"/>
      </w:tabs>
      <w:rPr>
        <w:rFonts w:hint="default" w:eastAsiaTheme="minorEastAsia"/>
        <w:sz w:val="24"/>
        <w:szCs w:val="24"/>
        <w:lang w:val="en-US" w:eastAsia="zh-CN"/>
      </w:rPr>
      <w:pBdr>
        <w:bottom w:val="single" w:color="auto" w:sz="4" w:space="1"/>
      </w:pBdr>
    </w:pPr>
    <w:r>
      <w:rPr>
        <w:rFonts w:hint="default" w:eastAsiaTheme="minorEastAsia"/>
        <w:sz w:val="24"/>
        <w:szCs w:val="24"/>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default" w:eastAsiaTheme="minorEastAsia"/>
        <w:lang w:val="en-US" w:eastAsia="zh-CN"/>
      </w:rPr>
    </w:pPr>
    <w:r>
      <w:rPr>
        <w:rFonts w:hint="default" w:eastAsiaTheme="minor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1、"/>
      <w:lvlJc w:val="left"/>
      <w:pPr>
        <w:ind w:left="432" w:hanging="432"/>
      </w:pPr>
      <w:rPr>
        <w:rFonts w:hint="eastAsia" w:ascii="宋体" w:hAnsi="宋体" w:eastAsia="宋体" w:cs="宋体"/>
      </w:rPr>
    </w:lvl>
    <w:lvl w:ilvl="1">
      <w:start w:val="1"/>
      <w:numFmt w:val="none"/>
      <w:isLgl/>
      <w:suff w:val="tab"/>
      <w:lvlText w:val="%2."/>
      <w:lvlJc w:val="left"/>
      <w:pPr>
        <w:ind w:left="575" w:hanging="575"/>
      </w:pPr>
      <w:rPr>
        <w:rFonts w:hint="eastAsia" w:ascii="宋体" w:hAnsi="宋体" w:eastAsia="宋体" w:cs="宋体"/>
      </w:rPr>
    </w:lvl>
    <w:lvl w:ilvl="2">
      <w:start w:val="1"/>
      <w:numFmt w:val="decimal"/>
      <w:pStyle w:val="856"/>
      <w:isLgl/>
      <w:suff w:val="tab"/>
      <w:lvlText w:val="%2.%3."/>
      <w:lvlJc w:val="left"/>
      <w:pPr>
        <w:ind w:left="720" w:hanging="720"/>
      </w:pPr>
      <w:rPr>
        <w:rFonts w:hint="eastAsia" w:ascii="宋体" w:hAnsi="宋体" w:eastAsia="宋体" w:cs="宋体"/>
      </w:rPr>
    </w:lvl>
    <w:lvl w:ilvl="3">
      <w:start w:val="1"/>
      <w:numFmt w:val="decimal"/>
      <w:isLgl/>
      <w:suff w:val="tab"/>
      <w:lvlText w:val="%2.%3.%4."/>
      <w:lvlJc w:val="left"/>
      <w:pPr>
        <w:ind w:left="864" w:hanging="864"/>
      </w:pPr>
      <w:rPr>
        <w:rFonts w:hint="eastAsia" w:ascii="宋体" w:hAnsi="宋体" w:eastAsia="宋体" w:cs="宋体"/>
      </w:rPr>
    </w:lvl>
    <w:lvl w:ilvl="4">
      <w:start w:val="1"/>
      <w:numFmt w:val="decimal"/>
      <w:isLgl/>
      <w:suff w:val="tab"/>
      <w:lvlText w:val="%2.%3.%4.%5."/>
      <w:lvlJc w:val="left"/>
      <w:pPr>
        <w:ind w:left="1008" w:hanging="1008"/>
      </w:pPr>
      <w:rPr>
        <w:rFonts w:hint="eastAsia" w:ascii="宋体" w:hAnsi="宋体" w:eastAsia="宋体" w:cs="宋体"/>
      </w:rPr>
    </w:lvl>
    <w:lvl w:ilvl="5">
      <w:start w:val="1"/>
      <w:numFmt w:val="decimal"/>
      <w:isLgl w:val="false"/>
      <w:suff w:val="tab"/>
      <w:lvlText w:val="%1.%2.%3.%4.%5.%6."/>
      <w:lvlJc w:val="left"/>
      <w:pPr>
        <w:ind w:left="1151" w:hanging="1151"/>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3" w:hanging="1583"/>
      </w:pPr>
      <w:rPr>
        <w:rFonts w:hint="eastAsia"/>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8"/>
  </w:num>
  <w:num w:numId="3">
    <w:abstractNumId w:val="14"/>
  </w:num>
  <w:num w:numId="4">
    <w:abstractNumId w:val="1"/>
  </w:num>
  <w:num w:numId="5">
    <w:abstractNumId w:val="13"/>
  </w:num>
  <w:num w:numId="6">
    <w:abstractNumId w:val="2"/>
  </w:num>
  <w:num w:numId="7">
    <w:abstractNumId w:val="9"/>
  </w:num>
  <w:num w:numId="8">
    <w:abstractNumId w:val="10"/>
  </w:num>
  <w:num w:numId="9">
    <w:abstractNumId w:val="8"/>
  </w:num>
  <w:num w:numId="10">
    <w:abstractNumId w:val="16"/>
  </w:num>
  <w:num w:numId="11">
    <w:abstractNumId w:val="12"/>
  </w:num>
  <w:num w:numId="12">
    <w:abstractNumId w:val="11"/>
  </w:num>
  <w:num w:numId="13">
    <w:abstractNumId w:val="3"/>
  </w:num>
  <w:num w:numId="14">
    <w:abstractNumId w:val="6"/>
  </w:num>
  <w:num w:numId="15">
    <w:abstractNumId w:val="5"/>
  </w:num>
  <w:num w:numId="16">
    <w:abstractNumId w:val="15"/>
  </w:num>
  <w:num w:numId="17">
    <w:abstractNumId w:val="0"/>
  </w:num>
  <w:num w:numId="18">
    <w:abstractNumId w:val="1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link w:val="1087"/>
    <w:uiPriority w:val="0"/>
    <w:qFormat/>
    <w:pPr>
      <w:spacing w:after="200" w:line="276" w:lineRule="auto"/>
    </w:pPr>
    <w:rPr>
      <w:rFonts w:hint="default" w:asciiTheme="minorHAnsi" w:hAnsiTheme="minorHAnsi" w:eastAsiaTheme="minorEastAsia" w:cstheme="minorBidi"/>
      <w:sz w:val="22"/>
      <w:szCs w:val="22"/>
      <w:lang w:eastAsia="en-US"/>
    </w:rPr>
  </w:style>
  <w:style w:type="paragraph" w:styleId="854">
    <w:name w:val="Heading 1"/>
    <w:basedOn w:val="853"/>
    <w:next w:val="853"/>
    <w:uiPriority w:val="0"/>
    <w:qFormat/>
    <w:pPr>
      <w:jc w:val="center"/>
      <w:keepLines/>
      <w:keepNext/>
      <w:pageBreakBefore/>
      <w:spacing w:before="400" w:beforeAutospacing="0" w:after="330" w:afterAutospacing="0" w:line="576" w:lineRule="auto"/>
      <w:outlineLvl w:val="0"/>
    </w:pPr>
    <w:rPr>
      <w:rFonts w:eastAsia="宋体" w:asciiTheme="minorAscii" w:hAnsiTheme="minorAscii"/>
      <w:b/>
      <w:sz w:val="36"/>
    </w:rPr>
  </w:style>
  <w:style w:type="paragraph" w:styleId="855">
    <w:name w:val="Heading 2"/>
    <w:basedOn w:val="853"/>
    <w:next w:val="853"/>
    <w:uiPriority w:val="99"/>
    <w:qFormat/>
    <w:pPr>
      <w:jc w:val="center"/>
      <w:keepLines/>
      <w:keepNext/>
      <w:spacing w:before="260" w:after="260" w:line="416" w:lineRule="auto"/>
      <w:outlineLvl w:val="1"/>
    </w:pPr>
    <w:rPr>
      <w:rFonts w:ascii="Arial" w:hAnsi="Arial" w:eastAsia="幼圆"/>
      <w:b/>
      <w:sz w:val="44"/>
      <w:szCs w:val="20"/>
    </w:rPr>
  </w:style>
  <w:style w:type="paragraph" w:styleId="856">
    <w:name w:val="Heading 3"/>
    <w:basedOn w:val="853"/>
    <w:next w:val="853"/>
    <w:uiPriority w:val="0"/>
    <w:unhideWhenUsed/>
    <w:qFormat/>
    <w:pPr>
      <w:numPr>
        <w:ilvl w:val="2"/>
        <w:numId w:val="1"/>
      </w:numPr>
      <w:ind w:left="720" w:hanging="720"/>
      <w:jc w:val="left"/>
      <w:spacing w:line="360" w:lineRule="auto"/>
      <w:tabs>
        <w:tab w:val="left" w:pos="420" w:leader="none"/>
      </w:tabs>
      <w:outlineLvl w:val="2"/>
    </w:pPr>
    <w:rPr>
      <w:rFonts w:hint="eastAsia" w:ascii="Times New Roman" w:hAnsi="Times New Roman" w:eastAsia="宋体"/>
      <w:b/>
      <w:bCs/>
      <w:sz w:val="24"/>
      <w:szCs w:val="27"/>
    </w:rPr>
  </w:style>
  <w:style w:type="paragraph" w:styleId="857">
    <w:name w:val="Heading 4"/>
    <w:basedOn w:val="853"/>
    <w:next w:val="853"/>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58">
    <w:name w:val="Heading 5"/>
    <w:basedOn w:val="853"/>
    <w:next w:val="853"/>
    <w:uiPriority w:val="0"/>
    <w:qFormat/>
    <w:pPr>
      <w:keepNext/>
      <w:outlineLvl w:val="4"/>
    </w:pPr>
    <w:rPr>
      <w:rFonts w:ascii="宋体" w:hAnsi="宋体"/>
      <w:b/>
      <w:bCs/>
    </w:rPr>
  </w:style>
  <w:style w:type="paragraph" w:styleId="859">
    <w:name w:val="Heading 6"/>
    <w:basedOn w:val="853"/>
    <w:next w:val="853"/>
    <w:link w:val="923"/>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link w:val="924"/>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link w:val="925"/>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link w:val="926"/>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right="0" w:firstLine="0"/>
      <w:spacing w:after="57"/>
    </w:pPr>
  </w:style>
  <w:style w:type="paragraph" w:styleId="866">
    <w:name w:val="Normal Indent"/>
    <w:basedOn w:val="853"/>
    <w:next w:val="853"/>
    <w:uiPriority w:val="0"/>
    <w:qFormat/>
    <w:pPr>
      <w:ind w:firstLine="420"/>
    </w:pPr>
    <w:rPr>
      <w:szCs w:val="20"/>
    </w:rPr>
  </w:style>
  <w:style w:type="paragraph" w:styleId="867">
    <w:name w:val="Caption"/>
    <w:basedOn w:val="853"/>
    <w:next w:val="85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8">
    <w:name w:val="index 5"/>
    <w:basedOn w:val="853"/>
    <w:next w:val="853"/>
    <w:uiPriority w:val="0"/>
    <w:qFormat/>
    <w:pPr>
      <w:ind w:left="798"/>
    </w:pPr>
    <w:rPr>
      <w:rFonts w:ascii="Calibri" w:hAnsi="Calibri"/>
    </w:rPr>
  </w:style>
  <w:style w:type="paragraph" w:styleId="869">
    <w:name w:val="Document Map"/>
    <w:basedOn w:val="853"/>
    <w:uiPriority w:val="0"/>
    <w:qFormat/>
    <w:pPr>
      <w:spacing w:line="360" w:lineRule="auto"/>
    </w:pPr>
    <w:rPr>
      <w:rFonts w:ascii="微软雅黑" w:hAnsi="微软雅黑"/>
      <w:sz w:val="18"/>
      <w:szCs w:val="18"/>
    </w:rPr>
  </w:style>
  <w:style w:type="paragraph" w:styleId="870">
    <w:name w:val="annotation text"/>
    <w:basedOn w:val="853"/>
    <w:uiPriority w:val="0"/>
    <w:qFormat/>
    <w:pPr>
      <w:jc w:val="left"/>
    </w:pPr>
  </w:style>
  <w:style w:type="paragraph" w:styleId="871">
    <w:name w:val="Body Text"/>
    <w:basedOn w:val="853"/>
    <w:uiPriority w:val="99"/>
    <w:unhideWhenUsed/>
    <w:qFormat/>
    <w:pPr>
      <w:spacing w:after="120"/>
    </w:pPr>
  </w:style>
  <w:style w:type="paragraph" w:styleId="872">
    <w:name w:val="Body Text Indent"/>
    <w:basedOn w:val="853"/>
    <w:uiPriority w:val="99"/>
    <w:semiHidden/>
    <w:unhideWhenUsed/>
    <w:qFormat/>
    <w:pPr>
      <w:ind w:left="420"/>
      <w:spacing w:after="120"/>
    </w:pPr>
  </w:style>
  <w:style w:type="paragraph" w:styleId="873">
    <w:name w:val="Block Text"/>
    <w:basedOn w:val="853"/>
    <w:next w:val="853"/>
    <w:uiPriority w:val="6"/>
    <w:qFormat/>
    <w:pPr>
      <w:ind w:left="256" w:right="6" w:firstLine="624"/>
    </w:pPr>
    <w:rPr>
      <w:rFonts w:ascii="Times New Roman" w:hAnsi="Times New Roman" w:eastAsia="仿宋" w:cs="Times New Roman"/>
      <w:sz w:val="28"/>
      <w:szCs w:val="20"/>
    </w:rPr>
  </w:style>
  <w:style w:type="paragraph" w:styleId="874">
    <w:name w:val="toc 5"/>
    <w:basedOn w:val="853"/>
    <w:next w:val="853"/>
    <w:uiPriority w:val="39"/>
    <w:unhideWhenUsed/>
    <w:qFormat/>
    <w:pPr>
      <w:ind w:left="1134" w:right="0" w:firstLine="0"/>
      <w:spacing w:after="57"/>
    </w:pPr>
  </w:style>
  <w:style w:type="paragraph" w:styleId="875">
    <w:name w:val="toc 3"/>
    <w:basedOn w:val="853"/>
    <w:next w:val="853"/>
    <w:uiPriority w:val="39"/>
    <w:unhideWhenUsed/>
    <w:qFormat/>
    <w:pPr>
      <w:ind w:left="567" w:right="0" w:firstLine="0"/>
      <w:spacing w:after="57"/>
    </w:pPr>
  </w:style>
  <w:style w:type="paragraph" w:styleId="876">
    <w:name w:val="Plain Text"/>
    <w:basedOn w:val="853"/>
    <w:next w:val="866"/>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877">
    <w:name w:val="toc 8"/>
    <w:basedOn w:val="853"/>
    <w:next w:val="853"/>
    <w:uiPriority w:val="39"/>
    <w:unhideWhenUsed/>
    <w:qFormat/>
    <w:pPr>
      <w:ind w:left="1984" w:right="0" w:firstLine="0"/>
      <w:spacing w:after="57"/>
    </w:pPr>
  </w:style>
  <w:style w:type="paragraph" w:styleId="878">
    <w:name w:val="Date"/>
    <w:basedOn w:val="853"/>
    <w:next w:val="853"/>
    <w:uiPriority w:val="0"/>
    <w:qFormat/>
    <w:pPr>
      <w:ind w:firstLine="652"/>
      <w:spacing w:line="319" w:lineRule="auto"/>
    </w:pPr>
    <w:rPr>
      <w:rFonts w:ascii="Century Schoolbook" w:hAnsi="Century Schoolbook" w:eastAsia="文鼎小标宋"/>
      <w:spacing w:val="-4"/>
      <w:sz w:val="23"/>
      <w:szCs w:val="20"/>
    </w:rPr>
  </w:style>
  <w:style w:type="paragraph" w:styleId="879">
    <w:name w:val="endnote text"/>
    <w:basedOn w:val="853"/>
    <w:link w:val="1063"/>
    <w:uiPriority w:val="99"/>
    <w:semiHidden/>
    <w:unhideWhenUsed/>
    <w:qFormat/>
    <w:pPr>
      <w:spacing w:after="0" w:line="240" w:lineRule="auto"/>
    </w:pPr>
    <w:rPr>
      <w:sz w:val="20"/>
    </w:rPr>
  </w:style>
  <w:style w:type="paragraph" w:styleId="880">
    <w:name w:val="Footer"/>
    <w:basedOn w:val="853"/>
    <w:uiPriority w:val="0"/>
    <w:qFormat/>
    <w:pPr>
      <w:jc w:val="left"/>
      <w:tabs>
        <w:tab w:val="center" w:pos="4153" w:leader="none"/>
        <w:tab w:val="right" w:pos="8306" w:leader="none"/>
      </w:tabs>
    </w:pPr>
    <w:rPr>
      <w:sz w:val="18"/>
    </w:rPr>
  </w:style>
  <w:style w:type="paragraph" w:styleId="881">
    <w:name w:val="envelope return"/>
    <w:basedOn w:val="853"/>
    <w:uiPriority w:val="99"/>
    <w:unhideWhenUsed/>
    <w:qFormat/>
    <w:rPr>
      <w:rFonts w:ascii="Arial" w:hAnsi="Arial"/>
    </w:rPr>
  </w:style>
  <w:style w:type="paragraph" w:styleId="882">
    <w:name w:val="Header"/>
    <w:basedOn w:val="85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3">
    <w:name w:val="toc 1"/>
    <w:basedOn w:val="853"/>
    <w:next w:val="853"/>
    <w:uiPriority w:val="0"/>
    <w:qFormat/>
  </w:style>
  <w:style w:type="paragraph" w:styleId="884">
    <w:name w:val="toc 4"/>
    <w:basedOn w:val="853"/>
    <w:next w:val="853"/>
    <w:uiPriority w:val="39"/>
    <w:unhideWhenUsed/>
    <w:qFormat/>
    <w:pPr>
      <w:ind w:left="850" w:right="0" w:firstLine="0"/>
      <w:spacing w:after="57"/>
    </w:pPr>
  </w:style>
  <w:style w:type="paragraph" w:styleId="885">
    <w:name w:val="Subtitle"/>
    <w:basedOn w:val="853"/>
    <w:next w:val="853"/>
    <w:link w:val="929"/>
    <w:uiPriority w:val="11"/>
    <w:qFormat/>
    <w:pPr>
      <w:spacing w:before="200" w:after="200"/>
    </w:pPr>
    <w:rPr>
      <w:sz w:val="24"/>
      <w:szCs w:val="24"/>
    </w:rPr>
  </w:style>
  <w:style w:type="paragraph" w:styleId="886">
    <w:name w:val="footnote text"/>
    <w:basedOn w:val="853"/>
    <w:next w:val="868"/>
    <w:uiPriority w:val="99"/>
    <w:unhideWhenUsed/>
    <w:qFormat/>
    <w:pPr>
      <w:spacing w:after="40" w:line="240" w:lineRule="auto"/>
    </w:pPr>
    <w:rPr>
      <w:sz w:val="18"/>
    </w:rPr>
  </w:style>
  <w:style w:type="paragraph" w:styleId="887">
    <w:name w:val="toc 6"/>
    <w:basedOn w:val="853"/>
    <w:next w:val="853"/>
    <w:uiPriority w:val="39"/>
    <w:unhideWhenUsed/>
    <w:qFormat/>
    <w:pPr>
      <w:ind w:left="1417" w:right="0" w:firstLine="0"/>
      <w:spacing w:after="57"/>
    </w:pPr>
  </w:style>
  <w:style w:type="paragraph" w:styleId="888">
    <w:name w:val="table of figures"/>
    <w:basedOn w:val="853"/>
    <w:next w:val="853"/>
    <w:uiPriority w:val="99"/>
    <w:unhideWhenUsed/>
    <w:qFormat/>
    <w:pPr>
      <w:spacing w:after="0" w:afterAutospacing="0"/>
    </w:pPr>
  </w:style>
  <w:style w:type="paragraph" w:styleId="889">
    <w:name w:val="toc 2"/>
    <w:basedOn w:val="853"/>
    <w:next w:val="853"/>
    <w:uiPriority w:val="39"/>
    <w:unhideWhenUsed/>
    <w:qFormat/>
    <w:pPr>
      <w:ind w:left="283" w:right="0" w:firstLine="0"/>
      <w:spacing w:after="57"/>
    </w:pPr>
  </w:style>
  <w:style w:type="paragraph" w:styleId="890">
    <w:name w:val="toc 9"/>
    <w:basedOn w:val="853"/>
    <w:next w:val="853"/>
    <w:uiPriority w:val="39"/>
    <w:unhideWhenUsed/>
    <w:qFormat/>
    <w:pPr>
      <w:ind w:left="2268" w:right="0" w:firstLine="0"/>
      <w:spacing w:after="57"/>
    </w:pPr>
  </w:style>
  <w:style w:type="paragraph" w:styleId="891">
    <w:name w:val="HTML Preformatted"/>
    <w:basedOn w:val="8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92">
    <w:name w:val="Normal (Web)"/>
    <w:basedOn w:val="853"/>
    <w:uiPriority w:val="0"/>
    <w:qFormat/>
    <w:pPr>
      <w:ind w:left="0" w:right="0"/>
      <w:jc w:val="left"/>
      <w:spacing w:before="0" w:beforeAutospacing="1" w:after="0" w:afterAutospacing="1"/>
    </w:pPr>
    <w:rPr>
      <w:sz w:val="24"/>
      <w:lang w:val="en-US" w:eastAsia="zh-CN" w:bidi="ar"/>
    </w:rPr>
  </w:style>
  <w:style w:type="paragraph" w:styleId="893">
    <w:name w:val="Title"/>
    <w:basedOn w:val="853"/>
    <w:next w:val="853"/>
    <w:link w:val="928"/>
    <w:uiPriority w:val="10"/>
    <w:qFormat/>
    <w:pPr>
      <w:contextualSpacing/>
      <w:spacing w:before="300" w:after="200"/>
    </w:pPr>
    <w:rPr>
      <w:sz w:val="48"/>
      <w:szCs w:val="48"/>
    </w:rPr>
  </w:style>
  <w:style w:type="paragraph" w:styleId="894">
    <w:name w:val="Body Text First Indent"/>
    <w:basedOn w:val="871"/>
    <w:next w:val="895"/>
    <w:uiPriority w:val="0"/>
    <w:qFormat/>
    <w:pPr>
      <w:ind w:firstLine="420"/>
    </w:pPr>
  </w:style>
  <w:style w:type="paragraph" w:styleId="895">
    <w:name w:val="Body Text First Indent 2"/>
    <w:basedOn w:val="872"/>
    <w:uiPriority w:val="0"/>
    <w:semiHidden/>
    <w:unhideWhenUsed/>
    <w:qFormat/>
    <w:pPr>
      <w:ind w:firstLine="420"/>
    </w:pPr>
    <w:rPr>
      <w:sz w:val="21"/>
      <w:szCs w:val="24"/>
    </w:rPr>
  </w:style>
  <w:style w:type="table" w:styleId="896">
    <w:name w:val="Table Grid"/>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endnote reference"/>
    <w:basedOn w:val="863"/>
    <w:uiPriority w:val="99"/>
    <w:semiHidden/>
    <w:unhideWhenUsed/>
    <w:qFormat/>
    <w:rPr>
      <w:vertAlign w:val="superscript"/>
    </w:rPr>
  </w:style>
  <w:style w:type="character" w:styleId="898">
    <w:name w:val="FollowedHyperlink"/>
    <w:basedOn w:val="863"/>
    <w:uiPriority w:val="0"/>
    <w:qFormat/>
    <w:rPr>
      <w:color w:val="333333"/>
      <w:u w:val="none"/>
    </w:rPr>
  </w:style>
  <w:style w:type="character" w:styleId="899">
    <w:name w:val="Emphasis"/>
    <w:uiPriority w:val="0"/>
    <w:qFormat/>
    <w:rPr>
      <w:i/>
    </w:rPr>
  </w:style>
  <w:style w:type="character" w:styleId="900">
    <w:name w:val="Hyperlink"/>
    <w:basedOn w:val="863"/>
    <w:uiPriority w:val="99"/>
    <w:unhideWhenUsed/>
    <w:qFormat/>
    <w:rPr>
      <w:color w:val="0026e5" w:themeColor="hyperlink"/>
      <w:u w:val="single"/>
      <w14:textFill>
        <w14:solidFill>
          <w14:schemeClr w14:val="hlink"/>
        </w14:solidFill>
      </w14:textFill>
    </w:rPr>
  </w:style>
  <w:style w:type="character" w:styleId="901">
    <w:name w:val="footnote reference"/>
    <w:basedOn w:val="863"/>
    <w:uiPriority w:val="99"/>
    <w:unhideWhenUsed/>
    <w:qFormat/>
    <w:rPr>
      <w:vertAlign w:val="superscript"/>
    </w:rPr>
  </w:style>
  <w:style w:type="paragraph" w:styleId="902" w:customStyle="1">
    <w:name w:val="一级条标题"/>
    <w:basedOn w:val="903"/>
    <w:next w:val="90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3" w:customStyle="1">
    <w:name w:val="章标题"/>
    <w:next w:val="853"/>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4" w:customStyle="1">
    <w:name w:val="段"/>
    <w:basedOn w:val="905"/>
    <w:next w:val="853"/>
    <w:uiPriority w:val="99"/>
    <w:qFormat/>
    <w:pPr>
      <w:ind w:firstLine="200"/>
      <w:widowControl/>
    </w:pPr>
    <w:rPr>
      <w:rFonts w:ascii="宋体"/>
      <w:sz w:val="20"/>
      <w:szCs w:val="20"/>
    </w:rPr>
  </w:style>
  <w:style w:type="paragraph" w:styleId="905" w:customStyle="1">
    <w:name w:val="正文11"/>
    <w:next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文本块1"/>
    <w:basedOn w:val="907"/>
    <w:next w:val="908"/>
    <w:uiPriority w:val="0"/>
    <w:qFormat/>
    <w:pPr>
      <w:ind w:left="256" w:right="6" w:firstLine="624"/>
    </w:pPr>
    <w:rPr>
      <w:rFonts w:eastAsia="仿宋"/>
      <w:sz w:val="28"/>
      <w:szCs w:val="20"/>
    </w:rPr>
  </w:style>
  <w:style w:type="paragraph" w:styleId="907" w:customStyle="1">
    <w:name w:val="正文1111"/>
    <w:next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标题 41"/>
    <w:basedOn w:val="909"/>
    <w:next w:val="915"/>
    <w:uiPriority w:val="0"/>
    <w:qFormat/>
    <w:pPr>
      <w:keepLines/>
      <w:keepNext/>
      <w:spacing w:before="280" w:after="290" w:line="376" w:lineRule="auto"/>
      <w:outlineLvl w:val="3"/>
    </w:pPr>
    <w:rPr>
      <w:sz w:val="28"/>
      <w:szCs w:val="28"/>
    </w:rPr>
  </w:style>
  <w:style w:type="paragraph" w:styleId="909" w:customStyle="1">
    <w:name w:val="标题1"/>
    <w:basedOn w:val="910"/>
    <w:next w:val="911"/>
    <w:uiPriority w:val="0"/>
    <w:qFormat/>
    <w:pPr>
      <w:jc w:val="center"/>
      <w:spacing w:before="300" w:after="300"/>
      <w:outlineLvl w:val="0"/>
    </w:pPr>
    <w:rPr>
      <w:rFonts w:ascii="Cambria" w:hAnsi="Cambria" w:eastAsia="仿宋_GB2312"/>
      <w:b/>
      <w:bCs/>
      <w:sz w:val="36"/>
      <w:szCs w:val="32"/>
    </w:rPr>
  </w:style>
  <w:style w:type="paragraph" w:styleId="910" w:customStyle="1">
    <w:name w:val="正文1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正文1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正文首行缩进1"/>
    <w:basedOn w:val="871"/>
    <w:next w:val="913"/>
    <w:uiPriority w:val="0"/>
    <w:qFormat/>
    <w:pPr>
      <w:ind w:firstLine="420"/>
    </w:pPr>
    <w:rPr>
      <w:rFonts w:ascii="仿宋_GB2312" w:hAnsi="Times New Roman" w:eastAsia="仿宋_GB2312"/>
      <w:sz w:val="30"/>
      <w:szCs w:val="30"/>
    </w:rPr>
  </w:style>
  <w:style w:type="paragraph" w:styleId="913" w:customStyle="1">
    <w:name w:val="正文首行缩进 211"/>
    <w:basedOn w:val="914"/>
    <w:next w:val="911"/>
    <w:uiPriority w:val="0"/>
    <w:qFormat/>
    <w:pPr>
      <w:ind w:firstLine="420"/>
    </w:pPr>
    <w:rPr>
      <w:sz w:val="24"/>
    </w:rPr>
  </w:style>
  <w:style w:type="paragraph" w:styleId="914" w:customStyle="1">
    <w:name w:val="正文文本缩进11"/>
    <w:basedOn w:val="905"/>
    <w:next w:val="911"/>
    <w:uiPriority w:val="0"/>
    <w:qFormat/>
    <w:pPr>
      <w:ind w:left="420"/>
      <w:spacing w:after="120"/>
    </w:pPr>
    <w:rPr>
      <w:rFonts w:ascii="Calibri" w:hAnsi="Calibri"/>
    </w:rPr>
  </w:style>
  <w:style w:type="paragraph" w:styleId="915" w:customStyle="1">
    <w:name w:val="正文缩进1"/>
    <w:basedOn w:val="853"/>
    <w:uiPriority w:val="0"/>
    <w:qFormat/>
    <w:pPr>
      <w:ind w:firstLine="420"/>
    </w:pPr>
  </w:style>
  <w:style w:type="paragraph" w:styleId="916" w:customStyle="1">
    <w:name w:val="正文1"/>
    <w:basedOn w:val="910"/>
    <w:next w:val="917"/>
    <w:uiPriority w:val="0"/>
    <w:qFormat/>
    <w:pPr>
      <w:jc w:val="both"/>
      <w:widowControl w:val="off"/>
    </w:pPr>
    <w:rPr>
      <w:rFonts w:ascii="Times New Roman" w:hAnsi="Times New Roman" w:eastAsia="宋体" w:cs="Times New Roman"/>
      <w:sz w:val="21"/>
      <w:szCs w:val="24"/>
      <w:lang w:val="en-US" w:eastAsia="zh-CN" w:bidi="ar-SA"/>
    </w:rPr>
  </w:style>
  <w:style w:type="paragraph" w:styleId="917" w:customStyle="1">
    <w:name w:val="正文文本1"/>
    <w:basedOn w:val="916"/>
    <w:next w:val="902"/>
    <w:uiPriority w:val="0"/>
    <w:qFormat/>
    <w:pPr>
      <w:spacing w:after="120"/>
    </w:pPr>
    <w:rPr>
      <w:rFonts w:ascii="Calibri" w:hAnsi="Calibri"/>
    </w:rPr>
  </w:style>
  <w:style w:type="character" w:styleId="918" w:customStyle="1">
    <w:name w:val="Heading 1 Char"/>
    <w:basedOn w:val="863"/>
    <w:uiPriority w:val="9"/>
    <w:qFormat/>
    <w:rPr>
      <w:rFonts w:ascii="Arial" w:hAnsi="Arial" w:eastAsia="Arial" w:cs="Arial"/>
      <w:sz w:val="40"/>
      <w:szCs w:val="40"/>
    </w:rPr>
  </w:style>
  <w:style w:type="character" w:styleId="919" w:customStyle="1">
    <w:name w:val="Heading 2 Char"/>
    <w:basedOn w:val="863"/>
    <w:uiPriority w:val="9"/>
    <w:qFormat/>
    <w:rPr>
      <w:rFonts w:ascii="Arial" w:hAnsi="Arial" w:eastAsia="Arial" w:cs="Arial"/>
      <w:sz w:val="34"/>
    </w:rPr>
  </w:style>
  <w:style w:type="character" w:styleId="920" w:customStyle="1">
    <w:name w:val="Heading 3 Char"/>
    <w:basedOn w:val="863"/>
    <w:uiPriority w:val="9"/>
    <w:qFormat/>
    <w:rPr>
      <w:rFonts w:ascii="Arial" w:hAnsi="Arial" w:eastAsia="Arial" w:cs="Arial"/>
      <w:sz w:val="30"/>
      <w:szCs w:val="30"/>
    </w:rPr>
  </w:style>
  <w:style w:type="character" w:styleId="921" w:customStyle="1">
    <w:name w:val="Heading 4 Char"/>
    <w:basedOn w:val="863"/>
    <w:uiPriority w:val="9"/>
    <w:qFormat/>
    <w:rPr>
      <w:rFonts w:ascii="Arial" w:hAnsi="Arial" w:eastAsia="Arial" w:cs="Arial"/>
      <w:b/>
      <w:bCs/>
      <w:sz w:val="26"/>
      <w:szCs w:val="26"/>
    </w:rPr>
  </w:style>
  <w:style w:type="character" w:styleId="922" w:customStyle="1">
    <w:name w:val="Heading 5 Char"/>
    <w:basedOn w:val="863"/>
    <w:uiPriority w:val="9"/>
    <w:qFormat/>
    <w:rPr>
      <w:rFonts w:ascii="Arial" w:hAnsi="Arial" w:eastAsia="Arial" w:cs="Arial"/>
      <w:b/>
      <w:bCs/>
      <w:sz w:val="24"/>
      <w:szCs w:val="24"/>
    </w:rPr>
  </w:style>
  <w:style w:type="character" w:styleId="923" w:customStyle="1">
    <w:name w:val="Heading 6 Char"/>
    <w:basedOn w:val="863"/>
    <w:link w:val="859"/>
    <w:uiPriority w:val="9"/>
    <w:qFormat/>
    <w:rPr>
      <w:rFonts w:ascii="Arial" w:hAnsi="Arial" w:eastAsia="Arial" w:cs="Arial"/>
      <w:b/>
      <w:bCs/>
      <w:sz w:val="22"/>
      <w:szCs w:val="22"/>
    </w:rPr>
  </w:style>
  <w:style w:type="character" w:styleId="924" w:customStyle="1">
    <w:name w:val="Heading 7 Char"/>
    <w:basedOn w:val="863"/>
    <w:link w:val="860"/>
    <w:uiPriority w:val="9"/>
    <w:qFormat/>
    <w:rPr>
      <w:rFonts w:ascii="Arial" w:hAnsi="Arial" w:eastAsia="Arial" w:cs="Arial"/>
      <w:b/>
      <w:bCs/>
      <w:i/>
      <w:iCs/>
      <w:sz w:val="22"/>
      <w:szCs w:val="22"/>
    </w:rPr>
  </w:style>
  <w:style w:type="character" w:styleId="925" w:customStyle="1">
    <w:name w:val="Heading 8 Char"/>
    <w:basedOn w:val="863"/>
    <w:link w:val="861"/>
    <w:uiPriority w:val="9"/>
    <w:qFormat/>
    <w:rPr>
      <w:rFonts w:ascii="Arial" w:hAnsi="Arial" w:eastAsia="Arial" w:cs="Arial"/>
      <w:i/>
      <w:iCs/>
      <w:sz w:val="22"/>
      <w:szCs w:val="22"/>
    </w:rPr>
  </w:style>
  <w:style w:type="character" w:styleId="926" w:customStyle="1">
    <w:name w:val="Heading 9 Char"/>
    <w:basedOn w:val="863"/>
    <w:link w:val="862"/>
    <w:uiPriority w:val="9"/>
    <w:qFormat/>
    <w:rPr>
      <w:rFonts w:ascii="Arial" w:hAnsi="Arial" w:eastAsia="Arial" w:cs="Arial"/>
      <w:i/>
      <w:iCs/>
      <w:sz w:val="21"/>
      <w:szCs w:val="21"/>
    </w:rPr>
  </w:style>
  <w:style w:type="paragraph" w:styleId="927">
    <w:name w:val="No Spacing"/>
    <w:uiPriority w:val="1"/>
    <w:qFormat/>
    <w:pPr>
      <w:spacing w:before="0" w:after="0" w:line="240" w:lineRule="auto"/>
    </w:pPr>
    <w:rPr>
      <w:rFonts w:hint="default" w:ascii="Times New Roman" w:hAnsi="Times New Roman" w:eastAsia="宋体" w:cs="Times New Roman"/>
    </w:rPr>
  </w:style>
  <w:style w:type="character" w:styleId="928" w:customStyle="1">
    <w:name w:val="Title Char"/>
    <w:basedOn w:val="863"/>
    <w:link w:val="893"/>
    <w:uiPriority w:val="10"/>
    <w:qFormat/>
    <w:rPr>
      <w:sz w:val="48"/>
      <w:szCs w:val="48"/>
    </w:rPr>
  </w:style>
  <w:style w:type="character" w:styleId="929" w:customStyle="1">
    <w:name w:val="Subtitle Char"/>
    <w:basedOn w:val="863"/>
    <w:link w:val="885"/>
    <w:uiPriority w:val="11"/>
    <w:qFormat/>
    <w:rPr>
      <w:sz w:val="24"/>
      <w:szCs w:val="24"/>
    </w:rPr>
  </w:style>
  <w:style w:type="paragraph" w:styleId="930">
    <w:name w:val="Quote"/>
    <w:basedOn w:val="853"/>
    <w:next w:val="853"/>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53"/>
    <w:next w:val="853"/>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basedOn w:val="863"/>
    <w:uiPriority w:val="99"/>
    <w:qFormat/>
  </w:style>
  <w:style w:type="character" w:styleId="935" w:customStyle="1">
    <w:name w:val="Footer Char"/>
    <w:basedOn w:val="863"/>
    <w:uiPriority w:val="99"/>
    <w:qFormat/>
  </w:style>
  <w:style w:type="character" w:styleId="936" w:customStyle="1">
    <w:name w:val="Caption Char"/>
    <w:uiPriority w:val="99"/>
    <w:qFormat/>
  </w:style>
  <w:style w:type="table" w:styleId="937" w:customStyle="1">
    <w:name w:val="Table Grid Light"/>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basedOn w:val="8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basedOn w:val="8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7" w:customStyle="1">
    <w:name w:val="Grid Table 3"/>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basedOn w:val="8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6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6" w:customStyle="1">
    <w:name w:val="Grid Table 4 - Accent 2"/>
    <w:basedOn w:val="86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67" w:customStyle="1">
    <w:name w:val="Grid Table 4 - Accent 3"/>
    <w:basedOn w:val="86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68" w:customStyle="1">
    <w:name w:val="Grid Table 4 - Accent 4"/>
    <w:basedOn w:val="86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9" w:customStyle="1">
    <w:name w:val="Grid Table 4 - Accent 5"/>
    <w:basedOn w:val="86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0" w:customStyle="1">
    <w:name w:val="Grid Table 4 - Accent 6"/>
    <w:basedOn w:val="86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1" w:customStyle="1">
    <w:name w:val="Grid Table 5 Dark"/>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3" w:customStyle="1">
    <w:name w:val="Grid Table 5 Dark - Accent 2"/>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74" w:customStyle="1">
    <w:name w:val="Grid Table 5 Dark - Accent 3"/>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75" w:customStyle="1">
    <w:name w:val="Grid Table 5 Dark- Accent 4"/>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76" w:customStyle="1">
    <w:name w:val="Grid Table 5 Dark - Accent 5"/>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7" w:customStyle="1">
    <w:name w:val="Grid Table 5 Dark - Accent 6"/>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78" w:customStyle="1">
    <w:name w:val="Grid Table 6 Colorful"/>
    <w:basedOn w:val="8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basedOn w:val="86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6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82" w:customStyle="1">
    <w:name w:val="Grid Table 6 Colorful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6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4" w:customStyle="1">
    <w:name w:val="Grid Table 6 Colorful - Accent 6"/>
    <w:basedOn w:val="86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5" w:customStyle="1">
    <w:name w:val="Grid Table 7 Colorful"/>
    <w:basedOn w:val="8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6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6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6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6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6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6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basedOn w:val="8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6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6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6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6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6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6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99" w:customStyle="1">
    <w:name w:val="List Table 2"/>
    <w:basedOn w:val="8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basedOn w:val="86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1" w:customStyle="1">
    <w:name w:val="List Table 2 - Accent 2"/>
    <w:basedOn w:val="86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02" w:customStyle="1">
    <w:name w:val="List Table 2 - Accent 3"/>
    <w:basedOn w:val="86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3" w:customStyle="1">
    <w:name w:val="List Table 2 - Accent 4"/>
    <w:basedOn w:val="86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04" w:customStyle="1">
    <w:name w:val="List Table 2 - Accent 5"/>
    <w:basedOn w:val="86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05" w:customStyle="1">
    <w:name w:val="List Table 2 - Accent 6"/>
    <w:basedOn w:val="86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06" w:customStyle="1">
    <w:name w:val="List Table 3"/>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6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8" w:customStyle="1">
    <w:name w:val="List Table 3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6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6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6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3" w:customStyle="1">
    <w:name w:val="List Table 4"/>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6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5" w:customStyle="1">
    <w:name w:val="List Table 4 - Accent 2"/>
    <w:basedOn w:val="86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16" w:customStyle="1">
    <w:name w:val="List Table 4 - Accent 3"/>
    <w:basedOn w:val="86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17" w:customStyle="1">
    <w:name w:val="List Table 4 - Accent 4"/>
    <w:basedOn w:val="86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18" w:customStyle="1">
    <w:name w:val="List Table 4 - Accent 5"/>
    <w:basedOn w:val="86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19" w:customStyle="1">
    <w:name w:val="List Table 4 - Accent 6"/>
    <w:basedOn w:val="86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0" w:customStyle="1">
    <w:name w:val="List Table 5 Dark"/>
    <w:basedOn w:val="8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basedOn w:val="86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6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6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6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6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6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8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basedOn w:val="86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29" w:customStyle="1">
    <w:name w:val="List Table 6 Colorful - Accent 2"/>
    <w:basedOn w:val="86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30" w:customStyle="1">
    <w:name w:val="List Table 6 Colorful - Accent 3"/>
    <w:basedOn w:val="86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31" w:customStyle="1">
    <w:name w:val="List Table 6 Colorful - Accent 4"/>
    <w:basedOn w:val="86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32" w:customStyle="1">
    <w:name w:val="List Table 6 Colorful - Accent 5"/>
    <w:basedOn w:val="86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3" w:customStyle="1">
    <w:name w:val="List Table 6 Colorful - Accent 6"/>
    <w:basedOn w:val="86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34" w:customStyle="1">
    <w:name w:val="List Table 7 Colorful"/>
    <w:basedOn w:val="8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6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6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6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6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6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6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3" w:customStyle="1">
    <w:name w:val="Lined - Accent 2"/>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4" w:customStyle="1">
    <w:name w:val="Lined - Accent 3"/>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5" w:customStyle="1">
    <w:name w:val="Lined - Accent 4"/>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6" w:customStyle="1">
    <w:name w:val="Lined - Accent 5"/>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7" w:customStyle="1">
    <w:name w:val="Lined - Accent 6"/>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8" w:customStyle="1">
    <w:name w:val="Bordered &amp; Lined - Accent"/>
    <w:basedOn w:val="8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basedOn w:val="86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0" w:customStyle="1">
    <w:name w:val="Bordered &amp; Lined - Accent 2"/>
    <w:basedOn w:val="86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1" w:customStyle="1">
    <w:name w:val="Bordered &amp; Lined - Accent 3"/>
    <w:basedOn w:val="86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2" w:customStyle="1">
    <w:name w:val="Bordered &amp; Lined - Accent 4"/>
    <w:basedOn w:val="86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3" w:customStyle="1">
    <w:name w:val="Bordered &amp; Lined - Accent 5"/>
    <w:basedOn w:val="86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4" w:customStyle="1">
    <w:name w:val="Bordered &amp; Lined - Accent 6"/>
    <w:basedOn w:val="86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5" w:customStyle="1">
    <w:name w:val="Bordered"/>
    <w:basedOn w:val="8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57" w:customStyle="1">
    <w:name w:val="Bordered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58" w:customStyle="1">
    <w:name w:val="Bordered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59" w:customStyle="1">
    <w:name w:val="Bordered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0" w:customStyle="1">
    <w:name w:val="Bordered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1" w:customStyle="1">
    <w:name w:val="Bordered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62" w:customStyle="1">
    <w:name w:val="Footnote Text Char"/>
    <w:uiPriority w:val="99"/>
    <w:qFormat/>
    <w:rPr>
      <w:sz w:val="18"/>
    </w:rPr>
  </w:style>
  <w:style w:type="character" w:styleId="1063" w:customStyle="1">
    <w:name w:val="Endnote Text Char"/>
    <w:link w:val="879"/>
    <w:uiPriority w:val="99"/>
    <w:qFormat/>
    <w:rPr>
      <w:sz w:val="20"/>
    </w:r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脚注文本1"/>
    <w:basedOn w:val="916"/>
    <w:next w:val="1066"/>
    <w:uiPriority w:val="0"/>
    <w:qFormat/>
    <w:pPr>
      <w:jc w:val="left"/>
    </w:pPr>
    <w:rPr>
      <w:rFonts w:ascii="宋体" w:hAnsi="宋体" w:eastAsia="Times New Roman"/>
      <w:sz w:val="18"/>
      <w:szCs w:val="18"/>
    </w:rPr>
  </w:style>
  <w:style w:type="paragraph" w:styleId="1066" w:customStyle="1">
    <w:name w:val="索引 51"/>
    <w:basedOn w:val="916"/>
    <w:next w:val="916"/>
    <w:uiPriority w:val="0"/>
    <w:qFormat/>
    <w:pPr>
      <w:ind w:left="798"/>
      <w:jc w:val="left"/>
    </w:pPr>
    <w:rPr>
      <w:rFonts w:ascii="Calibri" w:hAnsi="Calibri"/>
    </w:rPr>
  </w:style>
  <w:style w:type="paragraph" w:styleId="1067"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68" w:customStyle="1">
    <w:name w:val="列出段落1"/>
    <w:basedOn w:val="916"/>
    <w:uiPriority w:val="0"/>
    <w:qFormat/>
    <w:pPr>
      <w:ind w:firstLine="420"/>
    </w:pPr>
  </w:style>
  <w:style w:type="paragraph" w:styleId="1069" w:customStyle="1">
    <w:name w:val="无间隔1"/>
    <w:uiPriority w:val="0"/>
    <w:qFormat/>
    <w:rPr>
      <w:rFonts w:hint="default" w:ascii="Times New Roman" w:hAnsi="Times New Roman" w:eastAsia="宋体" w:cs="Times New Roman"/>
      <w:sz w:val="22"/>
      <w:szCs w:val="22"/>
      <w:lang w:val="en-US" w:eastAsia="en-US" w:bidi="ar-SA"/>
    </w:rPr>
  </w:style>
  <w:style w:type="paragraph" w:styleId="1070" w:customStyle="1">
    <w:name w:val="black1"/>
    <w:basedOn w:val="853"/>
    <w:uiPriority w:val="0"/>
    <w:qFormat/>
    <w:pPr>
      <w:jc w:val="left"/>
      <w:spacing w:before="100" w:beforeAutospacing="1" w:after="100" w:afterAutospacing="1"/>
      <w:widowControl/>
    </w:pPr>
    <w:rPr>
      <w:rFonts w:ascii="宋体" w:hAnsi="宋体"/>
      <w:sz w:val="24"/>
    </w:rPr>
  </w:style>
  <w:style w:type="paragraph" w:styleId="1071" w:customStyle="1">
    <w:name w:val="小标题 第几章"/>
    <w:basedOn w:val="853"/>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072" w:customStyle="1">
    <w:name w:val="正文仿宋"/>
    <w:basedOn w:val="853"/>
    <w:uiPriority w:val="0"/>
    <w:qFormat/>
    <w:pPr>
      <w:ind w:firstLine="520"/>
      <w:spacing w:line="350" w:lineRule="exact"/>
    </w:pPr>
    <w:rPr>
      <w:rFonts w:ascii="Times New Roman" w:hAnsi="Times New Roman" w:eastAsia="方正仿宋_GB2312" w:cs="Times New Roman"/>
      <w:sz w:val="24"/>
      <w:lang w:val="zh-CN"/>
    </w:rPr>
  </w:style>
  <w:style w:type="paragraph" w:styleId="1073" w:customStyle="1">
    <w:name w:val="正文文本缩进1"/>
    <w:basedOn w:val="916"/>
    <w:next w:val="1074"/>
    <w:uiPriority w:val="0"/>
    <w:qFormat/>
    <w:pPr>
      <w:ind w:left="420"/>
      <w:spacing w:after="120"/>
    </w:pPr>
  </w:style>
  <w:style w:type="paragraph" w:styleId="1074" w:customStyle="1">
    <w:name w:val="寄信人地址1"/>
    <w:basedOn w:val="905"/>
    <w:uiPriority w:val="0"/>
    <w:qFormat/>
    <w:rPr>
      <w:rFonts w:ascii="Arial" w:hAnsi="Arial"/>
      <w:sz w:val="22"/>
      <w:szCs w:val="22"/>
    </w:rPr>
  </w:style>
  <w:style w:type="paragraph" w:styleId="1075" w:customStyle="1">
    <w:name w:val="WPSOffice手动目录 1"/>
    <w:uiPriority w:val="0"/>
    <w:qFormat/>
    <w:rPr>
      <w:rFonts w:hint="default" w:asciiTheme="minorHAnsi" w:hAnsiTheme="minorHAnsi" w:eastAsiaTheme="minorEastAsia" w:cstheme="minorBidi"/>
      <w:sz w:val="20"/>
      <w:szCs w:val="20"/>
    </w:rPr>
  </w:style>
  <w:style w:type="paragraph" w:styleId="1076" w:customStyle="1">
    <w:name w:val="正文00"/>
    <w:basedOn w:val="853"/>
    <w:uiPriority w:val="0"/>
    <w:qFormat/>
    <w:pPr>
      <w:ind w:firstLine="200"/>
      <w:spacing w:line="360" w:lineRule="auto"/>
    </w:pPr>
    <w:rPr>
      <w:rFonts w:ascii="Calibri" w:hAnsi="Calibri"/>
      <w:sz w:val="24"/>
      <w:szCs w:val="21"/>
    </w:rPr>
  </w:style>
  <w:style w:type="character" w:styleId="1077" w:customStyle="1">
    <w:name w:val="active16"/>
    <w:basedOn w:val="863"/>
    <w:uiPriority w:val="0"/>
    <w:qFormat/>
    <w:rPr>
      <w:color w:val="ffffff"/>
      <w:shd w:val="clear" w:color="auto" w:fill="0f5bb9"/>
    </w:rPr>
  </w:style>
  <w:style w:type="paragraph" w:styleId="1078" w:customStyle="1">
    <w:name w:val="标题 31"/>
    <w:basedOn w:val="853"/>
    <w:next w:val="915"/>
    <w:uiPriority w:val="0"/>
    <w:qFormat/>
    <w:pPr>
      <w:keepLines/>
      <w:keepNext/>
      <w:spacing w:before="260" w:after="260" w:line="416" w:lineRule="auto"/>
      <w:outlineLvl w:val="2"/>
    </w:pPr>
    <w:rPr>
      <w:b/>
      <w:bCs/>
      <w:sz w:val="32"/>
      <w:szCs w:val="32"/>
    </w:rPr>
  </w:style>
  <w:style w:type="character" w:styleId="1079" w:customStyle="1">
    <w:name w:val="font41"/>
    <w:basedOn w:val="863"/>
    <w:uiPriority w:val="0"/>
    <w:qFormat/>
    <w:rPr>
      <w:rFonts w:hint="eastAsia" w:ascii="微软雅黑" w:hAnsi="微软雅黑" w:eastAsia="微软雅黑" w:cs="微软雅黑"/>
      <w:color w:val="ff0000"/>
      <w:sz w:val="18"/>
      <w:szCs w:val="18"/>
      <w:u w:val="none"/>
    </w:rPr>
  </w:style>
  <w:style w:type="character" w:styleId="1080" w:customStyle="1">
    <w:name w:val="font11"/>
    <w:basedOn w:val="863"/>
    <w:uiPriority w:val="0"/>
    <w:qFormat/>
    <w:rPr>
      <w:rFonts w:hint="eastAsia" w:ascii="宋体" w:hAnsi="宋体" w:eastAsia="宋体" w:cs="宋体"/>
      <w:color w:val="ff0000"/>
      <w:sz w:val="21"/>
      <w:szCs w:val="21"/>
      <w:u w:val="none"/>
    </w:rPr>
  </w:style>
  <w:style w:type="character" w:styleId="1081" w:customStyle="1">
    <w:name w:val="font51"/>
    <w:basedOn w:val="863"/>
    <w:uiPriority w:val="0"/>
    <w:qFormat/>
    <w:rPr>
      <w:rFonts w:ascii="等线" w:hAnsi="等线" w:eastAsia="等线" w:cs="等线"/>
      <w:color w:val="000000"/>
      <w:sz w:val="21"/>
      <w:szCs w:val="21"/>
      <w:u w:val="none"/>
    </w:rPr>
  </w:style>
  <w:style w:type="character" w:styleId="1082" w:customStyle="1">
    <w:name w:val="font01"/>
    <w:basedOn w:val="863"/>
    <w:uiPriority w:val="0"/>
    <w:qFormat/>
    <w:rPr>
      <w:rFonts w:hint="eastAsia" w:ascii="宋体" w:hAnsi="宋体" w:eastAsia="宋体" w:cs="宋体"/>
      <w:color w:val="000000"/>
      <w:sz w:val="22"/>
      <w:szCs w:val="22"/>
      <w:u w:val="none"/>
    </w:rPr>
  </w:style>
  <w:style w:type="paragraph" w:styleId="1083" w:customStyle="1">
    <w:name w:val="正文2"/>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5" w:customStyle="1">
    <w:name w:val="UserStyle_11"/>
    <w:uiPriority w:val="0"/>
    <w:qFormat/>
    <w:rPr>
      <w:sz w:val="21"/>
      <w:szCs w:val="21"/>
      <w:lang w:val="en-US" w:eastAsia="zh-CN" w:bidi="ar-SA"/>
    </w:rPr>
  </w:style>
  <w:style w:type="paragraph" w:styleId="1086">
    <w:name w:val="List Paragraph"/>
    <w:basedOn w:val="853"/>
    <w:uiPriority w:val="34"/>
    <w:qFormat/>
    <w:pPr>
      <w:contextualSpacing/>
      <w:ind w:left="720"/>
    </w:pPr>
  </w:style>
  <w:style w:type="character" w:styleId="1087" w:customStyle="1">
    <w:name w:val="超链接1"/>
    <w:link w:val="853"/>
    <w:uiPriority w:val="0"/>
    <w:qFormat/>
    <w:rPr>
      <w:rFonts w:hint="default" w:asciiTheme="minorHAnsi" w:hAnsiTheme="minorHAnsi" w:eastAsiaTheme="minorEastAsia" w:cstheme="minorBidi"/>
      <w:sz w:val="22"/>
      <w:szCs w:val="22"/>
      <w:lang w:eastAsia="en-US"/>
    </w:rPr>
  </w:style>
  <w:style w:type="paragraph" w:styleId="1088" w:customStyle="1">
    <w:name w:val="页脚1"/>
    <w:basedOn w:val="853"/>
    <w:uiPriority w:val="99"/>
    <w:qFormat/>
    <w:pPr>
      <w:jc w:val="left"/>
      <w:tabs>
        <w:tab w:val="center" w:pos="4153" w:leader="none"/>
        <w:tab w:val="right" w:pos="8306" w:leader="none"/>
      </w:tabs>
    </w:pPr>
    <w:rPr>
      <w:sz w:val="18"/>
      <w:szCs w:val="18"/>
    </w:rPr>
  </w:style>
  <w:style w:type="character" w:styleId="1089" w:customStyle="1">
    <w:name w:val="font21"/>
    <w:uiPriority w:val="0"/>
    <w:qFormat/>
    <w:rPr>
      <w:rFonts w:hint="eastAsia" w:ascii="宋体" w:hAnsi="宋体" w:eastAsia="宋体" w:cs="宋体"/>
      <w:color w:val="000000"/>
      <w:sz w:val="20"/>
      <w:szCs w:val="20"/>
      <w:u w:val="none"/>
    </w:rPr>
  </w:style>
  <w:style w:type="character" w:styleId="1090" w:customStyle="1">
    <w:name w:val="font31"/>
    <w:uiPriority w:val="0"/>
    <w:qFormat/>
    <w:rPr>
      <w:rFonts w:hint="eastAsia" w:ascii="宋体" w:hAnsi="宋体" w:eastAsia="宋体" w:cs="宋体"/>
      <w:color w:val="000000"/>
      <w:sz w:val="20"/>
      <w:szCs w:val="20"/>
      <w:u w:val="none"/>
    </w:rPr>
  </w:style>
  <w:style w:type="paragraph" w:styleId="1091" w:customStyle="1">
    <w:name w:val="_Style 3"/>
    <w:basedOn w:val="853"/>
    <w:uiPriority w:val="0"/>
    <w:qFormat/>
    <w:rPr>
      <w:rFonts w:ascii="Times New Roman" w:hAnsi="Times New Roman"/>
      <w:szCs w:val="22"/>
    </w:rPr>
  </w:style>
  <w:style w:type="paragraph" w:styleId="1092" w:customStyle="1">
    <w:name w:val="标题 11"/>
    <w:basedOn w:val="905"/>
    <w:next w:val="905"/>
    <w:uiPriority w:val="0"/>
    <w:qFormat/>
    <w:pPr>
      <w:keepLines/>
      <w:keepNext/>
      <w:spacing w:before="340" w:after="330" w:line="578" w:lineRule="auto"/>
      <w:outlineLvl w:val="0"/>
    </w:pPr>
    <w:rPr>
      <w:b/>
      <w:bCs/>
      <w:sz w:val="44"/>
      <w:szCs w:val="44"/>
    </w:rPr>
  </w:style>
  <w:style w:type="paragraph" w:styleId="1093" w:customStyle="1">
    <w:name w:val="Normal_2"/>
    <w:uiPriority w:val="0"/>
    <w:qFormat/>
    <w:rPr>
      <w:rFonts w:hint="default" w:ascii="Times New Roman" w:hAnsi="Times New Roman" w:eastAsia="Times New Roman" w:cs="Times New Roman"/>
      <w:sz w:val="24"/>
      <w:szCs w:val="24"/>
      <w:lang w:bidi="ar-SA"/>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程龙</cp:lastModifiedBy>
  <cp:revision>7</cp:revision>
  <dcterms:created xsi:type="dcterms:W3CDTF">2025-01-10T03:03:00Z</dcterms:created>
  <dcterms:modified xsi:type="dcterms:W3CDTF">2026-06-03T08:26:12Z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F254659BEECA478284A34E7525F1395F_13</vt:lpwstr>
  </property>
  <property fmtid="{D5CDD505-2E9C-101B-9397-08002B2CF9AE}" pid="4" name="KSOTemplateDocerSaveRecord">
    <vt:lpwstr>eyJoZGlkIjoiYmQ0MjA2YzA5ZTU0NjMxNDFjOWU4OTI4ODkxODk0YTUiLCJ1c2VySWQiOiIyMjYxODI1MTYifQ==</vt:lpwstr>
  </property>
</Properties>
</file>