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医保AI内涵质控引擎及结算清单综合管理系统建设项目</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JSZC-320281-JZCG-G2026-0034</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val="en-US" w:eastAsia="zh-CN"/>
        </w:rPr>
        <w:t xml:space="preserve">六</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9"/>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92"/>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2</w:t>
      </w:r>
      <w:r>
        <w:rPr>
          <w:rFonts w:eastAsia="宋体"/>
          <w:sz w:val="30"/>
          <w:szCs w:val="30"/>
        </w:rPr>
        <w:fldChar w:fldCharType="end"/>
      </w:r>
      <w:r>
        <w:rPr>
          <w:rFonts w:eastAsia="宋体"/>
          <w:sz w:val="30"/>
          <w:szCs w:val="30"/>
        </w:rPr>
        <w:fldChar w:fldCharType="end"/>
      </w:r>
      <w:r/>
    </w:p>
    <w:p>
      <w:pPr>
        <w:pStyle w:val="879"/>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892"/>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5</w:t>
      </w:r>
      <w:r>
        <w:rPr>
          <w:rFonts w:eastAsia="宋体"/>
          <w:sz w:val="30"/>
          <w:szCs w:val="30"/>
        </w:rPr>
        <w:fldChar w:fldCharType="end"/>
      </w:r>
      <w:r>
        <w:rPr>
          <w:rFonts w:eastAsia="宋体"/>
          <w:sz w:val="30"/>
          <w:szCs w:val="30"/>
        </w:rPr>
        <w:fldChar w:fldCharType="end"/>
      </w:r>
      <w:r/>
    </w:p>
    <w:p>
      <w:pPr>
        <w:pStyle w:val="879"/>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892"/>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17</w:t>
      </w:r>
      <w:r>
        <w:rPr>
          <w:rFonts w:eastAsia="宋体"/>
          <w:sz w:val="30"/>
          <w:szCs w:val="30"/>
        </w:rPr>
        <w:fldChar w:fldCharType="end"/>
      </w:r>
      <w:r>
        <w:rPr>
          <w:rFonts w:eastAsia="宋体"/>
          <w:sz w:val="30"/>
          <w:szCs w:val="30"/>
        </w:rPr>
        <w:fldChar w:fldCharType="end"/>
      </w:r>
      <w:r/>
    </w:p>
    <w:p>
      <w:pPr>
        <w:pStyle w:val="879"/>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892"/>
          <w:rFonts w:hint="eastAsia" w:ascii="宋体" w:hAnsi="宋体" w:eastAsia="宋体"/>
          <w:color w:val="auto"/>
          <w:sz w:val="30"/>
          <w:szCs w:val="30"/>
        </w:rPr>
        <w:t xml:space="preserve">第四章</w:t>
      </w:r>
      <w:r>
        <w:rPr>
          <w:rStyle w:val="892"/>
          <w:rFonts w:ascii="宋体" w:hAnsi="宋体" w:eastAsia="宋体"/>
          <w:color w:val="auto"/>
          <w:sz w:val="30"/>
          <w:szCs w:val="30"/>
        </w:rPr>
        <w:t xml:space="preserve">  </w:t>
      </w:r>
      <w:r>
        <w:rPr>
          <w:rStyle w:val="892"/>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31</w:t>
      </w:r>
      <w:r>
        <w:rPr>
          <w:rFonts w:eastAsia="宋体"/>
          <w:sz w:val="30"/>
          <w:szCs w:val="30"/>
        </w:rPr>
        <w:fldChar w:fldCharType="end"/>
      </w:r>
      <w:r>
        <w:rPr>
          <w:rFonts w:eastAsia="宋体"/>
          <w:sz w:val="30"/>
          <w:szCs w:val="30"/>
        </w:rPr>
        <w:fldChar w:fldCharType="end"/>
      </w:r>
      <w:r/>
    </w:p>
    <w:p>
      <w:pPr>
        <w:pStyle w:val="879"/>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892"/>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34</w:t>
      </w:r>
      <w:r>
        <w:rPr>
          <w:rFonts w:eastAsia="宋体"/>
          <w:sz w:val="30"/>
          <w:szCs w:val="30"/>
        </w:rPr>
        <w:fldChar w:fldCharType="end"/>
      </w:r>
      <w:r>
        <w:rPr>
          <w:rFonts w:eastAsia="宋体"/>
          <w:sz w:val="30"/>
          <w:szCs w:val="30"/>
        </w:rPr>
        <w:fldChar w:fldCharType="end"/>
      </w:r>
      <w:r/>
    </w:p>
    <w:p>
      <w:pPr>
        <w:pStyle w:val="879"/>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892"/>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41</w:t>
      </w:r>
      <w:r>
        <w:rPr>
          <w:rFonts w:eastAsia="宋体"/>
          <w:sz w:val="30"/>
          <w:szCs w:val="30"/>
        </w:rPr>
        <w:fldChar w:fldCharType="end"/>
      </w:r>
      <w:r>
        <w:rPr>
          <w:rFonts w:eastAsia="宋体"/>
          <w:sz w:val="30"/>
          <w:szCs w:val="30"/>
        </w:rPr>
        <w:fldChar w:fldCharType="end"/>
      </w:r>
      <w:r/>
    </w:p>
    <w:p>
      <w:pPr>
        <w:pStyle w:val="885"/>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85"/>
      </w:pPr>
      <w:r/>
      <w:r/>
    </w:p>
    <w:p>
      <w:pPr>
        <w:pStyle w:val="885"/>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jc w:val="both"/>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医保AI内涵质控引擎及结算清单综合管理系统建设项目</w:t>
      </w:r>
      <w:r>
        <w:rPr>
          <w:rFonts w:hint="eastAsia" w:ascii="宋体" w:hAnsi="宋体" w:eastAsia="宋体" w:cs="Times New Roman"/>
          <w:bCs/>
          <w:sz w:val="24"/>
          <w:szCs w:val="24"/>
          <w:lang w:eastAsia="zh-CN"/>
        </w:rPr>
        <w:t xml:space="preserve">JSZC-320281-JZCG-G2026-</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lang w:eastAsia="zh-CN"/>
        </w:rPr>
        <w:t xml:space="preserve">0034</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07-02</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JSZC-320281-JZCG-G2026-0034</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医保AI内涵质控引擎及结算清单综合管理系统建设项目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万元（采购包1：</w:t>
      </w:r>
      <w:r>
        <w:rPr>
          <w:rFonts w:hint="eastAsia" w:ascii="宋体" w:hAnsi="宋体" w:eastAsia="宋体" w:cs="Times New Roman"/>
          <w:sz w:val="24"/>
          <w:szCs w:val="24"/>
          <w:lang w:val="en-US" w:eastAsia="zh-CN"/>
        </w:rPr>
        <w:t xml:space="preserve">30</w:t>
      </w:r>
      <w:r>
        <w:rPr>
          <w:rFonts w:hint="eastAsia" w:ascii="宋体" w:hAnsi="宋体" w:eastAsia="宋体" w:cs="Times New Roman"/>
          <w:sz w:val="24"/>
          <w:szCs w:val="24"/>
        </w:rPr>
        <w:t xml:space="preserve">万元；采购包2：35万元）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最高限价：</w:t>
      </w:r>
      <w:r/>
    </w:p>
    <w:tbl>
      <w:tblPr>
        <w:tblStyle w:val="8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4"/>
        <w:gridCol w:w="5680"/>
        <w:gridCol w:w="1974"/>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最高限价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医保结算清单管理系统</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30</w:t>
            </w:r>
            <w:r>
              <w:rPr>
                <w:rFonts w:hint="eastAsia" w:ascii="宋体" w:hAnsi="宋体" w:eastAsia="宋体" w:cs="Times New Roman"/>
                <w:sz w:val="24"/>
                <w:szCs w:val="24"/>
              </w:rPr>
              <w:t xml:space="preserve">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AI医保审核内涵质控引擎系统</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35</w:t>
            </w:r>
            <w:r>
              <w:rPr>
                <w:rFonts w:hint="eastAsia" w:ascii="宋体" w:hAnsi="宋体" w:eastAsia="宋体" w:cs="Times New Roman"/>
                <w:sz w:val="24"/>
                <w:szCs w:val="24"/>
              </w:rPr>
              <w:t xml:space="preserve">万元</w:t>
            </w:r>
            <w:r/>
          </w:p>
        </w:tc>
      </w:tr>
    </w:tbl>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lang w:eastAsia="zh-CN"/>
        </w:rPr>
        <w:t xml:space="preserve">医保AI内涵质控引擎及结算清单综合管理系统建设项目</w:t>
      </w:r>
      <w:r>
        <w:rPr>
          <w:rFonts w:hint="eastAsia" w:ascii="宋体" w:hAnsi="宋体" w:eastAsia="宋体" w:cs="Times New Roman"/>
          <w:sz w:val="24"/>
          <w:szCs w:val="28"/>
        </w:rPr>
        <w:t xml:space="preserve">。本项目为</w:t>
      </w:r>
      <w:r>
        <w:rPr>
          <w:rFonts w:hint="eastAsia" w:ascii="宋体" w:hAnsi="宋体" w:eastAsia="宋体" w:cs="Times New Roman"/>
          <w:sz w:val="24"/>
          <w:szCs w:val="28"/>
          <w:lang w:val="en-US" w:eastAsia="zh-CN"/>
        </w:rPr>
        <w:t xml:space="preserve">二</w:t>
      </w:r>
      <w:r>
        <w:rPr>
          <w:rFonts w:hint="eastAsia" w:ascii="宋体" w:hAnsi="宋体" w:eastAsia="宋体" w:cs="Times New Roman"/>
          <w:sz w:val="24"/>
          <w:szCs w:val="28"/>
        </w:rPr>
        <w:t xml:space="preserve">个包，各确定一家中标单位，供应商可全报或选报。</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rPr>
        <w:t xml:space="preserve">（二）</w:t>
      </w:r>
      <w:r>
        <w:rPr>
          <w:rFonts w:ascii="宋体" w:hAnsi="宋体" w:eastAsia="宋体" w:cs="Times New Roman"/>
          <w:sz w:val="24"/>
          <w:szCs w:val="24"/>
          <w:highlight w:val="none"/>
        </w:rPr>
        <w:t xml:space="preserve">落实政府采购政策需满足的资格要求： </w:t>
      </w:r>
      <w:r/>
    </w:p>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sz w:val="24"/>
          <w:szCs w:val="24"/>
          <w:lang w:eastAsia="zh-CN"/>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07-02</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1.采购人信息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江阴市人民医院</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地址：江阴市寿山路163号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项目联系人：朱先生</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联系电话：0510-86879038</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2.采购代理机构信息</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江阴市政府采购中心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单位地址：</w:t>
      </w:r>
      <w:r>
        <w:rPr>
          <w:rFonts w:hint="eastAsia" w:ascii="宋体" w:hAnsi="宋体" w:eastAsia="宋体" w:cs="Times New Roman"/>
          <w:sz w:val="24"/>
          <w:szCs w:val="24"/>
          <w:highlight w:val="none"/>
        </w:rPr>
        <w:t xml:space="preserve">江阴市长江路188号6楼</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rPr>
        <w:t xml:space="preserve">周先生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rPr>
        <w:t xml:space="preserve">周先生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5"/>
      </w:pPr>
      <w:r/>
      <w:r/>
    </w:p>
    <w:p>
      <w:pPr>
        <w:pStyle w:val="885"/>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5</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第三章实质性要求中须提供的证书/承诺函等证明材料；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文件3：</w:t>
      </w:r>
      <w:r>
        <w:rPr>
          <w:rFonts w:hint="eastAsia" w:ascii="宋体" w:hAnsi="宋体" w:eastAsia="宋体" w:cs="Times New Roman"/>
          <w:b w:val="0"/>
          <w:bCs w:val="0"/>
          <w:sz w:val="24"/>
          <w:szCs w:val="24"/>
          <w:lang w:val="en-US" w:eastAsia="zh-CN"/>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lang w:val="en-US" w:eastAsia="zh-CN"/>
        </w:rPr>
        <w:t xml:space="preserve">④</w:t>
      </w:r>
      <w:r>
        <w:rPr>
          <w:rFonts w:hint="eastAsia" w:ascii="Tahoma" w:hAnsi="Tahoma" w:eastAsia="宋体" w:cs="Tahoma"/>
          <w:sz w:val="24"/>
          <w:szCs w:val="24"/>
        </w:rPr>
        <w:t xml:space="preserve">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lang w:val="en-US" w:eastAsia="zh-CN"/>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bCs/>
          <w:sz w:val="24"/>
          <w:szCs w:val="24"/>
        </w:rPr>
        <w:t xml:space="preserve">此处规定时间的计算以系统中的倒计时间为准，投标人应随时保持系统在线，如因投标人自身原因未在规定时间内提交澄清确认资料的，导致的不利后果由投标人自行承担</w:t>
      </w:r>
      <w:r>
        <w:rPr>
          <w:rFonts w:hint="eastAsia" w:ascii="宋体" w:hAnsi="宋体" w:eastAsia="宋体" w:cs="Times New Roman"/>
          <w:b w:val="0"/>
          <w:bCs w:val="0"/>
          <w:sz w:val="24"/>
          <w:szCs w:val="24"/>
          <w:lang w:eastAsia="zh-CN"/>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采购人收件人：朱先生  收件地址：江阴市寿山路163号  收件电话：0510-86879038</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lang w:val="en-US" w:eastAsia="zh-CN"/>
        </w:rPr>
        <w:t xml:space="preserve">给予</w:t>
      </w:r>
      <w:r>
        <w:rPr>
          <w:rFonts w:hint="eastAsia" w:ascii="宋体" w:hAnsi="宋体" w:eastAsia="宋体" w:cs="Times New Roman"/>
          <w:b/>
          <w:sz w:val="24"/>
          <w:szCs w:val="24"/>
        </w:rPr>
        <w:t xml:space="preserve">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5"/>
        <w:sectPr>
          <w:footnotePr/>
          <w:endnotePr/>
          <w:type w:val="nextPage"/>
          <w:pgSz w:w="11906" w:h="16838" w:orient="portrait"/>
          <w:pgMar w:top="1247" w:right="1247" w:bottom="1247" w:left="1247" w:header="680" w:footer="992" w:gutter="0"/>
          <w:cols w:num="1" w:sep="0" w:space="720" w:equalWidth="1"/>
          <w:docGrid w:linePitch="360"/>
        </w:sectPr>
      </w:pPr>
      <w:r/>
      <w:r/>
    </w:p>
    <w:p>
      <w:pPr>
        <w:pStyle w:val="885"/>
      </w:pPr>
      <w:r/>
      <w:r/>
    </w:p>
    <w:p>
      <w:pPr>
        <w:pStyle w:val="885"/>
        <w:numPr>
          <w:ilvl w:val="0"/>
          <w:numId w:val="1"/>
        </w:numPr>
        <w:rPr>
          <w:rFonts w:hint="eastAsia"/>
        </w:rPr>
      </w:pPr>
      <w:r/>
      <w:bookmarkStart w:id="10" w:name="_Toc213847315"/>
      <w:r>
        <w:rPr>
          <w:rFonts w:hint="eastAsia"/>
        </w:rPr>
        <w:t xml:space="preserve">项目要求和有关说明</w:t>
      </w:r>
      <w:bookmarkEnd w:id="10"/>
      <w:r/>
      <w:bookmarkStart w:id="11" w:name="_Toc251268361"/>
      <w:r/>
      <w:r/>
    </w:p>
    <w:p>
      <w:pPr>
        <w:rPr>
          <w:rFonts w:hint="eastAsia"/>
        </w:rPr>
      </w:pPr>
      <w:r>
        <w:rPr>
          <w:rFonts w:hint="eastAsia"/>
        </w:rPr>
      </w:r>
      <w:r/>
    </w:p>
    <w:p>
      <w:pPr>
        <w:jc w:val="center"/>
        <w:keepLines w:val="0"/>
        <w:keepNext w:val="0"/>
        <w:pageBreakBefore w:val="0"/>
        <w:spacing w:line="400" w:lineRule="exact"/>
        <w:rPr>
          <w:rFonts w:hint="eastAsia" w:ascii="黑体" w:hAnsi="黑体" w:eastAsia="黑体" w:cs="黑体"/>
          <w:bCs/>
          <w:sz w:val="32"/>
          <w:szCs w:val="28"/>
          <w:lang w:val="en-US" w:eastAsia="zh-CN"/>
        </w:rPr>
        <w:outlineLvl w:val="0"/>
      </w:pPr>
      <w:r>
        <w:rPr>
          <w:rFonts w:hint="eastAsia" w:ascii="黑体" w:hAnsi="黑体" w:eastAsia="黑体" w:cs="黑体"/>
          <w:bCs/>
          <w:sz w:val="28"/>
          <w:szCs w:val="28"/>
        </w:rPr>
        <w:t xml:space="preserve">采购包1：医保结算清单管理系统</w:t>
      </w:r>
      <w:r>
        <w:rPr>
          <w:rFonts w:hint="eastAsia" w:ascii="黑体" w:hAnsi="黑体" w:eastAsia="黑体" w:cs="黑体"/>
          <w:bCs/>
          <w:sz w:val="28"/>
          <w:szCs w:val="28"/>
          <w:lang w:val="en-US" w:eastAsia="zh-CN"/>
        </w:rPr>
        <w:t xml:space="preserve">项目要求</w:t>
      </w:r>
      <w:r/>
    </w:p>
    <w:p>
      <w:pPr>
        <w:jc w:val="center"/>
        <w:keepLines w:val="0"/>
        <w:keepNext w:val="0"/>
        <w:pageBreakBefore w:val="0"/>
        <w:spacing w:line="400" w:lineRule="exact"/>
        <w:rPr>
          <w:rFonts w:ascii="黑体" w:hAnsi="黑体" w:eastAsia="黑体" w:cs="黑体"/>
          <w:b/>
          <w:bCs/>
          <w:sz w:val="28"/>
          <w:szCs w:val="28"/>
        </w:rPr>
        <w:outlineLvl w:val="1"/>
      </w:pPr>
      <w:r>
        <w:rPr>
          <w:rFonts w:hint="eastAsia" w:asciiTheme="minorEastAsia" w:hAnsiTheme="minorEastAsia" w:cstheme="minorEastAsia"/>
          <w:b/>
          <w:bCs/>
          <w:sz w:val="24"/>
          <w:szCs w:val="24"/>
        </w:rPr>
        <w:t xml:space="preserve">（以下除“</w:t>
      </w:r>
      <w:r>
        <w:rPr>
          <w:rFonts w:hint="eastAsia" w:asciiTheme="minorEastAsia" w:hAnsiTheme="minorEastAsia" w:cstheme="minorEastAsia"/>
          <w:b/>
          <w:bCs/>
          <w:sz w:val="24"/>
          <w:szCs w:val="24"/>
          <w:lang w:val="en-US" w:eastAsia="zh-CN"/>
        </w:rPr>
        <w:t xml:space="preserve">详细技术参数要求</w:t>
      </w:r>
      <w:r>
        <w:rPr>
          <w:rFonts w:hint="eastAsia" w:asciiTheme="minorEastAsia" w:hAnsiTheme="minorEastAsia" w:cstheme="minorEastAsia"/>
          <w:b/>
          <w:bCs/>
          <w:sz w:val="24"/>
          <w:szCs w:val="24"/>
        </w:rPr>
        <w:t xml:space="preserve">”外，其余均为实质性要求）</w:t>
      </w:r>
      <w:r/>
    </w:p>
    <w:p>
      <w:pPr>
        <w:keepLines w:val="0"/>
        <w:keepNext w:val="0"/>
        <w:pageBreakBefore w:val="0"/>
        <w:spacing w:line="400" w:lineRule="exact"/>
        <w:rPr>
          <w:rFonts w:ascii="Calibri" w:hAnsi="Calibri"/>
          <w:b/>
          <w:bCs/>
          <w:sz w:val="28"/>
          <w:szCs w:val="28"/>
        </w:rPr>
      </w:pPr>
      <w:r>
        <w:rPr>
          <w:rFonts w:ascii="Calibri" w:hAnsi="Calibri"/>
          <w:b/>
          <w:bCs/>
          <w:sz w:val="28"/>
          <w:szCs w:val="28"/>
        </w:rPr>
      </w:r>
      <w:r/>
    </w:p>
    <w:p>
      <w:pPr>
        <w:numPr>
          <w:ilvl w:val="0"/>
          <w:numId w:val="2"/>
        </w:numPr>
        <w:keepLines w:val="0"/>
        <w:keepNext w:val="0"/>
        <w:pageBreakBefore w:val="0"/>
        <w:spacing w:line="40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项目概述</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本项目面向</w:t>
      </w:r>
      <w:r>
        <w:rPr>
          <w:rStyle w:val="890"/>
          <w:rFonts w:hint="eastAsia" w:ascii="宋体" w:hAnsi="宋体" w:eastAsia="宋体" w:cs="宋体"/>
          <w:b w:val="0"/>
          <w:color w:val="1f2329"/>
          <w:sz w:val="24"/>
          <w:szCs w:val="24"/>
        </w:rPr>
        <w:t xml:space="preserve">DRG/DIP 医保支付改革</w:t>
      </w:r>
      <w:r>
        <w:rPr>
          <w:rFonts w:hint="eastAsia" w:ascii="宋体" w:hAnsi="宋体" w:eastAsia="宋体" w:cs="宋体"/>
          <w:sz w:val="24"/>
          <w:szCs w:val="24"/>
        </w:rPr>
        <w:t xml:space="preserve">与基金监管需求，建设医保结算清单全流程智能质控系统，以信息化手段替代传统人工抽检，实现清单数据</w:t>
      </w:r>
      <w:r>
        <w:rPr>
          <w:rStyle w:val="890"/>
          <w:rFonts w:hint="eastAsia" w:ascii="宋体" w:hAnsi="宋体" w:eastAsia="宋体" w:cs="宋体"/>
          <w:b w:val="0"/>
          <w:color w:val="1f2329"/>
          <w:sz w:val="24"/>
          <w:szCs w:val="24"/>
        </w:rPr>
        <w:t xml:space="preserve">自动采集、智能校验、分级审核、问题溯源、统计分析</w:t>
      </w:r>
      <w:r>
        <w:rPr>
          <w:rFonts w:hint="eastAsia" w:ascii="宋体" w:hAnsi="宋体" w:eastAsia="宋体" w:cs="宋体"/>
          <w:sz w:val="24"/>
          <w:szCs w:val="24"/>
        </w:rPr>
        <w:t xml:space="preserve">一体化管理。</w:t>
      </w:r>
      <w:r/>
    </w:p>
    <w:p>
      <w:pPr>
        <w:ind w:firstLine="482"/>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本项目最高限价</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万元</w:t>
      </w:r>
      <w:r/>
    </w:p>
    <w:p>
      <w:pPr>
        <w:ind w:firstLine="482"/>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本项目标的所属行业：</w:t>
      </w:r>
      <w:r>
        <w:rPr>
          <w:rFonts w:hint="eastAsia" w:ascii="宋体" w:hAnsi="宋体" w:eastAsia="宋体" w:cs="宋体"/>
          <w:bCs/>
          <w:sz w:val="24"/>
          <w:szCs w:val="24"/>
        </w:rPr>
        <w:t xml:space="preserve">软件和信息技术服务业。</w:t>
      </w:r>
      <w:r/>
    </w:p>
    <w:p>
      <w:pPr>
        <w:pStyle w:val="936"/>
        <w:ind w:left="0"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2"/>
        </w:numPr>
        <w:keepLines w:val="0"/>
        <w:keepNext w:val="0"/>
        <w:pageBreakBefore w:val="0"/>
        <w:spacing w:line="40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建设目标</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根据国家和江苏省的医保支付方式改革</w:t>
      </w:r>
      <w:r>
        <w:rPr>
          <w:rFonts w:hint="eastAsia" w:ascii="宋体" w:hAnsi="宋体" w:eastAsia="宋体" w:cs="宋体"/>
          <w:sz w:val="24"/>
          <w:szCs w:val="24"/>
          <w:lang w:eastAsia="zh-CN"/>
        </w:rPr>
        <w:t xml:space="preserve">，以</w:t>
      </w:r>
      <w:r>
        <w:rPr>
          <w:rFonts w:hint="eastAsia" w:ascii="宋体" w:hAnsi="宋体" w:eastAsia="宋体" w:cs="宋体"/>
          <w:sz w:val="24"/>
          <w:szCs w:val="24"/>
        </w:rPr>
        <w:t xml:space="preserve">及卫生信息化建设相关的政策和文件精神要求，并结合医院的现状情况，本项目建设需完成以下建设目标：</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1.全量质检：由“机器全量自动质检”代替“传统人工抽检”，确保清单数据质量，合理入组。</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2.全流程管理：通过清单管理系统实现生成、编辑、审核的全流程一站式体验，规范清单管理流程。</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3.精细化管理：对清单问题跟踪溯源，持续改进清单质量，打造医疗精细化管理。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4.在清单生成环节增加独立保存功能，真正区分病案首页和医保结算清单，以满足不同的管理和上报要求。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、技术要求</w:t>
      </w:r>
      <w:r>
        <w:rPr>
          <w:rFonts w:hint="eastAsia" w:ascii="宋体" w:hAnsi="宋体" w:eastAsia="宋体" w:cs="宋体"/>
          <w:sz w:val="24"/>
          <w:szCs w:val="24"/>
        </w:rPr>
        <w:t xml:space="preserve">（打“★”项为重要技术参数）</w:t>
      </w:r>
      <w:r/>
    </w:p>
    <w:p>
      <w:pP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（1）总体技术</w:t>
      </w:r>
      <w:r>
        <w:rPr>
          <w:rFonts w:hint="eastAsia" w:ascii="宋体" w:hAnsi="宋体" w:eastAsia="宋体" w:cs="宋体"/>
          <w:sz w:val="24"/>
          <w:szCs w:val="24"/>
          <w:lang w:val="en-US" w:eastAsia="zh-CN"/>
        </w:rPr>
        <w:t xml:space="preserve">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1、采用多层架构的B/S结构，应用展示端建议采用HTML5技术，必须支持跨平台的应用展示；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2､考虑到平台将来的可扩展性，平台必须是开放式的：展示页面可视化配置，灵活增加；具有数据集，且数据集可自定义配置；</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3、要有数据展现引擎，可以根据医院需求灵活地配置相关管理指标的呈现；</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4、系统应采用B/S架构设计，全面满足国产化信创要求，适配主流国产操作系统、数据库、服务器等运行环境，确保全栈国产化环境下的稳定运行。</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5、须提供配套的ETL工具、数据订阅工具、消息引擎、规则库、报表工具、数据共享引擎等一系列应用工具，可确保各种临床和管理应用效果的配置扩展实现。</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数据中心从HIS、电子病历等医院业务系统接入数据时，为不影响当前业务系统的正常运行，也不增加接口改造的风险及费用，推荐采用CDC技术方案（只要能达到准确、高效的数据采集，也可以允许其他技术方案），支持ESB接入；</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7、要求有独立的数据中心的数据模型,要求不能直接引用当前业务系统模型或消息模型。要通过ETL技术对原始业务数据进行抽取、转换、清洗并转存到CDR数据模型中，形成集中存储的数据集。</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8、医保结算清单管理系统需跟医院现有DRG系统</w:t>
      </w:r>
      <w:r>
        <w:rPr>
          <w:rFonts w:hint="eastAsia" w:ascii="宋体" w:hAnsi="宋体" w:eastAsia="宋体" w:cs="宋体"/>
          <w:sz w:val="24"/>
          <w:szCs w:val="24"/>
          <w:highlight w:val="none"/>
        </w:rPr>
        <w:t xml:space="preserve">实现无缝对接</w:t>
      </w:r>
      <w:r>
        <w:rPr>
          <w:rFonts w:hint="eastAsia" w:ascii="宋体" w:hAnsi="宋体" w:eastAsia="宋体" w:cs="宋体"/>
          <w:sz w:val="24"/>
          <w:szCs w:val="24"/>
        </w:rPr>
        <w:t xml:space="preserve">，确保数据一致性：分组器规则需要与DRG入组口径保持一致，确保编码、分组逻辑一致。医保结算清单中手术操作、诊断顺序修改后，需及时同步更新至DRG系统，保证数据同源。</w:t>
      </w:r>
      <w:r>
        <w:rPr>
          <w:rFonts w:hint="eastAsia" w:ascii="宋体" w:hAnsi="宋体" w:eastAsia="宋体" w:cs="宋体"/>
          <w:b/>
          <w:bCs w:val="0"/>
          <w:sz w:val="24"/>
        </w:rPr>
        <w:t xml:space="preserve">投标时需提供</w:t>
      </w:r>
      <w:r>
        <w:rPr>
          <w:rFonts w:hint="eastAsia" w:ascii="宋体" w:hAnsi="宋体" w:eastAsia="宋体" w:cs="宋体"/>
          <w:b/>
          <w:bCs w:val="0"/>
          <w:sz w:val="24"/>
          <w:lang w:val="en-US" w:eastAsia="zh-CN"/>
        </w:rPr>
        <w:t xml:space="preserve">系统与医院现有DRG系统无缝对接</w:t>
      </w:r>
      <w:r>
        <w:rPr>
          <w:rFonts w:hint="eastAsia" w:ascii="宋体" w:hAnsi="宋体" w:eastAsia="宋体" w:cs="宋体"/>
          <w:b/>
          <w:bCs w:val="0"/>
          <w:sz w:val="24"/>
        </w:rPr>
        <w:t xml:space="preserve">承诺书（格式自拟）</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未提供将作为无效投标</w:t>
      </w:r>
      <w:r>
        <w:rPr>
          <w:rFonts w:hint="eastAsia" w:ascii="宋体" w:hAnsi="宋体" w:eastAsia="宋体" w:cs="宋体"/>
          <w:b/>
          <w:bCs w:val="0"/>
          <w:sz w:val="24"/>
          <w:lang w:eastAsia="zh-CN"/>
        </w:rPr>
        <w:t xml:space="preserve">。</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（2）系统功能</w:t>
      </w:r>
      <w:r>
        <w:rPr>
          <w:rFonts w:hint="eastAsia" w:ascii="宋体" w:hAnsi="宋体" w:eastAsia="宋体" w:cs="宋体"/>
          <w:sz w:val="24"/>
          <w:szCs w:val="24"/>
          <w:lang w:val="en-US" w:eastAsia="zh-CN"/>
        </w:rPr>
        <w:t xml:space="preserve">要求</w:t>
      </w:r>
      <w:r/>
    </w:p>
    <w:tbl>
      <w:tblPr>
        <w:tblStyle w:val="863"/>
        <w:tblW w:w="97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745"/>
        <w:gridCol w:w="1039"/>
        <w:gridCol w:w="7195"/>
      </w:tblGrid>
      <w:tr>
        <w:trPr/>
        <w:tc>
          <w:tcPr>
            <w:tcW w:w="7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bookmarkStart w:id="12" w:name="_Hlk200557446"/>
            <w:r>
              <w:rPr>
                <w:rFonts w:hint="eastAsia" w:ascii="宋体" w:hAnsi="宋体" w:eastAsia="宋体" w:cs="宋体"/>
                <w:b/>
                <w:bCs/>
                <w:sz w:val="24"/>
                <w:szCs w:val="24"/>
              </w:rPr>
              <w:t xml:space="preserve">大类</w:t>
            </w:r>
            <w:r/>
          </w:p>
        </w:tc>
        <w:tc>
          <w:tcPr>
            <w:tcW w:w="7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模块</w:t>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功能点</w:t>
            </w:r>
            <w:r/>
          </w:p>
        </w:tc>
        <w:tc>
          <w:tcPr>
            <w:tcW w:w="7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详细</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参数</w:t>
            </w:r>
            <w:r>
              <w:rPr>
                <w:rFonts w:hint="eastAsia" w:ascii="宋体" w:hAnsi="宋体" w:eastAsia="宋体" w:cs="宋体"/>
                <w:b/>
                <w:bCs/>
                <w:sz w:val="24"/>
                <w:szCs w:val="24"/>
                <w:lang w:val="en-US" w:eastAsia="zh-CN"/>
              </w:rPr>
              <w:t xml:space="preserve">要求</w:t>
            </w:r>
            <w:r/>
          </w:p>
        </w:tc>
      </w:tr>
      <w:tr>
        <w:trPr/>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医保结算清单管理系统</w:t>
            </w:r>
            <w:r/>
          </w:p>
        </w:tc>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清单任务总览</w:t>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管理指标统计</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1)支持统计筛选时间段内的审核完成率、首次上报合格率。</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清单任务统计</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1)支持展示已生成清单的数量，包含通过病案首页数据生成的清单数量和对特殊患者自动补充生产的清单数量。</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2)支持根据医院实际配置的审核流程节点，分别展示清单初审、清单复审、清单终审任务节点中具体的清单审核状态及数量，支持下钻到对应清单列表。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3)支持按院内结算日期、出院日期统计筛选时间段内以上清单的数量及状态。</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同屏质控</w:t>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病案端/结算清单质控</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通过获取病案首页和结算清单的诊断、手术相关信息进行同屏质控，对比展示两份文书的填写内容及两套规则的质控结果，包括：</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★1）同时展示同一病例的病案首页与结算清单，及其对应两套规则的质控结果；</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2）支持对病案诊断手术进行调整，并查看模拟调整后的质控结果及入组情况；</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3）支持对清单诊断手术进行调整，并保存调整内容，提供清单审核通过、审核退回、审核撤销等操作；支持基于结算清单诊断手术信息推荐更多组合参考；</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上报前清单审核</w:t>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清单生成</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1)支持自动获取医院各系统相关数据，生成待审核结算清单，自动对结算清单进行全量质检质控；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2)支持对血液透析的患者自动生成结算清单，对于母婴同室的婴儿自动拆分结算清单，并提供全量质检质控；</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清单操作</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1)支持自定义设置清单列表展示数量，如20条/页、50条/页、100条/页；</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支持对清单标记疑问病例，并在列表内进行差异化标识展示，支持搜索查询；</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3)支持在列表内对于已读清单和未读清单进行差异化展示，支持搜索查询；</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4)支持对符合再入院条件的患者进行差异化标识展示，支持查看上次住院信息，支持搜索查询；</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5)支持对与病案首页不一致的清单进行标注，支持查看病案首页与结算清单不一致的具体对比情况；</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查看每份清单的基本信息，包括患者信息、病案号、住院号、住院医师、入组情况、预计结余、病例类型等信息；支持按费用类型查看费用明细，并展示费用分布情况和费用占比。支持对于入组异常患者展示入组解析。</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7)支持展示清单质检结果，对不同预警级别差异化展示；支持展示诊断手术信息；支持展示清单批注信息并进行操作；</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w:t>
            </w:r>
            <w:r>
              <w:rPr>
                <w:rFonts w:hint="eastAsia" w:ascii="宋体" w:hAnsi="宋体" w:eastAsia="宋体" w:cs="宋体"/>
                <w:sz w:val="24"/>
                <w:szCs w:val="24"/>
              </w:rPr>
              <w:t xml:space="preserve">支持通过大数据分析建立多维度优选策略，在保证清单合规的前提下提供结算更多组合的参考；支持通过大数据对疑似手术缺漏进行提醒，提供对应的优选组合，并对缺漏手术进行差异化标识；</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10)支持对已修改的清单，手动开启清单自动更新；</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11)支持对不适用的清单规则进行关闭，并记录关闭理由；支持针对于个别患者无需修改的规则进行关闭，并记录关闭理由；</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11)支持查看清单编辑日志，日志记录所有操作人员、时间、操作内容，可查看修改前后对比，支持查看与初始清单的对比；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12)支持对清单发起批注信息，选择发送至指定用户，支持立即发送或暂不发送仅保存；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13)支持通过调整主次诊断、手术顺序对清单进行模拟入组，比对查看新旧分组预测与质控结果信息，支持将模拟分组结果快捷添加至批注或详情页；</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14)支持通过手动刷新HIS实时信息，更新待审核清单数据。</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我的清单</w:t>
            </w:r>
            <w:r/>
          </w:p>
        </w:tc>
        <w:tc>
          <w:tcPr>
            <w:tcW w:w="7195" w:type="dxa"/>
            <w:vAlign w:val="center"/>
            <w:textDirection w:val="lrTb"/>
            <w:noWrap w:val="false"/>
          </w:tcPr>
          <w:p>
            <w:pPr>
              <w:numPr>
                <w:ilvl w:val="0"/>
                <w:numId w:val="3"/>
              </w:num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支持按分配的数据权限，查看本人负责的全部流程节点下的所有结算清单；</w:t>
            </w:r>
            <w:r/>
          </w:p>
          <w:p>
            <w:pPr>
              <w:numPr>
                <w:ilvl w:val="0"/>
                <w:numId w:val="3"/>
              </w:num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支持查看结算清单当前审核状态，支持按姓名、住院号、病案号、医生、分组、主诊断、主手术进行搜索，支持下载导出列表。</w:t>
            </w:r>
            <w:r/>
          </w:p>
          <w:p>
            <w:pPr>
              <w:numPr>
                <w:ilvl w:val="0"/>
                <w:numId w:val="3"/>
              </w:num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支持对于重点问题主动进行推送，如已审核清单被退回、收到批注消息、清单数据源头发生变更</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待审核清单</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1)支持按分配的数据权限，查看本人负责的所有待审核的结算清单；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2)支持对待审核清单操作审核通过，支持批量勾选操作审核通过，支持一键全部审核通过；已审核通过的清单根据审核流程配置，自动分配进入下一节点审核人员的待审核列表，并自动保存固化清单数据；</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3)支持设置自定义校验条件，对符合条件的清单自动审核通过并进入本人审核通过列表，未通过审核的清单进入待审核列表等待人工处理审核；</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4)支持对审核不通过的清单进行退回操作，可选择退回至指定流程的待审核列表；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5)支持下载导出本人所有待审核清单列表。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审核通过清单</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1)支持查看所有本人审核通过的清单；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2)支持批量勾选撤销本人已审核通过的清单，撤销审核后的清单变为本人待审核状态；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3)支持下载导出本人所有审核通过清单列表；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审核退回清单</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1)支持查看所有本人被审核退回的清单；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2)支持重新对清单进行审核通过操作，重新进入下一节点审核人员的待审核列表。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3)支持下载导出本人所有审核被退回清单列表。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超时未审核清单</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1)根据每个审核节点设置的时限要求，系统自动将超过时限的清单置为超时未审核；</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2)支持查看所有本人超时未审核的清单；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3)支持对清单进行审核通过操作，进入下一节点审核人员的待审核列表。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4)支持下载导出本人所有超时未审核清单列表。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自定义快捷筛选</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1)支持按照病例类型、质控问题、异常住院、特殊患者、费用相关条件类型，选择对应的指标，组合形成自定义快捷</w:t>
            </w:r>
            <w:r>
              <w:rPr>
                <w:rFonts w:hint="eastAsia" w:ascii="宋体" w:hAnsi="宋体" w:eastAsia="宋体" w:cs="宋体"/>
                <w:sz w:val="24"/>
                <w:szCs w:val="24"/>
                <w:lang w:eastAsia="zh-CN"/>
              </w:rPr>
              <w:t xml:space="preserve">筛</w:t>
            </w:r>
            <w:r>
              <w:rPr>
                <w:rFonts w:hint="eastAsia" w:ascii="宋体" w:hAnsi="宋体" w:eastAsia="宋体" w:cs="宋体"/>
                <w:sz w:val="24"/>
                <w:szCs w:val="24"/>
                <w:lang w:val="en-US" w:eastAsia="zh-CN"/>
              </w:rPr>
              <w:t xml:space="preserve">选</w:t>
            </w:r>
            <w:r>
              <w:rPr>
                <w:rFonts w:hint="eastAsia" w:ascii="宋体" w:hAnsi="宋体" w:eastAsia="宋体" w:cs="宋体"/>
                <w:sz w:val="24"/>
                <w:szCs w:val="24"/>
              </w:rPr>
              <w:t xml:space="preserve">类型，针对每个审核环节，筛选出对应的清单列表；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2)支持对筛选类型进行重命名；</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3)支持自定义添加多个快捷筛选类型；</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4)支持初始化重点问题清单的快捷筛选类型；</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5)支持下载导出快捷筛选类型下的清单列表。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其他筛选</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1)支持对未读清单、疑问病例的筛选；</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2)支持筛选与病案首页不一致的清单；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3)支持筛选与初始清单不一致的清单，区分因数据源变更、清单调整变更原因导致的不一致清单。</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7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消息中心</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1)支持分类查看当前用户收到的、发起的、仅保存的批注，同时支持按照待处理、已接受、不接受进行分类筛选；</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2)支持对于整改批注消息进行处理，选择是否接受，支持填写不接受理由；</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3)消息列表支持直接打开清单详情页，支持对清单进行编辑与审核操作；</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4)支持在收到批注、批注回复消息时在系统内主动弹窗提示。</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清单质量分析</w:t>
            </w:r>
            <w:r/>
          </w:p>
        </w:tc>
        <w:tc>
          <w:tcPr>
            <w:tcW w:w="103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问题分布情况</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支持以月、季、年为统计区间，按院内结算时间或出院时间、科室、医疗组等维度分析问题清单。</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1)支持按重要性、质控内容、影响范围维度查看问题清单分布概况，包括强制性问题、提示性问题、编码问题、非编码问题、影响入组问题、可能影响入组问题、不影响入组问题清单的数量和占比；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2)支持按问题清单类型，查看各科室的分布情况及占比，支持查看科室下对应的清单问题类型分布及占比情况，可下钻查看对应的清单详情；</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3)支持按主治医师、编码员分析问题清单的数量，可下钻查看对应的清单详情，支持下载导出列表。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问题清单趋势</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1)支持多维度筛选条件，通过图表展示问题清单数量、占比的变化趋势。</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清单成就分析</w:t>
            </w:r>
            <w:r/>
          </w:p>
        </w:tc>
        <w:tc>
          <w:tcPr>
            <w:tcW w:w="103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清单调整情况</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支持以月、季、年为统计区间，按院内结算时间或出院时间、科室、医疗组等维度分析清单调整情况。</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1)支持多维度筛选结算清单，可视化展示已调整清单和未调整清单的具体数量及占比。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2)支持对已调整清单进行分类筛选，包括调整前后分组不一致、主要诊断不一致、其它诊断不一致、主要手术不一致、其它手术不一致；</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3)支持查看调整清单分类的具体数量及占比，支持查看每一分类下具体科室和病例情况，支持查看具体科室清单调整前后权重差、结余差、修正问题数，支持查看清单调整前后具体对比，支持下载导出列表。</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清单调整前后对比分析</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★1)支持多维度筛选条件，通过图表展示清单调整前后结余分析、质控问题分析，支持查看总权重、结余差、修正问题数。</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系统设置</w:t>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医保结算清单质控规则</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1)系统提供专家知识库规则、DRG专项规则，费用专项规则，通过实时质控保证清单的完整性、逻辑性和准确性；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2)支持个性化开启/关闭质控规则，支持批量启用/停用；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3)支持个性化配置质控规则的强制性/提示性属性，强制性规则校验不通过时，不允许提交结算清单。</w:t>
            </w:r>
            <w:r/>
          </w:p>
        </w:tc>
      </w:tr>
      <w:tr>
        <w:trPr/>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清单流程设置</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支持根据医院实际情况，自定义配置结算清单管理流程；</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1)支持个性化配置结算清单管理全流程，例如：生成-初审-上报、生成-初审-复审-上报、生成-初审-复审-终审-上报；</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2)支持在结算清单管理流程节点中配置对应角色和用户；</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3)流程节点支持多种审核类型，包括全量人工审核、人工+条件自动审核、无条件自动审核；</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4)支持按照患者结算时间、出院时间、上报日期设置审核时限；支持对审核超时的清单配置进入下一流程或保持当前流程；</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5)支持按病例类型、质控问题、异常入院的维度配置自动审核条件；满足校验条件通过的清单可自动进入下一个流程。</w:t>
            </w:r>
            <w:r/>
          </w:p>
        </w:tc>
      </w:tr>
      <w:tr>
        <w:trPr/>
        <w:tc>
          <w:tcPr>
            <w:tcW w:w="7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7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结算清单开放标准接口</w:t>
            </w:r>
            <w:r/>
          </w:p>
        </w:tc>
        <w:tc>
          <w:tcPr>
            <w:tcW w:w="71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以标准视图方式提供质控完成的清单数据，支持HIS及第三方调用获取并上传医保局。</w:t>
            </w:r>
            <w:bookmarkEnd w:id="12"/>
            <w:r/>
            <w:r/>
          </w:p>
        </w:tc>
      </w:tr>
    </w:tbl>
    <w:p>
      <w:pPr>
        <w:pStyle w:val="936"/>
        <w:ind w:left="0"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项目实施</w:t>
      </w:r>
      <w:r>
        <w:rPr>
          <w:rFonts w:hint="eastAsia" w:ascii="宋体" w:hAnsi="宋体" w:eastAsia="宋体" w:cs="宋体"/>
          <w:b/>
          <w:bCs/>
          <w:sz w:val="24"/>
          <w:szCs w:val="24"/>
        </w:rPr>
        <w:t xml:space="preserve">要求</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安装地点：</w:t>
      </w:r>
      <w:r>
        <w:rPr>
          <w:rFonts w:hint="eastAsia" w:ascii="宋体" w:hAnsi="宋体" w:eastAsia="宋体" w:cs="宋体"/>
          <w:sz w:val="24"/>
          <w:szCs w:val="24"/>
          <w:highlight w:val="none"/>
          <w:lang w:eastAsia="zh-CN"/>
        </w:rPr>
        <w:t xml:space="preserve">江阴市人民医院城中院区、敔山湾院区</w:t>
      </w:r>
      <w:r>
        <w:rPr>
          <w:rFonts w:hint="eastAsia" w:ascii="宋体" w:hAnsi="宋体" w:eastAsia="宋体" w:cs="宋体"/>
          <w:sz w:val="24"/>
          <w:szCs w:val="24"/>
          <w:highlight w:val="none"/>
        </w:rPr>
        <w:t xml:space="preserve">。</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（2）实施周期：自合同签订后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个月内，软件系统到货、安装完成。如在规定的时间内由于投标商的原因不能完成安装和调试，投标</w:t>
      </w:r>
      <w:r>
        <w:rPr>
          <w:rFonts w:hint="eastAsia" w:ascii="宋体" w:hAnsi="宋体" w:eastAsia="宋体" w:cs="宋体"/>
          <w:sz w:val="24"/>
          <w:szCs w:val="24"/>
        </w:rPr>
        <w:t xml:space="preserve">商应承担由此给用户造成的损失。</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（3）团队要求：供应商应本着认真负责态度，应配备至少4人的项目团队，主要人员包含项目负责人1名，测试人员1名，其他开发人员不少于2名。</w:t>
      </w:r>
      <w:r>
        <w:rPr>
          <w:rFonts w:hint="eastAsia" w:ascii="宋体" w:hAnsi="宋体" w:eastAsia="宋体" w:cs="宋体"/>
          <w:sz w:val="24"/>
          <w:szCs w:val="24"/>
        </w:rPr>
        <w:t xml:space="preserve">为确保项目顺利实施及系统与业务环境的深度融合，供应商需安排项目团队在招标人指定场所进行驻场开发。驻场期限覆盖项目主要开发、部署、联调及试运行阶段。</w:t>
      </w:r>
      <w:r>
        <w:rPr>
          <w:rFonts w:hint="eastAsia" w:ascii="宋体" w:hAnsi="宋体" w:eastAsia="宋体" w:cs="宋体"/>
          <w:b/>
          <w:bCs w:val="0"/>
          <w:sz w:val="24"/>
          <w:szCs w:val="24"/>
        </w:rPr>
        <w:t xml:space="preserve">（签订合同时须提供详细人员名单）</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（4）安装标准：符合我国国家有关技术规范要求和技术标准。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（5）安装调试过程中发生的费用由投标商负责。</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（6）在项目实施过程中，向医院提供齐全的电子版和书面的操作说明等文档。</w:t>
      </w:r>
      <w:r/>
    </w:p>
    <w:p>
      <w:pPr>
        <w:pStyle w:val="936"/>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项目培训</w:t>
      </w:r>
      <w:r>
        <w:rPr>
          <w:rFonts w:hint="eastAsia" w:ascii="宋体" w:hAnsi="宋体" w:eastAsia="宋体" w:cs="宋体"/>
          <w:b/>
          <w:bCs/>
          <w:sz w:val="24"/>
          <w:szCs w:val="24"/>
        </w:rPr>
        <w:t xml:space="preserve">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运行。</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（2）所有的培训费用必须计入投标总价。</w:t>
      </w:r>
      <w:r/>
    </w:p>
    <w:p>
      <w:pPr>
        <w:pStyle w:val="936"/>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六、项目验收</w:t>
      </w:r>
      <w:r>
        <w:rPr>
          <w:rFonts w:hint="eastAsia" w:ascii="宋体" w:hAnsi="宋体" w:eastAsia="宋体" w:cs="宋体"/>
          <w:b/>
          <w:bCs/>
          <w:sz w:val="24"/>
          <w:szCs w:val="24"/>
        </w:rPr>
        <w:t xml:space="preserve">要求</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（2）合同签订后，</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个月内完成系统</w:t>
      </w:r>
      <w:r>
        <w:rPr>
          <w:rFonts w:hint="eastAsia" w:ascii="宋体" w:hAnsi="宋体" w:eastAsia="宋体" w:cs="宋体"/>
          <w:bCs/>
          <w:sz w:val="24"/>
          <w:szCs w:val="24"/>
        </w:rPr>
        <w:t xml:space="preserve">的初试，试运行正常三个月后，组织项目终验。</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（3）验收费用由供应商负责。</w:t>
      </w:r>
      <w:r/>
    </w:p>
    <w:p>
      <w:pPr>
        <w:pStyle w:val="936"/>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七、售后服务要求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（1）整体系统验收合格后提供3年免费维护期。</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（2）投标人所承诺的服务内容应包括：投标人的服务响应及维修等承诺，详细说明服务能力、服务时间、人员配备、系统故障响应、诊断、应急处理、维修和相应的设备更换计划等。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（3）在系统的服务期内，投标人应确保系统的正常使用。在接到用户服务要求后应立即做出回应，并在承诺的服务时间内实施服务。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（4）7×24小时的免费上门保修服务半小时内响应，4小时内到达现场，24小时内解决故障。</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（5）热线电话服务提供技术咨询、故障诊断、故障排除、以及现场支持等具体的技术支持工作，并对客户投诉做出相应处理。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pStyle w:val="936"/>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付款方式</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合同签订后支付合同金额的30%，经项目最终验收合格后支付合同金额的</w:t>
      </w: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rPr>
        <w:t xml:space="preserve">。</w:t>
      </w:r>
      <w:r/>
    </w:p>
    <w:p>
      <w:pPr>
        <w:pStyle w:val="936"/>
        <w:keepLines w:val="0"/>
        <w:keepNext w:val="0"/>
        <w:pageBreakBefore w:val="0"/>
        <w:spacing w:line="400" w:lineRule="exact"/>
        <w:rPr>
          <w:rFonts w:hint="eastAsia" w:ascii="宋体" w:hAnsi="宋体" w:eastAsia="宋体" w:cs="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bCs/>
          <w:sz w:val="24"/>
          <w:szCs w:val="24"/>
        </w:rPr>
      </w:r>
      <w:r/>
    </w:p>
    <w:p>
      <w:pPr>
        <w:jc w:val="center"/>
        <w:keepLines w:val="0"/>
        <w:keepNext w:val="0"/>
        <w:pageBreakBefore w:val="0"/>
        <w:spacing w:line="400" w:lineRule="exact"/>
        <w:rPr>
          <w:rFonts w:hint="eastAsia" w:ascii="黑体" w:hAnsi="黑体" w:eastAsia="黑体" w:cs="黑体"/>
          <w:bCs/>
          <w:sz w:val="28"/>
          <w:szCs w:val="28"/>
        </w:rPr>
        <w:outlineLvl w:val="9"/>
      </w:pPr>
      <w:r>
        <w:rPr>
          <w:rFonts w:hint="eastAsia" w:ascii="黑体" w:hAnsi="黑体" w:eastAsia="黑体" w:cs="黑体"/>
          <w:bCs/>
          <w:sz w:val="28"/>
          <w:szCs w:val="28"/>
        </w:rPr>
      </w:r>
      <w:r/>
    </w:p>
    <w:p>
      <w:pPr>
        <w:jc w:val="center"/>
        <w:keepLines w:val="0"/>
        <w:keepNext w:val="0"/>
        <w:pageBreakBefore w:val="0"/>
        <w:spacing w:line="400" w:lineRule="exact"/>
        <w:rPr>
          <w:rFonts w:hint="eastAsia" w:ascii="黑体" w:hAnsi="黑体" w:eastAsia="黑体" w:cs="黑体"/>
          <w:bCs/>
          <w:sz w:val="32"/>
          <w:szCs w:val="28"/>
          <w:lang w:val="en-US" w:eastAsia="zh-CN"/>
        </w:rPr>
        <w:outlineLvl w:val="0"/>
      </w:pPr>
      <w:r>
        <w:rPr>
          <w:rFonts w:hint="eastAsia" w:ascii="黑体" w:hAnsi="黑体" w:eastAsia="黑体" w:cs="黑体"/>
          <w:bCs/>
          <w:sz w:val="28"/>
          <w:szCs w:val="28"/>
        </w:rPr>
        <w:t xml:space="preserve">采购包</w:t>
      </w:r>
      <w:r>
        <w:rPr>
          <w:rFonts w:hint="eastAsia" w:ascii="黑体" w:hAnsi="黑体" w:eastAsia="黑体" w:cs="黑体"/>
          <w:bCs/>
          <w:sz w:val="28"/>
          <w:szCs w:val="28"/>
          <w:lang w:val="en-US" w:eastAsia="zh-CN"/>
        </w:rPr>
        <w:t xml:space="preserve">2</w:t>
      </w:r>
      <w:r>
        <w:rPr>
          <w:rFonts w:hint="eastAsia" w:ascii="黑体" w:hAnsi="黑体" w:eastAsia="黑体" w:cs="黑体"/>
          <w:bCs/>
          <w:sz w:val="28"/>
          <w:szCs w:val="28"/>
        </w:rPr>
        <w:t xml:space="preserve">：AI医保审核内涵质控引擎系统</w:t>
      </w:r>
      <w:r>
        <w:rPr>
          <w:rFonts w:hint="eastAsia" w:ascii="黑体" w:hAnsi="黑体" w:eastAsia="黑体" w:cs="黑体"/>
          <w:bCs/>
          <w:sz w:val="28"/>
          <w:szCs w:val="28"/>
          <w:lang w:val="en-US" w:eastAsia="zh-CN"/>
        </w:rPr>
        <w:t xml:space="preserve">项目要求</w:t>
      </w:r>
      <w:r/>
    </w:p>
    <w:p>
      <w:pPr>
        <w:jc w:val="center"/>
        <w:keepLines w:val="0"/>
        <w:keepNext w:val="0"/>
        <w:pageBreakBefore w:val="0"/>
        <w:spacing w:line="400" w:lineRule="exact"/>
        <w:rPr>
          <w:rFonts w:hint="eastAsia"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（以下除“</w:t>
      </w:r>
      <w:r>
        <w:rPr>
          <w:rFonts w:hint="eastAsia" w:asciiTheme="minorEastAsia" w:hAnsiTheme="minorEastAsia" w:cstheme="minorEastAsia"/>
          <w:b/>
          <w:bCs/>
          <w:sz w:val="24"/>
          <w:szCs w:val="24"/>
          <w:lang w:val="en-US" w:eastAsia="zh-CN"/>
        </w:rPr>
        <w:t xml:space="preserve">详细技术参数要求</w:t>
      </w:r>
      <w:r>
        <w:rPr>
          <w:rFonts w:hint="eastAsia" w:asciiTheme="minorEastAsia" w:hAnsiTheme="minorEastAsia" w:cstheme="minorEastAsia"/>
          <w:b/>
          <w:bCs/>
          <w:sz w:val="24"/>
          <w:szCs w:val="24"/>
        </w:rPr>
        <w:t xml:space="preserve">”外，其余均为实质性要求）</w:t>
      </w:r>
      <w:r/>
    </w:p>
    <w:p>
      <w:pPr>
        <w:jc w:val="center"/>
        <w:keepLines w:val="0"/>
        <w:keepNext w:val="0"/>
        <w:pageBreakBefore w:val="0"/>
        <w:spacing w:line="400" w:lineRule="exact"/>
        <w:rPr>
          <w:rFonts w:hint="eastAsia" w:asciiTheme="minorEastAsia" w:hAnsiTheme="minorEastAsia" w:cstheme="minorEastAsia"/>
          <w:b/>
          <w:bCs/>
          <w:sz w:val="24"/>
          <w:szCs w:val="24"/>
        </w:rPr>
        <w:outlineLvl w:val="9"/>
      </w:pPr>
      <w:r>
        <w:rPr>
          <w:rFonts w:hint="eastAsia" w:asciiTheme="minorEastAsia" w:hAnsiTheme="minorEastAsia" w:cstheme="minorEastAsia"/>
          <w:b/>
          <w:bCs/>
          <w:sz w:val="24"/>
          <w:szCs w:val="24"/>
        </w:rPr>
      </w:r>
      <w:r/>
    </w:p>
    <w:p>
      <w:pPr>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一、项目概述</w:t>
      </w:r>
      <w:r/>
    </w:p>
    <w:p>
      <w:pPr>
        <w:ind w:firstLine="480"/>
        <w:keepLines w:val="0"/>
        <w:keepNext w:val="0"/>
        <w:pageBreakBefore w:val="0"/>
        <w:spacing w:line="40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随着我国医疗保障体系的不断完善，医保基金监管逐步从事后抽查走向全流程、智能化监管。国家医疗保障局从2025年5月开始陆续推出六批智能监管“两库”（知识库、规则库）规则和知识点，标志着医保基金监管进入精细化、智能化新阶段。在“两库”规则全面推行的背景下，为应对政策转变，我院拟在医保智能审核系统基础上增加采购AI内涵质控系统，以国家政策与“两库”为基础，结合自然语言处理、大数据分析、机器学习等技术，构建“预防-监控-审核-自查-复核”全链路管理体系。</w:t>
      </w:r>
      <w:r/>
    </w:p>
    <w:p>
      <w:pPr>
        <w:ind w:firstLine="482"/>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本项目最高限价</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万元</w:t>
      </w:r>
      <w:r/>
    </w:p>
    <w:p>
      <w:pPr>
        <w:ind w:firstLine="482"/>
        <w:keepLines w:val="0"/>
        <w:keepNext w:val="0"/>
        <w:pageBreakBefore w:val="0"/>
        <w:spacing w:line="400" w:lineRule="exact"/>
        <w:rPr>
          <w:rFonts w:hint="eastAsia" w:ascii="宋体" w:hAnsi="宋体" w:eastAsia="宋体" w:cs="宋体"/>
          <w:sz w:val="24"/>
          <w:szCs w:val="24"/>
          <w:shd w:val="clear" w:color="auto" w:fill="ffffff"/>
        </w:rPr>
      </w:pPr>
      <w:r>
        <w:rPr>
          <w:rFonts w:hint="eastAsia" w:ascii="宋体" w:hAnsi="宋体" w:eastAsia="宋体" w:cs="宋体"/>
          <w:b/>
          <w:bCs w:val="0"/>
          <w:sz w:val="24"/>
          <w:szCs w:val="24"/>
        </w:rPr>
        <w:t xml:space="preserve">本项目标的所属行业：</w:t>
      </w:r>
      <w:r>
        <w:rPr>
          <w:rFonts w:hint="eastAsia" w:ascii="宋体" w:hAnsi="宋体" w:eastAsia="宋体" w:cs="宋体"/>
          <w:bCs/>
          <w:sz w:val="24"/>
          <w:szCs w:val="24"/>
        </w:rPr>
        <w:t xml:space="preserve">软件和信息技术服务业。</w:t>
      </w:r>
      <w:r/>
    </w:p>
    <w:p>
      <w:pPr>
        <w:ind w:firstLine="480"/>
        <w:keepLines w:val="0"/>
        <w:keepNext w:val="0"/>
        <w:pageBreakBefore w:val="0"/>
        <w:spacing w:line="40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二、技术要求</w:t>
      </w:r>
      <w:r>
        <w:rPr>
          <w:rFonts w:hint="eastAsia" w:ascii="宋体" w:hAnsi="宋体" w:eastAsia="宋体" w:cs="宋体"/>
          <w:sz w:val="24"/>
          <w:szCs w:val="24"/>
        </w:rPr>
        <w:t xml:space="preserve">（打“★”项为重要技术参数）</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（1）总体技术</w:t>
      </w:r>
      <w:r>
        <w:rPr>
          <w:rFonts w:hint="eastAsia" w:ascii="宋体" w:hAnsi="宋体" w:eastAsia="宋体" w:cs="宋体"/>
          <w:sz w:val="24"/>
          <w:szCs w:val="24"/>
          <w:lang w:val="en-US" w:eastAsia="zh-CN"/>
        </w:rPr>
        <w:t xml:space="preserve">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1、采用多层架构的B/S结构，应用展示端建议采用HTML5技术，必须支持跨平台的应用展示；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2､考虑到平台将来的可扩展性，平台必须是开放式的：展示页面可视化配置，灵活增加；具有数据集，且数据集可自定义配置；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3、要有数据展现引擎，可以根据医院需求灵活地配置相关管理指标的呈现；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4、系统应采用B/S架构设计，全面满足国产化信创要求，适配主流国产操作系统、数据库、服务器等运行环境，确保全栈国产化环境下的稳定运行。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5、须提供配套的ETL工具、数据订阅工具、消息引擎、规则库、报表工具、数据共享引擎等一系列应用工具，可确保各种临床和管理应用效果的配置扩展实现。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数据中心从HIS、电子病历等医院业务系统接入数据时，为不影响当前业务系统的正常运行，也不增加接口改造的风险及费用，推荐采用CDC技术方案（只要能达到准确、高效的数据采集，也可以允许其他技术方案），支持ESB接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7、要求有独立的数据中心的数据模型,要求不能直接引用当前业务系统模型或消息模型。要通过ETL技术对原始业务数据进行抽取、转换、清洗并转存到CDR数据模型中，形成集中存储的数据集；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8、AI医保审核内涵质控引擎系统需深度适配我院在用医保智能审核系统，完成双向数据互通、接口标准化</w:t>
      </w:r>
      <w:r>
        <w:rPr>
          <w:rFonts w:hint="eastAsia" w:ascii="宋体" w:hAnsi="宋体" w:eastAsia="宋体" w:cs="宋体"/>
          <w:sz w:val="24"/>
          <w:szCs w:val="24"/>
          <w:highlight w:val="none"/>
        </w:rPr>
        <w:t xml:space="preserve">对接</w:t>
      </w:r>
      <w:r>
        <w:rPr>
          <w:rFonts w:hint="eastAsia" w:ascii="宋体" w:hAnsi="宋体" w:eastAsia="宋体" w:cs="宋体"/>
          <w:sz w:val="24"/>
          <w:szCs w:val="24"/>
        </w:rPr>
        <w:t xml:space="preserve">，统一医保稽核依据、审核结果输出规范，实现质控研判、医保初审、违规预警、问题溯源全流程数据同源、结果互通，保障院内医保管理体系整体运行连贯统一，确保数据一致性。</w:t>
      </w:r>
      <w:r>
        <w:rPr>
          <w:rFonts w:hint="eastAsia" w:ascii="宋体" w:hAnsi="宋体" w:eastAsia="宋体" w:cs="宋体"/>
          <w:b/>
          <w:bCs w:val="0"/>
          <w:sz w:val="24"/>
        </w:rPr>
        <w:t xml:space="preserve">投标时需提供</w:t>
      </w:r>
      <w:r>
        <w:rPr>
          <w:rFonts w:hint="eastAsia" w:ascii="宋体" w:hAnsi="宋体" w:eastAsia="宋体" w:cs="宋体"/>
          <w:b/>
          <w:bCs w:val="0"/>
          <w:sz w:val="24"/>
          <w:lang w:val="en-US" w:eastAsia="zh-CN"/>
        </w:rPr>
        <w:t xml:space="preserve">系统与医院现有</w:t>
      </w:r>
      <w:r>
        <w:rPr>
          <w:rFonts w:hint="eastAsia" w:ascii="宋体" w:hAnsi="宋体" w:eastAsia="宋体" w:cs="宋体"/>
          <w:b/>
          <w:bCs/>
          <w:sz w:val="24"/>
          <w:szCs w:val="24"/>
        </w:rPr>
        <w:t xml:space="preserve">医保智能审核系统</w:t>
      </w:r>
      <w:r>
        <w:rPr>
          <w:rFonts w:hint="eastAsia" w:ascii="宋体" w:hAnsi="宋体" w:eastAsia="宋体" w:cs="宋体"/>
          <w:b/>
          <w:bCs/>
          <w:sz w:val="24"/>
          <w:lang w:val="en-US" w:eastAsia="zh-CN"/>
        </w:rPr>
        <w:t xml:space="preserve">无</w:t>
      </w:r>
      <w:r>
        <w:rPr>
          <w:rFonts w:hint="eastAsia" w:ascii="宋体" w:hAnsi="宋体" w:eastAsia="宋体" w:cs="宋体"/>
          <w:b/>
          <w:bCs w:val="0"/>
          <w:sz w:val="24"/>
          <w:lang w:val="en-US" w:eastAsia="zh-CN"/>
        </w:rPr>
        <w:t xml:space="preserve">缝对接</w:t>
      </w:r>
      <w:r>
        <w:rPr>
          <w:rFonts w:hint="eastAsia" w:ascii="宋体" w:hAnsi="宋体" w:eastAsia="宋体" w:cs="宋体"/>
          <w:b/>
          <w:bCs w:val="0"/>
          <w:sz w:val="24"/>
        </w:rPr>
        <w:t xml:space="preserve">承诺书（格式自拟）</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未提供将作为无效投标</w:t>
      </w:r>
      <w:r>
        <w:rPr>
          <w:rFonts w:hint="eastAsia" w:ascii="宋体" w:hAnsi="宋体" w:eastAsia="宋体" w:cs="宋体"/>
          <w:b/>
          <w:bCs w:val="0"/>
          <w:sz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（2）系统功能</w:t>
      </w:r>
      <w:r>
        <w:rPr>
          <w:rFonts w:hint="eastAsia" w:ascii="宋体" w:hAnsi="宋体" w:eastAsia="宋体" w:cs="宋体"/>
          <w:sz w:val="24"/>
          <w:szCs w:val="24"/>
          <w:lang w:val="en-US" w:eastAsia="zh-CN"/>
        </w:rPr>
        <w:t xml:space="preserve">要求</w:t>
      </w:r>
      <w:r/>
    </w:p>
    <w:tbl>
      <w:tblPr>
        <w:tblStyle w:val="863"/>
        <w:tblW w:w="48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547"/>
        <w:gridCol w:w="6525"/>
      </w:tblGrid>
      <w:tr>
        <w:trPr>
          <w:jc w:val="center"/>
          <w:trHeight w:val="20"/>
        </w:trPr>
        <w:tc>
          <w:tcPr>
            <w:tcW w:w="6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模块</w:t>
            </w:r>
            <w:r/>
          </w:p>
        </w:tc>
        <w:tc>
          <w:tcPr>
            <w:tcW w:w="83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功能点</w:t>
            </w:r>
            <w:r/>
          </w:p>
        </w:tc>
        <w:tc>
          <w:tcPr>
            <w:tcW w:w="351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详细</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参数</w:t>
            </w:r>
            <w:r>
              <w:rPr>
                <w:rFonts w:hint="eastAsia" w:ascii="宋体" w:hAnsi="宋体" w:eastAsia="宋体" w:cs="宋体"/>
                <w:b/>
                <w:bCs/>
                <w:sz w:val="24"/>
                <w:szCs w:val="24"/>
                <w:lang w:val="en-US" w:eastAsia="zh-CN"/>
              </w:rPr>
              <w:t xml:space="preserve">要求</w:t>
            </w:r>
            <w:r/>
          </w:p>
        </w:tc>
      </w:tr>
      <w:tr>
        <w:trPr>
          <w:jc w:val="center"/>
          <w:trHeight w:val="20"/>
        </w:trPr>
        <w:tc>
          <w:tcPr>
            <w:tcW w:w="647"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AI智能申诉</w:t>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申诉智能分类</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1）支持违规单导入智能审核系统后，根据违规单的内涵，AI大模型可以智能化识别和理解内涵，并根据违规内涵分类；</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2）AI大模型可以将违规单智能化分为限适应症、限年龄、超频次、超限额等类别，经过智能化分类的违规单，用于后续智能申诉审核推荐。</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智能推荐申诉理由</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基于出入院记录、病程记录、手术记录、检验检查报告、病理报告、门诊病历、医嘱单、处方明细、基因检测报告、营养风险评估量表等病历文书数据，通过AI大模型的上下文理解能力，精准解读医保政策内涵，针对药品限适应症、诊疗限适应症、过度检查和治疗等类型的扣款项目，可以智能化生成申诉理由；</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★2）AI大模型支持将违规单的智能推荐理由，自动化分类，包括申诉成功高的违规单、以及申诉成功低的违规单；</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针对复杂扣款项目或医保政策要求，AI大模型可以按照具体政策内涵，智能化解析政策的内涵条件，自动化识别内涵关系，逐条解析和理解患者病历与政策内涵匹配程度；通过AI大模型分析的结果，可通过'查看依据'功能直接查看详细病历解读及审核结果。</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申诉附件在线截图</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1）智能申诉功能内置截图助手，通过截图助手，在临床申诉时，可支持跨系统或应用截图，如切换HIS系统或PACS系统；</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2）截图助手支持连续截图、一键上传附件材料；同时可支持对截图进行自动化命名，在截图过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，截图助手支持对图片的二次标注，如方形标注、圆形标注、文字批注、保存本地等功能</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申诉材料审核与生成</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1）支持对接出入院记录、病程记录、手术记录、门诊病历、处方和医嘱等医疗文书，能够快速识别和提取病历文书证据；</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2）基于病历文书事实数据，AI大模型可自动输出医疗文书证据来源，如指定日期的检验指标和结果、诊断信息等；可通过智能申诉截图助手，以及患者360视图，实现快速、一键截图和申诉附件生成。</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局端上传</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★1）支持通过局端接口将申诉反馈内容及附件上传至局端；</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numPr>
                <w:ilvl w:val="0"/>
                <w:numId w:val="4"/>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支持批量上传违规数据。对于上传的数据，支持查看上传日志。</w:t>
            </w:r>
            <w:r/>
          </w:p>
        </w:tc>
      </w:tr>
      <w:tr>
        <w:trPr>
          <w:jc w:val="center"/>
          <w:trHeight w:val="20"/>
        </w:trPr>
        <w:tc>
          <w:tcPr>
            <w:tcW w:w="647"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AI自查自纠</w:t>
            </w:r>
            <w:r/>
          </w:p>
        </w:tc>
        <w:tc>
          <w:tcPr>
            <w:tcW w:w="83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病历文书自查</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1）支持查看费用质控和文书质控规则，可实现灵活配置规则的开关；</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2）针对自查自纠任务，通过配置AI审核开关，如无指征检查和治疗的违规项目，实现无指征检查和治疗类项目的AI审核，可减少人工审核工作量；</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3）针对特定的自查违规数据（如过度检查、过度治疗类），通过AI大模型审核，可自动化生成文书质控结果、以及病历文书依据，可辅助医保办和临床快速审核自查违规、实现自查结果的快速上报。</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智能申诉</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1）支持将自查违规结果快速添加至智能申诉模块；</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2）AI大模型会对自查结果进行智能化解析，实现违规数据的智能化分类，如药品限适应症、过度检查、过度治疗等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3）当违规数据需要AI审核时，AI大模型会自动化解析患者病历文书，根据文书内容实现申诉判断和总结，并自动化生成申诉结果和申诉依据；</w:t>
            </w:r>
            <w:r/>
          </w:p>
        </w:tc>
      </w:tr>
      <w:tr>
        <w:trPr>
          <w:jc w:val="center"/>
          <w:trHeight w:val="20"/>
        </w:trPr>
        <w:tc>
          <w:tcPr>
            <w:tcW w:w="647"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AI事中全病历质控</w:t>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内涵质控规则</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支持基于药品限适应症、诊疗限适应范围、过度检查等规则，结合费用+病历文书，做到双重质控。</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病历文书完善度管控</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1）针对当天入院患者、在院且产生新治疗的患者，AI大模型可在12~24小时内完成病历文书的预审；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★2）支持医生在开立出院医嘱时，对患者医保用药合规性进行预审，AI智能化分析患者病历书写情况，输出医保限定用药使用是否合规、以及病历文书书写是否完整；</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3）医生在开立出院医嘱时，对患者检查或治疗进行预审，AI智能化分析患者病历书写情况，输出检验、检查和治疗是否合规，并提示病历文书书写完整情况；</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4）支持护士办理预出院时，对患者出院前的病历信息预审，AI大模型智能化分析患者医保用药与病历内容的一致性；支持医保专员在线审核，针对预出院失败患者，补充、完善信息；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5）支持护士办理预出院时，对患者出院前检验、检查和治疗等项目预审，AI大模型智能化分析患者检验检查与病历书写的一致性；支持医保专员在线审核，针对预出院失败患者，补充、完善信息；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6）支持医保专员、科主任、医保办管理者，在患者在院期间实时查看病历文书审核结果；对提示给临床的病历文书质控，可实现在线查看和下载；</w:t>
            </w:r>
            <w:r/>
          </w:p>
        </w:tc>
      </w:tr>
      <w:tr>
        <w:trPr>
          <w:jc w:val="center"/>
          <w:trHeight w:val="20"/>
        </w:trPr>
        <w:tc>
          <w:tcPr>
            <w:tcW w:w="647"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AI能力</w:t>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规则模型建设能力</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1）有多年限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多医院的服务经验与深度业务沉淀和专业医学知识，共建亿级规则库，实现医疗专业建模、跨模态病历特征提取和融合；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具备多智能体协作能力，通过整合Qwen、Deepseek、豆包、检索增强模型等主流大模型，实现临床知识提取、手术路径生成、医保政策理解、规则任务分解等，对抗验证与幻觉控制，充分发挥各模型优势，实现规则训练的对抗验证与幻觉控制，提升整体推理能力与稳定性；</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3）支持QwQ-32B-AWQ、Qwen3-32B-FP8 等模型部署方式；</w:t>
            </w:r>
            <w:r/>
          </w:p>
        </w:tc>
      </w:tr>
      <w:tr>
        <w:trPr>
          <w:jc w:val="center"/>
          <w:trHeight w:val="20"/>
        </w:trPr>
        <w:tc>
          <w:tcPr>
            <w:tcW w:w="64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本地化调试</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具备规则本地化适配能力，能够结合本地数据特征，提供医学团队支持与政策实时更新机制，确保监管规则快速、准确、全面地落地执行，实现智能监管闭环。</w:t>
            </w:r>
            <w:r/>
          </w:p>
        </w:tc>
      </w:tr>
      <w:tr>
        <w:trPr>
          <w:jc w:val="center"/>
          <w:trHeight w:val="20"/>
        </w:trPr>
        <w:tc>
          <w:tcPr>
            <w:gridSpan w:val="2"/>
            <w:tcW w:w="1481"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内涵质控规则库管理</w:t>
            </w:r>
            <w:r/>
          </w:p>
        </w:tc>
        <w:tc>
          <w:tcPr>
            <w:tcW w:w="351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★1）支持查看内涵质控规则明细，包括规则内涵、内涵质控规则出处、政策来源等信息；</w:t>
            </w:r>
            <w:r>
              <w:rPr>
                <w:rFonts w:hint="eastAsia" w:ascii="宋体" w:hAnsi="宋体" w:eastAsia="宋体" w:cs="宋体"/>
                <w:b/>
                <w:bCs/>
                <w:sz w:val="24"/>
                <w:szCs w:val="24"/>
                <w:lang w:eastAsia="zh-CN"/>
              </w:rPr>
              <w:t xml:space="preserve">（</w:t>
            </w:r>
            <w:r>
              <w:rPr>
                <w:rFonts w:hint="eastAsia" w:ascii="宋体" w:hAnsi="宋体" w:cs="宋体"/>
                <w:b/>
                <w:bCs/>
                <w:sz w:val="24"/>
                <w:lang w:val="en-US" w:eastAsia="zh-CN"/>
              </w:rPr>
              <w:t xml:space="preserve">需提供相关功能截图证明</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2）支持灵活配置内涵质控的应用场景，如智能申诉场景、事中病历文书质控、事后病历文书质控等；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3）支持内涵质控规则灵活启用和开关；</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4）支持自定义内涵质控的审核范围，如是否审核医保患者、是否审核自费患者等；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5）可在线查看全量内涵质控规则、支持在线下载全量规则明细；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6）药品限适应症规则：AI大模型对《国家基本医疗保险、工伤保险和生育保险药品目录》中有适应症支付限定的药品进行监管；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7）诊疗限适应症规则：AI大模型对最新版医疗服务项目分类与代码中有适应症要求、或支付限定的项目进行监管；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8）过度检查内涵规则：AI大模型对患者使用的检查检验，缺乏相应适应症和治疗依据的审核；</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9）过度治疗内涵规则：临床在医疗服务项目的使用中，AI大模型对无对应的适应症或与疾病治疗的内涵审核；</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10）手术收费与手术记录一致性规则：AI大模型对患者在手术治疗后，针对手术收费与手术记录是否合理、手术治疗是否一致的审核；</w:t>
            </w:r>
            <w:r/>
          </w:p>
        </w:tc>
      </w:tr>
    </w:tbl>
    <w:p>
      <w:pP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项目实施</w:t>
      </w:r>
      <w:r>
        <w:rPr>
          <w:rFonts w:hint="eastAsia" w:ascii="宋体" w:hAnsi="宋体" w:eastAsia="宋体" w:cs="宋体"/>
          <w:b/>
          <w:bCs/>
          <w:sz w:val="24"/>
          <w:szCs w:val="24"/>
        </w:rPr>
        <w:t xml:space="preserve">要求</w:t>
      </w: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安装地点：</w:t>
      </w:r>
      <w:r>
        <w:rPr>
          <w:rFonts w:hint="eastAsia" w:ascii="宋体" w:hAnsi="宋体" w:eastAsia="宋体" w:cs="宋体"/>
          <w:sz w:val="24"/>
          <w:szCs w:val="24"/>
          <w:highlight w:val="none"/>
          <w:lang w:eastAsia="zh-CN"/>
        </w:rPr>
        <w:t xml:space="preserve">江阴市人民医院城中院区、敔山湾院区</w:t>
      </w:r>
      <w:r>
        <w:rPr>
          <w:rFonts w:hint="eastAsia" w:ascii="宋体" w:hAnsi="宋体" w:eastAsia="宋体" w:cs="宋体"/>
          <w:sz w:val="24"/>
          <w:szCs w:val="24"/>
          <w:highlight w:val="none"/>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（2）实施周期：自合同签订后2个月内，</w:t>
      </w:r>
      <w:r>
        <w:rPr>
          <w:rFonts w:hint="eastAsia" w:ascii="宋体" w:hAnsi="宋体" w:eastAsia="宋体" w:cs="宋体"/>
          <w:sz w:val="24"/>
          <w:szCs w:val="24"/>
        </w:rPr>
        <w:t xml:space="preserve">软件系统到货、安装完成。如在规定的时间内由于投标商的原因不能完成安装和调试，投标商应承担由此给用户造成的损失。</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（3）团队要求：供应商应本着认真负责态度，应配备至少4人的项目团队，主要人员包含项目负责人1名，测试人员1名，其他开发人员不少于2名。</w:t>
      </w:r>
      <w:r>
        <w:rPr>
          <w:rFonts w:hint="eastAsia" w:ascii="宋体" w:hAnsi="宋体" w:eastAsia="宋体" w:cs="宋体"/>
          <w:sz w:val="24"/>
          <w:szCs w:val="24"/>
        </w:rPr>
        <w:t xml:space="preserve">为确保项目顺利实施及系统与业务环境的深度融合，供应商需安排项目团队在招标人指定场所进行</w:t>
      </w:r>
      <w:r>
        <w:rPr>
          <w:rFonts w:hint="eastAsia" w:ascii="宋体" w:hAnsi="宋体" w:eastAsia="宋体" w:cs="宋体"/>
          <w:sz w:val="24"/>
          <w:szCs w:val="24"/>
          <w:highlight w:val="none"/>
        </w:rPr>
        <w:t xml:space="preserve">驻场开发</w:t>
      </w:r>
      <w:r>
        <w:rPr>
          <w:rFonts w:hint="eastAsia" w:ascii="宋体" w:hAnsi="宋体" w:eastAsia="宋体" w:cs="宋体"/>
          <w:sz w:val="24"/>
          <w:szCs w:val="24"/>
        </w:rPr>
        <w:t xml:space="preserve">。驻场期限覆盖项目主要开发、部署、联调及试运行阶段。</w:t>
      </w:r>
      <w:r>
        <w:rPr>
          <w:rFonts w:hint="eastAsia" w:ascii="宋体" w:hAnsi="宋体" w:eastAsia="宋体" w:cs="宋体"/>
          <w:bCs/>
          <w:sz w:val="24"/>
          <w:szCs w:val="24"/>
        </w:rPr>
        <w:t xml:space="preserve">（签订合同时须提供详细人员名单）</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（4）安装标准：符合我国国家有关技术规范要求和技术标准。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（5）安装调试过程中发生的费用由投标商负责。</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（6）在项目实施过程中，向医院提供齐全的电子版和书面的操作说明等文档。</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项目培训</w:t>
      </w:r>
      <w:r>
        <w:rPr>
          <w:rFonts w:hint="eastAsia" w:ascii="宋体" w:hAnsi="宋体" w:eastAsia="宋体" w:cs="宋体"/>
          <w:b/>
          <w:bCs/>
          <w:sz w:val="24"/>
          <w:szCs w:val="24"/>
        </w:rPr>
        <w:t xml:space="preserve">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运行。</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（2）所有的培训费用必须计入投标总价。</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项目验收</w:t>
      </w:r>
      <w:r>
        <w:rPr>
          <w:rFonts w:hint="eastAsia" w:ascii="宋体" w:hAnsi="宋体" w:eastAsia="宋体" w:cs="宋体"/>
          <w:b/>
          <w:bCs/>
          <w:sz w:val="24"/>
          <w:szCs w:val="24"/>
        </w:rPr>
        <w:t xml:space="preserve">要求</w:t>
      </w:r>
      <w:r/>
    </w:p>
    <w:p>
      <w:pP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（2）合同签订后</w:t>
      </w:r>
      <w:r>
        <w:rPr>
          <w:rFonts w:hint="eastAsia" w:ascii="宋体" w:hAnsi="宋体" w:eastAsia="宋体" w:cs="宋体"/>
          <w:bCs/>
          <w:sz w:val="24"/>
          <w:szCs w:val="24"/>
          <w:highlight w:val="none"/>
        </w:rPr>
        <w:t xml:space="preserve">，2个月内完成系统</w:t>
      </w:r>
      <w:r>
        <w:rPr>
          <w:rFonts w:hint="eastAsia" w:ascii="宋体" w:hAnsi="宋体" w:eastAsia="宋体" w:cs="宋体"/>
          <w:bCs/>
          <w:sz w:val="24"/>
          <w:szCs w:val="24"/>
        </w:rPr>
        <w:t xml:space="preserve">的初试，试运行正常三个月后，组织项目终验。</w:t>
      </w:r>
      <w:r/>
    </w:p>
    <w:p>
      <w:pP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（3）验收费用由供应商负责。</w:t>
      </w:r>
      <w:r/>
    </w:p>
    <w:p>
      <w:pP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line="40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六、售后服务要求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（1）整体系统验收合格后提供3年免费维护期。</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（2）投标人所承诺的服务内容应包括：投标人的服务响应及维修等承诺，详细说明服务能力、服务时间、人员配备、系统故障响应、诊断、应急处理、维修和相应的设备更换计划等。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（3）在系统的服务期内，投标人应确保系统的正常使用。在接到用户服务要求后应立即做出回应，并在承诺的服务时间内实施服务。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（4）7×24小时的免费上门保修服务半小时内响应，4小时内到达现场，24小时内解决故障。</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（5）热线电话服务提供技术咨询、故障诊断、故障排除、以及现场支持等具体的技术支持工作，并对客户投诉做出相应处理。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七、付款方式</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合同签订后支付合同金额的30%，经项目最终验收合格后支付合同金额</w:t>
      </w: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rPr>
        <w:t xml:space="preserve">%。</w:t>
      </w:r>
      <w:r/>
    </w:p>
    <w:p>
      <w:pPr>
        <w:pStyle w:val="936"/>
        <w:ind w:left="0" w:firstLine="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有 关 说 明</w:t>
      </w:r>
      <w:r/>
    </w:p>
    <w:p>
      <w:p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1、本项目为</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个包，投标人可全投或选投，但每包内容必须报全，不得漏项。</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本项目为固定总价合同，项目报价（合同总价）应包括完成本项目可能发生的所有费用，包括各种工作经费（软件开发费、外业调查费、内业处理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3、招标人向投标人提供的有关现场的数据和资料，是招标人现有的能被投标人利用的资料，招标人对投标人做出的任何推论、理解和结论均不负责任。</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7、凡涉及招标文件的补充说明或修正，均以江阴市政府采购中心书面依据为准。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8、江阴市政府采购中心对本次招标结果不作任何解释。</w:t>
      </w:r>
      <w:r/>
    </w:p>
    <w:p>
      <w:pPr>
        <w:jc w:val="left"/>
        <w:spacing w:line="400" w:lineRule="exact"/>
        <w:tabs>
          <w:tab w:val="left" w:pos="0" w:leader="none"/>
          <w:tab w:val="left" w:pos="4159" w:leader="none"/>
          <w:tab w:val="center" w:pos="4706" w:leader="none"/>
        </w:tabs>
        <w:rPr>
          <w:rFonts w:ascii="黑体" w:hAnsi="黑体" w:eastAsia="黑体" w:cs="Times New Roman"/>
          <w:bCs/>
          <w:sz w:val="30"/>
          <w:szCs w:val="30"/>
        </w:rPr>
      </w:pPr>
      <w:r>
        <w:rPr>
          <w:rFonts w:ascii="黑体" w:hAnsi="黑体" w:eastAsia="黑体" w:cs="Times New Roman"/>
          <w:bCs/>
          <w:sz w:val="30"/>
          <w:szCs w:val="30"/>
        </w:rPr>
        <w:tab/>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85"/>
      </w:pPr>
      <w:r/>
      <w:bookmarkStart w:id="13" w:name="_Toc213847316"/>
      <w:r>
        <w:rPr>
          <w:rFonts w:hint="eastAsia"/>
        </w:rPr>
        <w:t xml:space="preserve">第四章  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numPr>
          <w:ilvl w:val="0"/>
          <w:numId w:val="2"/>
        </w:numPr>
        <w:ind w:left="0" w:firstLine="0"/>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评分标准</w:t>
      </w:r>
      <w:r/>
    </w:p>
    <w:p>
      <w:pPr>
        <w:spacing w:line="400" w:lineRule="exact"/>
        <w:rPr>
          <w:rFonts w:hint="eastAsia" w:ascii="黑体" w:hAnsi="黑体" w:eastAsia="黑体" w:cs="Times New Roman"/>
          <w:sz w:val="28"/>
          <w:szCs w:val="28"/>
        </w:rPr>
        <w:outlineLvl w:val="1"/>
      </w:pPr>
      <w:r>
        <w:rPr>
          <w:rFonts w:hint="eastAsia" w:ascii="黑体" w:hAnsi="黑体" w:eastAsia="黑体" w:cs="Times New Roman"/>
          <w:sz w:val="24"/>
          <w:szCs w:val="24"/>
        </w:rPr>
        <w:t xml:space="preserve">第一包：</w:t>
      </w:r>
      <w:r/>
    </w:p>
    <w:tbl>
      <w:tblPr>
        <w:tblStyle w:val="863"/>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56"/>
        <w:gridCol w:w="1249"/>
        <w:gridCol w:w="5226"/>
        <w:gridCol w:w="863"/>
      </w:tblGrid>
      <w:tr>
        <w:trPr>
          <w:jc w:val="center"/>
          <w:trHeight w:val="20"/>
        </w:trPr>
        <w:tc>
          <w:tcPr>
            <w:tcW w:w="1265"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85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评分因素</w:t>
            </w:r>
            <w:r/>
          </w:p>
        </w:tc>
        <w:tc>
          <w:tcPr>
            <w:tcW w:w="522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863"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26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（20分）</w:t>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tcW w:w="5226"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满足招标文件要求且投标价格最低的投标报价为评标基准价，其价格分为满分。其他投标人的价格分按照下列公式计算： </w:t>
            </w:r>
            <w:r>
              <w:rPr>
                <w:rFonts w:ascii="宋体" w:hAnsi="宋体"/>
                <w:sz w:val="24"/>
              </w:rPr>
              <w:t xml:space="preserve">                                 </w:t>
            </w:r>
            <w:r>
              <w:rPr>
                <w:rFonts w:hint="eastAsia" w:ascii="宋体" w:hAnsi="宋体"/>
                <w:sz w:val="24"/>
              </w:rPr>
              <w:t xml:space="preserve">投标报价得分＝（评标基准价/投标报价）×20分</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w:t>
            </w:r>
            <w:r/>
          </w:p>
        </w:tc>
      </w:tr>
      <w:tr>
        <w:trPr>
          <w:jc w:val="center"/>
          <w:trHeight w:val="20"/>
        </w:trPr>
        <w:tc>
          <w:tcPr>
            <w:tcW w:w="1265"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（62分）</w:t>
            </w:r>
            <w:r/>
          </w:p>
        </w:tc>
        <w:tc>
          <w:tcPr>
            <w:tcW w:w="8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w:t>
            </w:r>
            <w:r/>
          </w:p>
        </w:tc>
        <w:tc>
          <w:tcPr>
            <w:tcW w:w="124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技术指标响应情况</w:t>
            </w:r>
            <w:r/>
          </w:p>
        </w:tc>
        <w:tc>
          <w:tcPr>
            <w:tcW w:w="5226" w:type="dxa"/>
            <w:vAlign w:val="center"/>
            <w:textDirection w:val="lrTb"/>
            <w:noWrap w:val="false"/>
          </w:tcPr>
          <w:p>
            <w:pPr>
              <w:spacing w:line="400" w:lineRule="exact"/>
              <w:rPr>
                <w:rFonts w:hint="eastAsia" w:ascii="宋体" w:hAnsi="宋体" w:cs="宋体"/>
                <w:sz w:val="24"/>
              </w:rPr>
            </w:pPr>
            <w:r>
              <w:rPr>
                <w:rFonts w:hint="eastAsia" w:ascii="宋体" w:eastAsia="宋体"/>
                <w:sz w:val="24"/>
                <w:highlight w:val="none"/>
              </w:rPr>
              <w:t xml:space="preserve">根据《</w:t>
            </w:r>
            <w:r>
              <w:rPr>
                <w:rFonts w:hint="eastAsia" w:ascii="宋体" w:hAnsi="宋体" w:eastAsia="宋体" w:cs="Times New Roman"/>
                <w:sz w:val="24"/>
                <w:szCs w:val="24"/>
              </w:rPr>
              <w:t xml:space="preserve">分项报价表</w:t>
            </w:r>
            <w:r>
              <w:rPr>
                <w:rFonts w:hint="eastAsia" w:ascii="宋体" w:eastAsia="宋体"/>
                <w:sz w:val="24"/>
                <w:highlight w:val="none"/>
              </w:rPr>
              <w:t xml:space="preserve">》</w:t>
            </w:r>
            <w:r>
              <w:rPr>
                <w:rFonts w:hint="eastAsia" w:ascii="宋体" w:eastAsia="宋体"/>
                <w:sz w:val="24"/>
                <w:highlight w:val="none"/>
                <w:lang w:eastAsia="zh-CN"/>
              </w:rPr>
              <w:t xml:space="preserve">、</w:t>
            </w:r>
            <w:r>
              <w:rPr>
                <w:rFonts w:hint="eastAsia" w:ascii="宋体" w:eastAsia="宋体"/>
                <w:sz w:val="24"/>
                <w:highlight w:val="none"/>
              </w:rPr>
              <w:t xml:space="preserve">《</w:t>
            </w:r>
            <w:r>
              <w:rPr>
                <w:rFonts w:hint="eastAsia" w:ascii="宋体" w:hAnsi="宋体" w:eastAsia="宋体" w:cs="Times New Roman"/>
                <w:sz w:val="24"/>
                <w:szCs w:val="24"/>
              </w:rPr>
              <w:t xml:space="preserve">商务、技术要求响应及偏离表</w:t>
            </w:r>
            <w:r>
              <w:rPr>
                <w:rFonts w:hint="eastAsia" w:ascii="宋体" w:eastAsia="宋体"/>
                <w:sz w:val="24"/>
                <w:highlight w:val="none"/>
              </w:rPr>
              <w:t xml:space="preserve">》等对</w:t>
            </w:r>
            <w:r>
              <w:rPr>
                <w:rFonts w:hint="eastAsia" w:ascii="宋体" w:eastAsia="宋体"/>
                <w:b/>
                <w:bCs/>
                <w:sz w:val="24"/>
                <w:highlight w:val="none"/>
              </w:rPr>
              <w:t xml:space="preserve">“</w:t>
            </w:r>
            <w:r>
              <w:rPr>
                <w:rFonts w:hint="eastAsia" w:ascii="宋体" w:hAnsi="宋体" w:eastAsia="宋体" w:cs="宋体"/>
                <w:b/>
                <w:bCs/>
                <w:sz w:val="24"/>
                <w:szCs w:val="24"/>
                <w:highlight w:val="none"/>
              </w:rPr>
              <w:t xml:space="preserve">详细技术参数要求</w:t>
            </w:r>
            <w:r>
              <w:rPr>
                <w:rFonts w:hint="eastAsia" w:ascii="宋体" w:eastAsia="宋体"/>
                <w:b/>
                <w:bCs/>
                <w:sz w:val="24"/>
                <w:highlight w:val="none"/>
              </w:rPr>
              <w:t xml:space="preserve">”</w:t>
            </w:r>
            <w:r>
              <w:rPr>
                <w:rFonts w:hint="eastAsia" w:ascii="宋体" w:eastAsia="宋体"/>
                <w:sz w:val="24"/>
                <w:highlight w:val="none"/>
              </w:rPr>
              <w:t xml:space="preserve">部分的性能、技术参数的响应情况进行评审打分：全部符合招标文件要求，无负偏离得</w:t>
            </w:r>
            <w:r>
              <w:rPr>
                <w:rFonts w:hint="eastAsia" w:ascii="宋体"/>
                <w:sz w:val="24"/>
                <w:highlight w:val="none"/>
                <w:lang w:val="en-US" w:eastAsia="zh-CN"/>
              </w:rPr>
              <w:t xml:space="preserve">29</w:t>
            </w:r>
            <w:r>
              <w:rPr>
                <w:rFonts w:hint="eastAsia" w:ascii="宋体" w:eastAsia="宋体"/>
                <w:sz w:val="24"/>
                <w:highlight w:val="none"/>
              </w:rPr>
              <w:t xml:space="preserve">分，打“</w:t>
            </w:r>
            <w:r>
              <w:rPr>
                <w:rFonts w:hint="eastAsia" w:ascii="宋体" w:eastAsia="宋体" w:cs="宋体"/>
                <w:b/>
                <w:bCs/>
                <w:sz w:val="24"/>
                <w:highlight w:val="none"/>
              </w:rPr>
              <w:t xml:space="preserve">★</w:t>
            </w:r>
            <w:r>
              <w:rPr>
                <w:rFonts w:hint="eastAsia" w:ascii="宋体" w:eastAsia="宋体"/>
                <w:sz w:val="24"/>
                <w:highlight w:val="none"/>
              </w:rPr>
              <w:t xml:space="preserve">”项有一项负偏离扣</w:t>
            </w:r>
            <w:r>
              <w:rPr>
                <w:rFonts w:hint="eastAsia" w:ascii="宋体"/>
                <w:sz w:val="24"/>
                <w:highlight w:val="none"/>
                <w:lang w:val="en-US" w:eastAsia="zh-CN"/>
              </w:rPr>
              <w:t xml:space="preserve">2</w:t>
            </w:r>
            <w:r>
              <w:rPr>
                <w:rFonts w:hint="eastAsia" w:ascii="宋体" w:eastAsia="宋体"/>
                <w:sz w:val="24"/>
                <w:highlight w:val="none"/>
              </w:rPr>
              <w:t xml:space="preserve">分，其余项有一项负偏离扣</w:t>
            </w:r>
            <w:r>
              <w:rPr>
                <w:rFonts w:hint="eastAsia" w:ascii="宋体" w:eastAsia="宋体"/>
                <w:sz w:val="24"/>
                <w:highlight w:val="none"/>
                <w:lang w:val="en-US" w:eastAsia="zh-CN"/>
              </w:rPr>
              <w:t xml:space="preserve">0.5</w:t>
            </w:r>
            <w:r>
              <w:rPr>
                <w:rFonts w:hint="eastAsia" w:ascii="宋体" w:eastAsia="宋体"/>
                <w:sz w:val="24"/>
                <w:highlight w:val="none"/>
              </w:rPr>
              <w:t xml:space="preserve">分</w:t>
            </w:r>
            <w:r>
              <w:rPr>
                <w:rFonts w:hint="eastAsia" w:ascii="宋体" w:eastAsia="宋体"/>
                <w:sz w:val="24"/>
                <w:highlight w:val="none"/>
              </w:rPr>
              <w:t xml:space="preserve">，扣完为止。</w:t>
            </w:r>
            <w:r/>
          </w:p>
          <w:p>
            <w:pPr>
              <w:jc w:val="left"/>
              <w:spacing w:line="400" w:lineRule="exact"/>
              <w:rPr>
                <w:rFonts w:hint="eastAsia" w:ascii="宋体" w:hAnsi="宋体" w:cs="宋体"/>
                <w:sz w:val="24"/>
              </w:rPr>
            </w:pPr>
            <w:r>
              <w:rPr>
                <w:rFonts w:hint="eastAsia" w:ascii="宋体" w:eastAsia="宋体"/>
                <w:b/>
                <w:bCs/>
                <w:sz w:val="24"/>
                <w:highlight w:val="none"/>
              </w:rPr>
              <w:t xml:space="preserve">(未按要求提供证明材料的视为负偏离)</w:t>
            </w:r>
            <w:r/>
          </w:p>
        </w:tc>
        <w:tc>
          <w:tcPr>
            <w:tcW w:w="863" w:type="dxa"/>
            <w:vAlign w:val="center"/>
            <w:textDirection w:val="lrTb"/>
            <w:noWrap w:val="false"/>
          </w:tcPr>
          <w:p>
            <w:pPr>
              <w:jc w:val="center"/>
              <w:spacing w:line="400" w:lineRule="exact"/>
              <w:rPr>
                <w:rFonts w:hint="default" w:ascii="宋体" w:hAnsi="宋体" w:cs="宋体" w:eastAsiaTheme="minorEastAsia"/>
                <w:sz w:val="24"/>
                <w:lang w:val="en-US" w:eastAsia="zh-CN"/>
              </w:rPr>
            </w:pPr>
            <w:r>
              <w:rPr>
                <w:rFonts w:hint="eastAsia" w:ascii="宋体" w:hAnsi="宋体" w:cs="宋体"/>
                <w:sz w:val="24"/>
                <w:lang w:val="en-US" w:eastAsia="zh-CN"/>
              </w:rPr>
              <w:t xml:space="preserve">29</w:t>
            </w:r>
            <w:r/>
          </w:p>
        </w:tc>
      </w:tr>
      <w:tr>
        <w:trPr>
          <w:jc w:val="center"/>
          <w:trHeight w:val="20"/>
        </w:trPr>
        <w:tc>
          <w:tcPr>
            <w:tcW w:w="1265"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2.2</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项目需求理解</w:t>
            </w:r>
            <w:r/>
          </w:p>
        </w:tc>
        <w:tc>
          <w:tcPr>
            <w:tcW w:w="5226"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cs="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2.3</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系统设计方案</w:t>
            </w:r>
            <w:r/>
          </w:p>
        </w:tc>
        <w:tc>
          <w:tcPr>
            <w:tcW w:w="5226" w:type="dxa"/>
            <w:vAlign w:val="center"/>
            <w:textDirection w:val="lrTb"/>
            <w:noWrap w:val="false"/>
          </w:tcPr>
          <w:p>
            <w:pPr>
              <w:contextualSpacing/>
              <w:jc w:val="left"/>
              <w:spacing w:line="400" w:lineRule="exact"/>
              <w:rPr>
                <w:rFonts w:ascii="宋体" w:hAnsi="宋体" w:cs="宋体"/>
                <w:sz w:val="24"/>
                <w:szCs w:val="24"/>
              </w:rPr>
            </w:pPr>
            <w:r>
              <w:rPr>
                <w:rFonts w:hint="eastAsia" w:ascii="宋体" w:hAnsi="宋体" w:cs="宋体"/>
                <w:sz w:val="24"/>
                <w:szCs w:val="24"/>
              </w:rPr>
              <w:t xml:space="preserve">投标人针对本项目提供系统设计方案，包括①总体架构设计方案、②关键功能模块设计方案，方案内容描述全面合理符合采购需求的得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分，每有一项内容缺失的扣</w:t>
            </w:r>
            <w:r>
              <w:rPr>
                <w:rFonts w:hint="eastAsia" w:ascii="宋体" w:hAnsi="宋体" w:cs="宋体"/>
                <w:sz w:val="24"/>
                <w:szCs w:val="24"/>
                <w:lang w:val="en-US" w:eastAsia="zh-CN"/>
              </w:rPr>
              <w:t xml:space="preserve">3</w:t>
            </w:r>
            <w:r>
              <w:rPr>
                <w:rFonts w:hint="eastAsia" w:ascii="宋体" w:hAnsi="宋体" w:cs="宋体"/>
                <w:sz w:val="24"/>
                <w:szCs w:val="24"/>
              </w:rPr>
              <w:t xml:space="preserve">分；每有一项内容存在缺陷或不满足要求的扣</w:t>
            </w:r>
            <w:r>
              <w:rPr>
                <w:rFonts w:hint="eastAsia" w:ascii="宋体" w:hAnsi="宋体" w:cs="宋体"/>
                <w:sz w:val="24"/>
                <w:szCs w:val="24"/>
                <w:lang w:val="en-US" w:eastAsia="zh-CN"/>
              </w:rPr>
              <w:t xml:space="preserve">1.5</w:t>
            </w:r>
            <w:r>
              <w:rPr>
                <w:rFonts w:hint="eastAsia" w:ascii="宋体" w:hAnsi="宋体" w:cs="宋体"/>
                <w:sz w:val="24"/>
                <w:szCs w:val="24"/>
              </w:rPr>
              <w:t xml:space="preserve">分，扣完为止。</w:t>
            </w:r>
            <w:r/>
          </w:p>
          <w:p>
            <w:pPr>
              <w:contextualSpacing/>
              <w:jc w:val="left"/>
              <w:spacing w:line="400" w:lineRule="exact"/>
              <w:rPr>
                <w:rFonts w:ascii="宋体" w:hAnsi="宋体" w:cs="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63" w:type="dxa"/>
            <w:vAlign w:val="center"/>
            <w:textDirection w:val="lrTb"/>
            <w:noWrap w:val="false"/>
          </w:tcPr>
          <w:p>
            <w:pPr>
              <w:jc w:val="center"/>
              <w:spacing w:line="400" w:lineRule="exact"/>
              <w:rPr>
                <w:rFonts w:hint="eastAsia" w:ascii="宋体" w:hAnsi="宋体" w:eastAsiaTheme="minorEastAsia"/>
                <w:sz w:val="24"/>
                <w:lang w:eastAsia="zh-CN"/>
              </w:rPr>
            </w:pPr>
            <w:r>
              <w:rPr>
                <w:rFonts w:hint="eastAsia" w:ascii="宋体" w:hAnsi="宋体"/>
                <w:sz w:val="24"/>
                <w:lang w:val="en-US" w:eastAsia="zh-CN"/>
              </w:rPr>
              <w:t xml:space="preserve">6</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2.</w:t>
            </w:r>
            <w:r>
              <w:rPr>
                <w:rFonts w:hint="eastAsia" w:ascii="宋体" w:hAnsi="宋体"/>
                <w:sz w:val="24"/>
                <w:lang w:val="en-US" w:eastAsia="zh-CN"/>
              </w:rPr>
              <w:t xml:space="preserve">4</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系统对接方案</w:t>
            </w:r>
            <w:r/>
          </w:p>
        </w:tc>
        <w:tc>
          <w:tcPr>
            <w:tcW w:w="5226" w:type="dxa"/>
            <w:vAlign w:val="center"/>
            <w:textDirection w:val="lrTb"/>
            <w:noWrap w:val="false"/>
          </w:tcPr>
          <w:p>
            <w:pPr>
              <w:contextualSpacing/>
              <w:jc w:val="left"/>
              <w:spacing w:line="400" w:lineRule="exact"/>
              <w:rPr>
                <w:rFonts w:ascii="宋体" w:hAnsi="宋体" w:cs="宋体"/>
                <w:sz w:val="24"/>
              </w:rPr>
            </w:pPr>
            <w:r>
              <w:rPr>
                <w:rFonts w:hint="eastAsia" w:ascii="宋体" w:hAnsi="宋体"/>
                <w:bCs/>
                <w:sz w:val="24"/>
                <w:szCs w:val="24"/>
              </w:rPr>
              <w:t xml:space="preserve">考察投标人</w:t>
            </w:r>
            <w:r>
              <w:rPr>
                <w:rFonts w:hint="eastAsia" w:ascii="宋体" w:hAnsi="宋体"/>
                <w:bCs/>
                <w:sz w:val="24"/>
                <w:szCs w:val="24"/>
                <w:lang w:val="en-US" w:eastAsia="zh-CN"/>
              </w:rPr>
              <w:t xml:space="preserve">提供</w:t>
            </w:r>
            <w:r>
              <w:rPr>
                <w:rFonts w:hint="eastAsia" w:ascii="宋体" w:hAnsi="宋体"/>
                <w:bCs/>
                <w:sz w:val="24"/>
                <w:szCs w:val="24"/>
              </w:rPr>
              <w:t xml:space="preserve">的软件系统与医院HIS、EMR等业务系统进行对接的技术方案的先进性、灵活性、稳定性</w:t>
            </w:r>
            <w:r>
              <w:rPr>
                <w:bCs/>
                <w:sz w:val="24"/>
                <w:szCs w:val="24"/>
              </w:rPr>
              <w:t xml:space="preserve">。</w:t>
            </w:r>
            <w:r>
              <w:rPr>
                <w:rFonts w:hint="eastAsia"/>
                <w:bCs/>
                <w:sz w:val="24"/>
                <w:szCs w:val="24"/>
              </w:rPr>
              <w:t xml:space="preserve">包括</w:t>
            </w:r>
            <w:r>
              <w:rPr>
                <w:rFonts w:hint="eastAsia" w:ascii="宋体" w:hAnsi="宋体" w:cs="宋体"/>
                <w:sz w:val="24"/>
              </w:rPr>
              <w:t xml:space="preserve">①系统总体对接方案②与各个系统的详细对接方案。方案内容描述全面合理符合采购需求的得6分，每有一项内容缺失的扣3分；每有一项内容存在缺陷或不满足要求的扣1.5分，扣完为止。</w:t>
            </w:r>
            <w:r/>
          </w:p>
          <w:p>
            <w:pPr>
              <w:contextualSpacing/>
              <w:jc w:val="left"/>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shd w:val="clear" w:color="auto" w:fill="auto"/>
            <w:tcW w:w="856" w:type="dxa"/>
            <w:vAlign w:val="center"/>
            <w:textDirection w:val="lrTb"/>
            <w:noWrap w:val="false"/>
          </w:tcPr>
          <w:p>
            <w:pPr>
              <w:jc w:val="center"/>
              <w:spacing w:line="400" w:lineRule="exact"/>
              <w:rPr>
                <w:rFonts w:hint="default" w:ascii="宋体" w:hAnsi="宋体" w:eastAsiaTheme="minorEastAsia" w:cstheme="minorBidi"/>
                <w:sz w:val="24"/>
                <w:szCs w:val="22"/>
                <w:lang w:val="en-US" w:eastAsia="zh-CN" w:bidi="ar-SA"/>
              </w:rPr>
            </w:pPr>
            <w:r>
              <w:rPr>
                <w:rFonts w:hint="eastAsia" w:ascii="宋体" w:hAnsi="宋体"/>
                <w:sz w:val="24"/>
                <w:lang w:val="en-US" w:eastAsia="zh-CN"/>
              </w:rPr>
              <w:t xml:space="preserve">2.5</w:t>
            </w:r>
            <w:r/>
          </w:p>
        </w:tc>
        <w:tc>
          <w:tcPr>
            <w:shd w:val="clear" w:color="auto" w:fill="auto"/>
            <w:tcW w:w="1249" w:type="dxa"/>
            <w:vAlign w:val="center"/>
            <w:textDirection w:val="lrTb"/>
            <w:noWrap w:val="false"/>
          </w:tcPr>
          <w:p>
            <w:pPr>
              <w:jc w:val="center"/>
              <w:spacing w:line="400" w:lineRule="exact"/>
              <w:rPr>
                <w:rFonts w:hint="eastAsia" w:ascii="宋体" w:hAnsi="宋体" w:eastAsiaTheme="minorEastAsia" w:cstheme="minorBidi"/>
                <w:sz w:val="24"/>
                <w:szCs w:val="22"/>
                <w:lang w:val="en-US" w:eastAsia="zh-CN" w:bidi="ar-SA"/>
              </w:rPr>
            </w:pPr>
            <w:r>
              <w:rPr>
                <w:rFonts w:hint="eastAsia" w:ascii="宋体" w:hAnsi="宋体" w:eastAsia="宋体" w:cs="Times New Roman"/>
                <w:sz w:val="24"/>
                <w:szCs w:val="24"/>
              </w:rPr>
              <w:t xml:space="preserve">实施方案</w:t>
            </w:r>
            <w:r/>
          </w:p>
        </w:tc>
        <w:tc>
          <w:tcPr>
            <w:shd w:val="clear" w:color="auto" w:fill="auto"/>
            <w:tcW w:w="5226"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方案内容描述全面合理符合采购需求的得8分，每有一项内容缺失的扣2分；每有一项内容存在缺陷或不满足要求的扣1分，扣完为止。</w:t>
            </w:r>
            <w:r/>
          </w:p>
          <w:p>
            <w:pPr>
              <w:contextualSpacing/>
              <w:jc w:val="left"/>
              <w:spacing w:line="400" w:lineRule="exact"/>
              <w:rPr>
                <w:rFonts w:hint="eastAsia" w:ascii="宋体" w:hAnsi="宋体" w:eastAsiaTheme="minorEastAsia" w:cstheme="minorBidi"/>
                <w:sz w:val="24"/>
                <w:szCs w:val="24"/>
                <w:lang w:val="en-US" w:eastAsia="zh-CN" w:bidi="ar-SA"/>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863" w:type="dxa"/>
            <w:vAlign w:val="center"/>
            <w:textDirection w:val="lrTb"/>
            <w:noWrap w:val="false"/>
          </w:tcPr>
          <w:p>
            <w:pPr>
              <w:jc w:val="center"/>
              <w:spacing w:line="400" w:lineRule="exact"/>
              <w:rPr>
                <w:rFonts w:hint="eastAsia" w:ascii="宋体" w:hAnsi="宋体" w:eastAsiaTheme="minorEastAsia" w:cstheme="minorBidi"/>
                <w:sz w:val="24"/>
                <w:szCs w:val="22"/>
                <w:lang w:val="en-US" w:eastAsia="zh-CN" w:bidi="ar-SA"/>
              </w:rPr>
            </w:pPr>
            <w:r>
              <w:rPr>
                <w:rFonts w:hint="eastAsia" w:ascii="宋体" w:hAnsi="宋体"/>
                <w:sz w:val="24"/>
                <w:lang w:val="en-US" w:eastAsia="zh-CN"/>
              </w:rPr>
              <w:t xml:space="preserve">8</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2.</w:t>
            </w:r>
            <w:r>
              <w:rPr>
                <w:rFonts w:hint="eastAsia" w:ascii="宋体" w:hAnsi="宋体"/>
                <w:sz w:val="24"/>
                <w:lang w:val="en-US" w:eastAsia="zh-CN"/>
              </w:rPr>
              <w:t xml:space="preserve">6</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tcW w:w="5226"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hint="eastAsia" w:ascii="宋体" w:hAnsi="宋体"/>
                <w:sz w:val="24"/>
                <w:szCs w:val="24"/>
              </w:rPr>
              <w:t xml:space="preserve">培训方案</w:t>
            </w:r>
            <w:r>
              <w:rPr>
                <w:rFonts w:hint="eastAsia" w:ascii="宋体" w:hAnsi="宋体" w:cs="宋体"/>
                <w:sz w:val="24"/>
                <w:szCs w:val="24"/>
              </w:rPr>
              <w:t xml:space="preserve">，包括①培训计划、②培训方式、③培训人员配置</w:t>
            </w:r>
            <w:r>
              <w:rPr>
                <w:rFonts w:hint="eastAsia" w:ascii="宋体" w:hAnsi="宋体"/>
                <w:sz w:val="24"/>
                <w:szCs w:val="24"/>
              </w:rPr>
              <w:t xml:space="preserve">，</w:t>
            </w:r>
            <w:r>
              <w:rPr>
                <w:rFonts w:hint="eastAsia" w:ascii="宋体" w:hAnsi="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2.</w:t>
            </w:r>
            <w:r>
              <w:rPr>
                <w:rFonts w:hint="eastAsia" w:ascii="宋体" w:hAnsi="宋体"/>
                <w:sz w:val="24"/>
                <w:lang w:val="en-US" w:eastAsia="zh-CN"/>
              </w:rPr>
              <w:t xml:space="preserve">7</w:t>
            </w:r>
            <w:r/>
          </w:p>
        </w:tc>
        <w:tc>
          <w:tcPr>
            <w:tcW w:w="1249" w:type="dxa"/>
            <w:vAlign w:val="center"/>
            <w:textDirection w:val="lrTb"/>
            <w:noWrap w:val="false"/>
          </w:tcPr>
          <w:p>
            <w:pPr>
              <w:jc w:val="center"/>
              <w:spacing w:line="400" w:lineRule="exact"/>
              <w:rPr>
                <w:rFonts w:ascii="宋体" w:hAnsi="宋体"/>
                <w:sz w:val="24"/>
              </w:rPr>
            </w:pPr>
            <w:r>
              <w:rPr>
                <w:rFonts w:ascii="宋体" w:hAnsi="宋体"/>
                <w:sz w:val="24"/>
              </w:rPr>
              <w:t xml:space="preserve">售后服务方案</w:t>
            </w:r>
            <w:r/>
          </w:p>
        </w:tc>
        <w:tc>
          <w:tcPr>
            <w:tcW w:w="5226"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ascii="宋体" w:hAnsi="宋体"/>
                <w:sz w:val="24"/>
                <w:szCs w:val="24"/>
              </w:rPr>
              <w:t xml:space="preserve">售后服务方案</w:t>
            </w:r>
            <w:r>
              <w:rPr>
                <w:rFonts w:hint="eastAsia" w:ascii="宋体" w:hAnsi="宋体" w:cs="宋体"/>
                <w:sz w:val="24"/>
                <w:szCs w:val="24"/>
              </w:rPr>
              <w:t xml:space="preserve">，包括①售后服务内容、②故障应急响应时间、③应急处置预案及措施、④维护服务人员保障体系</w:t>
            </w:r>
            <w:r>
              <w:rPr>
                <w:rFonts w:hint="eastAsia" w:ascii="宋体" w:hAnsi="宋体"/>
                <w:sz w:val="24"/>
                <w:szCs w:val="24"/>
              </w:rPr>
              <w:t xml:space="preserve">，</w:t>
            </w:r>
            <w:r>
              <w:rPr>
                <w:rFonts w:hint="eastAsia" w:ascii="宋体" w:hAnsi="宋体" w:cs="宋体"/>
                <w:sz w:val="24"/>
                <w:szCs w:val="24"/>
              </w:rPr>
              <w:t xml:space="preserve">方案内容描述全面合理符合采购需求的得</w:t>
            </w:r>
            <w:r>
              <w:rPr>
                <w:rFonts w:hint="eastAsia" w:ascii="宋体" w:hAnsi="宋体" w:cs="宋体"/>
                <w:sz w:val="24"/>
                <w:szCs w:val="24"/>
                <w:lang w:val="en-US" w:eastAsia="zh-CN"/>
              </w:rPr>
              <w:t xml:space="preserve">4</w:t>
            </w:r>
            <w:r>
              <w:rPr>
                <w:rFonts w:hint="eastAsia" w:ascii="宋体" w:hAnsi="宋体" w:cs="宋体"/>
                <w:sz w:val="24"/>
                <w:szCs w:val="24"/>
              </w:rPr>
              <w:t xml:space="preserve">分，每有一项内容缺失的扣</w:t>
            </w:r>
            <w:r>
              <w:rPr>
                <w:rFonts w:hint="eastAsia" w:ascii="宋体" w:hAnsi="宋体" w:cs="宋体"/>
                <w:sz w:val="24"/>
                <w:szCs w:val="24"/>
                <w:lang w:val="en-US" w:eastAsia="zh-CN"/>
              </w:rPr>
              <w:t xml:space="preserve">1</w:t>
            </w:r>
            <w:r>
              <w:rPr>
                <w:rFonts w:hint="eastAsia" w:ascii="宋体" w:hAnsi="宋体" w:cs="宋体"/>
                <w:sz w:val="24"/>
                <w:szCs w:val="24"/>
              </w:rPr>
              <w:t xml:space="preserve">分；每有一项内容存在缺陷或不满足要求的扣0.5分，扣完为止。</w:t>
            </w:r>
            <w:r/>
          </w:p>
          <w:p>
            <w:pPr>
              <w:jc w:val="left"/>
              <w:spacing w:line="400" w:lineRule="exact"/>
              <w:rPr>
                <w:rFonts w:ascii="宋体" w:hAnsi="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63" w:type="dxa"/>
            <w:vAlign w:val="center"/>
            <w:textDirection w:val="lrTb"/>
            <w:noWrap w:val="false"/>
          </w:tcPr>
          <w:p>
            <w:pPr>
              <w:jc w:val="center"/>
              <w:spacing w:line="400" w:lineRule="exact"/>
              <w:rPr>
                <w:rFonts w:hint="eastAsia" w:ascii="宋体" w:hAnsi="宋体" w:eastAsiaTheme="minorEastAsia"/>
                <w:sz w:val="24"/>
                <w:lang w:eastAsia="zh-CN"/>
              </w:rPr>
            </w:pPr>
            <w:r>
              <w:rPr>
                <w:rFonts w:hint="eastAsia" w:ascii="宋体" w:hAnsi="宋体"/>
                <w:sz w:val="24"/>
                <w:lang w:val="en-US" w:eastAsia="zh-CN"/>
              </w:rPr>
              <w:t xml:space="preserve">4</w:t>
            </w:r>
            <w:r/>
          </w:p>
        </w:tc>
      </w:tr>
      <w:tr>
        <w:trPr>
          <w:jc w:val="center"/>
          <w:trHeight w:val="20"/>
        </w:trPr>
        <w:tc>
          <w:tcPr>
            <w:tcW w:w="1265"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（18分）</w:t>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3.1</w:t>
            </w:r>
            <w:r/>
          </w:p>
        </w:tc>
        <w:tc>
          <w:tcPr>
            <w:tcW w:w="124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综合实力</w:t>
            </w:r>
            <w:r/>
          </w:p>
        </w:tc>
        <w:tc>
          <w:tcPr>
            <w:tcW w:w="5226" w:type="dxa"/>
            <w:vAlign w:val="center"/>
            <w:textDirection w:val="lrTb"/>
            <w:noWrap w:val="false"/>
          </w:tcPr>
          <w:p>
            <w:pPr>
              <w:jc w:val="left"/>
              <w:spacing w:line="400" w:lineRule="exact"/>
              <w:rPr>
                <w:rFonts w:ascii="宋体" w:hAnsi="宋体" w:cs="宋体"/>
                <w:sz w:val="24"/>
                <w:szCs w:val="24"/>
                <w:highlight w:val="none"/>
              </w:rPr>
            </w:pPr>
            <w:r>
              <w:rPr>
                <w:rFonts w:ascii="宋体" w:hAnsi="宋体" w:cs="宋体"/>
                <w:sz w:val="24"/>
                <w:szCs w:val="24"/>
                <w:highlight w:val="none"/>
              </w:rPr>
              <w:t xml:space="preserve">投标人具有</w:t>
            </w:r>
            <w:r>
              <w:rPr>
                <w:rFonts w:hint="eastAsia" w:ascii="宋体" w:hAnsi="宋体" w:cs="宋体"/>
                <w:sz w:val="24"/>
                <w:szCs w:val="24"/>
                <w:highlight w:val="none"/>
              </w:rPr>
              <w:t xml:space="preserve">①</w:t>
            </w:r>
            <w:r>
              <w:rPr>
                <w:rFonts w:ascii="宋体" w:hAnsi="宋体" w:cs="宋体"/>
                <w:sz w:val="24"/>
                <w:highlight w:val="none"/>
              </w:rPr>
              <w:t xml:space="preserve">知识产权</w:t>
            </w:r>
            <w:r>
              <w:rPr>
                <w:rFonts w:hint="eastAsia" w:ascii="宋体" w:hAnsi="宋体" w:cs="宋体"/>
                <w:sz w:val="24"/>
                <w:highlight w:val="none"/>
                <w:lang w:eastAsia="zh-CN"/>
              </w:rPr>
              <w:t xml:space="preserve">合规</w:t>
            </w:r>
            <w:r>
              <w:rPr>
                <w:rFonts w:ascii="宋体" w:hAnsi="宋体" w:cs="宋体"/>
                <w:sz w:val="24"/>
                <w:highlight w:val="none"/>
              </w:rPr>
              <w:t xml:space="preserve">管理体系认证证书</w:t>
            </w:r>
            <w:r>
              <w:rPr>
                <w:rFonts w:hint="eastAsia" w:ascii="宋体" w:hAnsi="宋体" w:cs="宋体"/>
                <w:sz w:val="24"/>
                <w:highlight w:val="none"/>
              </w:rPr>
              <w:t xml:space="preserve">、</w:t>
            </w:r>
            <w:r>
              <w:rPr>
                <w:rFonts w:hint="eastAsia" w:ascii="宋体" w:hAnsi="宋体" w:cs="宋体"/>
                <w:sz w:val="24"/>
                <w:szCs w:val="24"/>
                <w:highlight w:val="none"/>
              </w:rPr>
              <w:t xml:space="preserve">②</w:t>
            </w:r>
            <w:r>
              <w:rPr>
                <w:rFonts w:ascii="宋体" w:hAnsi="宋体" w:cs="宋体"/>
                <w:sz w:val="24"/>
                <w:szCs w:val="24"/>
                <w:highlight w:val="none"/>
              </w:rPr>
              <w:t xml:space="preserve">售后服务认证证书</w:t>
            </w:r>
            <w:r>
              <w:rPr>
                <w:rFonts w:hint="eastAsia" w:ascii="宋体" w:hAnsi="宋体" w:cs="宋体"/>
                <w:sz w:val="24"/>
                <w:szCs w:val="24"/>
                <w:highlight w:val="none"/>
              </w:rPr>
              <w:t xml:space="preserve">、③</w:t>
            </w:r>
            <w:r>
              <w:rPr>
                <w:rFonts w:ascii="宋体" w:hAnsi="宋体" w:cs="宋体"/>
                <w:sz w:val="24"/>
                <w:szCs w:val="24"/>
                <w:highlight w:val="none"/>
              </w:rPr>
              <w:t xml:space="preserve">IS027701隐私信息管理体系认证证书</w:t>
            </w:r>
            <w:r>
              <w:rPr>
                <w:rFonts w:hint="eastAsia" w:ascii="宋体" w:hAnsi="宋体" w:cs="宋体"/>
                <w:sz w:val="24"/>
                <w:szCs w:val="24"/>
                <w:highlight w:val="none"/>
              </w:rPr>
              <w:t xml:space="preserve">、④</w:t>
            </w:r>
            <w:r>
              <w:rPr>
                <w:rFonts w:ascii="宋体" w:hAnsi="宋体" w:cs="宋体"/>
                <w:sz w:val="24"/>
                <w:szCs w:val="24"/>
                <w:highlight w:val="none"/>
              </w:rPr>
              <w:t xml:space="preserve">IS022301业务</w:t>
            </w:r>
            <w:r>
              <w:rPr>
                <w:rFonts w:hint="eastAsia" w:ascii="宋体" w:hAnsi="宋体" w:cs="宋体"/>
                <w:sz w:val="24"/>
                <w:szCs w:val="24"/>
                <w:highlight w:val="none"/>
                <w:lang w:val="en-US" w:eastAsia="zh-CN"/>
              </w:rPr>
              <w:t xml:space="preserve">连续性</w:t>
            </w:r>
            <w:r>
              <w:rPr>
                <w:rFonts w:ascii="宋体" w:hAnsi="宋体" w:cs="宋体"/>
                <w:sz w:val="24"/>
                <w:szCs w:val="24"/>
                <w:highlight w:val="none"/>
              </w:rPr>
              <w:t xml:space="preserve">管理体系认证证书</w:t>
            </w:r>
            <w:r>
              <w:rPr>
                <w:rFonts w:hint="eastAsia" w:ascii="宋体" w:hAnsi="宋体" w:cs="宋体"/>
                <w:sz w:val="24"/>
                <w:szCs w:val="24"/>
                <w:highlight w:val="none"/>
              </w:rPr>
              <w:t xml:space="preserve">、⑤</w:t>
            </w:r>
            <w:r>
              <w:rPr>
                <w:rFonts w:ascii="宋体" w:hAnsi="宋体" w:cs="宋体"/>
                <w:color w:val="auto"/>
                <w:sz w:val="24"/>
                <w:szCs w:val="24"/>
              </w:rPr>
              <w:t xml:space="preserve">信息安全服务资质认证证书</w:t>
            </w:r>
            <w:r>
              <w:rPr>
                <w:rFonts w:hint="eastAsia" w:ascii="宋体" w:hAnsi="宋体" w:cs="宋体"/>
                <w:sz w:val="24"/>
                <w:szCs w:val="24"/>
                <w:highlight w:val="none"/>
              </w:rPr>
              <w:t xml:space="preserve">，有一项得1分，最高得5分。</w:t>
            </w:r>
            <w:r/>
          </w:p>
          <w:p>
            <w:pPr>
              <w:jc w:val="left"/>
              <w:spacing w:line="400" w:lineRule="exact"/>
              <w:rPr>
                <w:rFonts w:ascii="宋体" w:hAnsi="宋体" w:cs="宋体"/>
                <w:sz w:val="24"/>
                <w:highlight w:val="none"/>
              </w:rPr>
            </w:pPr>
            <w:r>
              <w:rPr>
                <w:rFonts w:hint="eastAsia" w:ascii="宋体" w:hAnsi="宋体" w:cs="宋体"/>
                <w:b/>
                <w:bCs/>
                <w:sz w:val="24"/>
                <w:highlight w:val="none"/>
              </w:rPr>
              <w:t xml:space="preserve">（须提供有效期内的证书扫描件）</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r>
        <w:trPr>
          <w:jc w:val="center"/>
          <w:trHeight w:val="20"/>
        </w:trPr>
        <w:tc>
          <w:tcPr>
            <w:tcW w:w="1265"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3.2</w:t>
            </w:r>
            <w:r/>
          </w:p>
        </w:tc>
        <w:tc>
          <w:tcPr>
            <w:tcW w:w="124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业绩</w:t>
            </w:r>
            <w:r/>
          </w:p>
        </w:tc>
        <w:tc>
          <w:tcPr>
            <w:tcW w:w="5226" w:type="dxa"/>
            <w:vAlign w:val="center"/>
            <w:textDirection w:val="lrTb"/>
            <w:noWrap w:val="false"/>
          </w:tcPr>
          <w:p>
            <w:pPr>
              <w:jc w:val="left"/>
              <w:spacing w:line="400" w:lineRule="exact"/>
              <w:rPr>
                <w:rFonts w:ascii="宋体" w:hAnsi="宋体" w:cs="仿宋"/>
                <w:sz w:val="24"/>
                <w:highlight w:val="none"/>
              </w:rPr>
            </w:pPr>
            <w:r>
              <w:rPr>
                <w:rFonts w:hint="eastAsia" w:ascii="宋体" w:hAnsi="宋体" w:cs="宋体"/>
                <w:sz w:val="24"/>
                <w:szCs w:val="24"/>
                <w:highlight w:val="none"/>
              </w:rPr>
              <w:t xml:space="preserve">2023年1月1日以来（以合同签订时间为准），投标人具有类似项目业绩（须包含结算清单相关内容）的，有一个得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（须提供合同扫描件)</w:t>
            </w:r>
            <w:r/>
          </w:p>
        </w:tc>
        <w:tc>
          <w:tcPr>
            <w:tcW w:w="863" w:type="dxa"/>
            <w:vAlign w:val="center"/>
            <w:textDirection w:val="lrTb"/>
            <w:noWrap w:val="false"/>
          </w:tcPr>
          <w:p>
            <w:pPr>
              <w:jc w:val="center"/>
              <w:spacing w:line="400" w:lineRule="exact"/>
              <w:rPr>
                <w:rFonts w:hint="default" w:ascii="宋体" w:hAnsi="宋体" w:eastAsiaTheme="minorEastAsia"/>
                <w:sz w:val="24"/>
                <w:lang w:val="en-US" w:eastAsia="zh-CN"/>
              </w:rPr>
            </w:pPr>
            <w:r>
              <w:rPr>
                <w:rFonts w:hint="eastAsia" w:ascii="宋体" w:hAnsi="宋体"/>
                <w:sz w:val="24"/>
                <w:lang w:val="en-US" w:eastAsia="zh-CN"/>
              </w:rPr>
              <w:t xml:space="preserve">4</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3.3</w:t>
            </w:r>
            <w:r/>
          </w:p>
        </w:tc>
        <w:tc>
          <w:tcPr>
            <w:tcW w:w="124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知识产权</w:t>
            </w:r>
            <w:r/>
          </w:p>
        </w:tc>
        <w:tc>
          <w:tcPr>
            <w:tcW w:w="5226" w:type="dxa"/>
            <w:vAlign w:val="center"/>
            <w:textDirection w:val="lrTb"/>
            <w:noWrap w:val="false"/>
          </w:tcPr>
          <w:p>
            <w:pPr>
              <w:jc w:val="left"/>
              <w:spacing w:line="400" w:lineRule="exact"/>
              <w:rPr>
                <w:rFonts w:ascii="宋体" w:hAnsi="宋体" w:cs="宋体"/>
                <w:sz w:val="24"/>
              </w:rPr>
            </w:pPr>
            <w:r>
              <w:rPr>
                <w:rFonts w:hint="eastAsia" w:ascii="宋体" w:hAnsi="宋体" w:cs="仿宋"/>
                <w:sz w:val="24"/>
                <w:szCs w:val="24"/>
              </w:rPr>
              <w:t xml:space="preserve">投标人具有</w:t>
            </w:r>
            <w:r>
              <w:rPr>
                <w:rFonts w:hint="eastAsia" w:ascii="宋体" w:hAnsi="宋体"/>
                <w:sz w:val="24"/>
                <w:szCs w:val="24"/>
              </w:rPr>
              <w:t xml:space="preserve">医保结算清单</w:t>
            </w:r>
            <w:r>
              <w:rPr>
                <w:rFonts w:hint="eastAsia" w:ascii="宋体" w:hAnsi="宋体" w:cs="仿宋"/>
                <w:sz w:val="24"/>
                <w:szCs w:val="24"/>
              </w:rPr>
              <w:t xml:space="preserve">管理、医保结算清单上传、同屏质控系统相关的计算机软件著作权登记证书的，</w:t>
            </w:r>
            <w:r>
              <w:rPr>
                <w:rFonts w:hint="eastAsia" w:ascii="宋体" w:hAnsi="宋体" w:cs="宋体"/>
                <w:sz w:val="24"/>
                <w:szCs w:val="24"/>
              </w:rPr>
              <w:t xml:space="preserve">有一个得1分，最高得3分</w:t>
            </w:r>
            <w:r>
              <w:rPr>
                <w:rFonts w:hint="eastAsia" w:ascii="宋体" w:hAnsi="宋体" w:cs="仿宋"/>
                <w:sz w:val="24"/>
                <w:szCs w:val="24"/>
              </w:rPr>
              <w:t xml:space="preserve">。</w:t>
            </w:r>
            <w:r>
              <w:rPr>
                <w:rFonts w:hint="eastAsia" w:ascii="宋体" w:hAnsi="宋体" w:cs="仿宋"/>
                <w:b/>
                <w:bCs/>
                <w:sz w:val="24"/>
                <w:szCs w:val="24"/>
                <w:highlight w:val="none"/>
              </w:rPr>
              <w:t xml:space="preserve">（须提供证书扫描件）</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3.4</w:t>
            </w:r>
            <w:r/>
          </w:p>
        </w:tc>
        <w:tc>
          <w:tcPr>
            <w:tcW w:w="1249"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项目负责人</w:t>
            </w:r>
            <w:r/>
          </w:p>
        </w:tc>
        <w:tc>
          <w:tcPr>
            <w:tcW w:w="5226"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投标人为本项目配备的项目负责人具有①</w:t>
            </w:r>
            <w:r>
              <w:rPr>
                <w:rFonts w:ascii="宋体" w:hAnsi="宋体" w:cs="宋体"/>
                <w:sz w:val="24"/>
                <w:szCs w:val="24"/>
              </w:rPr>
              <w:t xml:space="preserve">信息系统项目管理师证书</w:t>
            </w:r>
            <w:r>
              <w:rPr>
                <w:rFonts w:hint="eastAsia" w:ascii="宋体" w:hAnsi="宋体" w:cs="宋体"/>
                <w:sz w:val="24"/>
                <w:szCs w:val="24"/>
              </w:rPr>
              <w:t xml:space="preserve">、②PMP证书、③</w:t>
            </w:r>
            <w:r>
              <w:rPr>
                <w:rFonts w:ascii="宋体" w:hAnsi="宋体" w:cs="宋体"/>
                <w:sz w:val="24"/>
                <w:szCs w:val="24"/>
              </w:rPr>
              <w:t xml:space="preserve">数据库系统工程师证书</w:t>
            </w:r>
            <w:r>
              <w:rPr>
                <w:rFonts w:hint="eastAsia" w:ascii="宋体" w:hAnsi="宋体" w:cs="宋体"/>
                <w:sz w:val="24"/>
                <w:szCs w:val="24"/>
              </w:rPr>
              <w:t xml:space="preserve">的，有一项得1分，最高得3分。</w:t>
            </w:r>
            <w:r/>
          </w:p>
          <w:p>
            <w:pPr>
              <w:jc w:val="left"/>
              <w:spacing w:line="400" w:lineRule="exact"/>
              <w:rPr>
                <w:rFonts w:ascii="宋体" w:hAnsi="宋体" w:cs="宋体"/>
                <w:sz w:val="24"/>
                <w:szCs w:val="24"/>
              </w:rPr>
            </w:pPr>
            <w:r>
              <w:rPr>
                <w:rFonts w:hint="eastAsia" w:ascii="宋体" w:hAnsi="宋体" w:cs="宋体"/>
                <w:b/>
                <w:bCs/>
                <w:sz w:val="24"/>
                <w:szCs w:val="24"/>
              </w:rPr>
              <w:t xml:space="preserve">【须提供证书扫描件，且须提供本单位近3个月（含投标当月）中任意1个月份为其缴纳社保的证明扫描件】</w:t>
            </w:r>
            <w:r/>
          </w:p>
        </w:tc>
        <w:tc>
          <w:tcPr>
            <w:tcW w:w="8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65"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5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3.5</w:t>
            </w:r>
            <w:r/>
          </w:p>
        </w:tc>
        <w:tc>
          <w:tcPr>
            <w:tcW w:w="1249"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项目组其他成员</w:t>
            </w:r>
            <w:r/>
          </w:p>
        </w:tc>
        <w:tc>
          <w:tcPr>
            <w:tcW w:w="5226"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投标人为本项目配备的</w:t>
            </w:r>
            <w:r>
              <w:rPr>
                <w:rFonts w:hint="eastAsia" w:ascii="宋体" w:hAnsi="宋体"/>
                <w:bCs/>
                <w:sz w:val="24"/>
                <w:szCs w:val="24"/>
              </w:rPr>
              <w:t xml:space="preserve">项目组其他成员（项目负责人除外）</w:t>
            </w:r>
            <w:r>
              <w:rPr>
                <w:rFonts w:hint="eastAsia" w:ascii="宋体" w:hAnsi="宋体" w:cs="宋体"/>
                <w:sz w:val="24"/>
                <w:szCs w:val="24"/>
              </w:rPr>
              <w:t xml:space="preserve">中，</w:t>
            </w:r>
            <w:r>
              <w:rPr>
                <w:rFonts w:hint="eastAsia" w:ascii="宋体" w:hAnsi="宋体" w:cs="宋体"/>
                <w:sz w:val="24"/>
                <w:szCs w:val="24"/>
                <w:highlight w:val="none"/>
              </w:rPr>
              <w:t xml:space="preserve">具有</w:t>
            </w:r>
            <w:r>
              <w:rPr>
                <w:rFonts w:hint="eastAsia" w:ascii="宋体" w:hAnsi="宋体"/>
                <w:sz w:val="24"/>
                <w:szCs w:val="24"/>
                <w:highlight w:val="none"/>
              </w:rPr>
              <w:t xml:space="preserve">卫生专业技术资格证书（医学类）</w:t>
            </w:r>
            <w:r>
              <w:rPr>
                <w:rFonts w:hint="eastAsia" w:ascii="宋体" w:hAnsi="宋体" w:cs="宋体"/>
                <w:sz w:val="24"/>
                <w:szCs w:val="24"/>
                <w:highlight w:val="none"/>
              </w:rPr>
              <w:t xml:space="preserve">、软件设</w:t>
            </w:r>
            <w:r>
              <w:rPr>
                <w:rFonts w:hint="eastAsia" w:ascii="宋体" w:hAnsi="宋体" w:cs="宋体"/>
                <w:sz w:val="24"/>
                <w:szCs w:val="24"/>
              </w:rPr>
              <w:t xml:space="preserve">计师证书、信息处理技术员证书的，有一</w:t>
            </w:r>
            <w:r>
              <w:rPr>
                <w:rFonts w:hint="eastAsia" w:ascii="宋体" w:hAnsi="宋体" w:cs="宋体"/>
                <w:sz w:val="24"/>
                <w:szCs w:val="24"/>
                <w:lang w:val="en-US" w:eastAsia="zh-CN"/>
              </w:rPr>
              <w:t xml:space="preserve">项</w:t>
            </w:r>
            <w:r>
              <w:rPr>
                <w:rFonts w:hint="eastAsia" w:ascii="宋体" w:hAnsi="宋体" w:cs="宋体"/>
                <w:sz w:val="24"/>
                <w:szCs w:val="24"/>
              </w:rPr>
              <w:t xml:space="preserve">得1分，最高得</w:t>
            </w:r>
            <w:r>
              <w:rPr>
                <w:rFonts w:hint="eastAsia" w:ascii="宋体" w:hAnsi="宋体" w:cs="宋体"/>
                <w:sz w:val="24"/>
                <w:szCs w:val="24"/>
                <w:lang w:val="en-US" w:eastAsia="zh-CN"/>
              </w:rPr>
              <w:t xml:space="preserve">3</w:t>
            </w:r>
            <w:bookmarkStart w:id="22" w:name="_GoBack"/>
            <w:r/>
            <w:bookmarkEnd w:id="22"/>
            <w:r>
              <w:rPr>
                <w:rFonts w:hint="eastAsia" w:ascii="宋体" w:hAnsi="宋体" w:cs="宋体"/>
                <w:sz w:val="24"/>
                <w:szCs w:val="24"/>
              </w:rPr>
              <w:t xml:space="preserve">分。</w:t>
            </w:r>
            <w:r/>
          </w:p>
          <w:p>
            <w:pPr>
              <w:jc w:val="left"/>
              <w:spacing w:line="400" w:lineRule="exact"/>
              <w:rPr>
                <w:rFonts w:ascii="宋体" w:hAnsi="宋体" w:cs="宋体"/>
                <w:sz w:val="24"/>
                <w:szCs w:val="24"/>
              </w:rPr>
            </w:pPr>
            <w:r>
              <w:rPr>
                <w:rFonts w:hint="eastAsia" w:ascii="宋体" w:hAnsi="宋体" w:cs="宋体"/>
                <w:b/>
                <w:bCs/>
                <w:sz w:val="24"/>
                <w:szCs w:val="24"/>
              </w:rPr>
              <w:t xml:space="preserve">【同一人员多张证书不重复得分。须提供证书扫描件，且须提供本单位近3个月（含投标当月）中任意1个月份为其缴纳社保的证明扫描件】</w:t>
            </w:r>
            <w:r/>
          </w:p>
        </w:tc>
        <w:tc>
          <w:tcPr>
            <w:tcW w:w="863" w:type="dxa"/>
            <w:vAlign w:val="center"/>
            <w:textDirection w:val="lrTb"/>
            <w:noWrap w:val="false"/>
          </w:tcPr>
          <w:p>
            <w:pPr>
              <w:jc w:val="center"/>
              <w:spacing w:line="400" w:lineRule="exact"/>
              <w:rPr>
                <w:rFonts w:hint="default" w:ascii="宋体" w:hAnsi="宋体" w:eastAsiaTheme="minorEastAsia"/>
                <w:sz w:val="24"/>
                <w:szCs w:val="24"/>
                <w:lang w:val="en-US" w:eastAsia="zh-CN"/>
              </w:rPr>
            </w:pPr>
            <w:r>
              <w:rPr>
                <w:rFonts w:hint="eastAsia" w:ascii="宋体" w:hAnsi="宋体"/>
                <w:sz w:val="24"/>
                <w:szCs w:val="24"/>
                <w:lang w:val="en-US" w:eastAsia="zh-CN"/>
              </w:rPr>
              <w:t xml:space="preserve">3</w:t>
            </w:r>
            <w:bookmarkEnd w:id="11"/>
            <w:r/>
            <w:r/>
          </w:p>
        </w:tc>
      </w:tr>
    </w:tbl>
    <w:p>
      <w:r/>
      <w:bookmarkStart w:id="14" w:name="_Toc213847317"/>
      <w:r/>
      <w:r/>
    </w:p>
    <w:p>
      <w:pPr>
        <w:spacing w:line="400" w:lineRule="exact"/>
        <w:rPr>
          <w:rFonts w:hint="eastAsia" w:ascii="黑体" w:hAnsi="黑体" w:eastAsia="黑体" w:cs="Times New Roman"/>
          <w:sz w:val="28"/>
          <w:szCs w:val="28"/>
        </w:rPr>
        <w:outlineLvl w:val="1"/>
      </w:pPr>
      <w:r>
        <w:rPr>
          <w:rFonts w:hint="eastAsia" w:ascii="黑体" w:hAnsi="黑体" w:eastAsia="黑体" w:cs="Times New Roman"/>
          <w:sz w:val="24"/>
          <w:szCs w:val="24"/>
        </w:rPr>
        <w:t xml:space="preserve">第</w:t>
      </w:r>
      <w:r>
        <w:rPr>
          <w:rFonts w:hint="eastAsia" w:ascii="黑体" w:hAnsi="黑体" w:eastAsia="黑体" w:cs="Times New Roman"/>
          <w:sz w:val="24"/>
          <w:szCs w:val="24"/>
          <w:lang w:val="en-US" w:eastAsia="zh-CN"/>
        </w:rPr>
        <w:t xml:space="preserve">二</w:t>
      </w:r>
      <w:r>
        <w:rPr>
          <w:rFonts w:hint="eastAsia" w:ascii="黑体" w:hAnsi="黑体" w:eastAsia="黑体" w:cs="Times New Roman"/>
          <w:sz w:val="24"/>
          <w:szCs w:val="24"/>
        </w:rPr>
        <w:t xml:space="preserve">包：</w:t>
      </w:r>
      <w:r/>
    </w:p>
    <w:tbl>
      <w:tblPr>
        <w:tblStyle w:val="863"/>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870"/>
        <w:gridCol w:w="1236"/>
        <w:gridCol w:w="5244"/>
        <w:gridCol w:w="858"/>
      </w:tblGrid>
      <w:tr>
        <w:trPr>
          <w:jc w:val="center"/>
          <w:trHeight w:val="20"/>
        </w:trPr>
        <w:tc>
          <w:tcPr>
            <w:tcW w:w="1251"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87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评分因素</w:t>
            </w:r>
            <w:r/>
          </w:p>
        </w:tc>
        <w:tc>
          <w:tcPr>
            <w:tcW w:w="5244"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858"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25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（20分）</w:t>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tcW w:w="5244"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满足招标文件要求且投标价格最低的投标报价为评标基准价，其价格分为满分。其他投标人的价格分按照下列公式计算： </w:t>
            </w:r>
            <w:r>
              <w:rPr>
                <w:rFonts w:ascii="宋体" w:hAnsi="宋体"/>
                <w:sz w:val="24"/>
              </w:rPr>
              <w:t xml:space="preserve">                                 </w:t>
            </w:r>
            <w:r>
              <w:rPr>
                <w:rFonts w:hint="eastAsia" w:ascii="宋体" w:hAnsi="宋体"/>
                <w:sz w:val="24"/>
              </w:rPr>
              <w:t xml:space="preserve">投标报价得分＝（评标基准价/投标报价）×20分</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w:t>
            </w:r>
            <w:r/>
          </w:p>
        </w:tc>
      </w:tr>
      <w:tr>
        <w:trPr>
          <w:jc w:val="center"/>
          <w:trHeight w:val="20"/>
        </w:trPr>
        <w:tc>
          <w:tcPr>
            <w:tcW w:w="125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（62分）</w:t>
            </w:r>
            <w:r/>
          </w:p>
        </w:tc>
        <w:tc>
          <w:tcPr>
            <w:tcW w:w="87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w:t>
            </w:r>
            <w:r/>
          </w:p>
        </w:tc>
        <w:tc>
          <w:tcPr>
            <w:tcW w:w="123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技术指标响应情况</w:t>
            </w:r>
            <w:r/>
          </w:p>
        </w:tc>
        <w:tc>
          <w:tcPr>
            <w:tcW w:w="5244" w:type="dxa"/>
            <w:vAlign w:val="center"/>
            <w:textDirection w:val="lrTb"/>
            <w:noWrap w:val="false"/>
          </w:tcPr>
          <w:p>
            <w:pPr>
              <w:spacing w:line="400" w:lineRule="exact"/>
              <w:rPr>
                <w:rFonts w:hint="eastAsia" w:ascii="宋体" w:hAnsi="宋体" w:cs="宋体"/>
                <w:sz w:val="24"/>
              </w:rPr>
            </w:pPr>
            <w:r>
              <w:rPr>
                <w:rFonts w:hint="eastAsia" w:ascii="宋体" w:eastAsia="宋体"/>
                <w:sz w:val="24"/>
                <w:highlight w:val="none"/>
              </w:rPr>
              <w:t xml:space="preserve">根据《</w:t>
            </w:r>
            <w:r>
              <w:rPr>
                <w:rFonts w:hint="eastAsia" w:ascii="宋体" w:hAnsi="宋体" w:eastAsia="宋体" w:cs="Times New Roman"/>
                <w:sz w:val="24"/>
                <w:szCs w:val="24"/>
              </w:rPr>
              <w:t xml:space="preserve">分项报价表</w:t>
            </w:r>
            <w:r>
              <w:rPr>
                <w:rFonts w:hint="eastAsia" w:ascii="宋体" w:eastAsia="宋体"/>
                <w:sz w:val="24"/>
                <w:highlight w:val="none"/>
              </w:rPr>
              <w:t xml:space="preserve">》</w:t>
            </w:r>
            <w:r>
              <w:rPr>
                <w:rFonts w:hint="eastAsia" w:ascii="宋体" w:eastAsia="宋体"/>
                <w:sz w:val="24"/>
                <w:highlight w:val="none"/>
                <w:lang w:eastAsia="zh-CN"/>
              </w:rPr>
              <w:t xml:space="preserve">、</w:t>
            </w:r>
            <w:r>
              <w:rPr>
                <w:rFonts w:hint="eastAsia" w:ascii="宋体" w:eastAsia="宋体"/>
                <w:sz w:val="24"/>
                <w:highlight w:val="none"/>
              </w:rPr>
              <w:t xml:space="preserve">《</w:t>
            </w:r>
            <w:r>
              <w:rPr>
                <w:rFonts w:hint="eastAsia" w:ascii="宋体" w:hAnsi="宋体" w:eastAsia="宋体" w:cs="Times New Roman"/>
                <w:sz w:val="24"/>
                <w:szCs w:val="24"/>
              </w:rPr>
              <w:t xml:space="preserve">商务、技术要求响应及偏离表</w:t>
            </w:r>
            <w:r>
              <w:rPr>
                <w:rFonts w:hint="eastAsia" w:ascii="宋体" w:eastAsia="宋体"/>
                <w:sz w:val="24"/>
                <w:highlight w:val="none"/>
              </w:rPr>
              <w:t xml:space="preserve">》等对</w:t>
            </w:r>
            <w:r>
              <w:rPr>
                <w:rFonts w:hint="eastAsia" w:ascii="宋体" w:eastAsia="宋体"/>
                <w:b/>
                <w:bCs/>
                <w:sz w:val="24"/>
                <w:highlight w:val="none"/>
              </w:rPr>
              <w:t xml:space="preserve">“</w:t>
            </w:r>
            <w:r>
              <w:rPr>
                <w:rFonts w:hint="eastAsia" w:ascii="宋体" w:hAnsi="宋体" w:eastAsia="宋体" w:cs="宋体"/>
                <w:b/>
                <w:bCs/>
                <w:sz w:val="24"/>
                <w:szCs w:val="24"/>
                <w:highlight w:val="none"/>
              </w:rPr>
              <w:t xml:space="preserve">详细技术参数要求</w:t>
            </w:r>
            <w:r>
              <w:rPr>
                <w:rFonts w:hint="eastAsia" w:ascii="宋体" w:eastAsia="宋体"/>
                <w:b/>
                <w:bCs/>
                <w:sz w:val="24"/>
                <w:highlight w:val="none"/>
              </w:rPr>
              <w:t xml:space="preserve">”</w:t>
            </w:r>
            <w:r>
              <w:rPr>
                <w:rFonts w:hint="eastAsia" w:ascii="宋体" w:eastAsia="宋体"/>
                <w:sz w:val="24"/>
                <w:highlight w:val="none"/>
              </w:rPr>
              <w:t xml:space="preserve">部分的性能、技术参数的响应情况进行评审打分：全部符合招标文件要求，无负偏离得</w:t>
            </w:r>
            <w:r>
              <w:rPr>
                <w:rFonts w:hint="eastAsia" w:ascii="宋体"/>
                <w:sz w:val="24"/>
                <w:highlight w:val="none"/>
                <w:lang w:val="en-US" w:eastAsia="zh-CN"/>
              </w:rPr>
              <w:t xml:space="preserve">29</w:t>
            </w:r>
            <w:r>
              <w:rPr>
                <w:rFonts w:hint="eastAsia" w:ascii="宋体" w:eastAsia="宋体"/>
                <w:sz w:val="24"/>
                <w:highlight w:val="none"/>
              </w:rPr>
              <w:t xml:space="preserve">分，打“</w:t>
            </w:r>
            <w:r>
              <w:rPr>
                <w:rFonts w:hint="eastAsia" w:ascii="宋体" w:eastAsia="宋体" w:cs="宋体"/>
                <w:b/>
                <w:bCs/>
                <w:sz w:val="24"/>
                <w:highlight w:val="none"/>
              </w:rPr>
              <w:t xml:space="preserve">★</w:t>
            </w:r>
            <w:r>
              <w:rPr>
                <w:rFonts w:hint="eastAsia" w:ascii="宋体" w:eastAsia="宋体"/>
                <w:sz w:val="24"/>
                <w:highlight w:val="none"/>
              </w:rPr>
              <w:t xml:space="preserve">”项有一项负偏离扣</w:t>
            </w:r>
            <w:r>
              <w:rPr>
                <w:rFonts w:hint="eastAsia" w:ascii="宋体"/>
                <w:sz w:val="24"/>
                <w:highlight w:val="none"/>
                <w:lang w:val="en-US" w:eastAsia="zh-CN"/>
              </w:rPr>
              <w:t xml:space="preserve">2</w:t>
            </w:r>
            <w:r>
              <w:rPr>
                <w:rFonts w:hint="eastAsia" w:ascii="宋体" w:eastAsia="宋体"/>
                <w:sz w:val="24"/>
                <w:highlight w:val="none"/>
              </w:rPr>
              <w:t xml:space="preserve">分，其余项有一项负偏离扣</w:t>
            </w:r>
            <w:r>
              <w:rPr>
                <w:rFonts w:hint="eastAsia" w:ascii="宋体" w:eastAsia="宋体"/>
                <w:sz w:val="24"/>
                <w:highlight w:val="none"/>
                <w:lang w:val="en-US" w:eastAsia="zh-CN"/>
              </w:rPr>
              <w:t xml:space="preserve">0.5</w:t>
            </w:r>
            <w:r>
              <w:rPr>
                <w:rFonts w:hint="eastAsia" w:ascii="宋体" w:eastAsia="宋体"/>
                <w:sz w:val="24"/>
                <w:highlight w:val="none"/>
              </w:rPr>
              <w:t xml:space="preserve">分</w:t>
            </w:r>
            <w:r>
              <w:rPr>
                <w:rFonts w:hint="eastAsia" w:ascii="宋体" w:eastAsia="宋体"/>
                <w:sz w:val="24"/>
                <w:highlight w:val="none"/>
              </w:rPr>
              <w:t xml:space="preserve">，扣完为止。</w:t>
            </w:r>
            <w:r/>
          </w:p>
          <w:p>
            <w:pPr>
              <w:jc w:val="left"/>
              <w:spacing w:line="400" w:lineRule="exact"/>
              <w:rPr>
                <w:rFonts w:hint="eastAsia" w:ascii="宋体" w:hAnsi="宋体" w:cs="宋体"/>
                <w:sz w:val="24"/>
              </w:rPr>
            </w:pPr>
            <w:r>
              <w:rPr>
                <w:rFonts w:hint="eastAsia" w:ascii="宋体" w:eastAsia="宋体"/>
                <w:b/>
                <w:bCs/>
                <w:sz w:val="24"/>
                <w:highlight w:val="none"/>
              </w:rPr>
              <w:t xml:space="preserve">(未按要求提供证明材料的视为负偏离)</w:t>
            </w:r>
            <w:r/>
          </w:p>
        </w:tc>
        <w:tc>
          <w:tcPr>
            <w:tcW w:w="858" w:type="dxa"/>
            <w:vAlign w:val="center"/>
            <w:textDirection w:val="lrTb"/>
            <w:noWrap w:val="false"/>
          </w:tcPr>
          <w:p>
            <w:pPr>
              <w:jc w:val="center"/>
              <w:spacing w:line="400" w:lineRule="exact"/>
              <w:rPr>
                <w:rFonts w:hint="default" w:ascii="宋体" w:hAnsi="宋体" w:cs="宋体" w:eastAsiaTheme="minorEastAsia"/>
                <w:sz w:val="24"/>
                <w:lang w:val="en-US" w:eastAsia="zh-CN"/>
              </w:rPr>
            </w:pPr>
            <w:r>
              <w:rPr>
                <w:rFonts w:hint="eastAsia" w:ascii="宋体" w:hAnsi="宋体" w:cs="宋体"/>
                <w:sz w:val="24"/>
                <w:lang w:val="en-US" w:eastAsia="zh-CN"/>
              </w:rPr>
              <w:t xml:space="preserve">29</w:t>
            </w:r>
            <w:r/>
          </w:p>
        </w:tc>
      </w:tr>
      <w:tr>
        <w:trPr>
          <w:jc w:val="center"/>
          <w:trHeight w:val="20"/>
        </w:trPr>
        <w:tc>
          <w:tcPr>
            <w:tcW w:w="125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2.2</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项目需求理解</w:t>
            </w:r>
            <w:r/>
          </w:p>
        </w:tc>
        <w:tc>
          <w:tcPr>
            <w:tcW w:w="5244"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cs="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2.3</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系统设计方案</w:t>
            </w:r>
            <w:r/>
          </w:p>
        </w:tc>
        <w:tc>
          <w:tcPr>
            <w:tcW w:w="5244" w:type="dxa"/>
            <w:vAlign w:val="center"/>
            <w:textDirection w:val="lrTb"/>
            <w:noWrap w:val="false"/>
          </w:tcPr>
          <w:p>
            <w:pPr>
              <w:contextualSpacing/>
              <w:jc w:val="left"/>
              <w:spacing w:line="400" w:lineRule="exact"/>
              <w:rPr>
                <w:rFonts w:ascii="宋体" w:hAnsi="宋体" w:cs="宋体"/>
                <w:sz w:val="24"/>
                <w:szCs w:val="24"/>
              </w:rPr>
            </w:pPr>
            <w:r>
              <w:rPr>
                <w:rFonts w:hint="eastAsia" w:ascii="宋体" w:hAnsi="宋体" w:cs="宋体"/>
                <w:sz w:val="24"/>
                <w:szCs w:val="24"/>
              </w:rPr>
              <w:t xml:space="preserve">投标人针对本项目提供系统设计方案，包括①总体架构设计方案、②关键功能模块设计方案，方案内容描述全面合理符合采购需求的得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分，每有一项内容缺失的扣</w:t>
            </w:r>
            <w:r>
              <w:rPr>
                <w:rFonts w:hint="eastAsia" w:ascii="宋体" w:hAnsi="宋体" w:cs="宋体"/>
                <w:sz w:val="24"/>
                <w:szCs w:val="24"/>
                <w:lang w:val="en-US" w:eastAsia="zh-CN"/>
              </w:rPr>
              <w:t xml:space="preserve">3</w:t>
            </w:r>
            <w:r>
              <w:rPr>
                <w:rFonts w:hint="eastAsia" w:ascii="宋体" w:hAnsi="宋体" w:cs="宋体"/>
                <w:sz w:val="24"/>
                <w:szCs w:val="24"/>
              </w:rPr>
              <w:t xml:space="preserve">分；每有一项内容存在缺陷或不满足要求的扣</w:t>
            </w:r>
            <w:r>
              <w:rPr>
                <w:rFonts w:hint="eastAsia" w:ascii="宋体" w:hAnsi="宋体" w:cs="宋体"/>
                <w:sz w:val="24"/>
                <w:szCs w:val="24"/>
                <w:lang w:val="en-US" w:eastAsia="zh-CN"/>
              </w:rPr>
              <w:t xml:space="preserve">1.5</w:t>
            </w:r>
            <w:r>
              <w:rPr>
                <w:rFonts w:hint="eastAsia" w:ascii="宋体" w:hAnsi="宋体" w:cs="宋体"/>
                <w:sz w:val="24"/>
                <w:szCs w:val="24"/>
              </w:rPr>
              <w:t xml:space="preserve">分，扣完为止。</w:t>
            </w:r>
            <w:r/>
          </w:p>
          <w:p>
            <w:pPr>
              <w:contextualSpacing/>
              <w:jc w:val="left"/>
              <w:spacing w:line="400" w:lineRule="exact"/>
              <w:rPr>
                <w:rFonts w:ascii="宋体" w:hAnsi="宋体" w:cs="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hint="eastAsia" w:ascii="宋体" w:hAnsi="宋体" w:eastAsiaTheme="minorEastAsia"/>
                <w:sz w:val="24"/>
                <w:lang w:eastAsia="zh-CN"/>
              </w:rPr>
            </w:pPr>
            <w:r>
              <w:rPr>
                <w:rFonts w:hint="eastAsia" w:ascii="宋体" w:hAnsi="宋体"/>
                <w:sz w:val="24"/>
                <w:lang w:val="en-US" w:eastAsia="zh-CN"/>
              </w:rPr>
              <w:t xml:space="preserve">6</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2.4</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系统对接方案</w:t>
            </w:r>
            <w:r/>
          </w:p>
        </w:tc>
        <w:tc>
          <w:tcPr>
            <w:tcW w:w="5244" w:type="dxa"/>
            <w:vAlign w:val="center"/>
            <w:textDirection w:val="lrTb"/>
            <w:noWrap w:val="false"/>
          </w:tcPr>
          <w:p>
            <w:pPr>
              <w:contextualSpacing/>
              <w:jc w:val="left"/>
              <w:spacing w:line="400" w:lineRule="exact"/>
              <w:rPr>
                <w:rFonts w:ascii="宋体" w:hAnsi="宋体" w:cs="宋体"/>
                <w:sz w:val="24"/>
              </w:rPr>
            </w:pPr>
            <w:r>
              <w:rPr>
                <w:rFonts w:hint="eastAsia" w:ascii="宋体" w:hAnsi="宋体"/>
                <w:bCs/>
                <w:sz w:val="24"/>
                <w:szCs w:val="24"/>
              </w:rPr>
              <w:t xml:space="preserve">考察投标人</w:t>
            </w:r>
            <w:r>
              <w:rPr>
                <w:rFonts w:hint="eastAsia" w:ascii="宋体" w:hAnsi="宋体"/>
                <w:bCs/>
                <w:sz w:val="24"/>
                <w:szCs w:val="24"/>
                <w:lang w:val="en-US" w:eastAsia="zh-CN"/>
              </w:rPr>
              <w:t xml:space="preserve">提供</w:t>
            </w:r>
            <w:r>
              <w:rPr>
                <w:rFonts w:hint="eastAsia" w:ascii="宋体" w:hAnsi="宋体"/>
                <w:bCs/>
                <w:sz w:val="24"/>
                <w:szCs w:val="24"/>
              </w:rPr>
              <w:t xml:space="preserve">的软件系统与医院HIS、EMR等业务系统进行对接的技术方案的先进性、灵活性、稳定性</w:t>
            </w:r>
            <w:r>
              <w:rPr>
                <w:bCs/>
                <w:sz w:val="24"/>
                <w:szCs w:val="24"/>
              </w:rPr>
              <w:t xml:space="preserve">。</w:t>
            </w:r>
            <w:r>
              <w:rPr>
                <w:rFonts w:hint="eastAsia"/>
                <w:bCs/>
                <w:sz w:val="24"/>
                <w:szCs w:val="24"/>
              </w:rPr>
              <w:t xml:space="preserve">包括</w:t>
            </w:r>
            <w:r>
              <w:rPr>
                <w:rFonts w:hint="eastAsia" w:ascii="宋体" w:hAnsi="宋体" w:cs="宋体"/>
                <w:sz w:val="24"/>
              </w:rPr>
              <w:t xml:space="preserve">①系统总体对接方案②与各个系统的详细对接方案。方案内容描述全面合理符合采购需求的得6分，每有一项内容缺失的扣3分；每有一项内容存在缺陷或不满足要求的扣1.5分，扣完为止。</w:t>
            </w:r>
            <w:r/>
          </w:p>
          <w:p>
            <w:pPr>
              <w:contextualSpacing/>
              <w:jc w:val="left"/>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hint="default" w:ascii="宋体" w:hAnsi="宋体" w:eastAsiaTheme="minorEastAsia"/>
                <w:sz w:val="24"/>
                <w:lang w:val="en-US" w:eastAsia="zh-CN"/>
              </w:rPr>
            </w:pPr>
            <w:r>
              <w:rPr>
                <w:rFonts w:hint="eastAsia" w:ascii="宋体" w:hAnsi="宋体"/>
                <w:sz w:val="24"/>
                <w:lang w:val="en-US" w:eastAsia="zh-CN"/>
              </w:rPr>
              <w:t xml:space="preserve">2.5</w:t>
            </w:r>
            <w:r/>
          </w:p>
        </w:tc>
        <w:tc>
          <w:tcPr>
            <w:tcW w:w="1236" w:type="dxa"/>
            <w:vAlign w:val="center"/>
            <w:textDirection w:val="lrTb"/>
            <w:noWrap w:val="false"/>
          </w:tcPr>
          <w:p>
            <w:pPr>
              <w:jc w:val="center"/>
              <w:spacing w:line="400" w:lineRule="exact"/>
              <w:rPr>
                <w:rFonts w:hint="eastAsia" w:ascii="宋体" w:hAnsi="宋体" w:eastAsiaTheme="minorEastAsia"/>
                <w:sz w:val="24"/>
                <w:lang w:eastAsia="zh-CN"/>
              </w:rPr>
            </w:pPr>
            <w:r>
              <w:rPr>
                <w:rFonts w:hint="eastAsia" w:ascii="宋体" w:hAnsi="宋体"/>
                <w:sz w:val="24"/>
                <w:lang w:eastAsia="zh-CN"/>
              </w:rPr>
              <w:t xml:space="preserve">实施方案</w:t>
            </w:r>
            <w:r/>
          </w:p>
        </w:tc>
        <w:tc>
          <w:tcPr>
            <w:tcW w:w="524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方案内容描述全面合理符合采购需求的得8分，每有一项内容缺失的扣2分；每有一项内容存在缺陷或不满足要求的扣1分，扣完为止。</w:t>
            </w:r>
            <w:r/>
          </w:p>
          <w:p>
            <w:pPr>
              <w:contextualSpacing/>
              <w:jc w:val="left"/>
              <w:spacing w:line="400" w:lineRule="exact"/>
              <w:rPr>
                <w:rFonts w:hint="eastAsia" w:ascii="宋体" w:hAnsi="宋体"/>
                <w:sz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lang w:val="en-US" w:eastAsia="zh-CN"/>
              </w:rPr>
              <w:t xml:space="preserve">8</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2.</w:t>
            </w:r>
            <w:r>
              <w:rPr>
                <w:rFonts w:hint="eastAsia" w:ascii="宋体" w:hAnsi="宋体"/>
                <w:sz w:val="24"/>
                <w:lang w:val="en-US" w:eastAsia="zh-CN"/>
              </w:rPr>
              <w:t xml:space="preserve">6</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tcW w:w="5244"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hint="eastAsia" w:ascii="宋体" w:hAnsi="宋体"/>
                <w:sz w:val="24"/>
                <w:szCs w:val="24"/>
              </w:rPr>
              <w:t xml:space="preserve">培训方案</w:t>
            </w:r>
            <w:r>
              <w:rPr>
                <w:rFonts w:hint="eastAsia" w:ascii="宋体" w:hAnsi="宋体" w:cs="宋体"/>
                <w:sz w:val="24"/>
                <w:szCs w:val="24"/>
              </w:rPr>
              <w:t xml:space="preserve">，包括①培训计划、②培训方式、③培训人员配置</w:t>
            </w:r>
            <w:r>
              <w:rPr>
                <w:rFonts w:hint="eastAsia" w:ascii="宋体" w:hAnsi="宋体"/>
                <w:sz w:val="24"/>
                <w:szCs w:val="24"/>
              </w:rPr>
              <w:t xml:space="preserve">，</w:t>
            </w:r>
            <w:r>
              <w:rPr>
                <w:rFonts w:hint="eastAsia" w:ascii="宋体" w:hAnsi="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2.</w:t>
            </w:r>
            <w:r>
              <w:rPr>
                <w:rFonts w:hint="eastAsia" w:ascii="宋体" w:hAnsi="宋体"/>
                <w:sz w:val="24"/>
                <w:lang w:val="en-US" w:eastAsia="zh-CN"/>
              </w:rPr>
              <w:t xml:space="preserve">7</w:t>
            </w:r>
            <w:r/>
          </w:p>
        </w:tc>
        <w:tc>
          <w:tcPr>
            <w:tcW w:w="1236" w:type="dxa"/>
            <w:vAlign w:val="center"/>
            <w:textDirection w:val="lrTb"/>
            <w:noWrap w:val="false"/>
          </w:tcPr>
          <w:p>
            <w:pPr>
              <w:jc w:val="center"/>
              <w:spacing w:line="400" w:lineRule="exact"/>
              <w:rPr>
                <w:rFonts w:ascii="宋体" w:hAnsi="宋体"/>
                <w:sz w:val="24"/>
              </w:rPr>
            </w:pPr>
            <w:r>
              <w:rPr>
                <w:rFonts w:ascii="宋体" w:hAnsi="宋体"/>
                <w:sz w:val="24"/>
              </w:rPr>
              <w:t xml:space="preserve">售后服务方案</w:t>
            </w:r>
            <w:r/>
          </w:p>
        </w:tc>
        <w:tc>
          <w:tcPr>
            <w:tcW w:w="5244"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ascii="宋体" w:hAnsi="宋体"/>
                <w:sz w:val="24"/>
                <w:szCs w:val="24"/>
              </w:rPr>
              <w:t xml:space="preserve">售后服务方案</w:t>
            </w:r>
            <w:r>
              <w:rPr>
                <w:rFonts w:hint="eastAsia" w:ascii="宋体" w:hAnsi="宋体" w:cs="宋体"/>
                <w:sz w:val="24"/>
                <w:szCs w:val="24"/>
              </w:rPr>
              <w:t xml:space="preserve">，包括①售后服务内容、②故障应急响应时间、③应急处置预案及措施、④维护服务人员保障体系</w:t>
            </w:r>
            <w:r>
              <w:rPr>
                <w:rFonts w:hint="eastAsia" w:ascii="宋体" w:hAnsi="宋体"/>
                <w:sz w:val="24"/>
                <w:szCs w:val="24"/>
              </w:rPr>
              <w:t xml:space="preserve">，</w:t>
            </w:r>
            <w:r>
              <w:rPr>
                <w:rFonts w:hint="eastAsia" w:ascii="宋体" w:hAnsi="宋体" w:cs="宋体"/>
                <w:sz w:val="24"/>
                <w:szCs w:val="24"/>
              </w:rPr>
              <w:t xml:space="preserve">方案内容描述全面合理符合采购需求的得</w:t>
            </w:r>
            <w:r>
              <w:rPr>
                <w:rFonts w:hint="eastAsia" w:ascii="宋体" w:hAnsi="宋体" w:cs="宋体"/>
                <w:sz w:val="24"/>
                <w:szCs w:val="24"/>
                <w:lang w:val="en-US" w:eastAsia="zh-CN"/>
              </w:rPr>
              <w:t xml:space="preserve">4</w:t>
            </w:r>
            <w:r>
              <w:rPr>
                <w:rFonts w:hint="eastAsia" w:ascii="宋体" w:hAnsi="宋体" w:cs="宋体"/>
                <w:sz w:val="24"/>
                <w:szCs w:val="24"/>
              </w:rPr>
              <w:t xml:space="preserve">分，每有一项内容缺失的扣1分；每有一项内容存在缺陷或不满足要求的扣0.5分，扣完为止。</w:t>
            </w:r>
            <w:r/>
          </w:p>
          <w:p>
            <w:pPr>
              <w:jc w:val="left"/>
              <w:spacing w:line="400" w:lineRule="exact"/>
              <w:rPr>
                <w:rFonts w:ascii="宋体" w:hAnsi="宋体"/>
                <w:sz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8"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lang w:val="en-US" w:eastAsia="zh-CN"/>
              </w:rPr>
              <w:t xml:space="preserve">4</w:t>
            </w:r>
            <w:r/>
          </w:p>
        </w:tc>
      </w:tr>
      <w:tr>
        <w:trPr>
          <w:jc w:val="center"/>
          <w:trHeight w:val="20"/>
        </w:trPr>
        <w:tc>
          <w:tcPr>
            <w:tcW w:w="125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（18分）</w:t>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3.1</w:t>
            </w:r>
            <w:r/>
          </w:p>
        </w:tc>
        <w:tc>
          <w:tcPr>
            <w:tcW w:w="123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综合实力</w:t>
            </w:r>
            <w:r/>
          </w:p>
        </w:tc>
        <w:tc>
          <w:tcPr>
            <w:tcW w:w="5244" w:type="dxa"/>
            <w:vAlign w:val="center"/>
            <w:textDirection w:val="lrTb"/>
            <w:noWrap w:val="false"/>
          </w:tcPr>
          <w:p>
            <w:pPr>
              <w:jc w:val="left"/>
              <w:spacing w:line="400" w:lineRule="exact"/>
              <w:rPr>
                <w:rFonts w:ascii="宋体" w:hAnsi="宋体" w:cs="宋体"/>
                <w:sz w:val="24"/>
                <w:szCs w:val="24"/>
              </w:rPr>
            </w:pPr>
            <w:r>
              <w:rPr>
                <w:rFonts w:ascii="宋体" w:hAnsi="宋体" w:cs="宋体"/>
                <w:sz w:val="24"/>
                <w:szCs w:val="24"/>
              </w:rPr>
              <w:t xml:space="preserve">投标人具有</w:t>
            </w:r>
            <w:r>
              <w:rPr>
                <w:rFonts w:hint="eastAsia" w:ascii="宋体" w:hAnsi="宋体" w:cs="宋体"/>
                <w:sz w:val="24"/>
                <w:szCs w:val="24"/>
                <w:highlight w:val="none"/>
              </w:rPr>
              <w:t xml:space="preserve">①</w:t>
            </w:r>
            <w:r>
              <w:rPr>
                <w:rFonts w:ascii="宋体" w:hAnsi="宋体" w:cs="宋体"/>
                <w:sz w:val="24"/>
                <w:highlight w:val="none"/>
              </w:rPr>
              <w:t xml:space="preserve">知识产权</w:t>
            </w:r>
            <w:r>
              <w:rPr>
                <w:rFonts w:hint="eastAsia" w:ascii="宋体" w:hAnsi="宋体" w:cs="宋体"/>
                <w:sz w:val="24"/>
                <w:highlight w:val="none"/>
                <w:lang w:eastAsia="zh-CN"/>
              </w:rPr>
              <w:t xml:space="preserve">合规</w:t>
            </w:r>
            <w:r>
              <w:rPr>
                <w:rFonts w:ascii="宋体" w:hAnsi="宋体" w:cs="宋体"/>
                <w:sz w:val="24"/>
                <w:highlight w:val="none"/>
              </w:rPr>
              <w:t xml:space="preserve">管理体系认证证书</w:t>
            </w:r>
            <w:r>
              <w:rPr>
                <w:rFonts w:hint="eastAsia" w:ascii="宋体" w:hAnsi="宋体" w:cs="宋体"/>
                <w:sz w:val="24"/>
                <w:highlight w:val="none"/>
              </w:rPr>
              <w:t xml:space="preserve">、</w:t>
            </w:r>
            <w:r>
              <w:rPr>
                <w:rFonts w:hint="eastAsia" w:ascii="宋体" w:hAnsi="宋体" w:cs="宋体"/>
                <w:sz w:val="24"/>
                <w:szCs w:val="24"/>
              </w:rPr>
              <w:t xml:space="preserve">②</w:t>
            </w:r>
            <w:r>
              <w:rPr>
                <w:rFonts w:ascii="宋体" w:hAnsi="宋体" w:cs="宋体"/>
                <w:sz w:val="24"/>
                <w:szCs w:val="24"/>
              </w:rPr>
              <w:t xml:space="preserve">售后服务认证证书</w:t>
            </w:r>
            <w:r>
              <w:rPr>
                <w:rFonts w:hint="eastAsia" w:ascii="宋体" w:hAnsi="宋体" w:cs="宋体"/>
                <w:sz w:val="24"/>
                <w:szCs w:val="24"/>
              </w:rPr>
              <w:t xml:space="preserve">、③</w:t>
            </w:r>
            <w:r>
              <w:rPr>
                <w:rFonts w:ascii="宋体" w:hAnsi="宋体" w:cs="宋体"/>
                <w:sz w:val="24"/>
                <w:szCs w:val="24"/>
              </w:rPr>
              <w:t xml:space="preserve">IS027701隐私信息管理体系认证证书</w:t>
            </w:r>
            <w:r>
              <w:rPr>
                <w:rFonts w:hint="eastAsia" w:ascii="宋体" w:hAnsi="宋体" w:cs="宋体"/>
                <w:sz w:val="24"/>
                <w:szCs w:val="24"/>
              </w:rPr>
              <w:t xml:space="preserve">、④</w:t>
            </w:r>
            <w:r>
              <w:rPr>
                <w:rFonts w:ascii="宋体" w:hAnsi="宋体" w:cs="宋体"/>
                <w:sz w:val="24"/>
                <w:szCs w:val="24"/>
              </w:rPr>
              <w:t xml:space="preserve">IS022301业务</w:t>
            </w:r>
            <w:r>
              <w:rPr>
                <w:rFonts w:hint="eastAsia" w:ascii="宋体" w:hAnsi="宋体" w:cs="宋体"/>
                <w:sz w:val="24"/>
                <w:szCs w:val="24"/>
                <w:lang w:val="en-US" w:eastAsia="zh-CN"/>
              </w:rPr>
              <w:t xml:space="preserve">连续性</w:t>
            </w:r>
            <w:r>
              <w:rPr>
                <w:rFonts w:ascii="宋体" w:hAnsi="宋体" w:cs="宋体"/>
                <w:sz w:val="24"/>
                <w:szCs w:val="24"/>
              </w:rPr>
              <w:t xml:space="preserve">管理体系认证证书</w:t>
            </w:r>
            <w:r>
              <w:rPr>
                <w:rFonts w:hint="eastAsia" w:ascii="宋体" w:hAnsi="宋体" w:cs="宋体"/>
                <w:sz w:val="24"/>
                <w:szCs w:val="24"/>
              </w:rPr>
              <w:t xml:space="preserve">、⑤</w:t>
            </w:r>
            <w:r>
              <w:rPr>
                <w:rFonts w:ascii="宋体" w:hAnsi="宋体" w:cs="宋体"/>
                <w:color w:val="auto"/>
                <w:sz w:val="24"/>
                <w:szCs w:val="24"/>
              </w:rPr>
              <w:t xml:space="preserve">信息安全服务资质认证证书</w:t>
            </w:r>
            <w:r>
              <w:rPr>
                <w:rFonts w:hint="eastAsia" w:ascii="宋体" w:hAnsi="宋体" w:cs="宋体"/>
                <w:sz w:val="24"/>
                <w:szCs w:val="24"/>
              </w:rPr>
              <w:t xml:space="preserve">的，有一项得1分，最高得5分。</w:t>
            </w:r>
            <w:r/>
          </w:p>
          <w:p>
            <w:pPr>
              <w:jc w:val="left"/>
              <w:spacing w:line="400" w:lineRule="exact"/>
              <w:rPr>
                <w:rFonts w:ascii="宋体" w:hAnsi="宋体" w:cs="宋体"/>
                <w:sz w:val="24"/>
              </w:rPr>
            </w:pPr>
            <w:r>
              <w:rPr>
                <w:rFonts w:hint="eastAsia" w:ascii="宋体" w:hAnsi="宋体" w:cs="宋体"/>
                <w:b/>
                <w:bCs/>
                <w:sz w:val="24"/>
              </w:rPr>
              <w:t xml:space="preserve">（须提供有效期内的证书扫描件）</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r>
        <w:trPr>
          <w:jc w:val="center"/>
          <w:trHeight w:val="20"/>
        </w:trPr>
        <w:tc>
          <w:tcPr>
            <w:tcW w:w="125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3.2</w:t>
            </w:r>
            <w:r/>
          </w:p>
        </w:tc>
        <w:tc>
          <w:tcPr>
            <w:tcW w:w="123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业绩</w:t>
            </w:r>
            <w:r/>
          </w:p>
        </w:tc>
        <w:tc>
          <w:tcPr>
            <w:tcW w:w="5244" w:type="dxa"/>
            <w:vAlign w:val="center"/>
            <w:textDirection w:val="lrTb"/>
            <w:noWrap w:val="false"/>
          </w:tcPr>
          <w:p>
            <w:pPr>
              <w:jc w:val="left"/>
              <w:spacing w:line="400" w:lineRule="exact"/>
              <w:rPr>
                <w:rFonts w:ascii="宋体" w:hAnsi="宋体" w:cs="仿宋"/>
                <w:sz w:val="24"/>
              </w:rPr>
            </w:pPr>
            <w:r>
              <w:rPr>
                <w:rFonts w:hint="eastAsia" w:ascii="宋体" w:hAnsi="宋体" w:cs="宋体"/>
                <w:sz w:val="24"/>
                <w:szCs w:val="24"/>
              </w:rPr>
              <w:t xml:space="preserve">2023年1月1日以来（以合同签订时间为准），投标人具有类似项目业绩（须包含医保审核相关内容）的，有一个得</w:t>
            </w:r>
            <w:r>
              <w:rPr>
                <w:rFonts w:hint="eastAsia" w:ascii="宋体" w:hAnsi="宋体" w:cs="宋体"/>
                <w:sz w:val="24"/>
                <w:szCs w:val="24"/>
                <w:lang w:val="en-US" w:eastAsia="zh-CN"/>
              </w:rPr>
              <w:t xml:space="preserve">2</w:t>
            </w:r>
            <w:r>
              <w:rPr>
                <w:rFonts w:hint="eastAsia" w:ascii="宋体" w:hAnsi="宋体" w:cs="宋体"/>
                <w:sz w:val="24"/>
                <w:szCs w:val="24"/>
              </w:rPr>
              <w:t xml:space="preserve">分，最高得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b/>
                <w:bCs/>
                <w:sz w:val="24"/>
                <w:szCs w:val="24"/>
              </w:rPr>
              <w:t xml:space="preserve">（须提供合同扫描件)</w:t>
            </w:r>
            <w:r/>
          </w:p>
        </w:tc>
        <w:tc>
          <w:tcPr>
            <w:tcW w:w="858" w:type="dxa"/>
            <w:vAlign w:val="center"/>
            <w:textDirection w:val="lrTb"/>
            <w:noWrap w:val="false"/>
          </w:tcPr>
          <w:p>
            <w:pPr>
              <w:jc w:val="center"/>
              <w:spacing w:line="400" w:lineRule="exact"/>
              <w:rPr>
                <w:rFonts w:hint="default" w:ascii="宋体" w:hAnsi="宋体" w:eastAsiaTheme="minorEastAsia"/>
                <w:sz w:val="24"/>
                <w:lang w:val="en-US" w:eastAsia="zh-CN"/>
              </w:rPr>
            </w:pPr>
            <w:r>
              <w:rPr>
                <w:rFonts w:hint="eastAsia" w:ascii="宋体" w:hAnsi="宋体"/>
                <w:sz w:val="24"/>
                <w:lang w:val="en-US" w:eastAsia="zh-CN"/>
              </w:rPr>
              <w:t xml:space="preserve">4</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3.3</w:t>
            </w:r>
            <w:r/>
          </w:p>
        </w:tc>
        <w:tc>
          <w:tcPr>
            <w:tcW w:w="123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知识产权</w:t>
            </w:r>
            <w:r/>
          </w:p>
        </w:tc>
        <w:tc>
          <w:tcPr>
            <w:tcW w:w="5244" w:type="dxa"/>
            <w:vAlign w:val="center"/>
            <w:textDirection w:val="lrTb"/>
            <w:noWrap w:val="false"/>
          </w:tcPr>
          <w:p>
            <w:pPr>
              <w:jc w:val="left"/>
              <w:spacing w:line="400" w:lineRule="exact"/>
              <w:rPr>
                <w:rFonts w:ascii="宋体" w:hAnsi="宋体" w:cs="宋体"/>
                <w:sz w:val="24"/>
              </w:rPr>
            </w:pPr>
            <w:r>
              <w:rPr>
                <w:rFonts w:hint="eastAsia" w:ascii="宋体" w:hAnsi="宋体" w:cs="仿宋"/>
                <w:sz w:val="24"/>
                <w:szCs w:val="24"/>
              </w:rPr>
              <w:t xml:space="preserve">投标人具有</w:t>
            </w:r>
            <w:r>
              <w:rPr>
                <w:rFonts w:ascii="宋体" w:hAnsi="宋体" w:cs="仿宋"/>
                <w:sz w:val="24"/>
                <w:szCs w:val="24"/>
              </w:rPr>
              <w:t xml:space="preserve">AI医保审核内涵质控</w:t>
            </w:r>
            <w:r>
              <w:rPr>
                <w:rFonts w:hint="eastAsia" w:ascii="宋体" w:hAnsi="宋体" w:cs="仿宋"/>
                <w:sz w:val="24"/>
                <w:szCs w:val="24"/>
              </w:rPr>
              <w:t xml:space="preserve">、</w:t>
            </w:r>
            <w:r>
              <w:rPr>
                <w:rFonts w:hint="eastAsia" w:ascii="宋体" w:hAnsi="宋体"/>
                <w:sz w:val="24"/>
                <w:szCs w:val="24"/>
              </w:rPr>
              <w:t xml:space="preserve">医保基金使用监管、</w:t>
            </w:r>
            <w:r>
              <w:rPr>
                <w:rFonts w:ascii="宋体" w:hAnsi="宋体"/>
                <w:sz w:val="24"/>
                <w:szCs w:val="24"/>
              </w:rPr>
              <w:t xml:space="preserve">AI智能审核与分析系统</w:t>
            </w:r>
            <w:r>
              <w:rPr>
                <w:rFonts w:hint="eastAsia" w:ascii="宋体" w:hAnsi="宋体" w:cs="仿宋"/>
                <w:sz w:val="24"/>
                <w:szCs w:val="24"/>
              </w:rPr>
              <w:t xml:space="preserve">相关的计算机软件著作权登记证书的，</w:t>
            </w:r>
            <w:r>
              <w:rPr>
                <w:rFonts w:hint="eastAsia" w:ascii="宋体" w:hAnsi="宋体" w:cs="宋体"/>
                <w:sz w:val="24"/>
                <w:szCs w:val="24"/>
              </w:rPr>
              <w:t xml:space="preserve">有一个得1分，最高得3分</w:t>
            </w:r>
            <w:r>
              <w:rPr>
                <w:rFonts w:hint="eastAsia" w:ascii="宋体" w:hAnsi="宋体" w:cs="仿宋"/>
                <w:sz w:val="24"/>
                <w:szCs w:val="24"/>
              </w:rPr>
              <w:t xml:space="preserve">。</w:t>
            </w:r>
            <w:r>
              <w:rPr>
                <w:rFonts w:hint="eastAsia" w:ascii="宋体" w:hAnsi="宋体" w:cs="仿宋"/>
                <w:b/>
                <w:bCs/>
                <w:sz w:val="24"/>
                <w:szCs w:val="24"/>
              </w:rPr>
              <w:t xml:space="preserve">（须提供证书扫描件）</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3.4</w:t>
            </w:r>
            <w:r/>
          </w:p>
        </w:tc>
        <w:tc>
          <w:tcPr>
            <w:tcW w:w="1236"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项目负责人</w:t>
            </w:r>
            <w:r/>
          </w:p>
        </w:tc>
        <w:tc>
          <w:tcPr>
            <w:tcW w:w="5244"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投标人为本项目配备的项目负责人具有①</w:t>
            </w:r>
            <w:r>
              <w:rPr>
                <w:rFonts w:ascii="宋体" w:hAnsi="宋体" w:cs="宋体"/>
                <w:sz w:val="24"/>
                <w:szCs w:val="24"/>
              </w:rPr>
              <w:t xml:space="preserve">信息系统项目管理师证书</w:t>
            </w:r>
            <w:r>
              <w:rPr>
                <w:rFonts w:hint="eastAsia" w:ascii="宋体" w:hAnsi="宋体" w:cs="宋体"/>
                <w:sz w:val="24"/>
                <w:szCs w:val="24"/>
              </w:rPr>
              <w:t xml:space="preserve">、②PMP证书、③</w:t>
            </w:r>
            <w:r>
              <w:rPr>
                <w:rFonts w:ascii="宋体" w:hAnsi="宋体" w:cs="宋体"/>
                <w:sz w:val="24"/>
                <w:szCs w:val="24"/>
              </w:rPr>
              <w:t xml:space="preserve">数据库系统工程师证书</w:t>
            </w:r>
            <w:r>
              <w:rPr>
                <w:rFonts w:hint="eastAsia" w:ascii="宋体" w:hAnsi="宋体" w:cs="宋体"/>
                <w:sz w:val="24"/>
                <w:szCs w:val="24"/>
              </w:rPr>
              <w:t xml:space="preserve">的，有一项得1分，最高得3分。</w:t>
            </w:r>
            <w:r/>
          </w:p>
          <w:p>
            <w:pPr>
              <w:jc w:val="left"/>
              <w:spacing w:line="400" w:lineRule="exact"/>
              <w:rPr>
                <w:rFonts w:ascii="宋体" w:hAnsi="宋体" w:cs="宋体"/>
                <w:sz w:val="24"/>
                <w:szCs w:val="24"/>
              </w:rPr>
            </w:pPr>
            <w:r>
              <w:rPr>
                <w:rFonts w:hint="eastAsia" w:ascii="宋体" w:hAnsi="宋体" w:cs="宋体"/>
                <w:b/>
                <w:bCs/>
                <w:sz w:val="24"/>
                <w:szCs w:val="24"/>
              </w:rPr>
              <w:t xml:space="preserve">【须提供证书扫描件，且须提供本单位近3个月（含投标当月）中任意1个月份为其缴纳社保的证明扫描件】</w:t>
            </w:r>
            <w:r/>
          </w:p>
        </w:tc>
        <w:tc>
          <w:tcPr>
            <w:tcW w:w="85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51" w:type="dxa"/>
            <w:vAlign w:val="center"/>
            <w:vMerge w:val="continue"/>
            <w:textDirection w:val="lrTb"/>
            <w:noWrap w:val="false"/>
          </w:tcPr>
          <w:p>
            <w:pPr>
              <w:jc w:val="center"/>
              <w:spacing w:line="400" w:lineRule="exact"/>
              <w:widowControl/>
              <w:rPr>
                <w:rFonts w:ascii="宋体" w:hAnsi="宋体"/>
                <w:sz w:val="24"/>
              </w:rPr>
            </w:pPr>
            <w:r>
              <w:rPr>
                <w:rFonts w:ascii="宋体" w:hAnsi="宋体"/>
                <w:sz w:val="24"/>
              </w:rPr>
            </w:r>
            <w:r/>
          </w:p>
        </w:tc>
        <w:tc>
          <w:tcPr>
            <w:tcW w:w="87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3.5</w:t>
            </w:r>
            <w:r/>
          </w:p>
        </w:tc>
        <w:tc>
          <w:tcPr>
            <w:tcW w:w="1236"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项目组其他成员</w:t>
            </w:r>
            <w:r/>
          </w:p>
        </w:tc>
        <w:tc>
          <w:tcPr>
            <w:tcW w:w="5244"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投标人为本项目配备的</w:t>
            </w:r>
            <w:r>
              <w:rPr>
                <w:rFonts w:hint="eastAsia" w:ascii="宋体" w:hAnsi="宋体"/>
                <w:bCs/>
                <w:sz w:val="24"/>
                <w:szCs w:val="24"/>
              </w:rPr>
              <w:t xml:space="preserve">项目组其他成员（项目负责人除外）</w:t>
            </w:r>
            <w:r>
              <w:rPr>
                <w:rFonts w:hint="eastAsia" w:ascii="宋体" w:hAnsi="宋体" w:cs="宋体"/>
                <w:sz w:val="24"/>
                <w:szCs w:val="24"/>
              </w:rPr>
              <w:t xml:space="preserve">中，具有</w:t>
            </w:r>
            <w:r>
              <w:rPr>
                <w:rFonts w:hint="eastAsia" w:ascii="宋体" w:hAnsi="宋体"/>
                <w:sz w:val="24"/>
                <w:szCs w:val="24"/>
                <w:highlight w:val="none"/>
              </w:rPr>
              <w:t xml:space="preserve">卫生专业技术资格证书（医学类）</w:t>
            </w:r>
            <w:r>
              <w:rPr>
                <w:rFonts w:hint="eastAsia" w:ascii="宋体" w:hAnsi="宋体" w:cs="宋体"/>
                <w:sz w:val="24"/>
                <w:szCs w:val="24"/>
              </w:rPr>
              <w:t xml:space="preserve">、软件设计师证书、信息处理技术员证书的，有一</w:t>
            </w:r>
            <w:r>
              <w:rPr>
                <w:rFonts w:hint="eastAsia" w:ascii="宋体" w:hAnsi="宋体" w:cs="宋体"/>
                <w:sz w:val="24"/>
                <w:szCs w:val="24"/>
                <w:lang w:val="en-US" w:eastAsia="zh-CN"/>
              </w:rPr>
              <w:t xml:space="preserve">项</w:t>
            </w:r>
            <w:r>
              <w:rPr>
                <w:rFonts w:hint="eastAsia" w:ascii="宋体" w:hAnsi="宋体" w:cs="宋体"/>
                <w:sz w:val="24"/>
                <w:szCs w:val="24"/>
              </w:rPr>
              <w:t xml:space="preserve">得1分，最高得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400" w:lineRule="exact"/>
              <w:rPr>
                <w:rFonts w:ascii="宋体" w:hAnsi="宋体" w:cs="宋体"/>
                <w:sz w:val="24"/>
                <w:szCs w:val="24"/>
              </w:rPr>
            </w:pPr>
            <w:r>
              <w:rPr>
                <w:rFonts w:hint="eastAsia" w:ascii="宋体" w:hAnsi="宋体" w:cs="宋体"/>
                <w:b/>
                <w:bCs/>
                <w:sz w:val="24"/>
                <w:szCs w:val="24"/>
              </w:rPr>
              <w:t xml:space="preserve">【同一人员多张证书不重复得分。须提供证书扫描件，且须提供本单位近3个月（含投标当月）中任意1个月份为其缴纳社保的证明扫描件】</w:t>
            </w:r>
            <w:r/>
          </w:p>
        </w:tc>
        <w:tc>
          <w:tcPr>
            <w:tcW w:w="858" w:type="dxa"/>
            <w:vAlign w:val="center"/>
            <w:textDirection w:val="lrTb"/>
            <w:noWrap w:val="false"/>
          </w:tcPr>
          <w:p>
            <w:pPr>
              <w:jc w:val="center"/>
              <w:spacing w:line="400" w:lineRule="exact"/>
              <w:rPr>
                <w:rFonts w:hint="default" w:ascii="宋体" w:hAnsi="宋体" w:eastAsiaTheme="minorEastAsia"/>
                <w:sz w:val="24"/>
                <w:szCs w:val="24"/>
                <w:lang w:val="en-US" w:eastAsia="zh-CN"/>
              </w:rPr>
            </w:pPr>
            <w:r>
              <w:rPr>
                <w:rFonts w:hint="eastAsia" w:ascii="宋体" w:hAnsi="宋体"/>
                <w:sz w:val="24"/>
                <w:szCs w:val="24"/>
                <w:lang w:val="en-US" w:eastAsia="zh-CN"/>
              </w:rPr>
              <w:t xml:space="preserve">3</w:t>
            </w:r>
            <w:r/>
          </w:p>
        </w:tc>
      </w:tr>
    </w:tbl>
    <w:p>
      <w:r/>
      <w:r/>
    </w:p>
    <w:p>
      <w:r/>
      <w:r/>
    </w:p>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885"/>
      </w:pPr>
      <w:r>
        <w:rPr>
          <w:rFonts w:hint="eastAsia"/>
        </w:rPr>
        <w:t xml:space="preserve">第五章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885"/>
        <w:sectPr>
          <w:footnotePr/>
          <w:endnotePr/>
          <w:type w:val="nextPage"/>
          <w:pgSz w:w="11906" w:h="16838" w:orient="portrait"/>
          <w:pgMar w:top="1247" w:right="1247" w:bottom="1247" w:left="1247" w:header="680" w:footer="992" w:gutter="0"/>
          <w:cols w:num="1" w:sep="0" w:space="720" w:equalWidth="1"/>
          <w:docGrid w:linePitch="360"/>
        </w:sectPr>
      </w:pPr>
      <w:r/>
      <w:r/>
    </w:p>
    <w:p>
      <w:pPr>
        <w:pStyle w:val="885"/>
      </w:pPr>
      <w:r/>
      <w:r/>
    </w:p>
    <w:p>
      <w:pPr>
        <w:pStyle w:val="885"/>
      </w:pPr>
      <w:r/>
      <w:bookmarkStart w:id="16" w:name="_Toc213847318"/>
      <w:r>
        <w:rPr>
          <w:rFonts w:hint="eastAsia"/>
        </w:rPr>
        <w:t xml:space="preserve">第六章　投标文件的组成和格式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JSZC-320281-JZCG-G2026-0034</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医保AI内涵质控引擎及结算清单综合管理系统建设项目</w:t>
            </w:r>
            <w:r>
              <w:rPr>
                <w:rFonts w:hint="eastAsia" w:ascii="宋体" w:hAnsi="宋体" w:eastAsia="宋体" w:cs="宋体"/>
                <w:sz w:val="24"/>
                <w:szCs w:val="24"/>
                <w:highlight w:val="none"/>
                <w:lang w:val="en-US" w:eastAsia="zh-CN"/>
              </w:rPr>
              <w:t xml:space="preserve">(采购包1)</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58691780"/>
      <w:r/>
      <w:bookmarkStart w:id="20" w:name="_Toc194386107"/>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w:t>
      </w:r>
      <w:r/>
    </w:p>
    <w:p>
      <w:pPr>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bookmarkEnd w:id="19"/>
      <w:r/>
      <w:bookmarkEnd w:id="20"/>
      <w:r/>
      <w:bookmarkEnd w:id="21"/>
      <w:r/>
      <w:r/>
    </w:p>
    <w:p>
      <w:pPr>
        <w:jc w:val="both"/>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JSZC-320281-JZCG-G2026-0034</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医保AI内涵质控引擎及结算清单综合管理系统建设项目</w:t>
            </w:r>
            <w:r>
              <w:rPr>
                <w:rFonts w:hint="eastAsia" w:ascii="宋体" w:hAnsi="宋体" w:eastAsia="宋体" w:cs="宋体"/>
                <w:sz w:val="24"/>
                <w:szCs w:val="24"/>
                <w:highlight w:val="none"/>
                <w:lang w:val="en-US" w:eastAsia="zh-CN"/>
              </w:rPr>
              <w:t xml:space="preserve">(采购包2)</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6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63"/>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3"/>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r>
        <w:rPr>
          <w:rFonts w:hint="eastAsia" w:ascii="仿宋" w:hAnsi="仿宋" w:eastAsia="仿宋" w:cs="Times New Roman"/>
          <w:b/>
          <w:bCs/>
          <w:sz w:val="24"/>
          <w:szCs w:val="24"/>
        </w:rPr>
      </w:r>
      <w:r/>
      <w:r>
        <w:rPr>
          <w:rFonts w:ascii="黑体" w:hAnsi="黑体" w:eastAsia="黑体" w:cs="Times New Roman"/>
          <w:sz w:val="28"/>
          <w:szCs w:val="28"/>
        </w:rP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77"/>
          <w:jc w:val="center"/>
        </w:pPr>
        <w:r>
          <w:fldChar w:fldCharType="begin"/>
        </w:r>
        <w:r>
          <w:instrText xml:space="preserve">PAGE   \* MERGEFORMAT</w:instrText>
        </w:r>
        <w:r>
          <w:fldChar w:fldCharType="separate"/>
        </w:r>
        <w:r>
          <w:rPr>
            <w:lang w:val="zh-CN"/>
          </w:rPr>
          <w:t xml:space="preserve">-</w:t>
        </w:r>
        <w:r>
          <w:t xml:space="preserve"> 31 -</w:t>
        </w:r>
        <w:r>
          <w:fldChar w:fldCharType="end"/>
        </w:r>
        <w:r/>
      </w:p>
    </w:sdtContent>
  </w:sdt>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JSZC-320281-JZCG-G2026-0034</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医保AI内涵质控引擎及结算清单综合管理系统建设</w:t>
    </w:r>
    <w:r>
      <w:rPr>
        <w:rFonts w:hint="eastAsia" w:ascii="黑体" w:hAnsi="黑体" w:eastAsia="黑体" w:cs="Times New Roman"/>
        <w:bCs/>
        <w:sz w:val="16"/>
        <w:szCs w:val="18"/>
        <w:lang w:val="en-US" w:eastAsia="zh-CN"/>
      </w:rPr>
      <w:t xml:space="preserve">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2"/>
    <w:link w:val="857"/>
    <w:uiPriority w:val="9"/>
    <w:rPr>
      <w:rFonts w:ascii="Arial" w:hAnsi="Arial" w:eastAsia="Arial" w:cs="Arial"/>
      <w:sz w:val="40"/>
      <w:szCs w:val="40"/>
    </w:rPr>
  </w:style>
  <w:style w:type="character" w:styleId="701">
    <w:name w:val="Heading 2 Char"/>
    <w:basedOn w:val="862"/>
    <w:link w:val="858"/>
    <w:uiPriority w:val="9"/>
    <w:rPr>
      <w:rFonts w:ascii="Arial" w:hAnsi="Arial" w:eastAsia="Arial" w:cs="Arial"/>
      <w:sz w:val="34"/>
    </w:rPr>
  </w:style>
  <w:style w:type="character" w:styleId="702">
    <w:name w:val="Heading 3 Char"/>
    <w:basedOn w:val="862"/>
    <w:link w:val="859"/>
    <w:uiPriority w:val="9"/>
    <w:rPr>
      <w:rFonts w:ascii="Arial" w:hAnsi="Arial" w:eastAsia="Arial" w:cs="Arial"/>
      <w:sz w:val="30"/>
      <w:szCs w:val="30"/>
    </w:rPr>
  </w:style>
  <w:style w:type="character" w:styleId="703">
    <w:name w:val="Heading 4 Char"/>
    <w:basedOn w:val="862"/>
    <w:link w:val="860"/>
    <w:uiPriority w:val="9"/>
    <w:rPr>
      <w:rFonts w:ascii="Arial" w:hAnsi="Arial" w:eastAsia="Arial" w:cs="Arial"/>
      <w:b/>
      <w:bCs/>
      <w:sz w:val="26"/>
      <w:szCs w:val="26"/>
    </w:rPr>
  </w:style>
  <w:style w:type="character" w:styleId="704">
    <w:name w:val="Heading 5 Char"/>
    <w:basedOn w:val="862"/>
    <w:link w:val="861"/>
    <w:uiPriority w:val="9"/>
    <w:rPr>
      <w:rFonts w:ascii="Arial" w:hAnsi="Arial" w:eastAsia="Arial" w:cs="Arial"/>
      <w:b/>
      <w:bCs/>
      <w:sz w:val="24"/>
      <w:szCs w:val="24"/>
    </w:rPr>
  </w:style>
  <w:style w:type="paragraph" w:styleId="705">
    <w:name w:val="Heading 6"/>
    <w:basedOn w:val="856"/>
    <w:next w:val="856"/>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62"/>
    <w:link w:val="705"/>
    <w:uiPriority w:val="9"/>
    <w:rPr>
      <w:rFonts w:ascii="Arial" w:hAnsi="Arial" w:eastAsia="Arial" w:cs="Arial"/>
      <w:b/>
      <w:bCs/>
      <w:sz w:val="22"/>
      <w:szCs w:val="22"/>
    </w:rPr>
  </w:style>
  <w:style w:type="paragraph" w:styleId="707">
    <w:name w:val="Heading 7"/>
    <w:basedOn w:val="856"/>
    <w:next w:val="856"/>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62"/>
    <w:link w:val="707"/>
    <w:uiPriority w:val="9"/>
    <w:rPr>
      <w:rFonts w:ascii="Arial" w:hAnsi="Arial" w:eastAsia="Arial" w:cs="Arial"/>
      <w:b/>
      <w:bCs/>
      <w:i/>
      <w:iCs/>
      <w:sz w:val="22"/>
      <w:szCs w:val="22"/>
    </w:rPr>
  </w:style>
  <w:style w:type="paragraph" w:styleId="709">
    <w:name w:val="Heading 8"/>
    <w:basedOn w:val="856"/>
    <w:next w:val="856"/>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62"/>
    <w:link w:val="709"/>
    <w:uiPriority w:val="9"/>
    <w:rPr>
      <w:rFonts w:ascii="Arial" w:hAnsi="Arial" w:eastAsia="Arial" w:cs="Arial"/>
      <w:i/>
      <w:iCs/>
      <w:sz w:val="22"/>
      <w:szCs w:val="22"/>
    </w:rPr>
  </w:style>
  <w:style w:type="paragraph" w:styleId="711">
    <w:name w:val="Heading 9"/>
    <w:basedOn w:val="856"/>
    <w:next w:val="856"/>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62"/>
    <w:link w:val="711"/>
    <w:uiPriority w:val="9"/>
    <w:rPr>
      <w:rFonts w:ascii="Arial" w:hAnsi="Arial" w:eastAsia="Arial" w:cs="Arial"/>
      <w:i/>
      <w:iCs/>
      <w:sz w:val="21"/>
      <w:szCs w:val="21"/>
    </w:rPr>
  </w:style>
  <w:style w:type="character" w:styleId="713">
    <w:name w:val="Title Char"/>
    <w:basedOn w:val="862"/>
    <w:link w:val="885"/>
    <w:uiPriority w:val="10"/>
    <w:rPr>
      <w:sz w:val="48"/>
      <w:szCs w:val="48"/>
    </w:rPr>
  </w:style>
  <w:style w:type="paragraph" w:styleId="714">
    <w:name w:val="Subtitle"/>
    <w:basedOn w:val="856"/>
    <w:next w:val="856"/>
    <w:link w:val="715"/>
    <w:uiPriority w:val="11"/>
    <w:qFormat/>
    <w:pPr>
      <w:spacing w:before="200" w:after="200"/>
    </w:pPr>
    <w:rPr>
      <w:sz w:val="24"/>
      <w:szCs w:val="24"/>
    </w:rPr>
  </w:style>
  <w:style w:type="character" w:styleId="715">
    <w:name w:val="Subtitle Char"/>
    <w:basedOn w:val="862"/>
    <w:link w:val="714"/>
    <w:uiPriority w:val="11"/>
    <w:rPr>
      <w:sz w:val="24"/>
      <w:szCs w:val="24"/>
    </w:rPr>
  </w:style>
  <w:style w:type="paragraph" w:styleId="716">
    <w:name w:val="Quote"/>
    <w:basedOn w:val="856"/>
    <w:next w:val="856"/>
    <w:link w:val="717"/>
    <w:uiPriority w:val="29"/>
    <w:qFormat/>
    <w:pPr>
      <w:ind w:left="720" w:right="720"/>
    </w:pPr>
    <w:rPr>
      <w:i/>
    </w:rPr>
  </w:style>
  <w:style w:type="character" w:styleId="717">
    <w:name w:val="Quote Char"/>
    <w:link w:val="716"/>
    <w:uiPriority w:val="29"/>
    <w:rPr>
      <w:i/>
    </w:rPr>
  </w:style>
  <w:style w:type="paragraph" w:styleId="718">
    <w:name w:val="Intense Quote"/>
    <w:basedOn w:val="856"/>
    <w:next w:val="856"/>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2"/>
    <w:link w:val="878"/>
    <w:uiPriority w:val="99"/>
  </w:style>
  <w:style w:type="character" w:styleId="721">
    <w:name w:val="Footer Char"/>
    <w:basedOn w:val="862"/>
    <w:link w:val="877"/>
    <w:uiPriority w:val="99"/>
  </w:style>
  <w:style w:type="paragraph" w:styleId="722">
    <w:name w:val="Caption"/>
    <w:basedOn w:val="856"/>
    <w:next w:val="856"/>
    <w:uiPriority w:val="35"/>
    <w:semiHidden/>
    <w:unhideWhenUsed/>
    <w:qFormat/>
    <w:pPr>
      <w:spacing w:line="276" w:lineRule="auto"/>
    </w:pPr>
    <w:rPr>
      <w:b/>
      <w:bCs/>
      <w:color w:val="4f81bd" w:themeColor="accent1"/>
      <w:sz w:val="18"/>
      <w:szCs w:val="18"/>
    </w:rPr>
  </w:style>
  <w:style w:type="character" w:styleId="723">
    <w:name w:val="Caption Char"/>
    <w:basedOn w:val="722"/>
    <w:link w:val="877"/>
    <w:uiPriority w:val="99"/>
  </w:style>
  <w:style w:type="table" w:styleId="724">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5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2"/>
    <w:uiPriority w:val="99"/>
    <w:unhideWhenUsed/>
    <w:rPr>
      <w:vertAlign w:val="superscript"/>
    </w:rPr>
  </w:style>
  <w:style w:type="paragraph" w:styleId="852">
    <w:name w:val="endnote text"/>
    <w:basedOn w:val="85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2"/>
    <w:uiPriority w:val="99"/>
    <w:semiHidden/>
    <w:unhideWhenUsed/>
    <w:rPr>
      <w:vertAlign w:val="superscript"/>
    </w:rPr>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7">
    <w:name w:val="Heading 1"/>
    <w:basedOn w:val="856"/>
    <w:next w:val="856"/>
    <w:link w:val="913"/>
    <w:uiPriority w:val="9"/>
    <w:qFormat/>
    <w:pPr>
      <w:keepLines/>
      <w:keepNext/>
      <w:spacing w:before="340" w:after="330" w:line="578" w:lineRule="auto"/>
      <w:outlineLvl w:val="0"/>
    </w:pPr>
    <w:rPr>
      <w:b/>
      <w:bCs/>
      <w:sz w:val="44"/>
      <w:szCs w:val="44"/>
    </w:rPr>
  </w:style>
  <w:style w:type="paragraph" w:styleId="858">
    <w:name w:val="Heading 2"/>
    <w:basedOn w:val="856"/>
    <w:next w:val="856"/>
    <w:link w:val="91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9">
    <w:name w:val="Heading 3"/>
    <w:basedOn w:val="856"/>
    <w:next w:val="856"/>
    <w:link w:val="919"/>
    <w:uiPriority w:val="9"/>
    <w:semiHidden/>
    <w:unhideWhenUsed/>
    <w:qFormat/>
    <w:pPr>
      <w:keepLines/>
      <w:keepNext/>
      <w:spacing w:before="260" w:after="260" w:line="416" w:lineRule="auto"/>
      <w:outlineLvl w:val="2"/>
    </w:pPr>
    <w:rPr>
      <w:b/>
      <w:bCs/>
      <w:sz w:val="32"/>
      <w:szCs w:val="32"/>
    </w:rPr>
  </w:style>
  <w:style w:type="paragraph" w:styleId="860">
    <w:name w:val="Heading 4"/>
    <w:basedOn w:val="856"/>
    <w:next w:val="856"/>
    <w:link w:val="92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1">
    <w:name w:val="Heading 5"/>
    <w:basedOn w:val="856"/>
    <w:next w:val="856"/>
    <w:link w:val="921"/>
    <w:uiPriority w:val="9"/>
    <w:semiHidden/>
    <w:unhideWhenUsed/>
    <w:qFormat/>
    <w:pPr>
      <w:keepLines/>
      <w:keepNext/>
      <w:spacing w:before="280" w:after="290" w:line="376" w:lineRule="auto"/>
      <w:outlineLvl w:val="4"/>
    </w:pPr>
    <w:rPr>
      <w:b/>
      <w:bCs/>
      <w:sz w:val="28"/>
      <w:szCs w:val="28"/>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6"/>
    <w:next w:val="856"/>
    <w:uiPriority w:val="39"/>
    <w:unhideWhenUsed/>
    <w:qFormat/>
    <w:pPr>
      <w:ind w:left="1260"/>
      <w:jc w:val="left"/>
    </w:pPr>
    <w:rPr>
      <w:sz w:val="18"/>
      <w:szCs w:val="18"/>
    </w:rPr>
  </w:style>
  <w:style w:type="paragraph" w:styleId="865">
    <w:name w:val="Note Heading"/>
    <w:basedOn w:val="856"/>
    <w:next w:val="856"/>
    <w:link w:val="922"/>
    <w:uiPriority w:val="0"/>
    <w:qFormat/>
    <w:pPr>
      <w:jc w:val="center"/>
    </w:pPr>
    <w:rPr>
      <w:rFonts w:ascii="金梅簡體中黑字形" w:hAnsi="Arial" w:eastAsia="金梅簡體中黑字形" w:cs="Times New Roman"/>
      <w:sz w:val="24"/>
      <w:szCs w:val="24"/>
    </w:rPr>
  </w:style>
  <w:style w:type="paragraph" w:styleId="866">
    <w:name w:val="Normal Indent"/>
    <w:basedOn w:val="856"/>
    <w:uiPriority w:val="99"/>
    <w:semiHidden/>
    <w:unhideWhenUsed/>
    <w:qFormat/>
    <w:pPr>
      <w:ind w:left="720"/>
    </w:pPr>
  </w:style>
  <w:style w:type="paragraph" w:styleId="867">
    <w:name w:val="Document Map"/>
    <w:basedOn w:val="856"/>
    <w:link w:val="923"/>
    <w:uiPriority w:val="99"/>
    <w:qFormat/>
    <w:rPr>
      <w:rFonts w:ascii="宋体"/>
      <w:sz w:val="18"/>
      <w:szCs w:val="18"/>
    </w:rPr>
  </w:style>
  <w:style w:type="paragraph" w:styleId="868">
    <w:name w:val="annotation text"/>
    <w:basedOn w:val="856"/>
    <w:link w:val="900"/>
    <w:uiPriority w:val="99"/>
    <w:unhideWhenUsed/>
    <w:qFormat/>
    <w:pPr>
      <w:jc w:val="left"/>
    </w:pPr>
  </w:style>
  <w:style w:type="paragraph" w:styleId="869">
    <w:name w:val="Body Text 3"/>
    <w:basedOn w:val="856"/>
    <w:link w:val="924"/>
    <w:uiPriority w:val="0"/>
    <w:qFormat/>
    <w:rPr>
      <w:rFonts w:ascii="仿宋_GB2312" w:eastAsia="仿宋_GB2312"/>
      <w:sz w:val="24"/>
    </w:rPr>
  </w:style>
  <w:style w:type="paragraph" w:styleId="870">
    <w:name w:val="Body Text"/>
    <w:basedOn w:val="856"/>
    <w:link w:val="903"/>
    <w:uiPriority w:val="0"/>
    <w:qFormat/>
    <w:pPr>
      <w:spacing w:line="360" w:lineRule="auto"/>
    </w:pPr>
    <w:rPr>
      <w:rFonts w:ascii="楷体_GB2312" w:hAnsi="Times New Roman" w:eastAsia="楷体_GB2312" w:cs="Times New Roman"/>
      <w:bCs/>
      <w:sz w:val="28"/>
      <w:szCs w:val="24"/>
    </w:rPr>
  </w:style>
  <w:style w:type="paragraph" w:styleId="871">
    <w:name w:val="Body Text Indent"/>
    <w:basedOn w:val="856"/>
    <w:link w:val="907"/>
    <w:uiPriority w:val="0"/>
    <w:unhideWhenUsed/>
    <w:qFormat/>
    <w:pPr>
      <w:ind w:left="420"/>
      <w:spacing w:after="120"/>
    </w:pPr>
  </w:style>
  <w:style w:type="paragraph" w:styleId="872">
    <w:name w:val="toc 5"/>
    <w:basedOn w:val="856"/>
    <w:next w:val="856"/>
    <w:uiPriority w:val="39"/>
    <w:unhideWhenUsed/>
    <w:qFormat/>
    <w:pPr>
      <w:ind w:left="840"/>
      <w:jc w:val="left"/>
    </w:pPr>
    <w:rPr>
      <w:sz w:val="18"/>
      <w:szCs w:val="18"/>
    </w:rPr>
  </w:style>
  <w:style w:type="paragraph" w:styleId="873">
    <w:name w:val="toc 3"/>
    <w:basedOn w:val="856"/>
    <w:next w:val="856"/>
    <w:uiPriority w:val="39"/>
    <w:unhideWhenUsed/>
    <w:qFormat/>
    <w:pPr>
      <w:ind w:left="420"/>
      <w:jc w:val="left"/>
    </w:pPr>
    <w:rPr>
      <w:i/>
      <w:iCs/>
      <w:sz w:val="20"/>
      <w:szCs w:val="20"/>
    </w:rPr>
  </w:style>
  <w:style w:type="paragraph" w:styleId="874">
    <w:name w:val="Plain Text"/>
    <w:basedOn w:val="856"/>
    <w:link w:val="925"/>
    <w:uiPriority w:val="0"/>
    <w:qFormat/>
    <w:rPr>
      <w:rFonts w:hAnsi="Courier New" w:cs="Courier New" w:asciiTheme="minorEastAsia"/>
    </w:rPr>
  </w:style>
  <w:style w:type="paragraph" w:styleId="875">
    <w:name w:val="toc 8"/>
    <w:basedOn w:val="856"/>
    <w:next w:val="856"/>
    <w:uiPriority w:val="39"/>
    <w:unhideWhenUsed/>
    <w:qFormat/>
    <w:pPr>
      <w:ind w:left="1470"/>
      <w:jc w:val="left"/>
    </w:pPr>
    <w:rPr>
      <w:sz w:val="18"/>
      <w:szCs w:val="18"/>
    </w:rPr>
  </w:style>
  <w:style w:type="paragraph" w:styleId="876">
    <w:name w:val="Balloon Text"/>
    <w:basedOn w:val="856"/>
    <w:link w:val="898"/>
    <w:uiPriority w:val="99"/>
    <w:semiHidden/>
    <w:unhideWhenUsed/>
    <w:qFormat/>
    <w:rPr>
      <w:sz w:val="18"/>
      <w:szCs w:val="18"/>
    </w:rPr>
  </w:style>
  <w:style w:type="paragraph" w:styleId="877">
    <w:name w:val="Footer"/>
    <w:basedOn w:val="856"/>
    <w:link w:val="896"/>
    <w:uiPriority w:val="99"/>
    <w:unhideWhenUsed/>
    <w:qFormat/>
    <w:pPr>
      <w:jc w:val="left"/>
      <w:tabs>
        <w:tab w:val="center" w:pos="4153" w:leader="none"/>
        <w:tab w:val="right" w:pos="8306" w:leader="none"/>
      </w:tabs>
    </w:pPr>
    <w:rPr>
      <w:sz w:val="18"/>
      <w:szCs w:val="18"/>
    </w:rPr>
  </w:style>
  <w:style w:type="paragraph" w:styleId="878">
    <w:name w:val="Header"/>
    <w:basedOn w:val="856"/>
    <w:link w:val="8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56"/>
    <w:next w:val="856"/>
    <w:uiPriority w:val="39"/>
    <w:unhideWhenUsed/>
    <w:qFormat/>
    <w:pPr>
      <w:jc w:val="left"/>
      <w:spacing w:before="120" w:after="120"/>
    </w:pPr>
    <w:rPr>
      <w:b/>
      <w:bCs/>
      <w:caps/>
      <w:sz w:val="20"/>
      <w:szCs w:val="20"/>
    </w:rPr>
  </w:style>
  <w:style w:type="paragraph" w:styleId="880">
    <w:name w:val="toc 4"/>
    <w:basedOn w:val="856"/>
    <w:next w:val="856"/>
    <w:uiPriority w:val="39"/>
    <w:unhideWhenUsed/>
    <w:qFormat/>
    <w:pPr>
      <w:ind w:left="630"/>
      <w:jc w:val="left"/>
    </w:pPr>
    <w:rPr>
      <w:sz w:val="18"/>
      <w:szCs w:val="18"/>
    </w:rPr>
  </w:style>
  <w:style w:type="paragraph" w:styleId="881">
    <w:name w:val="toc 6"/>
    <w:basedOn w:val="856"/>
    <w:next w:val="856"/>
    <w:uiPriority w:val="39"/>
    <w:unhideWhenUsed/>
    <w:qFormat/>
    <w:pPr>
      <w:ind w:left="1050"/>
      <w:jc w:val="left"/>
    </w:pPr>
    <w:rPr>
      <w:sz w:val="18"/>
      <w:szCs w:val="18"/>
    </w:rPr>
  </w:style>
  <w:style w:type="paragraph" w:styleId="882">
    <w:name w:val="toc 2"/>
    <w:basedOn w:val="856"/>
    <w:next w:val="856"/>
    <w:uiPriority w:val="39"/>
    <w:unhideWhenUsed/>
    <w:qFormat/>
    <w:pPr>
      <w:ind w:left="210"/>
      <w:jc w:val="left"/>
    </w:pPr>
    <w:rPr>
      <w:smallCaps/>
      <w:sz w:val="20"/>
      <w:szCs w:val="20"/>
    </w:rPr>
  </w:style>
  <w:style w:type="paragraph" w:styleId="883">
    <w:name w:val="toc 9"/>
    <w:basedOn w:val="856"/>
    <w:next w:val="856"/>
    <w:uiPriority w:val="39"/>
    <w:unhideWhenUsed/>
    <w:qFormat/>
    <w:pPr>
      <w:ind w:left="1680"/>
      <w:jc w:val="left"/>
    </w:pPr>
    <w:rPr>
      <w:sz w:val="18"/>
      <w:szCs w:val="18"/>
    </w:rPr>
  </w:style>
  <w:style w:type="paragraph" w:styleId="884">
    <w:name w:val="Normal (Web)"/>
    <w:basedOn w:val="856"/>
    <w:uiPriority w:val="0"/>
    <w:qFormat/>
    <w:pPr>
      <w:jc w:val="left"/>
      <w:spacing w:before="100" w:beforeAutospacing="1" w:after="100" w:afterAutospacing="1"/>
      <w:widowControl/>
    </w:pPr>
    <w:rPr>
      <w:rFonts w:ascii="宋体" w:hAnsi="宋体" w:cs="宋体"/>
      <w:sz w:val="24"/>
      <w:szCs w:val="24"/>
    </w:rPr>
  </w:style>
  <w:style w:type="paragraph" w:styleId="885">
    <w:name w:val="Title"/>
    <w:basedOn w:val="856"/>
    <w:next w:val="856"/>
    <w:link w:val="894"/>
    <w:uiPriority w:val="10"/>
    <w:qFormat/>
    <w:pPr>
      <w:jc w:val="center"/>
      <w:spacing w:line="400" w:lineRule="exact"/>
      <w:outlineLvl w:val="0"/>
    </w:pPr>
    <w:rPr>
      <w:rFonts w:eastAsia="黑体" w:asciiTheme="majorHAnsi" w:hAnsiTheme="majorHAnsi" w:cstheme="majorBidi"/>
      <w:bCs/>
      <w:sz w:val="30"/>
      <w:szCs w:val="32"/>
    </w:rPr>
  </w:style>
  <w:style w:type="paragraph" w:styleId="886">
    <w:name w:val="annotation subject"/>
    <w:basedOn w:val="868"/>
    <w:next w:val="868"/>
    <w:link w:val="901"/>
    <w:uiPriority w:val="99"/>
    <w:semiHidden/>
    <w:unhideWhenUsed/>
    <w:qFormat/>
    <w:rPr>
      <w:b/>
      <w:bCs/>
    </w:rPr>
  </w:style>
  <w:style w:type="paragraph" w:styleId="887">
    <w:name w:val="Body Text First Indent"/>
    <w:basedOn w:val="870"/>
    <w:link w:val="926"/>
    <w:uiPriority w:val="0"/>
    <w:qFormat/>
    <w:pPr>
      <w:ind w:firstLine="420"/>
      <w:spacing w:after="120" w:line="240" w:lineRule="auto"/>
    </w:pPr>
    <w:rPr>
      <w:rFonts w:ascii="宋体" w:hAnsi="宋体" w:eastAsia="宋体" w:cstheme="minorBidi"/>
      <w:sz w:val="24"/>
      <w:szCs w:val="22"/>
    </w:rPr>
  </w:style>
  <w:style w:type="paragraph" w:styleId="888">
    <w:name w:val="Body Text First Indent 2"/>
    <w:basedOn w:val="871"/>
    <w:link w:val="917"/>
    <w:uiPriority w:val="0"/>
    <w:unhideWhenUsed/>
    <w:qFormat/>
    <w:pPr>
      <w:ind w:firstLine="420"/>
    </w:pPr>
  </w:style>
  <w:style w:type="table" w:styleId="889">
    <w:name w:val="Table Grid"/>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basedOn w:val="862"/>
    <w:uiPriority w:val="22"/>
    <w:qFormat/>
    <w:rPr>
      <w:b/>
      <w:bCs/>
    </w:rPr>
  </w:style>
  <w:style w:type="character" w:styleId="891">
    <w:name w:val="page number"/>
    <w:uiPriority w:val="0"/>
    <w:qFormat/>
  </w:style>
  <w:style w:type="character" w:styleId="892">
    <w:name w:val="Hyperlink"/>
    <w:basedOn w:val="862"/>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99"/>
    <w:semiHidden/>
    <w:unhideWhenUsed/>
    <w:qFormat/>
    <w:rPr>
      <w:sz w:val="21"/>
      <w:szCs w:val="21"/>
    </w:rPr>
  </w:style>
  <w:style w:type="character" w:styleId="894" w:customStyle="1">
    <w:name w:val="标题 Char"/>
    <w:basedOn w:val="862"/>
    <w:link w:val="885"/>
    <w:uiPriority w:val="10"/>
    <w:qFormat/>
    <w:rPr>
      <w:rFonts w:eastAsia="黑体" w:asciiTheme="majorHAnsi" w:hAnsiTheme="majorHAnsi" w:cstheme="majorBidi"/>
      <w:bCs/>
      <w:sz w:val="30"/>
      <w:szCs w:val="32"/>
    </w:rPr>
  </w:style>
  <w:style w:type="character" w:styleId="895" w:customStyle="1">
    <w:name w:val="页眉 Char"/>
    <w:basedOn w:val="862"/>
    <w:link w:val="878"/>
    <w:uiPriority w:val="0"/>
    <w:qFormat/>
    <w:rPr>
      <w:sz w:val="18"/>
      <w:szCs w:val="18"/>
    </w:rPr>
  </w:style>
  <w:style w:type="character" w:styleId="896" w:customStyle="1">
    <w:name w:val="页脚 Char"/>
    <w:basedOn w:val="862"/>
    <w:link w:val="877"/>
    <w:uiPriority w:val="99"/>
    <w:qFormat/>
    <w:rPr>
      <w:sz w:val="18"/>
      <w:szCs w:val="18"/>
    </w:rPr>
  </w:style>
  <w:style w:type="character" w:styleId="897" w:customStyle="1">
    <w:name w:val="font2800"/>
    <w:basedOn w:val="862"/>
    <w:uiPriority w:val="0"/>
    <w:qFormat/>
  </w:style>
  <w:style w:type="character" w:styleId="898" w:customStyle="1">
    <w:name w:val="批注框文本 Char"/>
    <w:basedOn w:val="862"/>
    <w:link w:val="876"/>
    <w:uiPriority w:val="99"/>
    <w:semiHidden/>
    <w:qFormat/>
    <w:rPr>
      <w:sz w:val="18"/>
      <w:szCs w:val="18"/>
    </w:rPr>
  </w:style>
  <w:style w:type="table" w:styleId="899" w:customStyle="1">
    <w:name w:val="网格型1"/>
    <w:basedOn w:val="863"/>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customStyle="1">
    <w:name w:val="批注文字 Char"/>
    <w:basedOn w:val="862"/>
    <w:link w:val="868"/>
    <w:uiPriority w:val="99"/>
    <w:qFormat/>
  </w:style>
  <w:style w:type="character" w:styleId="901" w:customStyle="1">
    <w:name w:val="批注主题 Char"/>
    <w:basedOn w:val="900"/>
    <w:link w:val="886"/>
    <w:uiPriority w:val="99"/>
    <w:semiHidden/>
    <w:qFormat/>
    <w:rPr>
      <w:b/>
      <w:bCs/>
    </w:rPr>
  </w:style>
  <w:style w:type="character" w:styleId="902" w:customStyle="1">
    <w:name w:val="正文文本 Char"/>
    <w:basedOn w:val="862"/>
    <w:uiPriority w:val="0"/>
    <w:qFormat/>
  </w:style>
  <w:style w:type="character" w:styleId="903" w:customStyle="1">
    <w:name w:val="正文文本 Char1"/>
    <w:link w:val="870"/>
    <w:uiPriority w:val="0"/>
    <w:qFormat/>
    <w:rPr>
      <w:rFonts w:ascii="楷体_GB2312" w:hAnsi="Times New Roman" w:eastAsia="楷体_GB2312" w:cs="Times New Roman"/>
      <w:bCs/>
      <w:sz w:val="28"/>
      <w:szCs w:val="24"/>
    </w:rPr>
  </w:style>
  <w:style w:type="paragraph" w:styleId="904" w:customStyle="1">
    <w:name w:val="Table Paragraph"/>
    <w:basedOn w:val="856"/>
    <w:uiPriority w:val="1"/>
    <w:qFormat/>
    <w:pPr>
      <w:ind w:firstLine="260"/>
      <w:jc w:val="left"/>
      <w:spacing w:line="360" w:lineRule="auto"/>
    </w:pPr>
    <w:rPr>
      <w:rFonts w:ascii="Calibri" w:hAnsi="Calibri" w:eastAsia="仿宋" w:cs="Times New Roman"/>
      <w:sz w:val="28"/>
      <w:lang w:eastAsia="en-US"/>
    </w:rPr>
  </w:style>
  <w:style w:type="paragraph" w:styleId="905">
    <w:name w:val="No Spacing"/>
    <w:link w:val="906"/>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6" w:customStyle="1">
    <w:name w:val="无间隔 Char"/>
    <w:link w:val="905"/>
    <w:uiPriority w:val="1"/>
    <w:qFormat/>
    <w:rPr>
      <w:rFonts w:ascii="宋体" w:hAnsi="宋体"/>
      <w:sz w:val="24"/>
    </w:rPr>
  </w:style>
  <w:style w:type="character" w:styleId="907" w:customStyle="1">
    <w:name w:val="正文文本缩进 Char"/>
    <w:basedOn w:val="862"/>
    <w:link w:val="871"/>
    <w:uiPriority w:val="0"/>
    <w:qFormat/>
  </w:style>
  <w:style w:type="table" w:styleId="908" w:customStyle="1">
    <w:name w:val="网格型2"/>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9"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10" w:customStyle="1">
    <w:name w:val="网格型3"/>
    <w:basedOn w:val="863"/>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customStyle="1">
    <w:name w:val="网格型4"/>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13" w:customStyle="1">
    <w:name w:val="标题 1 Char"/>
    <w:basedOn w:val="862"/>
    <w:link w:val="857"/>
    <w:uiPriority w:val="9"/>
    <w:qFormat/>
    <w:rPr>
      <w:b/>
      <w:bCs/>
      <w:sz w:val="44"/>
      <w:szCs w:val="44"/>
    </w:rPr>
  </w:style>
  <w:style w:type="paragraph" w:styleId="914" w:customStyle="1">
    <w:name w:val="TOC Heading"/>
    <w:basedOn w:val="857"/>
    <w:next w:val="856"/>
    <w:uiPriority w:val="39"/>
    <w:semiHidden/>
    <w:unhideWhenUsed/>
    <w:qFormat/>
    <w:pPr>
      <w:outlineLvl w:val="9"/>
    </w:pPr>
  </w:style>
  <w:style w:type="character" w:styleId="915" w:customStyle="1">
    <w:name w:val="font21"/>
    <w:basedOn w:val="862"/>
    <w:uiPriority w:val="0"/>
    <w:qFormat/>
    <w:rPr>
      <w:rFonts w:ascii="Calibri" w:hAnsi="Calibri" w:cs="Calibri"/>
      <w:color w:val="000000"/>
      <w:sz w:val="21"/>
      <w:szCs w:val="21"/>
      <w:u w:val="none"/>
    </w:rPr>
  </w:style>
  <w:style w:type="character" w:styleId="916" w:customStyle="1">
    <w:name w:val="font11"/>
    <w:basedOn w:val="862"/>
    <w:uiPriority w:val="0"/>
    <w:qFormat/>
    <w:rPr>
      <w:rFonts w:hint="eastAsia" w:ascii="宋体" w:hAnsi="宋体" w:eastAsia="宋体" w:cs="宋体"/>
      <w:color w:val="000000"/>
      <w:sz w:val="21"/>
      <w:szCs w:val="21"/>
      <w:u w:val="none"/>
    </w:rPr>
  </w:style>
  <w:style w:type="character" w:styleId="917" w:customStyle="1">
    <w:name w:val="正文首行缩进 2 Char"/>
    <w:basedOn w:val="907"/>
    <w:link w:val="888"/>
    <w:uiPriority w:val="0"/>
    <w:qFormat/>
  </w:style>
  <w:style w:type="character" w:styleId="918" w:customStyle="1">
    <w:name w:val="标题 2 Char"/>
    <w:basedOn w:val="862"/>
    <w:link w:val="858"/>
    <w:uiPriority w:val="9"/>
    <w:semiHidden/>
    <w:qFormat/>
    <w:rPr>
      <w:rFonts w:asciiTheme="majorHAnsi" w:hAnsiTheme="majorHAnsi" w:eastAsiaTheme="majorEastAsia" w:cstheme="majorBidi"/>
      <w:b/>
      <w:bCs/>
      <w:sz w:val="32"/>
      <w:szCs w:val="32"/>
    </w:rPr>
  </w:style>
  <w:style w:type="character" w:styleId="919" w:customStyle="1">
    <w:name w:val="标题 3 Char"/>
    <w:basedOn w:val="862"/>
    <w:link w:val="859"/>
    <w:uiPriority w:val="9"/>
    <w:semiHidden/>
    <w:qFormat/>
    <w:rPr>
      <w:b/>
      <w:bCs/>
      <w:sz w:val="32"/>
      <w:szCs w:val="32"/>
    </w:rPr>
  </w:style>
  <w:style w:type="character" w:styleId="920" w:customStyle="1">
    <w:name w:val="标题 4 Char"/>
    <w:basedOn w:val="862"/>
    <w:link w:val="860"/>
    <w:uiPriority w:val="9"/>
    <w:semiHidden/>
    <w:qFormat/>
    <w:rPr>
      <w:rFonts w:asciiTheme="majorHAnsi" w:hAnsiTheme="majorHAnsi" w:eastAsiaTheme="majorEastAsia" w:cstheme="majorBidi"/>
      <w:b/>
      <w:bCs/>
      <w:sz w:val="28"/>
      <w:szCs w:val="28"/>
    </w:rPr>
  </w:style>
  <w:style w:type="character" w:styleId="921" w:customStyle="1">
    <w:name w:val="标题 5 Char"/>
    <w:basedOn w:val="862"/>
    <w:link w:val="861"/>
    <w:uiPriority w:val="9"/>
    <w:semiHidden/>
    <w:qFormat/>
    <w:rPr>
      <w:b/>
      <w:bCs/>
      <w:sz w:val="28"/>
      <w:szCs w:val="28"/>
    </w:rPr>
  </w:style>
  <w:style w:type="character" w:styleId="922" w:customStyle="1">
    <w:name w:val="注释标题 Char"/>
    <w:basedOn w:val="862"/>
    <w:link w:val="865"/>
    <w:uiPriority w:val="0"/>
    <w:qFormat/>
    <w:rPr>
      <w:rFonts w:ascii="金梅簡體中黑字形" w:hAnsi="Arial" w:eastAsia="金梅簡體中黑字形" w:cs="Times New Roman"/>
      <w:sz w:val="24"/>
      <w:szCs w:val="24"/>
    </w:rPr>
  </w:style>
  <w:style w:type="character" w:styleId="923" w:customStyle="1">
    <w:name w:val="文档结构图 Char"/>
    <w:basedOn w:val="862"/>
    <w:link w:val="867"/>
    <w:uiPriority w:val="99"/>
    <w:qFormat/>
    <w:rPr>
      <w:rFonts w:ascii="宋体"/>
      <w:sz w:val="18"/>
      <w:szCs w:val="18"/>
    </w:rPr>
  </w:style>
  <w:style w:type="character" w:styleId="924" w:customStyle="1">
    <w:name w:val="正文文本 3 Char"/>
    <w:basedOn w:val="862"/>
    <w:link w:val="869"/>
    <w:uiPriority w:val="0"/>
    <w:qFormat/>
    <w:rPr>
      <w:rFonts w:ascii="仿宋_GB2312" w:eastAsia="仿宋_GB2312"/>
      <w:sz w:val="24"/>
    </w:rPr>
  </w:style>
  <w:style w:type="character" w:styleId="925" w:customStyle="1">
    <w:name w:val="纯文本 Char"/>
    <w:basedOn w:val="862"/>
    <w:link w:val="874"/>
    <w:uiPriority w:val="0"/>
    <w:qFormat/>
    <w:rPr>
      <w:rFonts w:hAnsi="Courier New" w:cs="Courier New" w:asciiTheme="minorEastAsia"/>
    </w:rPr>
  </w:style>
  <w:style w:type="character" w:styleId="926" w:customStyle="1">
    <w:name w:val="正文首行缩进 Char"/>
    <w:basedOn w:val="903"/>
    <w:link w:val="887"/>
    <w:uiPriority w:val="0"/>
    <w:qFormat/>
    <w:rPr>
      <w:rFonts w:ascii="宋体" w:hAnsi="宋体" w:eastAsia="宋体" w:cs="Times New Roman"/>
      <w:sz w:val="24"/>
      <w:szCs w:val="24"/>
    </w:rPr>
  </w:style>
  <w:style w:type="table" w:styleId="927" w:customStyle="1">
    <w:name w:val="网格型5"/>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8" w:customStyle="1">
    <w:name w:val="正文首行缩进 21"/>
    <w:basedOn w:val="871"/>
    <w:next w:val="870"/>
    <w:uiPriority w:val="0"/>
    <w:qFormat/>
    <w:pPr>
      <w:ind w:firstLine="210"/>
    </w:pPr>
    <w:rPr>
      <w:szCs w:val="21"/>
    </w:rPr>
  </w:style>
  <w:style w:type="paragraph" w:styleId="929" w:customStyle="1">
    <w:name w:val="标题 21"/>
    <w:basedOn w:val="856"/>
    <w:next w:val="856"/>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0" w:customStyle="1">
    <w:name w:val="网格型1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1" w:customStyle="1">
    <w:name w:val="BodyText1I2"/>
    <w:basedOn w:val="856"/>
    <w:next w:val="856"/>
    <w:uiPriority w:val="99"/>
    <w:qFormat/>
    <w:pPr>
      <w:ind w:left="420" w:firstLine="420"/>
      <w:spacing w:after="120"/>
    </w:pPr>
    <w:rPr>
      <w:rFonts w:ascii="楷体_GB2312" w:hAnsi="Times New Roman" w:eastAsia="楷体_GB2312" w:cs="Times New Roman"/>
      <w:szCs w:val="24"/>
    </w:rPr>
  </w:style>
  <w:style w:type="paragraph" w:styleId="932">
    <w:name w:val="List Paragraph"/>
    <w:basedOn w:val="856"/>
    <w:uiPriority w:val="34"/>
    <w:qFormat/>
    <w:pPr>
      <w:ind w:firstLine="420"/>
    </w:pPr>
  </w:style>
  <w:style w:type="paragraph" w:styleId="933" w:customStyle="1">
    <w:name w:val="正文无缩进"/>
    <w:basedOn w:val="856"/>
    <w:uiPriority w:val="0"/>
    <w:qFormat/>
    <w:pPr>
      <w:jc w:val="left"/>
      <w:spacing w:line="300" w:lineRule="auto"/>
      <w:widowControl/>
    </w:pPr>
    <w:rPr>
      <w:rFonts w:eastAsia="楷体_GB2312"/>
      <w:sz w:val="24"/>
    </w:rPr>
  </w:style>
  <w:style w:type="character" w:styleId="934" w:customStyle="1">
    <w:name w:val="NormalCharacter"/>
    <w:uiPriority w:val="0"/>
    <w:qFormat/>
    <w:rPr>
      <w:rFonts w:ascii="Times New Roman" w:hAnsi="Times New Roman" w:eastAsia="宋体"/>
    </w:rPr>
  </w:style>
  <w:style w:type="table" w:styleId="935" w:customStyle="1">
    <w:name w:val="网格型2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6"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37" w:customStyle="1">
    <w:name w:val="正文文本首行缩进1"/>
    <w:basedOn w:val="870"/>
    <w:next w:val="938"/>
    <w:uiPriority w:val="0"/>
    <w:qFormat/>
    <w:pPr>
      <w:ind w:firstLine="420"/>
      <w:spacing w:after="120"/>
    </w:pPr>
    <w:rPr>
      <w:rFonts w:eastAsia="宋体"/>
    </w:rPr>
  </w:style>
  <w:style w:type="paragraph" w:styleId="938" w:customStyle="1">
    <w:name w:val="正文文本首行缩进 21"/>
    <w:basedOn w:val="871"/>
    <w:uiPriority w:val="0"/>
    <w:qFormat/>
    <w:pPr>
      <w:ind w:firstLine="420"/>
      <w:widowControl/>
    </w:pPr>
    <w:rPr>
      <w:rFonts w:ascii="仿宋_GB2312" w:eastAsia="仿宋_GB2312"/>
      <w:color w:val="ff6600"/>
    </w:rPr>
  </w:style>
  <w:style w:type="character" w:styleId="939" w:customStyle="1">
    <w:name w:val="font41"/>
    <w:basedOn w:val="862"/>
    <w:uiPriority w:val="0"/>
    <w:qFormat/>
    <w:rPr>
      <w:rFonts w:hint="eastAsia" w:ascii="宋体" w:hAnsi="宋体" w:eastAsia="宋体" w:cs="宋体"/>
      <w:color w:val="000000"/>
      <w:sz w:val="24"/>
      <w:szCs w:val="24"/>
      <w:u w:val="none"/>
    </w:rPr>
  </w:style>
  <w:style w:type="character" w:styleId="940" w:customStyle="1">
    <w:name w:val="font31"/>
    <w:uiPriority w:val="0"/>
    <w:qFormat/>
    <w:rPr>
      <w:rFonts w:hint="default" w:ascii="Times New Roman" w:hAnsi="Times New Roman" w:cs="Times New Roman"/>
      <w:color w:val="000000"/>
      <w:sz w:val="24"/>
      <w:szCs w:val="24"/>
      <w:u w:val="none"/>
    </w:rPr>
  </w:style>
  <w:style w:type="paragraph" w:styleId="941" w:customStyle="1">
    <w:name w:val="msolistparagraph"/>
    <w:basedOn w:val="856"/>
    <w:uiPriority w:val="0"/>
    <w:qFormat/>
    <w:pPr>
      <w:ind w:firstLine="420"/>
    </w:pPr>
    <w:rPr>
      <w:rFonts w:ascii="Calibri" w:hAnsi="Calibri" w:eastAsia="宋体" w:cs="Times New Roman"/>
    </w:rPr>
  </w:style>
  <w:style w:type="paragraph" w:styleId="942"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43" w:customStyle="1">
    <w:name w:val="表格文字"/>
    <w:basedOn w:val="944"/>
    <w:next w:val="870"/>
    <w:uiPriority w:val="0"/>
    <w:qFormat/>
  </w:style>
  <w:style w:type="paragraph" w:styleId="944" w:customStyle="1">
    <w:name w:val="表格文字（两侧对齐）"/>
    <w:basedOn w:val="856"/>
    <w:uiPriority w:val="0"/>
    <w:qFormat/>
    <w:rPr>
      <w:rFonts w:ascii="Calibri" w:hAnsi="Calibri"/>
      <w:sz w:val="20"/>
    </w:rPr>
  </w:style>
  <w:style w:type="paragraph" w:styleId="945" w:customStyle="1">
    <w:name w:val="样式 样式 小四 行距: 1.5 倍行距 + 首行缩进:  3 字符"/>
    <w:basedOn w:val="856"/>
    <w:uiPriority w:val="0"/>
    <w:qFormat/>
    <w:pPr>
      <w:ind w:firstLine="420"/>
    </w:pPr>
    <w:rPr>
      <w:rFonts w:ascii="宋体" w:hAnsi="宋体" w:eastAsia="宋体" w:cs="宋体"/>
      <w:szCs w:val="21"/>
    </w:rPr>
  </w:style>
  <w:style w:type="paragraph" w:styleId="946" w:customStyle="1">
    <w:name w:val="列出段落1"/>
    <w:basedOn w:val="856"/>
    <w:uiPriority w:val="34"/>
    <w:qFormat/>
    <w:pPr>
      <w:ind w:firstLine="420"/>
      <w:spacing w:line="360" w:lineRule="auto"/>
    </w:pPr>
    <w:rPr>
      <w:rFonts w:ascii="Times New Roman" w:hAnsi="Times New Roman" w:eastAsia="宋体" w:cs="Times New Roman"/>
      <w:sz w:val="24"/>
      <w:szCs w:val="24"/>
    </w:rPr>
  </w:style>
  <w:style w:type="paragraph" w:styleId="947" w:customStyle="1">
    <w:name w:val="投标正文"/>
    <w:basedOn w:val="856"/>
    <w:uiPriority w:val="0"/>
    <w:qFormat/>
    <w:pPr>
      <w:ind w:left="567"/>
      <w:spacing w:line="360" w:lineRule="auto"/>
    </w:pPr>
    <w:rPr>
      <w:rFonts w:ascii="Times New Roman" w:hAnsi="Times New Roman"/>
      <w:sz w:val="24"/>
    </w:rPr>
  </w:style>
  <w:style w:type="table" w:styleId="948" w:customStyle="1">
    <w:name w:val="网格型6"/>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网格型22"/>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0" w:customStyle="1">
    <w:name w:val="网格型7"/>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1"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52" w:customStyle="1">
    <w:name w:val="TOC 标题1"/>
    <w:basedOn w:val="857"/>
    <w:next w:val="856"/>
    <w:uiPriority w:val="39"/>
    <w:semiHidden/>
    <w:unhideWhenUsed/>
    <w:qFormat/>
    <w:pPr>
      <w:outlineLvl w:val="9"/>
    </w:pPr>
  </w:style>
  <w:style w:type="table" w:styleId="953" w:customStyle="1">
    <w:name w:val="网格型8"/>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9"/>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customStyle="1">
    <w:name w:val="网格型12"/>
    <w:basedOn w:val="8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23"/>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31"/>
    <w:basedOn w:val="8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41"/>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Table Normal1"/>
    <w:uiPriority w:val="0"/>
    <w:semiHidden/>
    <w:unhideWhenUsed/>
    <w:qFormat/>
    <w:tblPr>
      <w:tblCellMar>
        <w:left w:w="0" w:type="dxa"/>
        <w:top w:w="0" w:type="dxa"/>
        <w:right w:w="0" w:type="dxa"/>
        <w:bottom w:w="0" w:type="dxa"/>
      </w:tblCellMar>
    </w:tblPr>
  </w:style>
  <w:style w:type="table" w:styleId="960" w:customStyle="1">
    <w:name w:val="网格型51"/>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111"/>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211"/>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61"/>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221"/>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71"/>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10"/>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网格型13"/>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121"/>
    <w:basedOn w:val="863"/>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231"/>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311"/>
    <w:basedOn w:val="863"/>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41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Table Normal11"/>
    <w:uiPriority w:val="0"/>
    <w:semiHidden/>
    <w:unhideWhenUsed/>
    <w:qFormat/>
    <w:rPr>
      <w:sz w:val="20"/>
      <w:szCs w:val="20"/>
    </w:rPr>
    <w:tblPr>
      <w:tblCellMar>
        <w:left w:w="0" w:type="dxa"/>
        <w:top w:w="0" w:type="dxa"/>
        <w:right w:w="0" w:type="dxa"/>
        <w:bottom w:w="0" w:type="dxa"/>
      </w:tblCellMar>
    </w:tblPr>
  </w:style>
  <w:style w:type="table" w:styleId="973" w:customStyle="1">
    <w:name w:val="网格型511"/>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customStyle="1">
    <w:name w:val="网格型111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网格型211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customStyle="1">
    <w:name w:val="网格型611"/>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customStyle="1">
    <w:name w:val="网格型2211"/>
    <w:basedOn w:val="863"/>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customStyle="1">
    <w:name w:val="网格型711"/>
    <w:basedOn w:val="8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A64F96-AA5E-40F9-883F-4CCB87DD1A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470</cp:revision>
  <dcterms:created xsi:type="dcterms:W3CDTF">2025-10-17T05:39:00Z</dcterms:created>
  <dcterms:modified xsi:type="dcterms:W3CDTF">2026-06-10T06:19:59Z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2052-12.1.0.26375</vt:lpwstr>
  </property>
  <property fmtid="{D5CDD505-2E9C-101B-9397-08002B2CF9AE}" pid="4" name="ICV">
    <vt:lpwstr>BE3DBA18E1604954847A22ACE04FBB78_13</vt:lpwstr>
  </property>
</Properties>
</file>