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r>
      <w:r/>
    </w:p>
    <w:p>
      <w:pPr>
        <w:jc w:val="center"/>
        <w:spacing w:line="360" w:lineRule="auto"/>
        <w:tabs>
          <w:tab w:val="left" w:pos="630" w:leader="none"/>
        </w:tabs>
        <w:rPr>
          <w:rFonts w:hint="eastAsia" w:ascii="Arial" w:hAnsi="Arial" w:cs="Arial"/>
          <w:b/>
          <w:bCs/>
          <w:color w:val="000000"/>
          <w:sz w:val="36"/>
          <w:szCs w:val="36"/>
          <w:highlight w:val="none"/>
        </w:rPr>
      </w:pPr>
      <w:r>
        <w:rPr>
          <w:rFonts w:hint="eastAsia" w:ascii="Arial" w:hAnsi="Arial" w:cs="Arial"/>
          <w:b/>
          <w:bCs/>
          <w:sz w:val="48"/>
          <w:szCs w:val="48"/>
          <w:highlight w:val="none"/>
          <w:lang w:eastAsia="zh-CN"/>
        </w:rPr>
        <w:t xml:space="preserve">直录播教室常态化建设二期工程</w:t>
      </w:r>
      <w:r/>
    </w:p>
    <w:p>
      <w:pPr>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p>
    <w:p>
      <w:pPr>
        <w:jc w:val="center"/>
        <w:spacing w:line="360" w:lineRule="auto"/>
        <w:rPr>
          <w:rFonts w:hint="eastAsia" w:ascii="Arial" w:hAnsi="Arial" w:eastAsia="宋体" w:cs="Arial"/>
          <w:b/>
          <w:bCs/>
          <w:color w:val="000000"/>
          <w:sz w:val="36"/>
          <w:szCs w:val="36"/>
          <w:highlight w:val="none"/>
          <w:lang w:eastAsia="zh-CN"/>
        </w:rPr>
      </w:pPr>
      <w:r>
        <w:rPr>
          <w:rFonts w:ascii="Arial" w:hAnsi="宋体" w:cs="Arial"/>
          <w:b/>
          <w:bCs/>
          <w:color w:val="000000"/>
          <w:sz w:val="36"/>
          <w:szCs w:val="36"/>
          <w:highlight w:val="none"/>
        </w:rPr>
        <w:t xml:space="preserve">项目编号：</w:t>
      </w:r>
      <w:r>
        <w:rPr>
          <w:rFonts w:hint="eastAsia" w:ascii="Arial" w:hAnsi="宋体" w:cs="Arial"/>
          <w:b/>
          <w:bCs/>
          <w:color w:val="000000"/>
          <w:sz w:val="36"/>
          <w:szCs w:val="36"/>
          <w:highlight w:val="none"/>
          <w:lang w:eastAsia="zh-CN"/>
        </w:rPr>
        <w:t xml:space="preserve">JSZC-320000-JCEC-C2026-0148</w:t>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072"/>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072"/>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072"/>
        <w:ind w:firstLine="960"/>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 xml:space="preserve">采购人：</w:t>
      </w:r>
      <w:r>
        <w:rPr>
          <w:rFonts w:hint="eastAsia" w:ascii="Arial" w:hAnsi="宋体" w:cs="Arial"/>
          <w:b/>
          <w:color w:val="000000"/>
          <w:sz w:val="32"/>
          <w:szCs w:val="32"/>
          <w:highlight w:val="none"/>
          <w:lang w:eastAsia="zh-CN"/>
        </w:rPr>
        <w:t xml:space="preserve">南京艺术学院</w:t>
      </w:r>
      <w:r/>
    </w:p>
    <w:p>
      <w:pPr>
        <w:jc w:val="center"/>
        <w:spacing w:line="360" w:lineRule="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p>
    <w:p>
      <w:pPr>
        <w:jc w:val="center"/>
        <w:spacing w:line="360" w:lineRule="auto"/>
        <w:rPr>
          <w:rFonts w:hint="eastAsia" w:ascii="Arial" w:hAnsi="宋体" w:eastAsia="宋体" w:cs="Arial"/>
          <w:b/>
          <w:color w:val="000000"/>
          <w:sz w:val="32"/>
          <w:szCs w:val="32"/>
          <w:highlight w:val="none"/>
          <w:lang w:val="en-US" w:eastAsia="zh-CN"/>
        </w:rPr>
      </w:pPr>
      <w:r>
        <w:rPr>
          <w:rFonts w:hint="eastAsia" w:ascii="Arial" w:hAnsi="宋体" w:eastAsia="宋体" w:cs="Arial"/>
          <w:b/>
          <w:color w:val="000000"/>
          <w:sz w:val="32"/>
          <w:szCs w:val="32"/>
          <w:highlight w:val="none"/>
          <w:lang w:eastAsia="zh-CN"/>
        </w:rPr>
        <w:t xml:space="preserve">2026年</w:t>
      </w:r>
      <w:r>
        <w:rPr>
          <w:rFonts w:hint="eastAsia" w:ascii="Arial" w:hAnsi="宋体" w:cs="Arial"/>
          <w:b/>
          <w:color w:val="auto"/>
          <w:sz w:val="32"/>
          <w:szCs w:val="32"/>
          <w:highlight w:val="none"/>
          <w:lang w:val="en-US" w:eastAsia="zh-CN"/>
        </w:rPr>
        <w:t xml:space="preserve">6</w:t>
      </w:r>
      <w:r>
        <w:rPr>
          <w:rFonts w:hint="eastAsia" w:ascii="Arial" w:hAnsi="宋体" w:eastAsia="宋体" w:cs="Arial"/>
          <w:b/>
          <w:color w:val="000000"/>
          <w:sz w:val="32"/>
          <w:szCs w:val="32"/>
          <w:highlight w:val="none"/>
          <w:lang w:eastAsia="zh-CN"/>
        </w:rPr>
        <w:t xml:space="preserve">月</w:t>
      </w:r>
      <w:r/>
    </w:p>
    <w:p>
      <w:pPr>
        <w:jc w:val="center"/>
        <w:spacing w:line="360" w:lineRule="auto"/>
        <w:rPr>
          <w:rFonts w:ascii="Arial" w:hAnsi="宋体" w:cs="Arial"/>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094"/>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
    </w:p>
    <w:p>
      <w:pPr>
        <w:pStyle w:val="1041"/>
        <w:spacing w:before="0" w:after="0" w:line="480" w:lineRule="auto"/>
        <w:tabs>
          <w:tab w:val="right" w:pos="8306" w:leader="dot"/>
        </w:tabs>
        <w:rPr>
          <w:rFonts w:ascii="Arial" w:hAnsi="Arial" w:cs="Arial"/>
          <w:b w:val="0"/>
          <w:sz w:val="24"/>
          <w:szCs w:val="24"/>
          <w:highlight w:val="none"/>
        </w:rPr>
      </w:pPr>
      <w:r>
        <w:rPr>
          <w:rFonts w:ascii="Arial" w:hAnsi="Arial" w:cs="Arial"/>
          <w:b w:val="0"/>
          <w:sz w:val="24"/>
          <w:szCs w:val="24"/>
          <w:highlight w:val="none"/>
        </w:rPr>
      </w:r>
      <w:r/>
    </w:p>
    <w:p>
      <w:pPr>
        <w:pStyle w:val="1041"/>
        <w:tabs>
          <w:tab w:val="right" w:pos="8306" w:leader="dot"/>
        </w:tabs>
        <w:rPr>
          <w:highlight w:val="none"/>
        </w:rPr>
      </w:pPr>
      <w:r>
        <w:rPr>
          <w:rFonts w:ascii="Arial" w:hAnsi="Arial" w:cs="Arial"/>
          <w:b w:val="0"/>
          <w:sz w:val="24"/>
          <w:szCs w:val="24"/>
          <w:highlight w:val="none"/>
        </w:rPr>
        <w:fldChar w:fldCharType="begin"/>
      </w:r>
      <w:r>
        <w:rPr>
          <w:rFonts w:ascii="Arial" w:hAnsi="Arial" w:cs="Arial"/>
          <w:b w:val="0"/>
          <w:sz w:val="24"/>
          <w:szCs w:val="24"/>
          <w:highlight w:val="none"/>
        </w:rPr>
        <w:instrText xml:space="preserve"> TOC \o "1-3" \h \z \u </w:instrText>
      </w:r>
      <w:r>
        <w:rPr>
          <w:rFonts w:ascii="Arial" w:hAnsi="Arial" w:cs="Arial"/>
          <w:b w:val="0"/>
          <w:sz w:val="24"/>
          <w:szCs w:val="24"/>
          <w:highlight w:val="none"/>
        </w:rPr>
        <w:fldChar w:fldCharType="separate"/>
      </w:r>
      <w:r>
        <w:rPr>
          <w:rFonts w:ascii="Arial" w:hAnsi="Arial" w:cs="Arial"/>
          <w:szCs w:val="24"/>
          <w:highlight w:val="none"/>
        </w:rPr>
        <w:fldChar w:fldCharType="begin"/>
      </w:r>
      <w:r>
        <w:rPr>
          <w:rFonts w:ascii="Arial" w:hAnsi="Arial" w:cs="Arial"/>
          <w:szCs w:val="24"/>
          <w:highlight w:val="none"/>
        </w:rPr>
        <w:instrText xml:space="preserve"> HYPERLINK \l _Toc29568 </w:instrText>
      </w:r>
      <w:r>
        <w:rPr>
          <w:rFonts w:ascii="Arial" w:hAnsi="Arial" w:cs="Arial"/>
          <w:szCs w:val="24"/>
          <w:highlight w:val="none"/>
        </w:rPr>
        <w:fldChar w:fldCharType="separate"/>
      </w: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highlight w:val="none"/>
        </w:rPr>
        <w:tab/>
      </w:r>
      <w:r>
        <w:rPr>
          <w:highlight w:val="none"/>
        </w:rPr>
        <w:fldChar w:fldCharType="begin"/>
      </w:r>
      <w:r>
        <w:rPr>
          <w:highlight w:val="none"/>
        </w:rPr>
        <w:instrText xml:space="preserve"> PAGEREF _Toc29568 \h </w:instrText>
      </w:r>
      <w:r>
        <w:rPr>
          <w:highlight w:val="none"/>
        </w:rPr>
        <w:fldChar w:fldCharType="separate"/>
      </w:r>
      <w:r>
        <w:rPr>
          <w:highlight w:val="none"/>
        </w:rPr>
        <w:t xml:space="preserve">2</w:t>
      </w:r>
      <w:r>
        <w:rPr>
          <w:highlight w:val="none"/>
        </w:rPr>
        <w:fldChar w:fldCharType="end"/>
      </w:r>
      <w:r>
        <w:rPr>
          <w:rFonts w:ascii="Arial" w:hAnsi="Arial" w:cs="Arial"/>
          <w:szCs w:val="24"/>
          <w:highlight w:val="none"/>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_Toc11878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rPr>
          <w:highlight w:val="none"/>
        </w:rPr>
        <w:tab/>
      </w:r>
      <w:r>
        <w:rPr>
          <w:highlight w:val="none"/>
        </w:rPr>
        <w:fldChar w:fldCharType="begin"/>
      </w:r>
      <w:r>
        <w:rPr>
          <w:highlight w:val="none"/>
        </w:rPr>
        <w:instrText xml:space="preserve"> PAGEREF _Toc11878 \h </w:instrText>
      </w:r>
      <w:r>
        <w:rPr>
          <w:highlight w:val="none"/>
        </w:rPr>
        <w:fldChar w:fldCharType="separate"/>
      </w:r>
      <w:r>
        <w:rPr>
          <w:highlight w:val="none"/>
        </w:rPr>
        <w:t xml:space="preserve">6</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_Toc25515 </w:instrText>
      </w:r>
      <w:r>
        <w:rPr>
          <w:rFonts w:ascii="Arial" w:hAnsi="Arial" w:cs="Arial"/>
          <w:szCs w:val="24"/>
          <w:highlight w:val="none"/>
          <w:lang w:val="zh-CN"/>
        </w:rPr>
        <w:fldChar w:fldCharType="separate"/>
      </w:r>
      <w:r>
        <w:rPr>
          <w:rFonts w:ascii="Arial" w:hAnsi="Arial" w:cs="Arial"/>
          <w:highlight w:val="none"/>
          <w:lang w:val="zh-CN"/>
        </w:rPr>
        <w:t xml:space="preserve">第三章 评标标准</w:t>
      </w:r>
      <w:r>
        <w:rPr>
          <w:highlight w:val="none"/>
        </w:rPr>
        <w:tab/>
      </w:r>
      <w:r>
        <w:rPr>
          <w:highlight w:val="none"/>
        </w:rPr>
        <w:fldChar w:fldCharType="begin"/>
      </w:r>
      <w:r>
        <w:rPr>
          <w:highlight w:val="none"/>
        </w:rPr>
        <w:instrText xml:space="preserve"> PAGEREF _Toc25515 \h </w:instrText>
      </w:r>
      <w:r>
        <w:rPr>
          <w:highlight w:val="none"/>
        </w:rPr>
        <w:fldChar w:fldCharType="separate"/>
      </w:r>
      <w:r>
        <w:rPr>
          <w:highlight w:val="none"/>
        </w:rPr>
        <w:t xml:space="preserve">16</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_Toc15293 </w:instrText>
      </w:r>
      <w:r>
        <w:rPr>
          <w:rFonts w:ascii="Arial" w:hAnsi="Arial" w:cs="Arial"/>
          <w:szCs w:val="24"/>
          <w:highlight w:val="none"/>
          <w:lang w:val="zh-CN"/>
        </w:rPr>
        <w:fldChar w:fldCharType="separate"/>
      </w:r>
      <w:r>
        <w:rPr>
          <w:rFonts w:hint="eastAsia"/>
          <w:highlight w:val="none"/>
          <w:lang w:val="zh-CN" w:eastAsia="zh-CN"/>
        </w:rPr>
        <w:t xml:space="preserve">第四章 </w:t>
      </w:r>
      <w:r>
        <w:rPr>
          <w:highlight w:val="none"/>
          <w:lang w:val="zh-CN" w:eastAsia="zh-CN"/>
        </w:rPr>
        <w:t xml:space="preserve">采购需求</w:t>
      </w:r>
      <w:r>
        <w:rPr>
          <w:highlight w:val="none"/>
        </w:rPr>
        <w:tab/>
      </w:r>
      <w:r>
        <w:rPr>
          <w:highlight w:val="none"/>
        </w:rPr>
        <w:fldChar w:fldCharType="begin"/>
      </w:r>
      <w:r>
        <w:rPr>
          <w:highlight w:val="none"/>
        </w:rPr>
        <w:instrText xml:space="preserve"> PAGEREF _Toc15293 \h </w:instrText>
      </w:r>
      <w:r>
        <w:rPr>
          <w:highlight w:val="none"/>
        </w:rPr>
        <w:fldChar w:fldCharType="separate"/>
      </w:r>
      <w:r>
        <w:rPr>
          <w:highlight w:val="none"/>
        </w:rPr>
        <w:t xml:space="preserve">22</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_Toc19167 </w:instrText>
      </w:r>
      <w:r>
        <w:rPr>
          <w:rFonts w:ascii="Arial" w:hAnsi="Arial" w:cs="Arial"/>
          <w:szCs w:val="24"/>
          <w:highlight w:val="none"/>
          <w:lang w:val="zh-CN"/>
        </w:rPr>
        <w:fldChar w:fldCharType="separate"/>
      </w:r>
      <w:r>
        <w:rPr>
          <w:rFonts w:ascii="Arial" w:hAnsi="Arial" w:cs="Arial"/>
          <w:highlight w:val="none"/>
          <w:lang w:val="zh-CN"/>
        </w:rPr>
        <w:t xml:space="preserve">第五章 合同主要条款</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 xml:space="preserve">40</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_Toc7982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rPr>
          <w:highlight w:val="none"/>
        </w:rPr>
        <w:tab/>
      </w:r>
      <w:r>
        <w:rPr>
          <w:highlight w:val="none"/>
        </w:rPr>
        <w:fldChar w:fldCharType="begin"/>
      </w:r>
      <w:r>
        <w:rPr>
          <w:highlight w:val="none"/>
        </w:rPr>
        <w:instrText xml:space="preserve"> PAGEREF _Toc7982 \h </w:instrText>
      </w:r>
      <w:r>
        <w:rPr>
          <w:highlight w:val="none"/>
        </w:rPr>
        <w:fldChar w:fldCharType="separate"/>
      </w:r>
      <w:r>
        <w:rPr>
          <w:highlight w:val="none"/>
        </w:rPr>
        <w:t xml:space="preserve">46</w:t>
      </w:r>
      <w:r>
        <w:rPr>
          <w:highlight w:val="none"/>
        </w:rPr>
        <w:fldChar w:fldCharType="end"/>
      </w:r>
      <w:r>
        <w:rPr>
          <w:rFonts w:ascii="Arial" w:hAnsi="Arial" w:cs="Arial"/>
          <w:szCs w:val="24"/>
          <w:highlight w:val="none"/>
          <w:lang w:val="zh-CN"/>
        </w:rPr>
        <w:fldChar w:fldCharType="end"/>
      </w:r>
      <w:r/>
    </w:p>
    <w:p>
      <w:pPr>
        <w:pStyle w:val="1041"/>
        <w:tabs>
          <w:tab w:val="right" w:pos="8306" w:leader="dot"/>
        </w:tabs>
        <w:rPr>
          <w:highlight w:val="none"/>
        </w:rPr>
      </w:pPr>
      <w:r>
        <w:rPr>
          <w:highlight w:val="none"/>
        </w:rPr>
      </w:r>
      <w:r/>
    </w:p>
    <w:p>
      <w:pPr>
        <w:jc w:val="center"/>
        <w:spacing w:line="480" w:lineRule="auto"/>
        <w:rPr>
          <w:rFonts w:ascii="Arial" w:hAnsi="Arial" w:cs="Arial"/>
          <w:b/>
          <w:bCs/>
          <w:sz w:val="72"/>
          <w:szCs w:val="30"/>
          <w:highlight w:val="none"/>
          <w:lang w:val="zh-CN"/>
        </w:rPr>
      </w:pPr>
      <w:r>
        <w:rPr>
          <w:rFonts w:ascii="Arial" w:hAnsi="Arial" w:cs="Arial"/>
          <w:szCs w:val="24"/>
          <w:highlight w:val="none"/>
          <w:lang w:val="zh-CN"/>
        </w:rPr>
        <w:fldChar w:fldCharType="end"/>
      </w:r>
      <w:r/>
    </w:p>
    <w:p>
      <w:pPr>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059"/>
        <w:rPr>
          <w:rFonts w:ascii="Arial" w:hAnsi="Arial" w:cs="Arial"/>
          <w:highlight w:val="none"/>
        </w:rPr>
      </w:pPr>
      <w:r>
        <w:rPr>
          <w:rFonts w:ascii="Arial" w:cs="Arial"/>
          <w:highlight w:val="none"/>
          <w:lang w:val="zh-CN"/>
        </w:rPr>
        <w:br w:type="page" w:clear="all"/>
      </w:r>
      <w:bookmarkStart w:id="1" w:name="_Toc29568"/>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1"/>
      <w:r/>
      <w:r/>
    </w:p>
    <w:p>
      <w:pPr>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ind w:firstLine="454"/>
        <w:jc w:val="left"/>
        <w:spacing w:line="360" w:lineRule="auto"/>
        <w:tabs>
          <w:tab w:val="left" w:pos="390" w:leader="none"/>
          <w:tab w:val="center" w:pos="4404" w:leader="none"/>
        </w:tabs>
        <w:rPr>
          <w:rFonts w:ascii="宋体" w:hAnsi="宋体" w:cs="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cs="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highlight w:val="none"/>
          <w:u w:val="single"/>
          <w:lang w:eastAsia="zh-CN"/>
        </w:rPr>
        <w:t xml:space="preserve">直录播教室常态化建设二期工程</w:t>
      </w:r>
      <w:r>
        <w:rPr>
          <w:rFonts w:hint="eastAsia" w:ascii="宋体" w:hAnsi="宋体" w:cs="宋体"/>
          <w:spacing w:val="8"/>
          <w:szCs w:val="21"/>
          <w:highlight w:val="none"/>
        </w:rPr>
        <w:t xml:space="preserve">的潜在供应商应在</w:t>
      </w:r>
      <w:r>
        <w:rPr>
          <w:rFonts w:hint="eastAsia" w:ascii="宋体" w:hAnsi="宋体" w:cs="宋体"/>
          <w:b/>
          <w:bCs/>
          <w:szCs w:val="21"/>
          <w:highlight w:val="none"/>
          <w:u w:val="single"/>
        </w:rPr>
        <w:t xml:space="preserve">江苏政府采购网</w:t>
      </w:r>
      <w:r>
        <w:rPr>
          <w:rFonts w:hint="eastAsia" w:ascii="宋体" w:hAnsi="宋体" w:cs="宋体"/>
          <w:spacing w:val="8"/>
          <w:szCs w:val="21"/>
          <w:highlight w:val="none"/>
        </w:rPr>
        <w:t xml:space="preserve">获取招标文件</w:t>
      </w:r>
      <w:r>
        <w:rPr>
          <w:rFonts w:hint="eastAsia" w:ascii="宋体" w:hAnsi="宋体" w:cs="宋体"/>
          <w:szCs w:val="21"/>
          <w:highlight w:val="none"/>
        </w:rPr>
        <w:t xml:space="preserve">，并于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color w:val="ff0000"/>
          <w:spacing w:val="8"/>
          <w:szCs w:val="21"/>
          <w:highlight w:val="none"/>
          <w:lang w:val="en-US" w:eastAsia="zh-CN"/>
        </w:rPr>
        <w:t xml:space="preserve">17</w:t>
      </w:r>
      <w:r>
        <w:rPr>
          <w:rFonts w:hint="eastAsia" w:ascii="宋体" w:hAnsi="宋体" w:cs="宋体"/>
          <w:b/>
          <w:bCs/>
          <w:spacing w:val="8"/>
          <w:szCs w:val="21"/>
          <w:highlight w:val="none"/>
        </w:rPr>
        <w:t xml:space="preserve">日</w:t>
      </w:r>
      <w:r>
        <w:rPr>
          <w:rFonts w:hint="eastAsia" w:ascii="宋体" w:hAnsi="宋体" w:cs="宋体"/>
          <w:b/>
          <w:bCs/>
          <w:color w:val="ff0000"/>
          <w:szCs w:val="21"/>
          <w:highlight w:val="none"/>
          <w:lang w:val="en-US" w:eastAsia="zh-CN"/>
        </w:rPr>
        <w:t xml:space="preserve">9</w:t>
      </w:r>
      <w:r>
        <w:rPr>
          <w:rFonts w:hint="eastAsia" w:ascii="宋体" w:hAnsi="宋体" w:cs="宋体"/>
          <w:b/>
          <w:bCs/>
          <w:szCs w:val="21"/>
          <w:highlight w:val="none"/>
        </w:rPr>
        <w:t xml:space="preserve">点</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rPr>
        <w:t xml:space="preserve">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w:t>
      </w:r>
      <w:r/>
    </w:p>
    <w:p>
      <w:pPr>
        <w:ind w:firstLine="420"/>
        <w:jc w:val="left"/>
        <w:spacing w:line="360" w:lineRule="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4" w:name="_Toc10912"/>
      <w:r>
        <w:rPr>
          <w:rFonts w:ascii="Arial" w:hAnsi="Arial" w:cs="Arial"/>
          <w:b/>
          <w:spacing w:val="8"/>
          <w:sz w:val="24"/>
          <w:highlight w:val="none"/>
        </w:rPr>
        <w:t xml:space="preserve">一、项目基本情况</w:t>
      </w:r>
      <w:bookmarkEnd w:id="2"/>
      <w:r/>
      <w:bookmarkEnd w:id="3"/>
      <w:r/>
      <w:bookmarkEnd w:id="4"/>
      <w:r/>
      <w:r/>
    </w:p>
    <w:p>
      <w:pPr>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宋体" w:hAnsi="宋体" w:cs="宋体"/>
          <w:bCs/>
          <w:szCs w:val="21"/>
          <w:highlight w:val="none"/>
          <w:lang w:eastAsia="zh-CN"/>
        </w:rPr>
        <w:t xml:space="preserve">JSZC-320000-JCEC-C2026-0148</w:t>
      </w:r>
      <w:r>
        <w:rPr>
          <w:rFonts w:hint="eastAsia" w:ascii="宋体" w:hAnsi="宋体" w:cs="宋体"/>
          <w:bCs/>
          <w:szCs w:val="21"/>
          <w:highlight w:val="none"/>
          <w:lang w:val="en-US" w:eastAsia="zh-CN"/>
        </w:rPr>
        <w:t xml:space="preserve"> </w:t>
      </w:r>
      <w:r/>
    </w:p>
    <w:p>
      <w:pPr>
        <w:ind w:firstLine="370"/>
        <w:spacing w:line="360" w:lineRule="auto"/>
        <w:shd w:val="clear" w:color="auto" w:fill="ffffff"/>
        <w:widowControl/>
        <w:rPr>
          <w:rFonts w:hint="eastAsia" w:ascii="Arial" w:hAnsi="Arial" w:cs="Arial"/>
          <w:spacing w:val="8"/>
          <w:szCs w:val="21"/>
          <w:highlight w:val="none"/>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直录播教室常态化建设二期工程</w:t>
      </w:r>
      <w:r/>
    </w:p>
    <w:p>
      <w:pPr>
        <w:ind w:firstLine="37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1.3采购方式：竞争性磋商</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rPr>
        <w:t xml:space="preserve">4</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399</w:t>
      </w:r>
      <w:r>
        <w:rPr>
          <w:rFonts w:hint="eastAsia" w:ascii="Arial" w:hAnsi="Arial" w:cs="Arial"/>
          <w:spacing w:val="8"/>
          <w:szCs w:val="21"/>
          <w:highlight w:val="none"/>
        </w:rPr>
        <w:t xml:space="preserve">万元</w:t>
      </w:r>
      <w:r/>
    </w:p>
    <w:p>
      <w:pPr>
        <w:ind w:firstLine="370"/>
        <w:spacing w:line="360" w:lineRule="auto"/>
        <w:shd w:val="clear" w:color="auto" w:fill="ffffff"/>
        <w:widowControl/>
        <w:rPr>
          <w:rFonts w:hint="eastAsia" w:ascii="Arial" w:hAnsi="Arial"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rPr>
        <w:t xml:space="preserve">5最高限价：</w:t>
      </w:r>
      <w:r>
        <w:rPr>
          <w:rFonts w:hint="eastAsia" w:ascii="Arial" w:hAnsi="Arial" w:cs="Arial"/>
          <w:spacing w:val="8"/>
          <w:szCs w:val="21"/>
          <w:highlight w:val="none"/>
          <w:lang w:val="en-US" w:eastAsia="zh-CN"/>
        </w:rPr>
        <w:t xml:space="preserve">399万元</w:t>
      </w:r>
      <w:r/>
    </w:p>
    <w:p>
      <w:pPr>
        <w:ind w:firstLine="370"/>
        <w:spacing w:line="360" w:lineRule="auto"/>
        <w:shd w:val="clear" w:color="auto" w:fill="ffffff"/>
        <w:widowControl/>
        <w:rPr>
          <w:rFonts w:hint="eastAsia" w:ascii="Arial" w:hAnsi="Arial" w:eastAsia="宋体" w:cs="Arial"/>
          <w:spacing w:val="8"/>
          <w:szCs w:val="21"/>
          <w:highlight w:val="none"/>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6</w:t>
      </w:r>
      <w:r>
        <w:rPr>
          <w:rFonts w:ascii="Arial" w:hAnsi="Arial" w:eastAsia="宋体" w:cs="Arial"/>
          <w:spacing w:val="8"/>
          <w:szCs w:val="21"/>
          <w:highlight w:val="none"/>
        </w:rPr>
        <w:t xml:space="preserve">采购需求：</w:t>
      </w:r>
      <w:r>
        <w:rPr>
          <w:rFonts w:hint="eastAsia" w:ascii="Arial" w:hAnsi="Arial" w:cs="Arial"/>
          <w:spacing w:val="8"/>
          <w:szCs w:val="21"/>
          <w:highlight w:val="none"/>
          <w:lang w:eastAsia="zh-CN"/>
        </w:rPr>
        <w:t xml:space="preserve">直录播教室常态化建设二期工程</w:t>
      </w:r>
      <w:r>
        <w:rPr>
          <w:rFonts w:hint="eastAsia" w:ascii="Arial" w:hAnsi="Arial" w:cs="Arial"/>
          <w:color w:val="auto"/>
          <w:spacing w:val="8"/>
          <w:szCs w:val="21"/>
          <w:highlight w:val="none"/>
        </w:rPr>
        <w:t xml:space="preserve">，详见图纸、工程量清单</w:t>
      </w:r>
      <w:r>
        <w:rPr>
          <w:rFonts w:hint="eastAsia" w:ascii="Arial" w:hAnsi="Arial" w:eastAsia="宋体" w:cs="Arial"/>
          <w:spacing w:val="8"/>
          <w:szCs w:val="21"/>
          <w:highlight w:val="none"/>
        </w:rPr>
        <w:t xml:space="preserve">。</w:t>
      </w:r>
      <w:r/>
    </w:p>
    <w:p>
      <w:pPr>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rPr>
        <w:t xml:space="preserve">.</w:t>
      </w:r>
      <w:r>
        <w:rPr>
          <w:rFonts w:hint="eastAsia" w:ascii="Arial" w:hAnsi="Arial" w:eastAsia="宋体" w:cs="Arial"/>
          <w:spacing w:val="8"/>
          <w:szCs w:val="21"/>
          <w:highlight w:val="none"/>
          <w:lang w:val="en-US" w:eastAsia="zh-CN"/>
        </w:rPr>
        <w:t xml:space="preserve">7</w:t>
      </w:r>
      <w:r>
        <w:rPr>
          <w:rFonts w:ascii="Arial" w:hAnsi="Arial" w:eastAsia="宋体" w:cs="Arial"/>
          <w:spacing w:val="8"/>
          <w:szCs w:val="21"/>
          <w:highlight w:val="none"/>
        </w:rPr>
        <w:t xml:space="preserve">工期</w:t>
      </w:r>
      <w:r>
        <w:rPr>
          <w:rFonts w:hint="eastAsia" w:ascii="Arial" w:hAnsi="Arial" w:eastAsia="宋体" w:cs="Arial"/>
          <w:spacing w:val="8"/>
          <w:szCs w:val="21"/>
          <w:highlight w:val="none"/>
          <w:lang w:eastAsia="zh-CN"/>
        </w:rPr>
        <w:t xml:space="preserve">：</w:t>
      </w:r>
      <w:r>
        <w:rPr>
          <w:rFonts w:hint="eastAsia" w:ascii="Arial" w:hAnsi="Arial" w:eastAsia="宋体" w:cs="Arial"/>
          <w:spacing w:val="8"/>
          <w:szCs w:val="21"/>
          <w:highlight w:val="none"/>
          <w:lang w:val="en-US" w:eastAsia="zh-CN"/>
        </w:rPr>
        <w:t xml:space="preserve">60</w:t>
      </w:r>
      <w:r>
        <w:rPr>
          <w:rFonts w:hint="eastAsia" w:ascii="Arial" w:hAnsi="Arial" w:eastAsia="宋体" w:cs="Arial"/>
          <w:spacing w:val="8"/>
          <w:szCs w:val="21"/>
          <w:highlight w:val="none"/>
        </w:rPr>
        <w:t xml:space="preserve">日历天</w:t>
      </w:r>
      <w:r/>
    </w:p>
    <w:p>
      <w:pPr>
        <w:ind w:firstLine="370"/>
        <w:spacing w:line="360" w:lineRule="auto"/>
        <w:shd w:val="clear" w:color="auto" w:fill="ffffff"/>
        <w:widowControl/>
        <w:rPr>
          <w:rFonts w:hint="eastAsia" w:ascii="Arial" w:hAnsi="Arial" w:eastAsia="宋体" w:cs="Arial"/>
          <w:spacing w:val="8"/>
          <w:szCs w:val="21"/>
          <w:highlight w:val="none"/>
        </w:rPr>
      </w:pPr>
      <w:r>
        <w:rPr>
          <w:rFonts w:hint="eastAsia"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8</w:t>
      </w:r>
      <w:r>
        <w:rPr>
          <w:rFonts w:hint="eastAsia" w:ascii="Arial" w:hAnsi="Arial" w:eastAsia="宋体" w:cs="Arial"/>
          <w:spacing w:val="8"/>
          <w:szCs w:val="21"/>
          <w:highlight w:val="none"/>
        </w:rPr>
        <w:t xml:space="preserve">行业划分：建筑业</w:t>
      </w:r>
      <w:r/>
    </w:p>
    <w:p>
      <w:pPr>
        <w:ind w:firstLine="370"/>
        <w:spacing w:line="360" w:lineRule="auto"/>
        <w:shd w:val="clear" w:color="auto" w:fill="ffffff"/>
        <w:widowControl/>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 xml:space="preserve">1.9</w:t>
      </w:r>
      <w:r>
        <w:rPr>
          <w:rFonts w:hint="eastAsia" w:ascii="Arial" w:hAnsi="Arial" w:eastAsia="宋体" w:cs="Arial"/>
          <w:spacing w:val="8"/>
          <w:szCs w:val="21"/>
          <w:highlight w:val="none"/>
        </w:rPr>
        <w:t xml:space="preserve">本项目非专门面向中小企业（或监狱企业或残疾人福利性单位）采购</w:t>
      </w:r>
      <w:r/>
    </w:p>
    <w:p>
      <w:pPr>
        <w:ind w:firstLine="370"/>
        <w:spacing w:line="360" w:lineRule="auto"/>
        <w:shd w:val="clear" w:color="auto" w:fill="ffffff"/>
        <w:widowControl/>
        <w:rPr>
          <w:rFonts w:hint="eastAsia" w:ascii="宋体" w:hAnsi="宋体" w:cs="宋体"/>
          <w:bCs/>
          <w:szCs w:val="21"/>
          <w:highlight w:val="none"/>
        </w:rPr>
      </w:pPr>
      <w:r>
        <w:rPr>
          <w:rFonts w:hint="eastAsia" w:ascii="Arial" w:hAnsi="Arial" w:cs="Arial"/>
          <w:spacing w:val="8"/>
          <w:szCs w:val="21"/>
          <w:highlight w:val="none"/>
        </w:rPr>
        <w:t xml:space="preserve">1.1</w:t>
      </w:r>
      <w:r>
        <w:rPr>
          <w:rFonts w:hint="eastAsia" w:ascii="Arial" w:hAnsi="Arial" w:cs="Arial"/>
          <w:spacing w:val="8"/>
          <w:szCs w:val="21"/>
          <w:highlight w:val="none"/>
          <w:lang w:val="en-US" w:eastAsia="zh-CN"/>
        </w:rPr>
        <w:t xml:space="preserve">0</w:t>
      </w:r>
      <w:r>
        <w:rPr>
          <w:rFonts w:hint="eastAsia"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hint="eastAsia" w:ascii="Arial" w:hAnsi="Arial" w:cs="Arial"/>
          <w:spacing w:val="8"/>
          <w:szCs w:val="21"/>
          <w:highlight w:val="none"/>
        </w:rPr>
        <w:t xml:space="preserve">接受联合体投标</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5" w:name="_Toc1756"/>
      <w:r/>
      <w:bookmarkStart w:id="6" w:name="_Toc15331"/>
      <w:r/>
      <w:bookmarkStart w:id="7" w:name="_Toc26468"/>
      <w:r>
        <w:rPr>
          <w:rFonts w:ascii="Arial" w:hAnsi="Arial" w:cs="Arial"/>
          <w:b/>
          <w:spacing w:val="8"/>
          <w:sz w:val="24"/>
          <w:highlight w:val="none"/>
        </w:rPr>
        <w:t xml:space="preserve">二、申请人的资格要求：</w:t>
      </w:r>
      <w:bookmarkEnd w:id="5"/>
      <w:r/>
      <w:bookmarkEnd w:id="6"/>
      <w:r/>
      <w:bookmarkEnd w:id="7"/>
      <w:r/>
      <w:r/>
    </w:p>
    <w:p>
      <w:pPr>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w:t>
      </w:r>
      <w:r>
        <w:rPr>
          <w:rFonts w:hint="eastAsia" w:ascii="Arial" w:hAnsi="Arial" w:cs="Arial"/>
          <w:b/>
          <w:spacing w:val="8"/>
          <w:szCs w:val="21"/>
          <w:highlight w:val="none"/>
        </w:rPr>
        <w:t xml:space="preserve">满足</w:t>
      </w:r>
      <w:r>
        <w:rPr>
          <w:rFonts w:ascii="Arial" w:hAnsi="Arial" w:cs="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val="en-US" w:eastAsia="zh-CN"/>
        </w:rPr>
        <w:t xml:space="preserve">无。</w:t>
      </w:r>
      <w:r/>
    </w:p>
    <w:p>
      <w:pPr>
        <w:ind w:firstLine="458"/>
        <w:spacing w:line="360" w:lineRule="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w:t>
      </w:r>
      <w:r>
        <w:rPr>
          <w:rFonts w:hint="eastAsia" w:ascii="Arial" w:hAnsi="Arial" w:cs="Arial"/>
          <w:spacing w:val="8"/>
          <w:szCs w:val="21"/>
          <w:highlight w:val="none"/>
          <w:lang w:val="en-US" w:eastAsia="zh-CN"/>
        </w:rPr>
        <w:t xml:space="preserve">4</w:t>
      </w:r>
      <w:r>
        <w:rPr>
          <w:rFonts w:hint="eastAsia" w:ascii="Arial" w:hAnsi="Arial" w:cs="Arial"/>
          <w:spacing w:val="8"/>
          <w:szCs w:val="21"/>
          <w:highlight w:val="none"/>
        </w:rPr>
        <w:t xml:space="preserve"> 拒绝下述供应商参加本次招标活动：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hint="eastAsia" w:ascii="Arial" w:hAnsi="Arial" w:cs="Arial"/>
          <w:bCs/>
          <w:szCs w:val="21"/>
          <w:highlight w:val="none"/>
        </w:rPr>
      </w:pPr>
      <w:r>
        <w:rPr>
          <w:rFonts w:hint="eastAsia" w:ascii="Arial" w:hAnsi="Arial" w:cs="Arial"/>
          <w:spacing w:val="8"/>
          <w:szCs w:val="21"/>
          <w:highlight w:val="none"/>
        </w:rPr>
        <w:t xml:space="preserve">（3）供应商被“信用中国”网站（www.creditchina.gov.cn）、“中国政府采购网”(www.ccgp.gov.cn)列入失信被执行人、重大税法违法失信主体、政府采购严重违法失信行为记录名单</w:t>
      </w:r>
      <w:r>
        <w:rPr>
          <w:rFonts w:ascii="Arial" w:hAnsi="Arial" w:cs="Arial"/>
          <w:bCs/>
          <w:szCs w:val="21"/>
          <w:highlight w:val="none"/>
        </w:rPr>
        <w:t xml:space="preserve">。</w:t>
      </w:r>
      <w:r/>
    </w:p>
    <w:p>
      <w:pPr>
        <w:ind w:firstLine="422"/>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spacing w:line="360" w:lineRule="auto"/>
        <w:shd w:val="clear" w:color="auto" w:fill="ffffff"/>
        <w:widowControl/>
        <w:rPr>
          <w:rFonts w:ascii="Arial" w:hAnsi="Arial" w:cs="Arial"/>
          <w:b/>
          <w:spacing w:val="8"/>
          <w:sz w:val="24"/>
          <w:highlight w:val="none"/>
        </w:rPr>
        <w:outlineLvl w:val="1"/>
      </w:pPr>
      <w:r/>
      <w:bookmarkStart w:id="8" w:name="_Toc7651"/>
      <w:r/>
      <w:bookmarkStart w:id="9" w:name="_Toc24617"/>
      <w:r/>
      <w:bookmarkStart w:id="10" w:name="_Toc5823"/>
      <w:r>
        <w:rPr>
          <w:rFonts w:ascii="Arial" w:hAnsi="Arial" w:cs="Arial"/>
          <w:b/>
          <w:spacing w:val="8"/>
          <w:sz w:val="24"/>
          <w:highlight w:val="none"/>
        </w:rPr>
        <w:t xml:space="preserve">三、获取采购文件</w:t>
      </w:r>
      <w:bookmarkEnd w:id="8"/>
      <w:r/>
      <w:bookmarkEnd w:id="9"/>
      <w:r/>
      <w:bookmarkEnd w:id="10"/>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3.1时间：自磋商文件公告发布之日起5个工作日</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3.2地点：江苏政府采购网。</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3.3获取方式：网上下载。</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3.4售价：0.00元。</w:t>
      </w:r>
      <w:r/>
    </w:p>
    <w:p>
      <w:pPr>
        <w:ind w:firstLine="420"/>
        <w:spacing w:line="360" w:lineRule="auto"/>
        <w:rPr>
          <w:rFonts w:ascii="Arial" w:hAnsi="Arial" w:cs="Arial"/>
          <w:szCs w:val="21"/>
          <w:highlight w:val="none"/>
        </w:rPr>
      </w:pPr>
      <w:r>
        <w:rPr>
          <w:rFonts w:ascii="Arial" w:hAnsi="Arial" w:cs="Arial"/>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1" w:name="_Toc21817"/>
      <w:r/>
      <w:bookmarkStart w:id="12" w:name="_Toc1456"/>
      <w:r/>
      <w:bookmarkStart w:id="13" w:name="_Toc18810"/>
      <w:r>
        <w:rPr>
          <w:rFonts w:ascii="Arial" w:hAnsi="Arial" w:cs="Arial"/>
          <w:b/>
          <w:spacing w:val="8"/>
          <w:sz w:val="24"/>
          <w:highlight w:val="none"/>
        </w:rPr>
        <w:t xml:space="preserve">四、响应文件提交</w:t>
      </w:r>
      <w:bookmarkEnd w:id="11"/>
      <w:r/>
      <w:bookmarkEnd w:id="12"/>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17</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szCs w:val="21"/>
          <w:highlight w:val="none"/>
        </w:rPr>
        <w:t xml:space="preserve">4.2</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江苏省政府采购管理交易系统（苏采云）（网址：http://jszfcg.jsczt.cn/）</w:t>
      </w:r>
      <w:r>
        <w:rPr>
          <w:rFonts w:ascii="Arial" w:hAnsi="宋体" w:cs="Arial"/>
          <w:szCs w:val="21"/>
          <w:highlight w:val="none"/>
        </w:rPr>
        <w:t xml:space="preserve">。</w:t>
      </w:r>
      <w:r/>
    </w:p>
    <w:p>
      <w:pPr>
        <w:ind w:firstLine="452"/>
        <w:spacing w:line="360" w:lineRule="auto"/>
        <w:rPr>
          <w:rFonts w:ascii="Arial" w:hAnsi="Arial" w:cs="Arial"/>
          <w:color w:val="00b0f0"/>
          <w:spacing w:val="8"/>
          <w:szCs w:val="21"/>
          <w:highlight w:val="none"/>
        </w:rPr>
      </w:pPr>
      <w:r>
        <w:rPr>
          <w:rFonts w:ascii="Arial" w:hAnsi="Arial" w:cs="Arial"/>
          <w:color w:val="00b0f0"/>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4" w:name="_Toc21891"/>
      <w:r/>
      <w:bookmarkStart w:id="15" w:name="_Toc22940"/>
      <w:r/>
      <w:bookmarkStart w:id="16" w:name="_Toc22814"/>
      <w:r>
        <w:rPr>
          <w:rFonts w:ascii="Arial" w:hAnsi="Arial" w:cs="Arial"/>
          <w:b/>
          <w:spacing w:val="8"/>
          <w:sz w:val="24"/>
          <w:highlight w:val="none"/>
        </w:rPr>
        <w:t xml:space="preserve">五、开启</w:t>
      </w:r>
      <w:bookmarkEnd w:id="14"/>
      <w:r/>
      <w:bookmarkEnd w:id="15"/>
      <w:r/>
      <w:bookmarkEnd w:id="16"/>
      <w:r/>
      <w:r/>
    </w:p>
    <w:p>
      <w:pPr>
        <w:ind w:firstLine="420"/>
        <w:spacing w:line="360" w:lineRule="auto"/>
        <w:rPr>
          <w:rFonts w:ascii="Arial" w:hAnsi="Arial" w:cs="Arial"/>
          <w:spacing w:val="8"/>
          <w:szCs w:val="21"/>
          <w:highlight w:val="none"/>
        </w:rPr>
      </w:pPr>
      <w:r>
        <w:rPr>
          <w:rFonts w:ascii="Arial" w:hAnsi="Arial" w:cs="Arial"/>
          <w:szCs w:val="21"/>
          <w:highlight w:val="none"/>
        </w:rPr>
        <w:t xml:space="preserve">5.1 时间：</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17</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9</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cs="Arial"/>
          <w:szCs w:val="21"/>
          <w:highlight w:val="none"/>
        </w:rPr>
        <w:t xml:space="preserve">5.2地点：</w:t>
      </w:r>
      <w:r>
        <w:rPr>
          <w:rFonts w:hint="eastAsia" w:ascii="Arial" w:hAnsi="Arial"/>
          <w:spacing w:val="8"/>
          <w:szCs w:val="21"/>
          <w:highlight w:val="none"/>
        </w:rPr>
        <w:t xml:space="preserve">江苏省政府采购管理交易系统（苏采云）（网址：http://jszfcg.jsczt.cn/）</w:t>
      </w:r>
      <w:r/>
    </w:p>
    <w:p>
      <w:pPr>
        <w:ind w:firstLine="452"/>
        <w:spacing w:line="360" w:lineRule="auto"/>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7" w:name="_Toc7529"/>
      <w:r/>
      <w:bookmarkStart w:id="18" w:name="_Toc26308"/>
      <w:r/>
      <w:bookmarkStart w:id="19" w:name="_Toc23729"/>
      <w:r>
        <w:rPr>
          <w:rFonts w:ascii="Arial" w:hAnsi="Arial" w:cs="Arial"/>
          <w:b/>
          <w:spacing w:val="8"/>
          <w:sz w:val="24"/>
          <w:highlight w:val="none"/>
        </w:rPr>
        <w:t xml:space="preserve">六、公告期限</w:t>
      </w:r>
      <w:bookmarkEnd w:id="17"/>
      <w:r/>
      <w:bookmarkEnd w:id="18"/>
      <w:r/>
      <w:bookmarkEnd w:id="19"/>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0" w:name="_Toc29605"/>
      <w:r/>
      <w:bookmarkStart w:id="21" w:name="_Toc11013"/>
      <w:r/>
      <w:bookmarkStart w:id="22" w:name="_Toc14225"/>
      <w:r>
        <w:rPr>
          <w:rFonts w:ascii="Arial" w:hAnsi="Arial" w:cs="Arial"/>
          <w:b/>
          <w:spacing w:val="8"/>
          <w:sz w:val="24"/>
          <w:highlight w:val="none"/>
        </w:rPr>
        <w:t xml:space="preserve">七、其他补充事宜</w:t>
      </w:r>
      <w:bookmarkEnd w:id="20"/>
      <w:r/>
      <w:bookmarkEnd w:id="21"/>
      <w:r/>
      <w:bookmarkEnd w:id="22"/>
      <w:r/>
      <w:r/>
    </w:p>
    <w:p>
      <w:pPr>
        <w:ind w:firstLine="420"/>
        <w:spacing w:line="360" w:lineRule="auto"/>
        <w:rPr>
          <w:rFonts w:ascii="Arial" w:hAnsi="Arial" w:cs="Arial"/>
          <w:highlight w:val="none"/>
        </w:rPr>
      </w:pPr>
      <w:r>
        <w:rPr>
          <w:rFonts w:ascii="Arial" w:hAnsi="Arial" w:cs="Arial"/>
          <w:highlight w:val="none"/>
        </w:rPr>
        <w:t xml:space="preserve">7.1</w:t>
      </w:r>
      <w:r>
        <w:rPr>
          <w:rFonts w:hint="eastAsia" w:ascii="Arial" w:hAnsi="Arial" w:cs="Arial"/>
          <w:bCs/>
          <w:szCs w:val="21"/>
          <w:highlight w:val="none"/>
        </w:rPr>
        <w:t xml:space="preserve">本项目在江苏政府采购网、中国政府采购网发布公告。</w:t>
      </w:r>
      <w:r/>
    </w:p>
    <w:p>
      <w:pPr>
        <w:ind w:firstLine="420"/>
        <w:spacing w:line="360" w:lineRule="auto"/>
        <w:rPr>
          <w:rFonts w:hint="eastAsia" w:ascii="Arial" w:hAnsi="Arial" w:cs="Arial"/>
          <w:highlight w:val="none"/>
        </w:rPr>
      </w:pPr>
      <w:r>
        <w:rPr>
          <w:rFonts w:hint="eastAsia" w:ascii="Arial" w:hAnsi="Arial" w:cs="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Arial" w:hAnsi="Arial" w:cs="Arial"/>
          <w:highlight w:val="none"/>
        </w:rPr>
      </w:pPr>
      <w:r>
        <w:rPr>
          <w:rFonts w:hint="eastAsia" w:ascii="Arial" w:hAnsi="Arial" w:cs="Arial"/>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spacing w:line="360" w:lineRule="auto"/>
        <w:rPr>
          <w:rFonts w:ascii="Arial" w:hAnsi="Arial" w:cs="Arial"/>
          <w:highlight w:val="none"/>
        </w:rPr>
      </w:pPr>
      <w:r>
        <w:rPr>
          <w:rFonts w:hint="eastAsia" w:ascii="Arial" w:hAnsi="Arial" w:cs="Arial"/>
          <w:highlight w:val="none"/>
        </w:rPr>
        <w:t xml:space="preserve">“苏采云”</w:t>
      </w:r>
      <w:r>
        <w:rPr>
          <w:rFonts w:hint="eastAsia" w:ascii="Arial" w:hAnsi="Arial" w:cs="Arial"/>
          <w:highlight w:val="none"/>
          <w:lang w:val="en-US" w:eastAsia="zh-CN"/>
        </w:rPr>
        <w:t xml:space="preserve">江苏省</w:t>
      </w:r>
      <w:r>
        <w:rPr>
          <w:rFonts w:hint="eastAsia" w:ascii="Arial" w:hAnsi="Arial" w:cs="Arial"/>
          <w:highlight w:val="none"/>
        </w:rPr>
        <w:t xml:space="preserve">客服热线025-83633744、025-83633743</w:t>
      </w:r>
      <w:r>
        <w:rPr>
          <w:rFonts w:ascii="Arial" w:hAnsi="Arial" w:cs="Arial"/>
          <w:highlight w:val="none"/>
        </w:rPr>
        <w:t xml:space="preserve">。</w:t>
      </w:r>
      <w:r/>
    </w:p>
    <w:p>
      <w:pPr>
        <w:ind w:firstLine="420"/>
        <w:spacing w:line="360" w:lineRule="auto"/>
        <w:rPr>
          <w:rFonts w:hint="eastAsia" w:ascii="Arial" w:hAnsi="Arial" w:cs="Arial"/>
          <w:highlight w:val="none"/>
        </w:rPr>
      </w:pPr>
      <w:r>
        <w:rPr>
          <w:rFonts w:ascii="Arial" w:hAnsi="Arial" w:cs="Arial"/>
          <w:highlight w:val="none"/>
        </w:rPr>
        <w:t xml:space="preserve">7</w:t>
      </w:r>
      <w:r>
        <w:rPr>
          <w:rFonts w:hint="eastAsia" w:ascii="Arial" w:hAnsi="Arial" w:cs="Arial"/>
          <w:highlight w:val="none"/>
        </w:rPr>
        <w:t xml:space="preserve">.3勘察现场或答疑</w:t>
      </w:r>
      <w:r>
        <w:rPr>
          <w:rFonts w:hint="eastAsia" w:ascii="Arial" w:hAnsi="Arial" w:cs="Arial"/>
          <w:highlight w:val="none"/>
          <w:lang w:eastAsia="zh-CN"/>
        </w:rPr>
        <w:t xml:space="preserve">：</w:t>
      </w:r>
      <w:r>
        <w:rPr>
          <w:rFonts w:hint="eastAsia" w:ascii="Arial" w:hAnsi="Arial" w:cs="Arial"/>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p>
    <w:p>
      <w:pPr>
        <w:ind w:firstLine="363"/>
        <w:jc w:val="left"/>
        <w:spacing w:line="360" w:lineRule="auto"/>
        <w:widowControl/>
        <w:rPr>
          <w:rFonts w:hint="eastAsia" w:ascii="Arial" w:hAnsi="Arial" w:cs="Arial"/>
          <w:highlight w:val="none"/>
        </w:rPr>
      </w:pPr>
      <w:r>
        <w:rPr>
          <w:rFonts w:hint="eastAsia" w:ascii="Arial" w:hAnsi="Arial" w:cs="Arial"/>
          <w:highlight w:val="none"/>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p>
    <w:p>
      <w:pPr>
        <w:ind w:firstLine="363"/>
        <w:jc w:val="left"/>
        <w:spacing w:line="360" w:lineRule="auto"/>
        <w:widowControl/>
        <w:rPr>
          <w:rFonts w:hint="eastAsia" w:ascii="宋体" w:hAnsi="宋体" w:cs="宋体"/>
          <w:szCs w:val="21"/>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宋体" w:hAnsi="宋体" w:cs="宋体"/>
          <w:szCs w:val="21"/>
          <w:highlight w:val="none"/>
          <w:lang w:val="zh-CN"/>
        </w:rPr>
        <w:t xml:space="preserve"> 有关本次采购的事项若存在变动或修改，请及时关注“江苏政府采购网”（www.ccgp-jiangsu.gov.cn）、“</w:t>
      </w:r>
      <w:r>
        <w:rPr>
          <w:rFonts w:hint="eastAsia" w:ascii="Arial" w:hAnsi="Arial" w:cs="Arial"/>
          <w:bCs/>
          <w:szCs w:val="21"/>
          <w:highlight w:val="none"/>
        </w:rPr>
        <w:t xml:space="preserve">中国政府采购网</w:t>
      </w:r>
      <w:r>
        <w:rPr>
          <w:rFonts w:hint="eastAsia" w:ascii="宋体" w:hAnsi="宋体" w:cs="宋体"/>
          <w:szCs w:val="21"/>
          <w:highlight w:val="none"/>
          <w:lang w:val="zh-CN"/>
        </w:rPr>
        <w:t xml:space="preserve">”更正公告。</w:t>
      </w:r>
      <w:r/>
    </w:p>
    <w:p>
      <w:pPr>
        <w:ind w:firstLine="420"/>
        <w:spacing w:line="360" w:lineRule="auto"/>
        <w:rPr>
          <w:rFonts w:hint="eastAsia" w:ascii="Arial" w:hAnsi="Arial" w:cs="Arial"/>
          <w:highlight w:val="none"/>
        </w:rPr>
      </w:pPr>
      <w:r>
        <w:rPr>
          <w:rFonts w:hint="eastAsia" w:ascii="Arial" w:hAnsi="Arial" w:cs="Arial"/>
          <w:highlight w:val="none"/>
        </w:rPr>
      </w:r>
      <w:r/>
    </w:p>
    <w:p>
      <w:pPr>
        <w:pStyle w:val="1088"/>
        <w:rPr>
          <w:highlight w:val="none"/>
        </w:rPr>
      </w:pPr>
      <w:r>
        <w:rPr>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3" w:name="_Toc7011"/>
      <w:r/>
      <w:bookmarkStart w:id="24" w:name="_Toc18338"/>
      <w:r/>
      <w:bookmarkStart w:id="25" w:name="_Toc12788"/>
      <w:r>
        <w:rPr>
          <w:rFonts w:ascii="Arial" w:hAnsi="Arial" w:cs="Arial"/>
          <w:b/>
          <w:spacing w:val="8"/>
          <w:sz w:val="24"/>
          <w:highlight w:val="none"/>
        </w:rPr>
        <w:t xml:space="preserve">八、对本次采购提出询问，请按以下方式联系。</w:t>
      </w:r>
      <w:bookmarkEnd w:id="23"/>
      <w:r/>
      <w:bookmarkEnd w:id="24"/>
      <w:r/>
      <w:bookmarkEnd w:id="25"/>
      <w:r/>
      <w:r/>
    </w:p>
    <w:p>
      <w:pPr>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南京艺术学院</w:t>
      </w:r>
      <w:r/>
    </w:p>
    <w:p>
      <w:pPr>
        <w:ind w:firstLine="420"/>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地    址：</w:t>
      </w:r>
      <w:r>
        <w:rPr>
          <w:rFonts w:hint="eastAsia" w:ascii="Arial" w:hAnsi="Arial" w:cs="Arial"/>
          <w:szCs w:val="21"/>
          <w:highlight w:val="none"/>
          <w:lang w:val="zh-CN"/>
        </w:rPr>
        <w:t xml:space="preserve">南京市北京西路74号</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联系人：</w:t>
      </w:r>
      <w:r>
        <w:rPr>
          <w:rFonts w:hint="eastAsia" w:ascii="Arial" w:hAnsi="Arial" w:cs="Arial"/>
          <w:spacing w:val="8"/>
          <w:szCs w:val="21"/>
          <w:highlight w:val="none"/>
          <w:lang w:val="en-US" w:eastAsia="zh-CN"/>
        </w:rPr>
        <w:t xml:space="preserve">鞠老师</w:t>
      </w:r>
      <w:r/>
    </w:p>
    <w:p>
      <w:pPr>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w:t>
      </w:r>
      <w:r>
        <w:rPr>
          <w:rFonts w:hint="eastAsia" w:ascii="Arial" w:hAnsi="Arial" w:cs="Arial"/>
          <w:szCs w:val="21"/>
          <w:highlight w:val="none"/>
          <w:lang w:val="zh-CN"/>
        </w:rPr>
        <w:t xml:space="preserve">025-83498796</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名称：江苏省设备成套股份有限公司</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 系 人：</w:t>
      </w:r>
      <w:r>
        <w:rPr>
          <w:rFonts w:hint="eastAsia" w:ascii="Arial" w:hAnsi="Arial" w:cs="Arial"/>
          <w:szCs w:val="21"/>
          <w:highlight w:val="none"/>
          <w:lang w:val="en-US" w:eastAsia="zh-CN"/>
        </w:rPr>
        <w:t xml:space="preserve">朱玉峰</w:t>
      </w:r>
      <w:r/>
    </w:p>
    <w:p>
      <w:pPr>
        <w:ind w:firstLine="426"/>
        <w:spacing w:line="360" w:lineRule="auto"/>
        <w:shd w:val="clear" w:color="auto" w:fill="ffffff"/>
        <w:widowControl/>
        <w:rPr>
          <w:rFonts w:hint="default" w:ascii="Arial" w:hAnsi="Arial" w:eastAsia="宋体" w:cs="Arial"/>
          <w:spacing w:val="8"/>
          <w:szCs w:val="21"/>
          <w:highlight w:val="none"/>
          <w:lang w:val="en-US" w:eastAsia="zh-CN"/>
        </w:rPr>
      </w:pPr>
      <w:r>
        <w:rPr>
          <w:rFonts w:hint="eastAsia" w:ascii="Arial" w:hAnsi="Arial" w:cs="Arial"/>
          <w:spacing w:val="8"/>
          <w:szCs w:val="21"/>
          <w:highlight w:val="none"/>
        </w:rPr>
        <w:t xml:space="preserve">电    话：025-</w:t>
      </w:r>
      <w:r>
        <w:rPr>
          <w:rFonts w:hint="eastAsia" w:ascii="Arial" w:hAnsi="Arial" w:cs="Arial"/>
          <w:spacing w:val="8"/>
          <w:szCs w:val="21"/>
          <w:highlight w:val="none"/>
          <w:lang w:val="en-US" w:eastAsia="zh-CN"/>
        </w:rPr>
        <w:t xml:space="preserve">86636061/13851857592</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电子邮箱：</w:t>
      </w:r>
      <w:r>
        <w:rPr>
          <w:rFonts w:hint="eastAsia" w:ascii="Arial" w:hAnsi="Arial" w:cs="Arial"/>
          <w:spacing w:val="8"/>
          <w:szCs w:val="21"/>
          <w:highlight w:val="none"/>
          <w:lang w:val="en-US" w:eastAsia="zh-CN"/>
        </w:rPr>
        <w:t xml:space="preserve">zhuyf</w:t>
      </w:r>
      <w:r>
        <w:rPr>
          <w:rFonts w:hint="eastAsia" w:ascii="Arial" w:hAnsi="Arial" w:cs="Arial"/>
          <w:spacing w:val="8"/>
          <w:szCs w:val="21"/>
          <w:highlight w:val="none"/>
        </w:rPr>
        <w:t xml:space="preserve">@jcec.cn</w:t>
      </w:r>
      <w:r/>
    </w:p>
    <w:p>
      <w:pPr>
        <w:ind w:firstLine="426"/>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地址：江苏省南京市鼓楼区清江南路18号鼓楼创新广场D栋10楼100</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室</w:t>
      </w:r>
      <w:r>
        <w:rPr>
          <w:rFonts w:ascii="Arial" w:hAnsi="Arial" w:cs="Arial"/>
          <w:spacing w:val="8"/>
          <w:szCs w:val="21"/>
          <w:highlight w:val="none"/>
        </w:rPr>
        <w:t xml:space="preserve"> </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p>
    <w:p>
      <w:pPr>
        <w:ind w:firstLine="452"/>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项目联系人：</w:t>
      </w:r>
      <w:r>
        <w:rPr>
          <w:rFonts w:hint="eastAsia" w:ascii="Arial" w:hAnsi="Arial" w:cs="Arial"/>
          <w:szCs w:val="21"/>
          <w:highlight w:val="none"/>
          <w:lang w:val="en-US" w:eastAsia="zh-CN"/>
        </w:rPr>
        <w:t xml:space="preserve">朱玉峰</w:t>
      </w:r>
      <w:r/>
    </w:p>
    <w:p>
      <w:pPr>
        <w:ind w:firstLine="452"/>
        <w:spacing w:line="360" w:lineRule="auto"/>
        <w:rPr>
          <w:rFonts w:ascii="Arial" w:hAnsi="Arial" w:cs="Arial"/>
          <w:spacing w:val="8"/>
          <w:szCs w:val="21"/>
          <w:highlight w:val="none"/>
        </w:rPr>
      </w:pPr>
      <w:r>
        <w:rPr>
          <w:rFonts w:hint="eastAsia" w:ascii="Arial" w:hAnsi="Arial" w:cs="Arial"/>
          <w:spacing w:val="8"/>
          <w:szCs w:val="21"/>
          <w:highlight w:val="none"/>
        </w:rPr>
        <w:t xml:space="preserve">电话：025-</w:t>
      </w:r>
      <w:r>
        <w:rPr>
          <w:rFonts w:hint="eastAsia" w:ascii="Arial" w:hAnsi="Arial" w:cs="Arial"/>
          <w:spacing w:val="8"/>
          <w:szCs w:val="21"/>
          <w:highlight w:val="none"/>
          <w:lang w:val="en-US" w:eastAsia="zh-CN"/>
        </w:rPr>
        <w:t xml:space="preserve">86636061/13851857592</w:t>
      </w:r>
      <w:r>
        <w:rPr>
          <w:rFonts w:hint="eastAsia" w:ascii="Arial" w:hAnsi="Arial" w:cs="Arial"/>
          <w:spacing w:val="8"/>
          <w:szCs w:val="21"/>
          <w:highlight w:val="none"/>
        </w:rPr>
        <w:t xml:space="preserve"> </w:t>
      </w:r>
      <w:r/>
    </w:p>
    <w:p>
      <w:pPr>
        <w:pStyle w:val="1088"/>
        <w:ind w:firstLine="452"/>
        <w:rPr>
          <w:rFonts w:hint="eastAsia" w:ascii="宋体" w:hAnsi="宋体" w:cs="宋体"/>
          <w:spacing w:val="8"/>
          <w:highlight w:val="none"/>
        </w:rPr>
      </w:pPr>
      <w:r>
        <w:rPr>
          <w:rFonts w:hint="eastAsia" w:ascii="宋体" w:hAnsi="宋体" w:cs="宋体"/>
          <w:spacing w:val="8"/>
          <w:highlight w:val="none"/>
        </w:rPr>
      </w:r>
      <w:r/>
    </w:p>
    <w:p>
      <w:pPr>
        <w:pStyle w:val="1059"/>
        <w:rPr>
          <w:rFonts w:ascii="Arial" w:hAnsi="Arial" w:cs="Arial"/>
          <w:highlight w:val="none"/>
          <w:lang w:val="zh-CN"/>
        </w:rPr>
      </w:pPr>
      <w:r>
        <w:rPr>
          <w:rFonts w:ascii="Arial" w:hAnsi="Arial" w:cs="Arial"/>
          <w:color w:val="000000"/>
          <w:highlight w:val="none"/>
          <w:lang w:val="zh-CN"/>
        </w:rPr>
        <w:br w:type="page" w:clear="all"/>
      </w:r>
      <w:bookmarkStart w:id="26" w:name="_Toc11878"/>
      <w:r>
        <w:rPr>
          <w:rFonts w:ascii="Arial" w:hAnsi="Arial" w:cs="Arial"/>
          <w:highlight w:val="none"/>
          <w:lang w:val="zh-CN"/>
        </w:rPr>
        <w:t xml:space="preserve">第二章  竞争性磋商须知</w:t>
      </w:r>
      <w:bookmarkEnd w:id="26"/>
      <w:r/>
      <w:r/>
    </w:p>
    <w:p>
      <w:pPr>
        <w:ind w:firstLine="422"/>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cs="Arial"/>
          <w:szCs w:val="21"/>
          <w:highlight w:val="none"/>
        </w:rPr>
        <w:t xml:space="preserve">“</w:t>
      </w:r>
      <w:r>
        <w:rPr>
          <w:rFonts w:ascii="Arial" w:hAnsi="宋体" w:cs="Arial"/>
          <w:szCs w:val="21"/>
          <w:highlight w:val="none"/>
        </w:rPr>
        <w:t xml:space="preserve">货物和服务</w:t>
      </w:r>
      <w:r>
        <w:rPr>
          <w:rFonts w:hint="eastAsia" w:ascii="Arial" w:hAnsi="宋体" w:cs="Arial"/>
          <w:szCs w:val="21"/>
          <w:highlight w:val="none"/>
          <w:lang w:val="en-US" w:eastAsia="zh-CN"/>
        </w:rPr>
        <w:t xml:space="preserve">工程</w:t>
      </w:r>
      <w:r>
        <w:rPr>
          <w:rFonts w:hint="eastAsia" w:ascii="Arial" w:hAnsi="Arial" w:cs="Arial"/>
          <w:szCs w:val="21"/>
          <w:highlight w:val="none"/>
        </w:rPr>
        <w:t xml:space="preserve">”</w:t>
      </w:r>
      <w:r>
        <w:rPr>
          <w:rFonts w:ascii="Arial" w:hAnsi="Arial" w:cs="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p>
    <w:p>
      <w:pPr>
        <w:numPr>
          <w:ilvl w:val="0"/>
          <w:numId w:val="6"/>
        </w:numPr>
        <w:ind w:firstLine="422"/>
        <w:spacing w:line="360" w:lineRule="auto"/>
        <w:rPr>
          <w:rFonts w:ascii="Arial" w:hAnsi="Arial"/>
          <w:b/>
          <w:szCs w:val="21"/>
          <w:highlight w:val="none"/>
        </w:rPr>
      </w:pPr>
      <w:r>
        <w:rPr>
          <w:rFonts w:hint="eastAsia" w:ascii="Arial" w:hAnsi="Arial"/>
          <w:b/>
          <w:szCs w:val="21"/>
          <w:highlight w:val="none"/>
        </w:rPr>
        <w:t xml:space="preserve">磋商文件</w:t>
      </w:r>
      <w:r/>
    </w:p>
    <w:p>
      <w:pPr>
        <w:numPr>
          <w:ilvl w:val="0"/>
          <w:numId w:val="7"/>
        </w:numPr>
        <w:ind w:firstLine="422"/>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"_Toc534273793" </w:instrText>
      </w:r>
      <w:r>
        <w:rPr>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"_Toc534273794" </w:instrText>
      </w:r>
      <w:r>
        <w:rPr>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"_Toc534273795" </w:instrText>
      </w:r>
      <w:r>
        <w:rPr>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"_Toc534273796" </w:instrText>
      </w:r>
      <w:r>
        <w:rPr>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"_Toc534273797" </w:instrText>
      </w:r>
      <w:r>
        <w:rPr>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2"/>
        <w:spacing w:line="360" w:lineRule="auto"/>
        <w:rPr>
          <w:rFonts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hint="eastAsia"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2"/>
        <w:spacing w:line="360" w:lineRule="auto"/>
        <w:rPr>
          <w:rFonts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2"/>
        <w:spacing w:line="360" w:lineRule="auto"/>
        <w:rPr>
          <w:rFonts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2"/>
        <w:spacing w:line="360" w:lineRule="auto"/>
        <w:rPr>
          <w:rFonts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867"/>
        <w:jc w:val="left"/>
        <w:spacing w:line="360" w:lineRule="auto"/>
        <w:widowControl/>
        <w:rPr>
          <w:rFonts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lang w:val="en-US" w:eastAsia="zh-CN"/>
        </w:rPr>
        <w:t xml:space="preserve">5</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lang w:val="en-US" w:eastAsia="zh-CN"/>
        </w:rPr>
        <w:t xml:space="preserve">6</w:t>
      </w:r>
      <w:r>
        <w:rPr>
          <w:rFonts w:ascii="Arial" w:hAnsi="Arial"/>
          <w:szCs w:val="21"/>
          <w:highlight w:val="none"/>
          <w:lang w:val="zh-CN"/>
        </w:rPr>
        <w:t xml:space="preserve">）供应商认为需要提供的其他资格证明文件和商务资料。</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评标委员会启动异常低价投标审查后，属于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Arial" w:hAnsi="Arial"/>
          <w:b/>
          <w:bCs/>
          <w:color w:val="000000"/>
          <w:szCs w:val="21"/>
          <w:highlight w:val="none"/>
          <w:lang w:val="zh-CN"/>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highlight w:val="none"/>
        </w:rPr>
        <w:t xml:space="preserve">。</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p>
    <w:p>
      <w:pPr>
        <w:ind w:firstLine="422"/>
        <w:spacing w:line="360" w:lineRule="auto"/>
        <w:rPr>
          <w:rFonts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p>
    <w:p>
      <w:pPr>
        <w:ind w:firstLine="420"/>
        <w:spacing w:line="360" w:lineRule="auto"/>
        <w:rPr>
          <w:rFonts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w:t>
      </w:r>
      <w:r>
        <w:rPr>
          <w:rFonts w:hint="eastAsia" w:ascii="Arial" w:hAnsi="Arial"/>
          <w:szCs w:val="21"/>
          <w:highlight w:val="none"/>
        </w:rPr>
        <w:t xml:space="preserve">方式管</w:t>
      </w:r>
      <w:r>
        <w:rPr>
          <w:rFonts w:hint="eastAsia" w:ascii="Arial" w:hAnsi="Arial"/>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w:t>
      </w:r>
      <w:r>
        <w:rPr>
          <w:rFonts w:hint="eastAsia" w:ascii="Arial" w:hAnsi="Arial"/>
          <w:szCs w:val="21"/>
          <w:highlight w:val="none"/>
        </w:rPr>
        <w:t xml:space="preserve">响应文件所报的投标价格超过磋商文件规定</w:t>
      </w:r>
      <w:r>
        <w:rPr>
          <w:rFonts w:hint="eastAsia" w:ascii="Arial" w:hAnsi="Arial"/>
          <w:szCs w:val="21"/>
          <w:highlight w:val="none"/>
          <w:lang w:val="en-US" w:eastAsia="zh-CN"/>
        </w:rPr>
        <w:t xml:space="preserve">预算及最高限价</w:t>
      </w:r>
      <w:r>
        <w:rPr>
          <w:rFonts w:hint="eastAsia" w:ascii="Arial" w:hAnsi="Arial"/>
          <w:szCs w:val="21"/>
          <w:highlight w:val="none"/>
        </w:rPr>
        <w:t xml:space="preserve">的</w:t>
      </w:r>
      <w:r>
        <w:rPr>
          <w:rFonts w:hint="eastAsia" w:ascii="Arial" w:hAnsi="Arial"/>
          <w:szCs w:val="21"/>
          <w:highlight w:val="none"/>
          <w:lang w:eastAsia="zh-CN"/>
        </w:rPr>
        <w:t xml:space="preserve">；</w:t>
      </w:r>
      <w:r>
        <w:rPr>
          <w:rFonts w:ascii="Arial" w:hAnsi="Arial"/>
          <w:szCs w:val="21"/>
          <w:highlight w:val="none"/>
        </w:rPr>
        <w:t xml:space="preserve">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6</w:t>
      </w:r>
      <w:r>
        <w:rPr>
          <w:rFonts w:hint="eastAsia" w:ascii="Arial" w:hAnsi="Arial"/>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w:t>
      </w:r>
      <w:r>
        <w:rPr>
          <w:rFonts w:hint="eastAsia" w:ascii="Arial" w:hAnsi="Arial"/>
          <w:szCs w:val="21"/>
          <w:highlight w:val="none"/>
        </w:rPr>
        <w:t xml:space="preserve">方式管理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cs="Arial"/>
          <w:szCs w:val="21"/>
          <w:highlight w:val="none"/>
          <w:lang w:val="zh-CN"/>
        </w:rPr>
      </w:pPr>
      <w:r>
        <w:rPr>
          <w:rFonts w:hint="eastAsia" w:ascii="Arial" w:hAnsi="Arial" w:cs="Arial"/>
          <w:szCs w:val="21"/>
          <w:highlight w:val="none"/>
        </w:rPr>
        <w:t xml:space="preserve">（</w:t>
      </w:r>
      <w:r>
        <w:rPr>
          <w:rFonts w:hint="eastAsia" w:ascii="Arial" w:hAnsi="Arial" w:cs="Arial"/>
          <w:szCs w:val="21"/>
          <w:highlight w:val="none"/>
          <w:lang w:val="en-US" w:eastAsia="zh-CN"/>
        </w:rPr>
        <w:t xml:space="preserve">4</w:t>
      </w:r>
      <w:r>
        <w:rPr>
          <w:rFonts w:hint="eastAsia" w:ascii="Arial" w:hAnsi="Arial" w:cs="Arial"/>
          <w:szCs w:val="21"/>
          <w:highlight w:val="none"/>
        </w:rPr>
        <w:t xml:space="preserve">）</w:t>
      </w:r>
      <w:r>
        <w:rPr>
          <w:rFonts w:hint="eastAsia" w:ascii="Arial" w:hAnsi="Arial" w:cs="Arial"/>
          <w:szCs w:val="21"/>
          <w:highlight w:val="none"/>
          <w:lang w:val="zh-CN"/>
        </w:rPr>
        <w:t xml:space="preserve">不符合法律、法规和磋商文件规定的其他实质性要求的；</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w:t>
      </w: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highlight w:val="none"/>
          <w:lang w:val="zh-CN"/>
        </w:rPr>
        <w:t xml:space="preserve">。</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szCs w:val="21"/>
          <w:highlight w:val="none"/>
          <w:lang w:val="en-US" w:eastAsia="zh-CN"/>
        </w:rPr>
        <w:t xml:space="preserve">代理机构</w:t>
      </w:r>
      <w:r>
        <w:rPr>
          <w:rFonts w:ascii="Arial" w:hAnsi="宋体"/>
          <w:szCs w:val="21"/>
          <w:highlight w:val="none"/>
        </w:rPr>
        <w:t xml:space="preserve">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Arial" w:hAnsi="Arial"/>
          <w:szCs w:val="21"/>
          <w:highlight w:val="none"/>
          <w:lang w:val="zh-CN"/>
        </w:rPr>
      </w:pPr>
      <w:r>
        <w:rPr>
          <w:rFonts w:hint="eastAsia" w:ascii="Arial" w:hAnsi="Arial"/>
          <w:szCs w:val="21"/>
          <w:highlight w:val="none"/>
        </w:rPr>
        <w:t xml:space="preserve">20</w:t>
      </w:r>
      <w:r>
        <w:rPr>
          <w:rFonts w:ascii="Arial" w:hAnsi="Arial"/>
          <w:szCs w:val="21"/>
          <w:highlight w:val="none"/>
          <w:lang w:val="zh-CN"/>
        </w:rPr>
        <w:t xml:space="preserve">.2 </w:t>
      </w:r>
      <w:r/>
    </w:p>
    <w:p>
      <w:pPr>
        <w:ind w:firstLine="422"/>
        <w:spacing w:line="360" w:lineRule="auto"/>
        <w:rPr>
          <w:rFonts w:ascii="Arial" w:hAnsi="Arial"/>
          <w:szCs w:val="21"/>
          <w:highlight w:val="none"/>
          <w:lang w:val="zh-CN"/>
        </w:rPr>
      </w:pPr>
      <w:r>
        <w:rPr>
          <w:rFonts w:ascii="Arial" w:hAnsi="宋体" w:cs="Arial"/>
          <w:b/>
          <w:szCs w:val="21"/>
          <w:highlight w:val="none"/>
        </w:rPr>
        <w:t xml:space="preserve">本次招标，中标人</w:t>
      </w:r>
      <w:r>
        <w:rPr>
          <w:rFonts w:ascii="Arial" w:hAnsi="宋体" w:cs="Arial"/>
          <w:b/>
          <w:color w:val="auto"/>
          <w:szCs w:val="21"/>
          <w:highlight w:val="none"/>
        </w:rPr>
        <w:t xml:space="preserve">参照《招标代理服务费管理暂行办法》（国家发展计划委员会计价格【</w:t>
      </w:r>
      <w:r>
        <w:rPr>
          <w:rFonts w:ascii="Arial" w:hAnsi="Arial" w:cs="Arial"/>
          <w:b/>
          <w:color w:val="auto"/>
          <w:szCs w:val="21"/>
          <w:highlight w:val="none"/>
        </w:rPr>
        <w:t xml:space="preserve">2002</w:t>
      </w:r>
      <w:r>
        <w:rPr>
          <w:rFonts w:ascii="Arial" w:hAnsi="宋体" w:cs="Arial"/>
          <w:b/>
          <w:color w:val="auto"/>
          <w:szCs w:val="21"/>
          <w:highlight w:val="none"/>
        </w:rPr>
        <w:t xml:space="preserve">】</w:t>
      </w:r>
      <w:r>
        <w:rPr>
          <w:rFonts w:ascii="Arial" w:hAnsi="Arial" w:cs="Arial"/>
          <w:b/>
          <w:color w:val="auto"/>
          <w:szCs w:val="21"/>
          <w:highlight w:val="none"/>
        </w:rPr>
        <w:t xml:space="preserve">1980</w:t>
      </w:r>
      <w:r>
        <w:rPr>
          <w:rFonts w:ascii="Arial" w:hAnsi="宋体" w:cs="Arial"/>
          <w:b/>
          <w:color w:val="auto"/>
          <w:szCs w:val="21"/>
          <w:highlight w:val="none"/>
        </w:rPr>
        <w:t xml:space="preserve">号）代理</w:t>
      </w:r>
      <w:r>
        <w:rPr>
          <w:rFonts w:ascii="Arial" w:hAnsi="Arial" w:cs="Arial"/>
          <w:b/>
          <w:color w:val="auto"/>
          <w:szCs w:val="21"/>
          <w:highlight w:val="none"/>
          <w:u w:val="single"/>
        </w:rPr>
        <w:t xml:space="preserve"> </w:t>
      </w:r>
      <w:r>
        <w:rPr>
          <w:rFonts w:hint="eastAsia" w:ascii="Arial" w:hAnsi="Arial" w:cs="Arial"/>
          <w:b/>
          <w:color w:val="auto"/>
          <w:szCs w:val="21"/>
          <w:highlight w:val="none"/>
          <w:u w:val="single"/>
          <w:lang w:val="en-US" w:eastAsia="zh-CN"/>
        </w:rPr>
        <w:t xml:space="preserve">工程</w:t>
      </w:r>
      <w:r>
        <w:rPr>
          <w:rFonts w:ascii="Arial" w:hAnsi="Arial" w:cs="Arial"/>
          <w:b/>
          <w:color w:val="auto"/>
          <w:szCs w:val="21"/>
          <w:highlight w:val="none"/>
          <w:u w:val="single"/>
        </w:rPr>
        <w:t xml:space="preserve">  </w:t>
      </w:r>
      <w:r>
        <w:rPr>
          <w:rFonts w:ascii="Arial" w:hAnsi="宋体" w:cs="Arial"/>
          <w:b/>
          <w:color w:val="auto"/>
          <w:szCs w:val="21"/>
          <w:highlight w:val="none"/>
        </w:rPr>
        <w:t xml:space="preserve">招标收费基准费率</w:t>
      </w:r>
      <w:r>
        <w:rPr>
          <w:rFonts w:ascii="Arial" w:hAnsi="Arial" w:cs="Arial"/>
          <w:b/>
          <w:color w:val="auto"/>
          <w:szCs w:val="21"/>
          <w:highlight w:val="none"/>
          <w:u w:val="single"/>
        </w:rPr>
        <w:t xml:space="preserve"> </w:t>
      </w:r>
      <w:r>
        <w:rPr>
          <w:rFonts w:hint="eastAsia" w:ascii="宋体" w:hAnsi="宋体"/>
          <w:b/>
          <w:color w:val="auto"/>
          <w:szCs w:val="21"/>
          <w:highlight w:val="none"/>
          <w:u w:val="single"/>
        </w:rPr>
        <w:t xml:space="preserve">43</w:t>
      </w:r>
      <w:r>
        <w:rPr>
          <w:rFonts w:ascii="Arial" w:hAnsi="Arial" w:cs="Arial"/>
          <w:b/>
          <w:color w:val="auto"/>
          <w:szCs w:val="21"/>
          <w:highlight w:val="none"/>
          <w:u w:val="single"/>
        </w:rPr>
        <w:t xml:space="preserve">  </w:t>
      </w:r>
      <w:r>
        <w:rPr>
          <w:rFonts w:ascii="Arial" w:hAnsi="Arial" w:cs="Arial"/>
          <w:b/>
          <w:color w:val="auto"/>
          <w:szCs w:val="21"/>
          <w:highlight w:val="none"/>
        </w:rPr>
        <w:t xml:space="preserve">%</w:t>
      </w:r>
      <w:r>
        <w:rPr>
          <w:rFonts w:ascii="Arial" w:hAnsi="宋体" w:cs="Arial"/>
          <w:b/>
          <w:color w:val="auto"/>
          <w:szCs w:val="21"/>
          <w:highlight w:val="none"/>
        </w:rPr>
        <w:t xml:space="preserve">计算，</w:t>
      </w:r>
      <w:r>
        <w:rPr>
          <w:rFonts w:hint="eastAsia" w:ascii="宋体" w:hAnsi="宋体"/>
          <w:b/>
          <w:color w:val="auto"/>
          <w:szCs w:val="21"/>
          <w:highlight w:val="none"/>
        </w:rPr>
        <w:t xml:space="preserve">招标代理服务费按报价费率计价后不足3000元按3000元收取。</w:t>
      </w:r>
      <w:r>
        <w:rPr>
          <w:rFonts w:ascii="Arial" w:hAnsi="宋体" w:cs="Arial"/>
          <w:b/>
          <w:color w:val="auto"/>
          <w:szCs w:val="21"/>
          <w:highlight w:val="none"/>
        </w:rPr>
        <w:t xml:space="preserve">在领取中标通知书前向</w:t>
      </w:r>
      <w:r>
        <w:rPr>
          <w:rFonts w:hint="eastAsia" w:ascii="Arial" w:hAnsi="宋体" w:cs="Arial"/>
          <w:b/>
          <w:color w:val="auto"/>
          <w:szCs w:val="21"/>
          <w:highlight w:val="none"/>
        </w:rPr>
        <w:t xml:space="preserve">采购代理机构</w:t>
      </w:r>
      <w:r>
        <w:rPr>
          <w:rFonts w:ascii="Arial" w:hAnsi="宋体" w:cs="Arial"/>
          <w:b/>
          <w:color w:val="auto"/>
          <w:szCs w:val="21"/>
          <w:highlight w:val="none"/>
        </w:rPr>
        <w:t xml:space="preserve">支付招标服务费。本项费用无需在投标报价表中单列。</w:t>
      </w:r>
      <w:r/>
    </w:p>
    <w:p>
      <w:pPr>
        <w:ind w:firstLine="422"/>
        <w:spacing w:line="360" w:lineRule="auto"/>
        <w:rPr>
          <w:rFonts w:hint="eastAsia" w:ascii="Arial" w:hAnsi="宋体" w:cs="Arial"/>
          <w:b/>
          <w:bCs/>
          <w:szCs w:val="21"/>
          <w:highlight w:val="none"/>
        </w:rPr>
      </w:pPr>
      <w:r>
        <w:rPr>
          <w:rFonts w:hint="eastAsia" w:ascii="Arial" w:hAnsi="宋体" w:cs="Arial"/>
          <w:b/>
          <w:bCs/>
          <w:szCs w:val="21"/>
          <w:highlight w:val="none"/>
        </w:rPr>
        <w:t xml:space="preserve">九、其他</w:t>
      </w:r>
      <w:r/>
    </w:p>
    <w:p>
      <w:pPr>
        <w:ind w:firstLine="420"/>
        <w:spacing w:line="360" w:lineRule="auto"/>
        <w:rPr>
          <w:rFonts w:hint="eastAsia" w:ascii="宋体" w:hAnsi="宋体" w:cs="宋体"/>
          <w:highlight w:val="none"/>
        </w:rPr>
      </w:pPr>
      <w:r>
        <w:rPr>
          <w:rFonts w:hint="eastAsia" w:ascii="Arial" w:hAnsi="宋体" w:cs="Arial"/>
          <w:szCs w:val="21"/>
          <w:highlight w:val="none"/>
        </w:rPr>
        <w:t xml:space="preserve">21.1本项目根据江苏省财政厅关于加强政府绿色采购有关事项的通知（苏财购〔2023〕65号）规定，执行绿色采购需求标准</w:t>
      </w:r>
      <w:r>
        <w:rPr>
          <w:rFonts w:hint="eastAsia" w:ascii="宋体" w:hAnsi="宋体" w:cs="宋体"/>
          <w:highlight w:val="none"/>
        </w:rPr>
        <w:t xml:space="preserve">。</w:t>
      </w:r>
      <w:r/>
    </w:p>
    <w:p>
      <w:pPr>
        <w:pStyle w:val="1059"/>
        <w:jc w:val="center"/>
        <w:rPr>
          <w:rFonts w:ascii="Arial" w:hAnsi="Arial" w:cs="Arial"/>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highlight w:val="none"/>
          <w:lang w:val="zh-CN"/>
        </w:rPr>
        <w:t xml:space="preserve">第三章 评标标准</w:t>
      </w:r>
      <w:bookmarkEnd w:id="27"/>
      <w:r/>
      <w:r/>
    </w:p>
    <w:p>
      <w:pPr>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15"/>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jc w:val="center"/>
          <w:trHeight w:val="794"/>
          <w:tblHeader/>
        </w:trPr>
        <w:tc>
          <w:tcPr>
            <w:tcW w:w="7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122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项目</w:t>
            </w:r>
            <w:r/>
          </w:p>
        </w:tc>
        <w:tc>
          <w:tcPr>
            <w:gridSpan w:val="2"/>
            <w:tcW w:w="798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评标细则</w:t>
            </w:r>
            <w:r/>
          </w:p>
        </w:tc>
        <w:tc>
          <w:tcPr>
            <w:tcW w:w="68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750"/>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2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w:t>
            </w:r>
            <w:r/>
          </w:p>
          <w:p>
            <w:pPr>
              <w:spacing w:line="360" w:lineRule="auto"/>
              <w:rPr>
                <w:rFonts w:hint="eastAsia" w:ascii="宋体" w:hAnsi="宋体" w:cs="宋体"/>
                <w:b/>
                <w:bCs/>
                <w:szCs w:val="21"/>
                <w:highlight w:val="none"/>
              </w:rPr>
            </w:pPr>
            <w:r>
              <w:rPr>
                <w:rFonts w:hint="eastAsia" w:ascii="宋体" w:hAnsi="宋体" w:cs="宋体"/>
                <w:szCs w:val="21"/>
                <w:highlight w:val="none"/>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highlight w:val="none"/>
              </w:rPr>
              <w:t xml:space="preserve">无效投标处理。</w:t>
            </w:r>
            <w:r/>
          </w:p>
        </w:tc>
        <w:tc>
          <w:tcPr>
            <w:tcW w:w="681" w:type="dxa"/>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bCs/>
                <w:szCs w:val="21"/>
                <w:highlight w:val="none"/>
                <w:lang w:val="en-US" w:eastAsia="zh-CN"/>
              </w:rPr>
              <w:t xml:space="preserve">30</w:t>
            </w:r>
            <w:r/>
          </w:p>
        </w:tc>
      </w:tr>
      <w:tr>
        <w:trPr>
          <w:jc w:val="center"/>
          <w:trHeight w:val="1750"/>
        </w:trPr>
        <w:tc>
          <w:tcPr>
            <w:tcW w:w="744" w:type="dxa"/>
            <w:vAlign w:val="center"/>
            <w:textDirection w:val="lrTb"/>
            <w:noWrap w:val="false"/>
          </w:tcPr>
          <w:p>
            <w:pPr>
              <w:jc w:val="center"/>
              <w:spacing w:line="360" w:lineRule="auto"/>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2</w:t>
            </w:r>
            <w:r/>
          </w:p>
        </w:tc>
        <w:tc>
          <w:tcPr>
            <w:tcW w:w="1225" w:type="dxa"/>
            <w:vAlign w:val="center"/>
            <w:textDirection w:val="lrTb"/>
            <w:noWrap w:val="false"/>
          </w:tcPr>
          <w:p>
            <w:pPr>
              <w:jc w:val="center"/>
              <w:rPr>
                <w:rFonts w:hint="eastAsia" w:ascii="宋体" w:hAnsi="宋体" w:eastAsia="宋体" w:cs="宋体"/>
                <w:b w:val="0"/>
                <w:bCs w:val="0"/>
                <w:szCs w:val="21"/>
                <w:highlight w:val="none"/>
                <w:lang w:val="en-US" w:eastAsia="zh-CN"/>
              </w:rPr>
            </w:pPr>
            <w:r>
              <w:rPr>
                <w:rFonts w:hint="eastAsia" w:ascii="宋体" w:hAnsi="宋体"/>
                <w:b w:val="0"/>
                <w:bCs w:val="0"/>
                <w:highlight w:val="none"/>
              </w:rPr>
              <w:t xml:space="preserve">产品指标响应情况</w:t>
            </w:r>
            <w:r>
              <w:rPr>
                <w:rFonts w:hint="eastAsia" w:ascii="宋体" w:hAnsi="宋体"/>
                <w:b w:val="0"/>
                <w:bCs w:val="0"/>
                <w:highlight w:val="none"/>
                <w:lang w:val="en-US" w:eastAsia="zh-CN"/>
              </w:rPr>
              <w:t xml:space="preserve">（20</w:t>
            </w:r>
            <w:r>
              <w:rPr>
                <w:rFonts w:hint="eastAsia" w:ascii="宋体" w:hAnsi="宋体"/>
                <w:b w:val="0"/>
                <w:bCs w:val="0"/>
                <w:highlight w:val="none"/>
              </w:rPr>
              <w:t xml:space="preserve">分</w:t>
            </w:r>
            <w:r>
              <w:rPr>
                <w:rFonts w:hint="eastAsia" w:ascii="宋体" w:hAnsi="宋体"/>
                <w:b w:val="0"/>
                <w:bCs w:val="0"/>
                <w:highlight w:val="none"/>
                <w:lang w:eastAsia="zh-CN"/>
              </w:rPr>
              <w:t xml:space="preserve">）</w:t>
            </w:r>
            <w:r/>
          </w:p>
        </w:tc>
        <w:tc>
          <w:tcPr>
            <w:gridSpan w:val="2"/>
            <w:tcW w:w="7983" w:type="dxa"/>
            <w:vAlign w:val="center"/>
            <w:textDirection w:val="lrTb"/>
            <w:noWrap w:val="false"/>
          </w:tcPr>
          <w:p>
            <w:pPr>
              <w:spacing w:line="340" w:lineRule="exact"/>
              <w:rPr>
                <w:rFonts w:hint="eastAsia" w:ascii="宋体" w:hAnsi="宋体" w:cs="宋体"/>
                <w:szCs w:val="21"/>
                <w:highlight w:val="none"/>
              </w:rPr>
            </w:pPr>
            <w:r>
              <w:rPr>
                <w:rFonts w:hint="eastAsia" w:ascii="宋体" w:hAnsi="宋体" w:cs="宋体"/>
                <w:bCs/>
                <w:szCs w:val="21"/>
                <w:highlight w:val="none"/>
              </w:rPr>
              <w:t xml:space="preserve">评标委员会根据</w:t>
            </w:r>
            <w:r>
              <w:rPr>
                <w:rFonts w:hint="eastAsia" w:ascii="宋体" w:hAnsi="宋体" w:cs="宋体"/>
                <w:b/>
                <w:szCs w:val="21"/>
                <w:highlight w:val="none"/>
              </w:rPr>
              <w:t xml:space="preserve">采购标的需满足的质量、安全、技术规格、物理特性等要求</w:t>
            </w:r>
            <w:r>
              <w:rPr>
                <w:rFonts w:hint="eastAsia" w:ascii="宋体" w:hAnsi="宋体" w:cs="宋体"/>
                <w:szCs w:val="21"/>
                <w:highlight w:val="none"/>
              </w:rPr>
              <w:t xml:space="preserve">方面进行评分：</w:t>
            </w:r>
            <w:r/>
          </w:p>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“▲”的指标</w:t>
            </w:r>
            <w:r>
              <w:rPr>
                <w:rFonts w:hint="eastAsia" w:ascii="宋体" w:hAnsi="宋体" w:eastAsia="宋体" w:cs="宋体"/>
                <w:szCs w:val="21"/>
                <w:highlight w:val="none"/>
              </w:rPr>
              <w:t xml:space="preserve">技术偏离为重要参数，出现负偏离每条减</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无标记的指标是一般技术条款，出现负偏离每条减</w:t>
            </w:r>
            <w:r>
              <w:rPr>
                <w:rFonts w:hint="eastAsia" w:ascii="宋体" w:hAnsi="宋体" w:cs="宋体"/>
                <w:szCs w:val="21"/>
                <w:highlight w:val="none"/>
                <w:lang w:val="en-US" w:eastAsia="zh-CN"/>
              </w:rPr>
              <w:t xml:space="preserve">0.1</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20</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供应商须提供《采购需求偏离表》并针对招标文件</w:t>
            </w:r>
            <w:r>
              <w:rPr>
                <w:rFonts w:hint="eastAsia" w:ascii="宋体" w:hAnsi="宋体" w:eastAsia="宋体" w:cs="宋体"/>
                <w:b/>
                <w:bCs/>
                <w:szCs w:val="21"/>
                <w:highlight w:val="none"/>
              </w:rPr>
              <w:t xml:space="preserve">第四章采购需求中要求提供相关证明材料佐证的条款，须附相关证明材料，否则视为负偏离。</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相证明材料中的文字说明与技术参数文字表达不完全一致的，其主要内容须满足设备功能要求。</w:t>
            </w:r>
            <w:r/>
          </w:p>
          <w:p>
            <w:pPr>
              <w:spacing w:line="360" w:lineRule="auto"/>
              <w:rPr>
                <w:rFonts w:hint="eastAsia" w:ascii="宋体" w:hAnsi="宋体" w:cs="宋体"/>
                <w:szCs w:val="21"/>
                <w:highlight w:val="none"/>
              </w:rPr>
            </w:pPr>
            <w:r>
              <w:rPr>
                <w:rFonts w:hint="eastAsia" w:ascii="宋体" w:hAnsi="宋体" w:eastAsia="宋体" w:cs="宋体"/>
                <w:szCs w:val="21"/>
                <w:highlight w:val="none"/>
              </w:rPr>
              <w:t xml:space="preserve">相应证明材料应在偏离表中注明证明材料所在投标文件的页码位置，如不提供证明材料或者证明材料无法反应相关内容按照负偏离处理。</w:t>
            </w:r>
            <w:r/>
          </w:p>
        </w:tc>
        <w:tc>
          <w:tcPr>
            <w:tcW w:w="681" w:type="dxa"/>
            <w:vAlign w:val="center"/>
            <w:textDirection w:val="lrTb"/>
            <w:noWrap w:val="false"/>
          </w:tcPr>
          <w:p>
            <w:pPr>
              <w:jc w:val="center"/>
              <w:widowControl/>
              <w:rPr>
                <w:rFonts w:hint="default" w:ascii="宋体" w:hAnsi="宋体" w:cs="宋体"/>
                <w:bCs/>
                <w:szCs w:val="21"/>
                <w:highlight w:val="none"/>
                <w:lang w:val="en-US"/>
              </w:rPr>
            </w:pPr>
            <w:r>
              <w:rPr>
                <w:rFonts w:hint="eastAsia" w:ascii="宋体" w:hAnsi="宋体" w:cs="宋体"/>
                <w:b/>
                <w:szCs w:val="21"/>
                <w:highlight w:val="none"/>
                <w:lang w:val="en-US" w:eastAsia="zh-CN"/>
              </w:rPr>
              <w:t xml:space="preserve">20</w:t>
            </w:r>
            <w:r/>
          </w:p>
        </w:tc>
      </w:tr>
      <w:tr>
        <w:trPr>
          <w:jc w:val="center"/>
          <w:trHeight w:val="654"/>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w:t>
            </w:r>
            <w:r/>
          </w:p>
        </w:tc>
        <w:tc>
          <w:tcPr>
            <w:tcW w:w="1225"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施工方案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p>
        </w:tc>
        <w:tc>
          <w:tcPr>
            <w:tcW w:w="1222" w:type="dxa"/>
            <w:vAlign w:val="center"/>
            <w:textDirection w:val="lrTb"/>
            <w:noWrap w:val="false"/>
          </w:tcPr>
          <w:p>
            <w:pPr>
              <w:pStyle w:val="1022"/>
              <w:jc w:val="center"/>
              <w:tabs>
                <w:tab w:val="left" w:pos="208" w:leader="none"/>
              </w:tabs>
              <w:rPr>
                <w:rFonts w:ascii="宋体" w:hAnsi="宋体" w:cs="宋体"/>
                <w:szCs w:val="21"/>
                <w:highlight w:val="none"/>
              </w:rPr>
            </w:pPr>
            <w:r>
              <w:rPr>
                <w:rFonts w:hint="eastAsia"/>
                <w:highlight w:val="none"/>
              </w:rPr>
              <w:t xml:space="preserve">施工总体部署方案</w:t>
            </w:r>
            <w:r/>
          </w:p>
        </w:tc>
        <w:tc>
          <w:tcPr>
            <w:tcW w:w="6761" w:type="dxa"/>
            <w:vAlign w:val="center"/>
            <w:textDirection w:val="lrTb"/>
            <w:noWrap w:val="false"/>
          </w:tcPr>
          <w:p>
            <w:pPr>
              <w:spacing w:line="360" w:lineRule="auto"/>
              <w:widowControl/>
              <w:rPr>
                <w:rFonts w:hint="eastAsia"/>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方案具有缺陷（缺陷是指：存在不适用项目实际情况的情形、凭空编造、方案中内容前后不一致、前后逻辑错误、涉及的规范及标准错误、不符合项目实际情况等）得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3.2</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针对本项目关键施工技术、工艺及工程项目实施重点难点分析的解决方案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pStyle w:val="1057"/>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方案具有缺陷（缺陷是指：存在不适用项目实际情况的情形、凭空编造、方案中内容前后不一致、前后逻辑错误、涉及的规范及标准错误、不符合项目实际情况等）得1分；</w:t>
            </w:r>
            <w:r/>
          </w:p>
          <w:p>
            <w:pPr>
              <w:pStyle w:val="1057"/>
              <w:spacing w:before="0" w:beforeAutospacing="0" w:after="0" w:afterAutospacing="0" w:line="360" w:lineRule="auto"/>
              <w:widowControl w:val="off"/>
              <w:tabs>
                <w:tab w:val="left" w:pos="634" w:leader="none"/>
              </w:tabs>
              <w:rPr>
                <w:rFonts w:hint="eastAsia" w:ascii="宋体" w:hAnsi="宋体" w:cs="Times New Roman"/>
                <w:highlight w:val="none"/>
              </w:rPr>
            </w:pPr>
            <w:r>
              <w:rPr>
                <w:rFonts w:hint="eastAsia" w:cs="Times New Roman"/>
                <w:sz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ind w:left="105"/>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安全保护措施及文明施工及环境保护措施</w:t>
            </w:r>
            <w:r/>
          </w:p>
        </w:tc>
        <w:tc>
          <w:tcPr>
            <w:tcW w:w="6761" w:type="dxa"/>
            <w:vAlign w:val="center"/>
            <w:textDirection w:val="lrTb"/>
            <w:noWrap w:val="false"/>
          </w:tcPr>
          <w:p>
            <w:pPr>
              <w:pStyle w:val="1057"/>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highlight w:val="none"/>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 xml:space="preserve">；</w:t>
            </w:r>
            <w:r/>
          </w:p>
          <w:p>
            <w:pPr>
              <w:spacing w:line="360" w:lineRule="auto"/>
              <w:widowControl/>
              <w:rPr>
                <w:rFonts w:hint="eastAsia" w:ascii="宋体" w:hAnsi="宋体"/>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3.4</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针对本项目拟投入资源配备计划</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计划完整性一般、描述一般、可行性一般、针对性一般、虽有描述但是不太符合招标文件要求得1分；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3.5</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针对本项目的工程进度计划及措施等方案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方案完整性一般、流程清晰度一般、能够在规定的交付时限内完成、虽有描述但是不太符合招标文件要求得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3.6</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质量保证措施</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措施具体明确，条理性强、效果达到采购人要求，确保在规定的交付时限内完成、完全符合招标文件要求的得</w:t>
            </w:r>
            <w:r>
              <w:rPr>
                <w:rFonts w:hint="eastAsia" w:ascii="宋体" w:hAnsi="宋体"/>
                <w:highlight w:val="none"/>
                <w:lang w:val="en-US" w:eastAsia="zh-CN"/>
              </w:rPr>
              <w:t xml:space="preserve">4</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措施较具体明确，条理性较强、效果达到采购人要求，确保在规定的交付时限内完成、基本符合招标文件要求的得</w:t>
            </w:r>
            <w:r>
              <w:rPr>
                <w:rFonts w:hint="eastAsia" w:ascii="宋体" w:hAnsi="宋体"/>
                <w:highlight w:val="none"/>
                <w:lang w:val="en-US" w:eastAsia="zh-CN"/>
              </w:rPr>
              <w:t xml:space="preserve">2</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措施明确性一般，条理性一般、效果不完全达到采购人要求，能够在规定的交付时限内完成、不完全符合招标文件要求得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3.7</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Times New Roman" w:hAnsi="Times New Roman" w:eastAsia="宋体" w:cs="Times New Roman"/>
                <w:highlight w:val="none"/>
                <w:lang w:val="en-US" w:eastAsia="zh-CN"/>
              </w:rPr>
              <w:t xml:space="preserve">系统集成能力</w:t>
            </w:r>
            <w:r/>
          </w:p>
        </w:tc>
        <w:tc>
          <w:tcPr>
            <w:tcW w:w="6761" w:type="dxa"/>
            <w:vAlign w:val="center"/>
            <w:textDirection w:val="lrTb"/>
            <w:noWrap w:val="false"/>
          </w:tcPr>
          <w:p>
            <w:pPr>
              <w:pStyle w:val="1142"/>
              <w:ind w:firstLine="0"/>
              <w:spacing w:line="240" w:lineRule="auto"/>
              <w:rPr>
                <w:rFonts w:hint="eastAsia"/>
                <w:sz w:val="21"/>
                <w:szCs w:val="21"/>
                <w:highlight w:val="none"/>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安全规范、操作流程，通道畅通，设备摆放合理，供应商应结合</w:t>
            </w:r>
            <w:r>
              <w:rPr>
                <w:rFonts w:hint="eastAsia"/>
                <w:sz w:val="21"/>
                <w:szCs w:val="21"/>
                <w:highlight w:val="none"/>
                <w:lang w:eastAsia="zh-CN"/>
              </w:rPr>
              <w:t xml:space="preserve">直录播教室</w:t>
            </w:r>
            <w:r>
              <w:rPr>
                <w:rFonts w:hint="eastAsia"/>
                <w:sz w:val="21"/>
                <w:szCs w:val="21"/>
                <w:highlight w:val="none"/>
              </w:rPr>
              <w:t xml:space="preserve">现场实际尺寸、原有设施布局，提供对应布局方案图。</w:t>
            </w:r>
            <w:r/>
          </w:p>
          <w:p>
            <w:pPr>
              <w:pStyle w:val="1142"/>
              <w:ind w:firstLine="0"/>
              <w:spacing w:line="240" w:lineRule="auto"/>
              <w:rPr>
                <w:rFonts w:hint="eastAsia" w:eastAsia="宋体"/>
                <w:sz w:val="21"/>
                <w:szCs w:val="21"/>
                <w:highlight w:val="none"/>
                <w:lang w:eastAsia="zh-CN"/>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各个设备的集成性、联动性与科学性，供应商</w:t>
            </w:r>
            <w:r>
              <w:rPr>
                <w:rFonts w:hint="eastAsia"/>
                <w:sz w:val="21"/>
                <w:szCs w:val="21"/>
                <w:highlight w:val="none"/>
                <w:lang w:val="en-US" w:eastAsia="zh-CN"/>
              </w:rPr>
              <w:t xml:space="preserve">需</w:t>
            </w:r>
            <w:r>
              <w:rPr>
                <w:rFonts w:hint="eastAsia"/>
                <w:sz w:val="21"/>
                <w:szCs w:val="21"/>
                <w:highlight w:val="none"/>
              </w:rPr>
              <w:t xml:space="preserve">提供各设备系统安装方案，包括但不限于系统方案图、节点图等</w:t>
            </w:r>
            <w:r>
              <w:rPr>
                <w:rFonts w:hint="eastAsia"/>
                <w:sz w:val="21"/>
                <w:szCs w:val="21"/>
                <w:highlight w:val="none"/>
                <w:lang w:eastAsia="zh-CN"/>
              </w:rPr>
              <w:t xml:space="preserve">。</w:t>
            </w:r>
            <w:r>
              <w:rPr>
                <w:rFonts w:hint="eastAsia"/>
                <w:sz w:val="21"/>
                <w:szCs w:val="21"/>
                <w:highlight w:val="none"/>
              </w:rPr>
              <w:t xml:space="preserve">以上每项内容逐条阐述。</w:t>
            </w:r>
            <w:r/>
          </w:p>
          <w:p>
            <w:pPr>
              <w:pStyle w:val="1142"/>
              <w:ind w:firstLine="0"/>
              <w:spacing w:line="240" w:lineRule="auto"/>
              <w:rPr>
                <w:rFonts w:hint="eastAsia"/>
                <w:sz w:val="21"/>
                <w:szCs w:val="21"/>
                <w:highlight w:val="none"/>
              </w:rPr>
            </w:pPr>
            <w:r>
              <w:rPr>
                <w:rFonts w:hint="eastAsia"/>
                <w:sz w:val="21"/>
                <w:szCs w:val="21"/>
                <w:highlight w:val="none"/>
              </w:rPr>
              <w:t xml:space="preserve">布局完全符合</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安全规范、操作流程，通道畅通，设备摆放合理，与现场实际高度匹配，图纸齐全、规范得</w:t>
            </w:r>
            <w:r>
              <w:rPr>
                <w:rFonts w:hint="eastAsia"/>
                <w:sz w:val="21"/>
                <w:szCs w:val="21"/>
                <w:highlight w:val="none"/>
                <w:lang w:val="en-US" w:eastAsia="zh-CN"/>
              </w:rPr>
              <w:t xml:space="preserve">8</w:t>
            </w:r>
            <w:r>
              <w:rPr>
                <w:rFonts w:hint="eastAsia"/>
                <w:sz w:val="21"/>
                <w:szCs w:val="21"/>
                <w:highlight w:val="none"/>
              </w:rPr>
              <w:t xml:space="preserve">分；</w:t>
            </w:r>
            <w:r/>
          </w:p>
          <w:p>
            <w:pPr>
              <w:pStyle w:val="1142"/>
              <w:ind w:firstLine="0"/>
              <w:spacing w:line="240" w:lineRule="auto"/>
              <w:rPr>
                <w:rFonts w:hint="eastAsia"/>
                <w:sz w:val="21"/>
                <w:szCs w:val="21"/>
                <w:highlight w:val="none"/>
              </w:rPr>
            </w:pPr>
            <w:r>
              <w:rPr>
                <w:rFonts w:hint="eastAsia"/>
                <w:sz w:val="21"/>
                <w:szCs w:val="21"/>
                <w:highlight w:val="none"/>
              </w:rPr>
              <w:t xml:space="preserve">布局基本合理，轻微不符合现场实际或操作需求，图纸基本齐全，标注基本清晰得</w:t>
            </w:r>
            <w:r>
              <w:rPr>
                <w:rFonts w:hint="eastAsia"/>
                <w:sz w:val="21"/>
                <w:szCs w:val="21"/>
                <w:highlight w:val="none"/>
                <w:lang w:val="en-US" w:eastAsia="zh-CN"/>
              </w:rPr>
              <w:t xml:space="preserve">6</w:t>
            </w:r>
            <w:r>
              <w:rPr>
                <w:rFonts w:hint="eastAsia"/>
                <w:sz w:val="21"/>
                <w:szCs w:val="21"/>
                <w:highlight w:val="none"/>
              </w:rPr>
              <w:t xml:space="preserve">分； </w:t>
            </w:r>
            <w:r/>
          </w:p>
          <w:p>
            <w:pPr>
              <w:pStyle w:val="1142"/>
              <w:ind w:firstLine="0"/>
              <w:spacing w:line="240" w:lineRule="auto"/>
              <w:rPr>
                <w:rFonts w:hint="eastAsia"/>
                <w:sz w:val="21"/>
                <w:szCs w:val="21"/>
                <w:highlight w:val="none"/>
              </w:rPr>
            </w:pPr>
            <w:r>
              <w:rPr>
                <w:rFonts w:hint="eastAsia"/>
                <w:sz w:val="21"/>
                <w:szCs w:val="21"/>
                <w:highlight w:val="none"/>
              </w:rPr>
              <w:t xml:space="preserve">布局</w:t>
            </w:r>
            <w:r>
              <w:rPr>
                <w:rFonts w:hint="eastAsia"/>
                <w:sz w:val="21"/>
                <w:szCs w:val="21"/>
                <w:highlight w:val="none"/>
                <w:lang w:val="en-US" w:eastAsia="zh-CN"/>
              </w:rPr>
              <w:t xml:space="preserve">较为</w:t>
            </w:r>
            <w:r>
              <w:rPr>
                <w:rFonts w:hint="eastAsia"/>
                <w:sz w:val="21"/>
                <w:szCs w:val="21"/>
                <w:highlight w:val="none"/>
              </w:rPr>
              <w:t xml:space="preserve">合理，</w:t>
            </w:r>
            <w:r>
              <w:rPr>
                <w:rFonts w:hint="eastAsia"/>
                <w:sz w:val="21"/>
                <w:szCs w:val="21"/>
                <w:highlight w:val="none"/>
                <w:lang w:val="en-US" w:eastAsia="zh-CN"/>
              </w:rPr>
              <w:t xml:space="preserve">有一定不</w:t>
            </w:r>
            <w:r>
              <w:rPr>
                <w:rFonts w:hint="eastAsia"/>
                <w:sz w:val="21"/>
                <w:szCs w:val="21"/>
                <w:highlight w:val="none"/>
              </w:rPr>
              <w:t xml:space="preserve">符合现场实际或操作需求，图纸</w:t>
            </w:r>
            <w:r>
              <w:rPr>
                <w:rFonts w:hint="eastAsia"/>
                <w:sz w:val="21"/>
                <w:szCs w:val="21"/>
                <w:highlight w:val="none"/>
                <w:lang w:val="en-US" w:eastAsia="zh-CN"/>
              </w:rPr>
              <w:t xml:space="preserve">较为</w:t>
            </w:r>
            <w:r>
              <w:rPr>
                <w:rFonts w:hint="eastAsia"/>
                <w:sz w:val="21"/>
                <w:szCs w:val="21"/>
                <w:highlight w:val="none"/>
              </w:rPr>
              <w:t xml:space="preserve">齐全，标注</w:t>
            </w:r>
            <w:r>
              <w:rPr>
                <w:rFonts w:hint="eastAsia"/>
                <w:sz w:val="21"/>
                <w:szCs w:val="21"/>
                <w:highlight w:val="none"/>
                <w:lang w:val="en-US" w:eastAsia="zh-CN"/>
              </w:rPr>
              <w:t xml:space="preserve">较为</w:t>
            </w:r>
            <w:r>
              <w:rPr>
                <w:rFonts w:hint="eastAsia"/>
                <w:sz w:val="21"/>
                <w:szCs w:val="21"/>
                <w:highlight w:val="none"/>
              </w:rPr>
              <w:t xml:space="preserve">清晰得</w:t>
            </w:r>
            <w:r>
              <w:rPr>
                <w:rFonts w:hint="eastAsia"/>
                <w:sz w:val="21"/>
                <w:szCs w:val="21"/>
                <w:highlight w:val="none"/>
                <w:lang w:val="en-US" w:eastAsia="zh-CN"/>
              </w:rPr>
              <w:t xml:space="preserve">4</w:t>
            </w:r>
            <w:r>
              <w:rPr>
                <w:rFonts w:hint="eastAsia"/>
                <w:sz w:val="21"/>
                <w:szCs w:val="21"/>
                <w:highlight w:val="none"/>
              </w:rPr>
              <w:t xml:space="preserve">分； </w:t>
            </w:r>
            <w:r/>
          </w:p>
          <w:p>
            <w:pPr>
              <w:pStyle w:val="1142"/>
              <w:ind w:firstLine="0"/>
              <w:spacing w:line="240" w:lineRule="auto"/>
              <w:rPr>
                <w:rFonts w:hint="eastAsia" w:eastAsia="宋体"/>
                <w:sz w:val="21"/>
                <w:szCs w:val="21"/>
                <w:highlight w:val="none"/>
                <w:lang w:eastAsia="zh-CN"/>
              </w:rPr>
            </w:pPr>
            <w:r>
              <w:rPr>
                <w:rFonts w:hint="eastAsia"/>
                <w:sz w:val="21"/>
                <w:szCs w:val="21"/>
                <w:highlight w:val="none"/>
              </w:rPr>
              <w:t xml:space="preserve">布局不合理，未结合现场实际，或存在安全隐患、操作不便，图纸缺失较多，标注混乱得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w:t>
            </w:r>
            <w:r/>
          </w:p>
          <w:p>
            <w:pPr>
              <w:pStyle w:val="1142"/>
              <w:ind w:firstLine="0"/>
              <w:spacing w:line="240" w:lineRule="auto"/>
              <w:rPr>
                <w:rFonts w:hint="eastAsia"/>
                <w:sz w:val="21"/>
                <w:szCs w:val="21"/>
                <w:highlight w:val="none"/>
              </w:rPr>
            </w:pP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有缺陷（缺陷是指：存在不适用项目实际情况的情形、凭空编造、方案中内容前后不一致、前后逻辑错误、涉及的规范及标准错误、不符合项目实际情况等）得</w:t>
            </w:r>
            <w:r>
              <w:rPr>
                <w:rFonts w:hint="eastAsia"/>
                <w:sz w:val="21"/>
                <w:szCs w:val="21"/>
                <w:highlight w:val="none"/>
                <w:lang w:val="en-US" w:eastAsia="zh-CN"/>
              </w:rPr>
              <w:t xml:space="preserve">1</w:t>
            </w:r>
            <w:r>
              <w:rPr>
                <w:rFonts w:hint="eastAsia"/>
                <w:sz w:val="21"/>
                <w:szCs w:val="21"/>
                <w:highlight w:val="none"/>
              </w:rPr>
              <w:t xml:space="preserve">分；</w:t>
            </w:r>
            <w:r/>
          </w:p>
          <w:p>
            <w:pPr>
              <w:pStyle w:val="1142"/>
              <w:ind w:firstLine="0"/>
              <w:spacing w:line="240" w:lineRule="auto"/>
              <w:rPr>
                <w:rFonts w:hint="eastAsia" w:ascii="宋体" w:hAnsi="宋体"/>
                <w:highlight w:val="none"/>
              </w:rPr>
            </w:pPr>
            <w:r>
              <w:rPr>
                <w:rFonts w:hint="eastAsia"/>
                <w:sz w:val="21"/>
                <w:szCs w:val="21"/>
                <w:highlight w:val="none"/>
              </w:rPr>
              <w:t xml:space="preserve">未提供的不得分。</w:t>
            </w:r>
            <w:r/>
          </w:p>
        </w:tc>
        <w:tc>
          <w:tcPr>
            <w:tcW w:w="681" w:type="dxa"/>
            <w:vAlign w:val="center"/>
            <w:textDirection w:val="lrTb"/>
            <w:noWrap w:val="false"/>
          </w:tcPr>
          <w:p>
            <w:pPr>
              <w:jc w:val="center"/>
              <w:rPr>
                <w:rFonts w:ascii="宋体" w:hAnsi="宋体" w:cs="宋体"/>
                <w:szCs w:val="21"/>
                <w:highlight w:val="none"/>
                <w:lang w:val="en-US"/>
              </w:rPr>
            </w:pPr>
            <w:r>
              <w:rPr>
                <w:rFonts w:hint="eastAsia" w:ascii="宋体" w:hAnsi="宋体" w:cs="宋体"/>
                <w:b w:val="0"/>
                <w:bCs w:val="0"/>
                <w:szCs w:val="21"/>
                <w:highlight w:val="none"/>
                <w:lang w:val="en-US" w:eastAsia="zh-CN"/>
              </w:rPr>
              <w:t xml:space="preserve">8</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3.8</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售后服务方案</w:t>
            </w:r>
            <w:r/>
          </w:p>
        </w:tc>
        <w:tc>
          <w:tcPr>
            <w:tcW w:w="6761" w:type="dxa"/>
            <w:vAlign w:val="center"/>
            <w:textDirection w:val="lrTb"/>
            <w:noWrap w:val="false"/>
          </w:tcPr>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供应商应根据磋商文件要求及本项目特点，提供售后服务方案，从保修期限、售后响应时间、修复时间、技术支持等方面，售后服务方案合理，售后服务及时专业，可行性强。</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服务方案内容科学合理、完整，故障处理响应迅速、周期合理，有专业的售后技术服务人员的得</w:t>
            </w: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服务方案内容较科学合理、完整，故障处理响应速度较快</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周期比较合理，有售后技术服务人员的得</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有缺陷（缺陷是指：存在不适用项目实际情况的情形、凭空编造、方案中内容前后不一致、前后逻辑错误、涉及的规范及标准错误、不符合项目实际情况等）得1分；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122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widowControl/>
              <w:rPr>
                <w:rFonts w:ascii="宋体" w:hAnsi="宋体"/>
                <w:highlight w:val="none"/>
              </w:rPr>
            </w:pPr>
            <w:r>
              <w:rPr>
                <w:rFonts w:hint="eastAsia" w:ascii="宋体" w:hAnsi="宋体"/>
                <w:highlight w:val="none"/>
              </w:rPr>
              <w:t xml:space="preserve">供应商提供自</w:t>
            </w:r>
            <w:r>
              <w:rPr>
                <w:rFonts w:ascii="宋体" w:hAnsi="宋体"/>
                <w:highlight w:val="none"/>
              </w:rPr>
              <w:t xml:space="preserve">20</w:t>
            </w:r>
            <w:r>
              <w:rPr>
                <w:rFonts w:hint="eastAsia" w:ascii="宋体" w:hAnsi="宋体"/>
                <w:highlight w:val="none"/>
              </w:rPr>
              <w:t xml:space="preserve">2</w:t>
            </w:r>
            <w:r>
              <w:rPr>
                <w:rFonts w:hint="eastAsia" w:ascii="宋体" w:hAnsi="宋体"/>
                <w:highlight w:val="none"/>
                <w:lang w:val="en-US" w:eastAsia="zh-CN"/>
              </w:rPr>
              <w:t xml:space="preserve">3</w:t>
            </w:r>
            <w:r>
              <w:rPr>
                <w:rFonts w:hint="eastAsia" w:ascii="宋体" w:hAnsi="宋体"/>
                <w:highlight w:val="none"/>
              </w:rPr>
              <w:t xml:space="preserve">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w:t>
            </w:r>
            <w:r>
              <w:rPr>
                <w:rFonts w:hint="eastAsia" w:ascii="宋体" w:hAnsi="宋体"/>
                <w:b/>
                <w:bCs/>
                <w:highlight w:val="none"/>
              </w:rPr>
              <w:t xml:space="preserve">（以竣工时间为准）</w:t>
            </w:r>
            <w:r>
              <w:rPr>
                <w:rFonts w:hint="eastAsia" w:ascii="宋体" w:hAnsi="宋体"/>
                <w:highlight w:val="none"/>
              </w:rPr>
              <w:t xml:space="preserve">以来承担的</w:t>
            </w:r>
            <w:r>
              <w:rPr>
                <w:rFonts w:hint="eastAsia" w:ascii="宋体" w:hAnsi="宋体"/>
                <w:highlight w:val="none"/>
                <w:lang w:val="en-US" w:eastAsia="zh-CN"/>
              </w:rPr>
              <w:t xml:space="preserve">类似</w:t>
            </w:r>
            <w:r>
              <w:rPr>
                <w:rFonts w:hint="eastAsia" w:ascii="宋体" w:hAnsi="宋体"/>
                <w:highlight w:val="none"/>
              </w:rPr>
              <w:t xml:space="preserve">工程业绩，每提供一个类似业绩的得</w:t>
            </w:r>
            <w:r>
              <w:rPr>
                <w:rFonts w:hint="eastAsia" w:ascii="宋体" w:hAnsi="宋体"/>
                <w:highlight w:val="none"/>
                <w:lang w:val="en-US" w:eastAsia="zh-CN"/>
              </w:rPr>
              <w:t xml:space="preserve">2</w:t>
            </w:r>
            <w:r>
              <w:rPr>
                <w:rFonts w:hint="eastAsia" w:ascii="宋体" w:hAnsi="宋体"/>
                <w:highlight w:val="none"/>
              </w:rPr>
              <w:t xml:space="preserve">分，最多得</w:t>
            </w:r>
            <w:r>
              <w:rPr>
                <w:rFonts w:hint="eastAsia" w:ascii="宋体" w:hAnsi="宋体"/>
                <w:highlight w:val="none"/>
                <w:lang w:val="en-US" w:eastAsia="zh-CN"/>
              </w:rPr>
              <w:t xml:space="preserve">10</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（注：须提供合同和竣工验收合格证明材料的复印件，缺一不可，原件备查，</w:t>
            </w:r>
            <w:r>
              <w:rPr>
                <w:rFonts w:hint="eastAsia" w:ascii="宋体" w:hAnsi="宋体" w:cs="宋体"/>
                <w:bCs/>
                <w:szCs w:val="21"/>
                <w:highlight w:val="none"/>
              </w:rPr>
              <w:t xml:space="preserve">提供的证明材料复印件加盖公章必须能反映出相关数据和内容，否则视为未提供</w:t>
            </w:r>
            <w:r>
              <w:rPr>
                <w:rFonts w:hint="eastAsia" w:ascii="宋体" w:hAnsi="宋体"/>
                <w:highlight w:val="none"/>
              </w:rPr>
              <w:t xml:space="preserve">）</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5</w:t>
            </w:r>
            <w:r/>
          </w:p>
        </w:tc>
        <w:tc>
          <w:tcPr>
            <w:tcW w:w="1225" w:type="dxa"/>
            <w:vAlign w:val="center"/>
            <w:textDirection w:val="lrTb"/>
            <w:noWrap w:val="false"/>
          </w:tcPr>
          <w:p>
            <w:pPr>
              <w:jc w:val="center"/>
              <w:spacing w:line="360" w:lineRule="auto"/>
              <w:widowControl/>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 xml:space="preserve">技术负责人</w:t>
            </w:r>
            <w:r>
              <w:rPr>
                <w:rFonts w:hint="eastAsia" w:ascii="宋体" w:hAnsi="宋体" w:cs="宋体"/>
                <w:strike w:val="0"/>
                <w:szCs w:val="21"/>
                <w:highlight w:val="none"/>
              </w:rPr>
              <w:t xml:space="preserve">（</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供应商拟投入本项目的</w:t>
            </w:r>
            <w:r>
              <w:rPr>
                <w:rFonts w:hint="eastAsia" w:ascii="宋体" w:hAnsi="宋体"/>
                <w:strike w:val="0"/>
                <w:highlight w:val="none"/>
                <w:lang w:val="en-US" w:eastAsia="zh-CN"/>
              </w:rPr>
              <w:t xml:space="preserve">技术负责人</w:t>
            </w:r>
            <w:r>
              <w:rPr>
                <w:rFonts w:hint="eastAsia" w:ascii="宋体" w:hAnsi="宋体"/>
                <w:strike w:val="0"/>
                <w:highlight w:val="none"/>
              </w:rPr>
              <w:t xml:space="preserve">具有高级及以上职称得</w:t>
            </w:r>
            <w:r>
              <w:rPr>
                <w:rFonts w:hint="eastAsia" w:ascii="宋体" w:hAnsi="宋体"/>
                <w:strike w:val="0"/>
                <w:highlight w:val="none"/>
                <w:lang w:val="en-US" w:eastAsia="zh-CN"/>
              </w:rPr>
              <w:t xml:space="preserve">2</w:t>
            </w:r>
            <w:r>
              <w:rPr>
                <w:rFonts w:hint="eastAsia" w:ascii="宋体" w:hAnsi="宋体"/>
                <w:strike w:val="0"/>
                <w:highlight w:val="none"/>
              </w:rPr>
              <w:t xml:space="preserve">分，中级职称的得1分。</w:t>
            </w:r>
            <w:r/>
          </w:p>
          <w:p>
            <w:pPr>
              <w:spacing w:line="360" w:lineRule="auto"/>
              <w:widowControl/>
              <w:rPr>
                <w:rFonts w:hint="eastAsia" w:ascii="宋体" w:hAnsi="宋体"/>
                <w:strike w:val="0"/>
                <w:sz w:val="21"/>
                <w:highlight w:val="none"/>
                <w:lang w:val="en-US" w:eastAsia="zh-CN" w:bidi="ar-SA"/>
              </w:rPr>
            </w:pPr>
            <w:r>
              <w:rPr>
                <w:rFonts w:hint="eastAsia"/>
                <w:szCs w:val="21"/>
                <w:highlight w:val="none"/>
              </w:rPr>
              <w:t xml:space="preserve">（须提供相关证书复印件加盖公章</w:t>
            </w:r>
            <w:r>
              <w:rPr>
                <w:rFonts w:hint="eastAsia" w:ascii="宋体" w:hAnsi="宋体"/>
                <w:strike w:val="0"/>
                <w:highlight w:val="none"/>
              </w:rPr>
              <w:t xml:space="preserve">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w:t>
            </w:r>
            <w:r>
              <w:rPr>
                <w:rFonts w:hint="eastAsia"/>
                <w:szCs w:val="21"/>
                <w:highlight w:val="none"/>
              </w:rPr>
              <w:t xml:space="preserve">，未提供不得分）</w:t>
            </w:r>
            <w:r/>
          </w:p>
        </w:tc>
        <w:tc>
          <w:tcPr>
            <w:tcW w:w="681"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1225" w:type="dxa"/>
            <w:vAlign w:val="center"/>
            <w:textDirection w:val="lrTb"/>
            <w:noWrap w:val="false"/>
          </w:tcPr>
          <w:p>
            <w:pPr>
              <w:jc w:val="center"/>
              <w:spacing w:line="360" w:lineRule="auto"/>
              <w:rPr>
                <w:rFonts w:hint="eastAsia" w:ascii="宋体" w:hAnsi="宋体"/>
                <w:strike w:val="0"/>
                <w:highlight w:val="none"/>
              </w:rPr>
            </w:pPr>
            <w:r>
              <w:rPr>
                <w:rFonts w:hint="eastAsia" w:ascii="宋体" w:hAnsi="宋体" w:cs="宋体"/>
                <w:strike w:val="0"/>
                <w:szCs w:val="21"/>
                <w:highlight w:val="none"/>
              </w:rPr>
              <w:t xml:space="preserve">团队其他成员（</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供应商拟投入施工员、质量员、安全员、材料员、资料员：全部具有</w:t>
            </w:r>
            <w:r>
              <w:rPr>
                <w:rFonts w:hint="eastAsia" w:ascii="宋体" w:hAnsi="宋体"/>
                <w:strike w:val="0"/>
                <w:highlight w:val="none"/>
                <w:lang w:val="en-US" w:eastAsia="zh-CN"/>
              </w:rPr>
              <w:t xml:space="preserve">相应的</w:t>
            </w:r>
            <w:r>
              <w:rPr>
                <w:rFonts w:hint="eastAsia" w:ascii="宋体" w:hAnsi="宋体"/>
                <w:strike w:val="0"/>
                <w:highlight w:val="none"/>
              </w:rPr>
              <w:t xml:space="preserve">岗位培训考核合格证书的，得2分，少一个扣0.4分。</w:t>
            </w:r>
            <w:r/>
          </w:p>
          <w:p>
            <w:pPr>
              <w:spacing w:line="360" w:lineRule="auto"/>
              <w:widowControl/>
              <w:rPr>
                <w:rFonts w:hint="eastAsia" w:ascii="宋体" w:hAnsi="宋体"/>
                <w:b/>
                <w:bCs/>
                <w:strike w:val="0"/>
                <w:highlight w:val="none"/>
              </w:rPr>
            </w:pPr>
            <w:r>
              <w:rPr>
                <w:rFonts w:hint="eastAsia" w:ascii="宋体" w:hAnsi="宋体"/>
                <w:strike w:val="0"/>
                <w:highlight w:val="none"/>
              </w:rPr>
              <w:t xml:space="preserve">（注：须提供有效证书复印件，及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月中任意1个月为其缴纳社保的证明材料复印件并加盖公章，5类人员不重复计分）</w:t>
            </w:r>
            <w:r/>
          </w:p>
        </w:tc>
        <w:tc>
          <w:tcPr>
            <w:tcW w:w="681" w:type="dxa"/>
            <w:vAlign w:val="center"/>
            <w:textDirection w:val="lrTb"/>
            <w:noWrap w:val="false"/>
          </w:tcPr>
          <w:p>
            <w:pPr>
              <w:jc w:val="center"/>
              <w:spacing w:line="360" w:lineRule="auto"/>
              <w:widowControl/>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 xml:space="preserve">2</w:t>
            </w:r>
            <w:r/>
          </w:p>
        </w:tc>
      </w:tr>
      <w:tr>
        <w:trPr>
          <w:jc w:val="center"/>
          <w:trHeight w:val="616"/>
        </w:trPr>
        <w:tc>
          <w:tcPr>
            <w:tcW w:w="744" w:type="dxa"/>
            <w:vAlign w:val="center"/>
            <w:textDirection w:val="lrTb"/>
            <w:noWrap w:val="false"/>
          </w:tcPr>
          <w:p>
            <w:pPr>
              <w:jc w:val="center"/>
              <w:spacing w:line="360" w:lineRule="auto"/>
              <w:widowControl/>
              <w:rPr>
                <w:rFonts w:hint="eastAsia" w:ascii="宋体" w:hAnsi="宋体" w:eastAsia="宋体"/>
                <w:highlight w:val="none"/>
                <w:lang w:eastAsia="zh-CN"/>
              </w:rPr>
            </w:pPr>
            <w:r>
              <w:rPr>
                <w:rFonts w:hint="eastAsia" w:ascii="宋体" w:hAnsi="宋体"/>
                <w:highlight w:val="none"/>
                <w:lang w:val="en-US" w:eastAsia="zh-CN"/>
              </w:rPr>
              <w:t xml:space="preserve">7</w:t>
            </w:r>
            <w:r/>
          </w:p>
        </w:tc>
        <w:tc>
          <w:tcPr>
            <w:gridSpan w:val="3"/>
            <w:tcW w:w="9208" w:type="dxa"/>
            <w:vAlign w:val="center"/>
            <w:textDirection w:val="lrTb"/>
            <w:noWrap w:val="false"/>
          </w:tcPr>
          <w:p>
            <w:pPr>
              <w:jc w:val="center"/>
              <w:spacing w:line="360" w:lineRule="auto"/>
              <w:widowControl/>
              <w:rPr>
                <w:rFonts w:ascii="宋体" w:hAnsi="宋体"/>
                <w:highlight w:val="none"/>
              </w:rPr>
            </w:pPr>
            <w:r>
              <w:rPr>
                <w:rFonts w:hint="eastAsia" w:ascii="宋体" w:hAnsi="宋体"/>
                <w:highlight w:val="none"/>
              </w:rPr>
              <w:t xml:space="preserve">合计</w:t>
            </w:r>
            <w:r/>
          </w:p>
        </w:tc>
        <w:tc>
          <w:tcPr>
            <w:tcW w:w="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00</w:t>
            </w:r>
            <w:r/>
          </w:p>
        </w:tc>
      </w:tr>
    </w:tbl>
    <w:p>
      <w:pPr>
        <w:spacing w:line="360" w:lineRule="auto"/>
        <w:rPr>
          <w:rFonts w:ascii="Arial" w:hAnsi="Arial" w:cs="Arial"/>
          <w:bCs/>
          <w:sz w:val="22"/>
          <w:szCs w:val="28"/>
          <w:highlight w:val="none"/>
        </w:rPr>
      </w:pPr>
      <w:r>
        <w:rPr>
          <w:rFonts w:ascii="Arial" w:hAnsi="Arial" w:cs="Arial"/>
          <w:bCs/>
          <w:sz w:val="22"/>
          <w:szCs w:val="28"/>
          <w:highlight w:val="none"/>
        </w:rPr>
      </w:r>
      <w:r/>
    </w:p>
    <w:p>
      <w:pPr>
        <w:spacing w:line="360" w:lineRule="auto"/>
        <w:rPr>
          <w:rFonts w:ascii="Arial" w:hAnsi="Arial" w:cs="Arial"/>
          <w:bCs/>
          <w:sz w:val="22"/>
          <w:szCs w:val="28"/>
          <w:highlight w:val="none"/>
        </w:rPr>
      </w:pPr>
      <w:r>
        <w:rPr>
          <w:rFonts w:ascii="Arial" w:hAnsi="Arial" w:cs="Arial"/>
          <w:bCs/>
          <w:sz w:val="22"/>
          <w:szCs w:val="28"/>
          <w:highlight w:val="none"/>
        </w:rPr>
        <w:t xml:space="preserve">说明：</w:t>
      </w:r>
      <w:r/>
    </w:p>
    <w:p>
      <w:pPr>
        <w:ind w:firstLine="440"/>
        <w:spacing w:line="360" w:lineRule="auto"/>
        <w:rPr>
          <w:rFonts w:hint="eastAsia"/>
          <w:highlight w:val="none"/>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highlight w:val="none"/>
        </w:rPr>
        <w:t xml:space="preserve">1.</w:t>
      </w:r>
      <w:r>
        <w:rPr>
          <w:rFonts w:ascii="Arial" w:hAnsi="Arial" w:cs="Arial"/>
          <w:bCs/>
          <w:sz w:val="22"/>
          <w:szCs w:val="28"/>
          <w:highlight w:val="none"/>
        </w:rPr>
        <w:t xml:space="preserve">所有认证、证明和业绩均以有效清晰的证明文件的复印件为依据，原件备查</w:t>
      </w:r>
      <w:r>
        <w:rPr>
          <w:rFonts w:hint="eastAsia" w:ascii="Arial" w:hAnsi="Arial" w:cs="Arial"/>
          <w:bCs/>
          <w:highlight w:val="none"/>
        </w:rPr>
        <w:t xml:space="preserve">。</w:t>
      </w:r>
      <w:r>
        <w:rPr>
          <w:rFonts w:hint="eastAsia"/>
          <w:highlight w:val="none"/>
        </w:rPr>
        <w:br w:type="page" w:clear="all"/>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2.小微企业价格扣除</w:t>
      </w:r>
      <w:r/>
    </w:p>
    <w:p>
      <w:pPr>
        <w:ind w:firstLine="440"/>
        <w:spacing w:line="360" w:lineRule="auto"/>
        <w:rPr>
          <w:rFonts w:ascii="Arial" w:hAnsi="Arial" w:cs="Arial"/>
          <w:bCs/>
          <w:color w:val="000000"/>
          <w:sz w:val="22"/>
          <w:szCs w:val="28"/>
          <w:highlight w:val="none"/>
        </w:rPr>
      </w:pPr>
      <w:r>
        <w:rPr>
          <w:rFonts w:hint="eastAsia" w:ascii="Arial" w:hAnsi="Arial" w:cs="Arial"/>
          <w:b w:val="0"/>
          <w:bCs/>
          <w:color w:val="000000"/>
          <w:sz w:val="22"/>
          <w:szCs w:val="28"/>
          <w:highlight w:val="none"/>
        </w:rPr>
        <w:t xml:space="preserve">2.1对于专门面向中小企业或小型、微型企业的项目，只面向中小企业或小型、微型企业采购。</w:t>
      </w:r>
      <w:r>
        <w:rPr>
          <w:rFonts w:hint="eastAsia" w:ascii="Arial" w:hAnsi="Arial" w:cs="Arial"/>
          <w:bCs/>
          <w:color w:val="000000"/>
          <w:sz w:val="22"/>
          <w:szCs w:val="28"/>
          <w:highlight w:val="none"/>
        </w:rPr>
        <w:t xml:space="preserve">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p>
    <w:p>
      <w:pPr>
        <w:ind w:firstLine="440"/>
        <w:spacing w:line="360" w:lineRule="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3.监狱和戒毒企业的价格扣除</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3.1 本项目对监狱和戒毒企业，给予</w:t>
      </w:r>
      <w:r>
        <w:rPr>
          <w:rFonts w:ascii="Arial" w:hAnsi="Arial" w:cs="Arial"/>
          <w:bCs/>
          <w:sz w:val="22"/>
          <w:szCs w:val="28"/>
          <w:highlight w:val="none"/>
        </w:rPr>
        <w:t xml:space="preserve">5</w:t>
      </w:r>
      <w:r>
        <w:rPr>
          <w:rFonts w:hint="eastAsia" w:ascii="Arial" w:hAnsi="Arial" w:cs="Arial"/>
          <w:bCs/>
          <w:sz w:val="22"/>
          <w:szCs w:val="28"/>
          <w:highlight w:val="none"/>
        </w:rPr>
        <w:t xml:space="preserve">%的价格扣除，用扣除后的价格参与评审。</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3.3 监狱企业标准请参照《关于政府采购支持监狱企业发展有关问题的通知》（财库〔2014〕68号）。</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4.残疾人福利性单位的价格扣除</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4.1 本项目对残疾人福利性单位，给予5%的价格扣除，用扣除后的价格参与评审。</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4.2 残疾人福利性单位需提供《残疾人福利性单位声明函》。</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4.3 残疾人福利性单位标准请参照《关于促进残疾人就业政府采购政策的通知》（财库〔2017〕141号）。</w:t>
      </w:r>
      <w:r/>
    </w:p>
    <w:p>
      <w:pPr>
        <w:ind w:firstLine="440"/>
        <w:jc w:val="both"/>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5. 监狱企业、残疾人福利性单位属于小型、微型企业的，不重复享受政策。</w:t>
      </w:r>
      <w:r/>
    </w:p>
    <w:p>
      <w:pPr>
        <w:ind w:firstLine="440"/>
        <w:spacing w:line="360" w:lineRule="auto"/>
        <w:rPr>
          <w:rFonts w:ascii="宋体" w:hAnsi="宋体" w:cs="宋体"/>
          <w:b w:val="0"/>
          <w:bCs/>
          <w:sz w:val="22"/>
          <w:szCs w:val="28"/>
          <w:highlight w:val="none"/>
        </w:rPr>
      </w:pPr>
      <w:r>
        <w:rPr>
          <w:rFonts w:ascii="宋体" w:hAnsi="宋体" w:cs="宋体"/>
          <w:b w:val="0"/>
          <w:bCs/>
          <w:sz w:val="22"/>
          <w:szCs w:val="28"/>
          <w:highlight w:val="none"/>
        </w:rPr>
      </w:r>
      <w:r/>
    </w:p>
    <w:p>
      <w:pPr>
        <w:pStyle w:val="986"/>
        <w:numPr>
          <w:ilvl w:val="0"/>
          <w:numId w:val="0"/>
        </w:numPr>
        <w:jc w:val="center"/>
        <w:rPr>
          <w:rFonts w:ascii="Arial" w:hAnsi="Arial" w:cs="Arial"/>
          <w:highlight w:val="none"/>
          <w:lang w:val="zh-CN"/>
        </w:rPr>
      </w:pPr>
      <w:r>
        <w:rPr>
          <w:rFonts w:hint="eastAsia" w:ascii="Arial" w:hAnsi="Arial" w:eastAsia="宋体" w:cs="Arial"/>
          <w:bCs/>
          <w:szCs w:val="28"/>
          <w:highlight w:val="none"/>
        </w:rPr>
        <w:br w:type="page" w:clear="all"/>
      </w:r>
      <w:bookmarkStart w:id="28" w:name="_Toc15293"/>
      <w:r>
        <w:rPr>
          <w:rFonts w:hint="eastAsia"/>
          <w:highlight w:val="none"/>
          <w:lang w:val="zh-CN" w:eastAsia="zh-CN"/>
        </w:rPr>
        <w:t xml:space="preserve">第四章 </w:t>
      </w:r>
      <w:r>
        <w:rPr>
          <w:highlight w:val="none"/>
          <w:lang w:val="zh-CN" w:eastAsia="zh-CN"/>
        </w:rPr>
        <w:t xml:space="preserve">采购需求</w:t>
      </w:r>
      <w:bookmarkEnd w:id="28"/>
      <w:r/>
      <w:r/>
    </w:p>
    <w:p>
      <w:pPr>
        <w:pStyle w:val="1088"/>
        <w:ind w:firstLine="0"/>
        <w:rPr>
          <w:highlight w:val="none"/>
          <w:lang w:val="zh-CN"/>
        </w:rPr>
      </w:pPr>
      <w:r>
        <w:rPr>
          <w:highlight w:val="none"/>
          <w:lang w:val="zh-CN"/>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一、项目概述</w:t>
      </w:r>
      <w:r/>
    </w:p>
    <w:p>
      <w:pPr>
        <w:ind w:firstLine="42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工程名称：</w:t>
      </w:r>
      <w:r>
        <w:rPr>
          <w:rFonts w:hint="eastAsia" w:ascii="Arial" w:hAnsi="Arial" w:cs="Arial"/>
          <w:spacing w:val="8"/>
          <w:szCs w:val="21"/>
          <w:highlight w:val="none"/>
          <w:lang w:eastAsia="zh-CN"/>
        </w:rPr>
        <w:t xml:space="preserve">直录播教室常态化建设二期工程。</w:t>
      </w:r>
      <w:r/>
    </w:p>
    <w:p>
      <w:pPr>
        <w:ind w:firstLine="420"/>
        <w:jc w:val="left"/>
        <w:spacing w:line="360" w:lineRule="auto"/>
        <w:widowControl/>
        <w:rPr>
          <w:rFonts w:ascii="宋体" w:hAnsi="宋体" w:eastAsia="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施工地点：</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质量要求：合格。</w:t>
      </w:r>
      <w:r/>
    </w:p>
    <w:p>
      <w:pPr>
        <w:ind w:firstLine="420"/>
        <w:spacing w:line="360" w:lineRule="auto"/>
        <w:rPr>
          <w:rFonts w:hint="eastAsia"/>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施工内容：</w:t>
      </w:r>
      <w:r>
        <w:rPr>
          <w:rFonts w:hint="eastAsia" w:ascii="宋体" w:hAnsi="宋体" w:cs="宋体"/>
          <w:szCs w:val="21"/>
          <w:highlight w:val="none"/>
        </w:rPr>
        <w:t xml:space="preserve">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r/>
    </w:p>
    <w:p>
      <w:pPr>
        <w:ind w:firstLine="420"/>
        <w:spacing w:line="360" w:lineRule="auto"/>
        <w:rPr>
          <w:rFonts w:hint="eastAsia"/>
          <w:highlight w:val="none"/>
        </w:rPr>
      </w:pPr>
      <w:r>
        <w:rPr>
          <w:rFonts w:hint="eastAsia" w:ascii="宋体" w:hAnsi="宋体" w:cs="宋体"/>
          <w:szCs w:val="21"/>
          <w:highlight w:val="none"/>
        </w:rPr>
        <w:t xml:space="preserve">新建录播软硬件设备</w:t>
      </w:r>
      <w:r>
        <w:rPr>
          <w:rFonts w:hint="eastAsia" w:ascii="宋体" w:hAnsi="宋体" w:cs="宋体"/>
          <w:szCs w:val="21"/>
          <w:highlight w:val="none"/>
          <w:lang w:val="en-US" w:eastAsia="zh-CN"/>
        </w:rPr>
        <w:t xml:space="preserve">需</w:t>
      </w:r>
      <w:r>
        <w:rPr>
          <w:rFonts w:hint="eastAsia" w:ascii="宋体" w:hAnsi="宋体" w:cs="宋体"/>
          <w:szCs w:val="21"/>
          <w:highlight w:val="none"/>
        </w:rPr>
        <w:t xml:space="preserve">统一接入一期已建成的融合视讯应用管理平台，结合学校网络建设，实现课程常态录制、直播点播、可视化巡课及管理等功能，满足学校线上线下教学与管理的相关需求。</w:t>
      </w:r>
      <w:r/>
    </w:p>
    <w:p>
      <w:pPr>
        <w:ind w:firstLine="420"/>
        <w:spacing w:line="360" w:lineRule="auto"/>
        <w:rPr>
          <w:rFonts w:hint="eastAsia" w:ascii="Arial" w:hAnsi="Arial" w:eastAsia="宋体" w:cs="Arial"/>
          <w:spacing w:val="8"/>
          <w:szCs w:val="21"/>
          <w:highlight w:val="none"/>
        </w:rPr>
      </w:pPr>
      <w:r>
        <w:rPr>
          <w:rFonts w:hint="eastAsia" w:ascii="宋体" w:hAnsi="宋体" w:cs="宋体"/>
          <w:szCs w:val="21"/>
          <w:highlight w:val="none"/>
        </w:rPr>
        <w:t xml:space="preserve">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w:t>
      </w:r>
      <w:r>
        <w:rPr>
          <w:rFonts w:hint="eastAsia" w:ascii="宋体" w:hAnsi="宋体"/>
          <w:szCs w:val="21"/>
          <w:highlight w:val="none"/>
        </w:rPr>
        <w:t xml:space="preserve">按国家现行施工规范施工，达到合格标准；工程所需主要材料须符合国家相关标准及环保要求。</w:t>
      </w:r>
      <w:r/>
    </w:p>
    <w:p>
      <w:pPr>
        <w:pStyle w:val="1072"/>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二、工程量清单</w:t>
      </w:r>
      <w:r/>
    </w:p>
    <w:p>
      <w:pPr>
        <w:ind w:firstLine="420"/>
        <w:jc w:val="left"/>
        <w:spacing w:line="360" w:lineRule="auto"/>
        <w:widowControl/>
        <w:rPr>
          <w:rFonts w:hint="eastAsia"/>
          <w:highlight w:val="none"/>
        </w:rPr>
      </w:pPr>
      <w:r>
        <w:rPr>
          <w:rFonts w:hint="eastAsia"/>
          <w:highlight w:val="none"/>
        </w:rPr>
        <w:t xml:space="preserve">详见附件工程量清单。</w:t>
      </w:r>
      <w:r/>
    </w:p>
    <w:p>
      <w:pPr>
        <w:ind w:firstLine="422"/>
        <w:jc w:val="left"/>
        <w:spacing w:line="460" w:lineRule="exact"/>
        <w:rPr>
          <w:rFonts w:hint="eastAsia" w:ascii="宋体" w:hAnsi="宋体" w:eastAsia="宋体"/>
          <w:szCs w:val="21"/>
          <w:highlight w:val="none"/>
          <w:lang w:eastAsia="zh-CN"/>
        </w:rPr>
      </w:pPr>
      <w:r>
        <w:rPr>
          <w:rFonts w:hint="eastAsia"/>
          <w:b/>
          <w:bCs/>
          <w:highlight w:val="none"/>
        </w:rPr>
        <w:t xml:space="preserve">注：主材清单一览表详见工程量清单，在报价时所用主材应不低于或相当于清单编制说明中所推荐的品牌，供应商可以选择推荐品牌以外的同档次或以上品牌进行投标，</w:t>
      </w:r>
      <w:r>
        <w:rPr>
          <w:rFonts w:hint="eastAsia"/>
          <w:b/>
          <w:bCs/>
          <w:highlight w:val="none"/>
          <w:lang w:val="en-US" w:eastAsia="zh-CN"/>
        </w:rPr>
        <w:t xml:space="preserve">如供应商提供的不是推荐的品牌，则需要提供相关证明材料证明其属于同档次</w:t>
      </w:r>
      <w:r>
        <w:rPr>
          <w:rFonts w:hint="eastAsia"/>
          <w:b/>
          <w:bCs/>
          <w:highlight w:val="none"/>
        </w:rPr>
        <w:t xml:space="preserve">或以上品牌</w:t>
      </w:r>
      <w:r>
        <w:rPr>
          <w:rFonts w:hint="eastAsia"/>
          <w:b/>
          <w:bCs/>
          <w:highlight w:val="none"/>
          <w:lang w:eastAsia="zh-CN"/>
        </w:rPr>
        <w:t xml:space="preserve">，</w:t>
      </w:r>
      <w:r>
        <w:rPr>
          <w:rFonts w:hint="eastAsia"/>
          <w:b/>
          <w:bCs/>
          <w:highlight w:val="none"/>
        </w:rPr>
        <w:t xml:space="preserve">工程中所用材料必须符合国家质量验收标准</w:t>
      </w:r>
      <w:r>
        <w:rPr>
          <w:rFonts w:hint="eastAsia" w:ascii="宋体" w:hAnsi="宋体"/>
          <w:szCs w:val="21"/>
          <w:highlight w:val="none"/>
          <w:lang w:eastAsia="zh-CN"/>
        </w:rPr>
        <w:t xml:space="preserve">。</w:t>
      </w:r>
      <w:r/>
    </w:p>
    <w:p>
      <w:pPr>
        <w:pStyle w:val="1072"/>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三、工期要求及免费质保期要求</w:t>
      </w:r>
      <w:r/>
    </w:p>
    <w:p>
      <w:pPr>
        <w:ind w:firstLine="420"/>
        <w:jc w:val="left"/>
        <w:spacing w:line="460" w:lineRule="exact"/>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Arial" w:hAnsi="Arial" w:cs="Arial"/>
          <w:spacing w:val="8"/>
          <w:szCs w:val="21"/>
          <w:highlight w:val="none"/>
        </w:rPr>
        <w:t xml:space="preserve">工期</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60</w:t>
      </w:r>
      <w:r>
        <w:rPr>
          <w:rFonts w:hint="eastAsia" w:ascii="Arial" w:hAnsi="Arial" w:cs="Arial"/>
          <w:spacing w:val="8"/>
          <w:szCs w:val="21"/>
          <w:highlight w:val="none"/>
        </w:rPr>
        <w:t xml:space="preserve">日历天。地点：用户指定地点（</w:t>
      </w:r>
      <w:r>
        <w:rPr>
          <w:rFonts w:hint="eastAsia" w:ascii="Arial" w:hAnsi="Arial" w:cs="Arial"/>
          <w:szCs w:val="21"/>
          <w:highlight w:val="none"/>
          <w:lang w:val="zh-CN"/>
        </w:rPr>
        <w:t xml:space="preserve">南京市北京西路74号</w:t>
      </w:r>
      <w:r>
        <w:rPr>
          <w:rFonts w:hint="eastAsia" w:ascii="Arial" w:hAnsi="Arial" w:cs="Arial"/>
          <w:spacing w:val="8"/>
          <w:szCs w:val="21"/>
          <w:highlight w:val="none"/>
        </w:rPr>
        <w:t xml:space="preserve">）</w:t>
      </w:r>
      <w:r>
        <w:rPr>
          <w:rFonts w:hint="eastAsia" w:ascii="宋体" w:hAnsi="宋体"/>
          <w:szCs w:val="21"/>
          <w:highlight w:val="none"/>
          <w:lang w:eastAsia="zh-CN"/>
        </w:rPr>
        <w:t xml:space="preserve">。</w:t>
      </w:r>
      <w:r/>
    </w:p>
    <w:p>
      <w:pPr>
        <w:ind w:firstLine="420"/>
        <w:jc w:val="left"/>
        <w:spacing w:line="460" w:lineRule="exact"/>
        <w:rPr>
          <w:rFonts w:ascii="宋体" w:hAnsi="宋体"/>
          <w:b/>
          <w:bCs/>
          <w:szCs w:val="21"/>
          <w:highlight w:val="none"/>
        </w:rPr>
      </w:pPr>
      <w:r>
        <w:rPr>
          <w:rFonts w:hint="eastAsia" w:ascii="宋体" w:hAnsi="宋体"/>
          <w:szCs w:val="21"/>
          <w:highlight w:val="none"/>
        </w:rPr>
        <w:t xml:space="preserve">2、免费质保期</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eastAsia="zh-CN"/>
        </w:rPr>
        <w:t xml:space="preserve">。</w:t>
      </w:r>
      <w:bookmarkStart w:id="111" w:name="_GoBack"/>
      <w:r/>
      <w:bookmarkEnd w:id="111"/>
      <w:r/>
      <w:r/>
    </w:p>
    <w:p>
      <w:pPr>
        <w:ind w:firstLine="422"/>
        <w:jc w:val="left"/>
        <w:keepLines w:val="0"/>
        <w:keepNext w:val="0"/>
        <w:pageBreakBefore w:val="0"/>
        <w:spacing w:line="360" w:lineRule="auto"/>
        <w:widowControl w:val="off"/>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spacing w:line="360" w:lineRule="auto"/>
        <w:widowControl/>
        <w:rPr>
          <w:rFonts w:cs="宋体"/>
          <w:szCs w:val="21"/>
          <w:highlight w:val="none"/>
        </w:rPr>
      </w:pPr>
      <w:r>
        <w:rPr>
          <w:rFonts w:hint="eastAsia" w:cs="宋体"/>
          <w:szCs w:val="21"/>
          <w:highlight w:val="none"/>
        </w:rPr>
        <w:t xml:space="preserve">技术指标要求</w:t>
      </w:r>
      <w:r>
        <w:rPr>
          <w:rFonts w:hint="eastAsia" w:cs="宋体"/>
          <w:sz w:val="24"/>
          <w:szCs w:val="24"/>
          <w:highlight w:val="none"/>
        </w:rPr>
        <w:t xml:space="preserve">：</w:t>
      </w:r>
      <w:r/>
    </w:p>
    <w:p>
      <w:pPr>
        <w:ind w:firstLine="420"/>
        <w:spacing w:line="360" w:lineRule="auto"/>
        <w:rPr>
          <w:rFonts w:hint="eastAsia" w:cs="宋体"/>
          <w:szCs w:val="21"/>
          <w:highlight w:val="none"/>
        </w:rPr>
      </w:pPr>
      <w:r>
        <w:rPr>
          <w:rFonts w:hint="eastAsia" w:ascii="宋体" w:hAnsi="宋体" w:cs="宋体"/>
          <w:szCs w:val="21"/>
          <w:highlight w:val="none"/>
        </w:rPr>
        <w:t xml:space="preserve">本项目为交钥匙系统项目。为确保方案实施后系统达到招标人使用要求，</w:t>
      </w:r>
      <w:r>
        <w:rPr>
          <w:rFonts w:hint="eastAsia" w:cs="宋体"/>
          <w:szCs w:val="21"/>
          <w:highlight w:val="none"/>
        </w:rPr>
        <w:t xml:space="preserve">供应商需在</w:t>
      </w:r>
      <w:r>
        <w:rPr>
          <w:rFonts w:hint="eastAsia" w:ascii="宋体" w:hAnsi="宋体" w:cs="宋体"/>
          <w:szCs w:val="21"/>
          <w:highlight w:val="none"/>
        </w:rPr>
        <w:t xml:space="preserve">已有设备基础上，结合现场实际状况进行配套补缺，以实现最佳使用效果，且必须承诺免费提供相关服务。具体要求</w:t>
      </w:r>
      <w:r>
        <w:rPr>
          <w:rFonts w:hint="eastAsia" w:cs="宋体"/>
          <w:szCs w:val="21"/>
          <w:highlight w:val="none"/>
        </w:rPr>
        <w:t xml:space="preserve">详见技术参数功能需求一览表。</w:t>
      </w:r>
      <w:r/>
    </w:p>
    <w:p>
      <w:pPr>
        <w:jc w:val="left"/>
        <w:spacing w:line="360" w:lineRule="auto"/>
        <w:widowControl/>
        <w:rPr>
          <w:rFonts w:cs="宋体"/>
          <w:szCs w:val="21"/>
          <w:highlight w:val="none"/>
        </w:rPr>
      </w:pPr>
      <w:r>
        <w:rPr>
          <w:rFonts w:hint="eastAsia" w:cs="宋体"/>
          <w:szCs w:val="21"/>
          <w:highlight w:val="none"/>
        </w:rPr>
        <w:t xml:space="preserve">三、基本配置要求：</w:t>
      </w:r>
      <w:r/>
    </w:p>
    <w:tbl>
      <w:tblPr>
        <w:tblStyle w:val="815"/>
        <w:tblW w:w="8719" w:type="dxa"/>
        <w:jc w:val="center"/>
        <w:tblLayout w:type="autofit"/>
        <w:tblCellMar>
          <w:left w:w="108" w:type="dxa"/>
          <w:top w:w="0" w:type="dxa"/>
          <w:right w:w="108" w:type="dxa"/>
          <w:bottom w:w="0" w:type="dxa"/>
        </w:tblCellMar>
        <w:tblLook w:val="04A0" w:firstRow="1" w:lastRow="0" w:firstColumn="1" w:lastColumn="0" w:noHBand="0" w:noVBand="1"/>
      </w:tblPr>
      <w:tblGrid>
        <w:gridCol w:w="1380"/>
        <w:gridCol w:w="4579"/>
        <w:gridCol w:w="1380"/>
        <w:gridCol w:w="1380"/>
      </w:tblGrid>
      <w:tr>
        <w:trPr>
          <w:jc w:val="center"/>
          <w:trHeight w:val="0"/>
          <w:tblHeader/>
        </w:trPr>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单位</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录播终端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lang w:eastAsia="zh-Hans"/>
              </w:rPr>
            </w:pPr>
            <w:r>
              <w:rPr>
                <w:rFonts w:hint="eastAsia" w:ascii="宋体" w:hAnsi="宋体" w:cs="宋体"/>
                <w:szCs w:val="21"/>
                <w:highlight w:val="none"/>
                <w:lang w:eastAsia="zh-Hans"/>
              </w:rPr>
              <w:t xml:space="preserve">教师摄像机1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教师摄像机2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核心交换机</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高性能分布式存储</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课堂全要素采集分析</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套</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4579"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系统集成服务</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项</w:t>
            </w:r>
            <w:r/>
          </w:p>
        </w:tc>
      </w:tr>
    </w:tbl>
    <w:p>
      <w:pPr>
        <w:widowControl/>
        <w:rPr>
          <w:rFonts w:hint="eastAsia" w:ascii="宋体" w:hAnsi="宋体" w:cs="宋体"/>
          <w:b/>
          <w:szCs w:val="21"/>
          <w:highlight w:val="none"/>
        </w:rPr>
      </w:pPr>
      <w:r>
        <w:rPr>
          <w:rFonts w:hint="eastAsia" w:ascii="宋体" w:hAnsi="宋体" w:cs="宋体"/>
          <w:b/>
          <w:szCs w:val="21"/>
          <w:highlight w:val="none"/>
        </w:rPr>
        <w:t xml:space="preserve">技术参数功能需求一览表</w:t>
      </w:r>
      <w:r/>
    </w:p>
    <w:tbl>
      <w:tblPr>
        <w:tblStyle w:val="815"/>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7006"/>
        <w:gridCol w:w="553"/>
        <w:gridCol w:w="469"/>
      </w:tblGrid>
      <w:tr>
        <w:trPr>
          <w:jc w:val="cente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ind w:firstLine="420"/>
              <w:keepNext/>
              <w:spacing w:line="360" w:lineRule="auto"/>
              <w:rPr>
                <w:rFonts w:hint="eastAsia" w:ascii="宋体" w:hAnsi="宋体" w:cs="宋体"/>
                <w:color w:val="000000"/>
                <w:szCs w:val="21"/>
                <w:highlight w:val="none"/>
                <w:lang w:bidi="ar"/>
              </w:rPr>
            </w:pPr>
            <w:r>
              <w:rPr>
                <w:rFonts w:hint="eastAsia" w:ascii="宋体" w:hAnsi="宋体" w:cs="宋体"/>
                <w:szCs w:val="21"/>
                <w:highlight w:val="none"/>
              </w:rPr>
              <w:t xml:space="preserve">本项目为交钥匙系统项目。为保证方案实施后系统达到招标人使用要求，</w:t>
            </w:r>
            <w:r>
              <w:rPr>
                <w:rFonts w:hint="eastAsia" w:cs="宋体"/>
                <w:szCs w:val="21"/>
                <w:highlight w:val="none"/>
              </w:rPr>
              <w:t xml:space="preserve">供应商在</w:t>
            </w:r>
            <w:r>
              <w:rPr>
                <w:rFonts w:hint="eastAsia" w:ascii="宋体" w:hAnsi="宋体" w:cs="宋体"/>
                <w:szCs w:val="21"/>
                <w:highlight w:val="none"/>
              </w:rPr>
              <w:t xml:space="preserve">已有设备的前提下，结合现场状况进行配套补缺，达到最佳使用效果，且必须承诺免费提供相关服务。</w:t>
            </w:r>
            <w:r/>
          </w:p>
        </w:tc>
      </w:tr>
      <w:tr>
        <w:trPr>
          <w:jc w:val="center"/>
          <w:trHeight w:val="0"/>
        </w:trPr>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设备参数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录播终端</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highlight w:val="none"/>
              </w:rPr>
            </w:pPr>
            <w:r>
              <w:rPr>
                <w:rFonts w:hint="eastAsia" w:ascii="宋体" w:hAnsi="宋体" w:cs="宋体"/>
                <w:color w:val="000000"/>
                <w:szCs w:val="21"/>
                <w:highlight w:val="none"/>
                <w:lang w:bidi="ar"/>
              </w:rPr>
              <w:t xml:space="preserve">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r/>
          </w:p>
          <w:p>
            <w:pPr>
              <w:keepNext/>
              <w:spacing w:line="360" w:lineRule="auto"/>
              <w:rPr>
                <w:rFonts w:hint="eastAsia"/>
                <w:highlight w:val="none"/>
              </w:rPr>
            </w:pPr>
            <w:r>
              <w:rPr>
                <w:rFonts w:hint="eastAsia" w:ascii="宋体" w:hAnsi="宋体" w:cs="宋体"/>
                <w:color w:val="000000"/>
                <w:szCs w:val="21"/>
                <w:highlight w:val="none"/>
                <w:lang w:bidi="ar"/>
              </w:rPr>
              <w:t xml:space="preserve">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sz w:val="18"/>
                <w:szCs w:val="18"/>
                <w:highlight w:val="none"/>
                <w:lang w:bidi="ar"/>
              </w:rPr>
              <w:t xml:space="preserve">需提供带有CMA或CNAS认证报告</w:t>
            </w:r>
            <w:r>
              <w:rPr>
                <w:rFonts w:hint="eastAsia" w:ascii="宋体" w:hAnsi="宋体" w:cs="宋体"/>
                <w:color w:val="000000"/>
                <w:szCs w:val="21"/>
                <w:highlight w:val="none"/>
                <w:lang w:bidi="ar"/>
              </w:rPr>
              <w:t xml:space="preserve">）</w:t>
            </w:r>
            <w:r/>
          </w:p>
          <w:p>
            <w:pPr>
              <w:keepNext/>
              <w:spacing w:line="360" w:lineRule="auto"/>
              <w:rPr>
                <w:rFonts w:hint="eastAsia"/>
                <w:highlight w:val="none"/>
              </w:rPr>
            </w:pPr>
            <w:r>
              <w:rPr>
                <w:rFonts w:hint="eastAsia" w:ascii="宋体" w:hAnsi="宋体" w:cs="宋体"/>
                <w:color w:val="000000"/>
                <w:szCs w:val="21"/>
                <w:highlight w:val="none"/>
                <w:lang w:bidi="ar"/>
              </w:rPr>
              <w:t xml:space="preserve">3. 支持接入不少于4个高清网络摄像机，兼容ONVIF、RTSP、RTMP协议设备。</w:t>
            </w:r>
            <w:r/>
          </w:p>
          <w:p>
            <w:pPr>
              <w:keepNext/>
              <w:spacing w:line="360" w:lineRule="auto"/>
              <w:rPr>
                <w:rFonts w:hint="eastAsia" w:ascii="宋体" w:hAnsi="宋体" w:cs="宋体"/>
                <w:szCs w:val="21"/>
                <w:highlight w:val="none"/>
              </w:rPr>
            </w:pPr>
            <w:r>
              <w:rPr>
                <w:rFonts w:hint="eastAsia" w:ascii="宋体" w:hAnsi="宋体" w:cs="宋体"/>
                <w:szCs w:val="21"/>
                <w:highlight w:val="none"/>
                <w:lang w:bidi="ar"/>
              </w:rPr>
              <w:t xml:space="preserve">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color w:val="000000"/>
                <w:szCs w:val="21"/>
                <w:highlight w:val="none"/>
                <w:lang w:bidi="ar"/>
              </w:rPr>
              <w:t xml:space="preserve">5. 支持不少于5路输入混音及音频输出，可对输入音频信号进行选择与切换，并支持实时混音配置。</w:t>
            </w:r>
            <w:r/>
          </w:p>
          <w:p>
            <w:pPr>
              <w:keepNext/>
              <w:spacing w:line="360" w:lineRule="auto"/>
              <w:rPr>
                <w:rFonts w:hint="eastAsia"/>
                <w:highlight w:val="none"/>
              </w:rPr>
            </w:pPr>
            <w:r>
              <w:rPr>
                <w:rFonts w:hint="eastAsia" w:ascii="宋体" w:hAnsi="宋体" w:cs="宋体"/>
                <w:color w:val="000000"/>
                <w:szCs w:val="21"/>
                <w:highlight w:val="none"/>
                <w:lang w:bidi="ar"/>
              </w:rPr>
              <w:t xml:space="preserve">6. 支持画面合成功能，画面布局提供单画面、画中画、三画面、四画面模式可选。</w:t>
            </w:r>
            <w:r/>
          </w:p>
          <w:p>
            <w:pPr>
              <w:keepNext/>
              <w:spacing w:line="360" w:lineRule="auto"/>
              <w:rPr>
                <w:rFonts w:hint="eastAsia"/>
                <w:highlight w:val="none"/>
              </w:rPr>
            </w:pPr>
            <w:r>
              <w:rPr>
                <w:rFonts w:hint="eastAsia" w:ascii="宋体" w:hAnsi="宋体" w:cs="宋体"/>
                <w:color w:val="000000"/>
                <w:szCs w:val="21"/>
                <w:highlight w:val="none"/>
                <w:lang w:bidi="ar"/>
              </w:rPr>
              <w:t xml:space="preserve">7. 支持远程控制前端摄像机的推拉、摇移等动作，具备手动导播功能。</w:t>
            </w:r>
            <w:r/>
          </w:p>
          <w:p>
            <w:pPr>
              <w:keepNext/>
              <w:spacing w:line="360" w:lineRule="auto"/>
              <w:rPr>
                <w:rFonts w:hint="eastAsia"/>
                <w:highlight w:val="none"/>
              </w:rPr>
            </w:pPr>
            <w:r>
              <w:rPr>
                <w:rFonts w:hint="eastAsia" w:ascii="宋体" w:hAnsi="宋体" w:cs="宋体"/>
                <w:color w:val="000000"/>
                <w:szCs w:val="21"/>
                <w:highlight w:val="none"/>
                <w:lang w:bidi="ar"/>
              </w:rPr>
              <w:t xml:space="preserve">8. 支持在内容中叠加时间、台标与水印，配备4级音频降噪功能。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szCs w:val="21"/>
                <w:highlight w:val="none"/>
                <w:lang w:bidi="ar"/>
              </w:rPr>
              <w:t xml:space="preserve">. ▲支持NTP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教师摄像机1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9"/>
              </w:num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▲采用≥1/1.8英寸大靶面图像传感器，最大分辨率支持3840*2160，内置自动聚焦≥22倍光学变焦镜头。（</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2.无支架壁装方式安装，隐藏式线缆接口，支持数字宽动态级别设置，支持0-100可调。（</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rPr>
                <w:rFonts w:hint="eastAsia" w:ascii="宋体" w:hAnsi="宋体"/>
                <w:szCs w:val="21"/>
                <w:highlight w:val="none"/>
              </w:rPr>
              <w:br/>
            </w:r>
            <w:r>
              <w:rPr>
                <w:rFonts w:hint="eastAsia" w:ascii="宋体" w:hAnsi="宋体" w:cs="宋体"/>
                <w:szCs w:val="21"/>
                <w:highlight w:val="none"/>
              </w:rPr>
              <w:t xml:space="preserve">3.编码支持H.265、H.264，需支持SIP、ONVIF。</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4.</w:t>
            </w:r>
            <w:r>
              <w:rPr>
                <w:rFonts w:hint="eastAsia" w:ascii="宋体" w:hAnsi="宋体" w:cs="宋体"/>
                <w:szCs w:val="21"/>
                <w:highlight w:val="none"/>
                <w:lang w:bidi="ar"/>
              </w:rPr>
              <w:t xml:space="preserve">≥</w:t>
            </w:r>
            <w:r>
              <w:rPr>
                <w:rFonts w:hint="eastAsia" w:ascii="宋体" w:hAnsi="宋体" w:cs="宋体"/>
                <w:szCs w:val="21"/>
                <w:highlight w:val="none"/>
              </w:rPr>
              <w:t xml:space="preserve">4路流输出，4路码流分辨率1路≥3840*2160、3路≥1920*1080。</w:t>
            </w:r>
            <w:r>
              <w:rPr>
                <w:rFonts w:hint="eastAsia" w:ascii="宋体" w:hAnsi="宋体" w:cs="宋体"/>
                <w:szCs w:val="21"/>
                <w:highlight w:val="none"/>
              </w:rPr>
              <w:br/>
            </w:r>
            <w:r>
              <w:rPr>
                <w:rFonts w:hint="eastAsia" w:ascii="宋体" w:hAnsi="宋体" w:cs="宋体"/>
                <w:szCs w:val="21"/>
                <w:highlight w:val="none"/>
              </w:rPr>
              <w:t xml:space="preserve">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szCs w:val="21"/>
                <w:highlight w:val="none"/>
              </w:rPr>
            </w:pPr>
            <w:r>
              <w:rPr>
                <w:rFonts w:hint="eastAsia" w:ascii="宋体" w:hAnsi="宋体"/>
                <w:szCs w:val="21"/>
                <w:highlight w:val="none"/>
              </w:rPr>
              <w:t xml:space="preserve">6.支持智能识别教师行为：教师所在区域（讲台区域，学生区域，板书区域）、教师上下讲台行为、教师进出各区域行为、教师走动行为、讲台目标丢失行为；支持垂直方向上可根据教师身高差异进行景别自适应调整。</w:t>
            </w:r>
            <w:r/>
          </w:p>
          <w:p>
            <w:pPr>
              <w:jc w:val="left"/>
              <w:keepNext/>
              <w:spacing w:line="360" w:lineRule="auto"/>
              <w:widowControl/>
              <w:rPr>
                <w:rFonts w:hint="eastAsia" w:ascii="宋体" w:hAnsi="宋体"/>
                <w:szCs w:val="21"/>
                <w:highlight w:val="none"/>
              </w:rPr>
            </w:pPr>
            <w:r>
              <w:rPr>
                <w:rFonts w:hint="eastAsia" w:ascii="宋体" w:hAnsi="宋体"/>
                <w:szCs w:val="21"/>
                <w:highlight w:val="none"/>
              </w:rPr>
              <w:t xml:space="preserve">7.具备1×RJ45、1×RS485、1×LineIn、1×LineOut、1×TF卡槽、1×DC12V电源接口，支持POE及电源热备份。</w:t>
            </w:r>
            <w:r/>
          </w:p>
          <w:p>
            <w:pPr>
              <w:keepNext/>
              <w:spacing w:line="360" w:lineRule="auto"/>
              <w:rPr>
                <w:highlight w:val="none"/>
              </w:rPr>
            </w:pPr>
            <w:r>
              <w:rPr>
                <w:rFonts w:hint="eastAsia" w:ascii="宋体" w:hAnsi="宋体" w:eastAsia="宋体" w:cs="宋体"/>
                <w:szCs w:val="21"/>
                <w:highlight w:val="none"/>
                <w:lang w:bidi="ar"/>
              </w:rPr>
              <w:t xml:space="preserve">8.为便于系统稳定、统一管理及售后服务，需与录播终端为同一品牌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教师摄像机2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cs="宋体"/>
                <w:szCs w:val="21"/>
                <w:highlight w:val="none"/>
              </w:rPr>
              <w:t xml:space="preserve">▲采用一体化工业设计，具备运行状态指示灯、录像状态指示灯，便于感知设备运行状态及录像状态；设备具有800万像素传感器，内置≥3倍光学变焦镜头，可视角≥100°。</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br/>
            </w:r>
            <w:r>
              <w:rPr>
                <w:rFonts w:hint="eastAsia" w:ascii="宋体" w:hAnsi="宋体" w:cs="宋体"/>
                <w:szCs w:val="21"/>
                <w:highlight w:val="none"/>
              </w:rPr>
              <w:t xml:space="preserve">2.≥3路码流输出，3 路码流分辨率其中主码流：4K / 1080P → 本地录课、存储，子码流：720P / 480P → 直播、远程观看、手机观看。视频帧率1-30fps可调。支持畸变校正，畸变校正参数0-100可调。</w:t>
            </w:r>
            <w:r>
              <w:rPr>
                <w:rFonts w:hint="eastAsia" w:ascii="宋体" w:hAnsi="宋体" w:cs="宋体"/>
                <w:szCs w:val="21"/>
                <w:highlight w:val="none"/>
                <w:lang w:bidi="ar"/>
              </w:rPr>
              <w:t xml:space="preserve">（需提供带有CMA或CNAS认证报告）</w:t>
            </w:r>
            <w:r>
              <w:rPr>
                <w:rFonts w:hint="eastAsia" w:ascii="宋体" w:hAnsi="宋体"/>
                <w:szCs w:val="21"/>
                <w:highlight w:val="none"/>
              </w:rPr>
              <w:br/>
            </w:r>
            <w:r>
              <w:rPr>
                <w:rFonts w:hint="eastAsia" w:ascii="宋体" w:hAnsi="宋体"/>
                <w:szCs w:val="21"/>
                <w:highlight w:val="none"/>
              </w:rPr>
              <w:t xml:space="preserve">3.编码支持H.265、H.264，需支持SIP、ONVIF。</w:t>
            </w:r>
            <w:r>
              <w:rPr>
                <w:rFonts w:hint="eastAsia" w:ascii="宋体" w:hAnsi="宋体"/>
                <w:szCs w:val="21"/>
                <w:highlight w:val="none"/>
              </w:rPr>
              <w:br/>
            </w:r>
            <w:r>
              <w:rPr>
                <w:rFonts w:hint="eastAsia" w:ascii="宋体" w:hAnsi="宋体"/>
                <w:szCs w:val="21"/>
                <w:highlight w:val="none"/>
              </w:rPr>
              <w:t xml:space="preserve">4.多流输出功能，可同时采集并输出讲台全景、板书、老师特写画面3路不同源画面，且分辨率≥1920*1080。</w:t>
            </w:r>
            <w:r>
              <w:rPr>
                <w:rFonts w:hint="eastAsia" w:ascii="宋体" w:hAnsi="宋体"/>
                <w:szCs w:val="21"/>
                <w:highlight w:val="none"/>
              </w:rPr>
              <w:br/>
            </w:r>
            <w:r>
              <w:rPr>
                <w:rFonts w:hint="eastAsia" w:ascii="宋体" w:hAnsi="宋体"/>
                <w:szCs w:val="21"/>
                <w:highlight w:val="none"/>
              </w:rPr>
              <w:t xml:space="preserve">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highlight w:val="none"/>
              </w:rPr>
              <w:br/>
            </w:r>
            <w:r>
              <w:rPr>
                <w:rFonts w:hint="eastAsia" w:ascii="宋体" w:hAnsi="宋体"/>
                <w:szCs w:val="21"/>
                <w:highlight w:val="none"/>
              </w:rPr>
              <w:t xml:space="preserve">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highlight w:val="none"/>
              </w:rPr>
              <w:br/>
            </w:r>
            <w:r>
              <w:rPr>
                <w:rFonts w:hint="eastAsia" w:ascii="宋体" w:hAnsi="宋体"/>
                <w:szCs w:val="21"/>
                <w:highlight w:val="none"/>
              </w:rPr>
              <w:t xml:space="preserve">7.具备1×RJ45、1×RS485、1×LineIn、1×LineOut、1×TF卡槽、1×DC12V电源接口，支持POE及电源热备份。</w:t>
            </w:r>
            <w:r>
              <w:rPr>
                <w:rFonts w:hint="eastAsia" w:ascii="宋体" w:hAnsi="宋体" w:cs="宋体"/>
                <w:szCs w:val="21"/>
                <w:highlight w:val="none"/>
                <w:lang w:bidi="ar"/>
              </w:rPr>
              <w:t xml:space="preserve">（需提供带有CMA或CNAS认证报告）</w:t>
            </w:r>
            <w:r/>
          </w:p>
          <w:p>
            <w:pPr>
              <w:numPr>
                <w:ilvl w:val="0"/>
                <w:numId w:val="0"/>
              </w:numPr>
              <w:jc w:val="left"/>
              <w:keepNext/>
              <w:spacing w:line="360" w:lineRule="auto"/>
              <w:widowControl/>
              <w:rPr>
                <w:highlight w:val="none"/>
              </w:rPr>
            </w:pPr>
            <w:r>
              <w:rPr>
                <w:rFonts w:hint="eastAsia" w:ascii="宋体" w:hAnsi="宋体" w:eastAsia="宋体"/>
                <w:szCs w:val="21"/>
                <w:highlight w:val="none"/>
              </w:rPr>
              <w:t xml:space="preserve">8.为便于系统稳定运行，统一管理及售后服务，需与录播终端同一品牌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1.像素≥800万像素，图像分辨率≥3840×2160，设备内置GPU芯片。</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2.最低照度≤0.01Lux @ F1.2（彩色）， 2.8～12mm电动变焦镜头，具备红外补光功能。</w:t>
            </w:r>
            <w:r/>
          </w:p>
          <w:p>
            <w:pPr>
              <w:jc w:val="left"/>
              <w:keepNex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3.编码支持H.265、H.264，需支持SIP、ONVIF。</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4.支持三码流，各码流的视频分辨率、帧率、编码格式可单独设置，支持ANR断网续传功能。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5.具备1×RJ45、1×RS485、1×TF卡、1×LineIn、1×LineOut、1×mic接口、1×speaker out接口，并且支持POE供电。</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6.为便于系统稳定运行，统一管理及售后服务，需与录播终端同一品牌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1.▲采用一体化设计，包含一个特写摄像机单元和一个全景摄像机单元，≥2路RJ45 10M/100M以太网口，双网口可实现不同网段及不同IP地址的配置。 （</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2.视频压缩标准支持H.265、H.264，特写分辨率≥1920*1080，帧率1~30fps可调；全景分辨率≥3840*2160，帧率1~30fps可调，全景水平视场角≥130°；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3.支持双网口进行图像输出，每个网口都可独立进行全景、特写、混合三种图像源的输出配置。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4.支持数字降噪、强光抑制、快门速度、本地存储、断网续存、移动侦测、故障告警、日志、字符叠加、自动曝光、自动增益、背光补偿等功能。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5.支持全景特写画面联动功能，在全景中进行框选，特写摄像机会进行联动，可根据全景框选范围大小自适应调整变焦倍数，自动对焦。</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6.转动范围：水平转动范围≥0°～130°；垂直转动范围≥-10°～90°，云台定位精度≥正负0.1度。</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7.为便于系统稳定，统一管理及售后服务，需与录播终端同一品牌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4.≥2路差分输入（支持对外供电，供电电源可控），≥2路单端音频输入，≥4路单端音频输出。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6.支持网络参数配置，支持RS485控制功能，支持软硬件一键还原。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4.具备≥6路差分输入，支持软硬件48V幻象供电开启关闭，≥3路单端/3.5音频输入，≥3路单端/3.5音频输出。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6.支持网络参数配置，支持RS485控制功能，支持软硬件一键还原。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ascii="宋体" w:hAnsi="宋体" w:cs="宋体"/>
                <w:szCs w:val="21"/>
                <w:highlight w:val="none"/>
              </w:rPr>
              <w:t xml:space="preserve">1.指向特性</w:t>
            </w:r>
            <w:r>
              <w:rPr>
                <w:rFonts w:hint="eastAsia" w:ascii="宋体" w:hAnsi="宋体" w:cs="宋体"/>
                <w:szCs w:val="21"/>
                <w:highlight w:val="none"/>
              </w:rPr>
              <w:t xml:space="preserve">：</w:t>
            </w:r>
            <w:r>
              <w:rPr>
                <w:rFonts w:ascii="宋体" w:hAnsi="宋体" w:cs="宋体"/>
                <w:szCs w:val="21"/>
                <w:highlight w:val="none"/>
              </w:rPr>
              <w:t xml:space="preserve">全指向型</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2.输出阻抗：250Ω±30%，输出幅度≥300mV</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3.最大承受声压≥110dB SPL，动态范围≥76dB（A）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4.信噪比≥60dB（A）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5.支持直流48V幻象供电</w:t>
            </w:r>
            <w:r>
              <w:rPr>
                <w:rFonts w:hint="eastAsia" w:ascii="宋体" w:hAnsi="宋体" w:cs="宋体"/>
                <w:szCs w:val="21"/>
                <w:highlight w:val="none"/>
              </w:rPr>
              <w:t xml:space="preserve">。</w:t>
            </w:r>
            <w:r>
              <w:rPr>
                <w:rFonts w:ascii="宋体" w:hAnsi="宋体" w:cs="宋体"/>
                <w:szCs w:val="21"/>
                <w:highlight w:val="none"/>
              </w:rPr>
              <w:t xml:space="preserve">        </w:t>
            </w:r>
            <w:r>
              <w:rPr>
                <w:rFonts w:ascii="宋体" w:hAnsi="宋体" w:cs="宋体"/>
                <w:szCs w:val="21"/>
                <w:highlight w:val="none"/>
              </w:rPr>
              <w:br/>
            </w:r>
            <w:r>
              <w:rPr>
                <w:rFonts w:ascii="宋体" w:hAnsi="宋体" w:cs="宋体"/>
                <w:szCs w:val="21"/>
                <w:highlight w:val="none"/>
              </w:rPr>
              <w:t xml:space="preserve">6.输出连接器外置式3针卡侬公头</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7.安装方式</w:t>
            </w:r>
            <w:r>
              <w:rPr>
                <w:rFonts w:hint="eastAsia" w:ascii="宋体" w:hAnsi="宋体" w:cs="宋体"/>
                <w:szCs w:val="21"/>
                <w:highlight w:val="none"/>
              </w:rPr>
              <w:t xml:space="preserve">：</w:t>
            </w:r>
            <w:r>
              <w:rPr>
                <w:rFonts w:ascii="宋体" w:hAnsi="宋体" w:cs="宋体"/>
                <w:szCs w:val="21"/>
                <w:highlight w:val="none"/>
              </w:rPr>
              <w:t xml:space="preserve">桌面嵌入式安装，需有嵌套隔音设计</w:t>
            </w:r>
            <w:r>
              <w:rPr>
                <w:rFonts w:hint="eastAsia" w:ascii="宋体" w:hAnsi="宋体" w:cs="宋体"/>
                <w:szCs w:val="21"/>
                <w:highlight w:val="none"/>
              </w:rPr>
              <w:t xml:space="preserve">，</w:t>
            </w:r>
            <w:r>
              <w:rPr>
                <w:rFonts w:ascii="宋体" w:hAnsi="宋体" w:cs="宋体"/>
                <w:szCs w:val="21"/>
                <w:highlight w:val="none"/>
              </w:rPr>
              <w:t xml:space="preserve">可阻挡桌面敲击声</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8.支持抗手机干扰、人声美化、抗混响功能</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1.频率响应≥20Hz~16kHz。</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2.拾音距离≥8米。</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3.灵敏度≥50mV/Pa。</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4.信噪比≥65dB。</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6.采样率≥48KHz。</w:t>
            </w:r>
            <w:r/>
          </w:p>
          <w:p>
            <w:pPr>
              <w:jc w:val="left"/>
              <w:keepNext/>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szCs w:val="21"/>
                <w:highlight w:val="none"/>
                <w:lang w:bidi="ar"/>
              </w:rPr>
              <w:t xml:space="preserve">（提供具有CMA标识的检测报告）</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8.配备≥1 路 3.5mm 音频输入 、1路3.5mm 输出接口、≥1 路 RJ45（支持 POE 供电）、≥1 路 Type</w:t>
            </w:r>
            <w:r>
              <w:rPr>
                <w:rFonts w:hint="eastAsia" w:ascii="宋体" w:hAnsi="宋体" w:cs="宋体"/>
                <w:color w:val="000000"/>
                <w:szCs w:val="21"/>
                <w:highlight w:val="none"/>
              </w:rPr>
              <w:noBreakHyphen/>
            </w:r>
            <w:r>
              <w:rPr>
                <w:rFonts w:hint="eastAsia" w:ascii="宋体" w:hAnsi="宋体" w:cs="宋体"/>
                <w:color w:val="000000"/>
                <w:szCs w:val="21"/>
                <w:highlight w:val="none"/>
              </w:rPr>
              <w:t xml:space="preserve">C 音频接口，支持 DC12V 供电，即插即用无需专业调音，部署便捷。</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ff0000"/>
                <w:szCs w:val="21"/>
                <w:highlight w:val="none"/>
              </w:rPr>
            </w:pPr>
            <w:r>
              <w:rPr>
                <w:rFonts w:hint="eastAsia" w:ascii="宋体" w:hAnsi="宋体" w:cs="宋体"/>
                <w:szCs w:val="21"/>
                <w:highlight w:val="none"/>
              </w:rPr>
              <w:t xml:space="preserve">9.▲支持 AES67 级联与 IP 网络低延时音频传输，可开启 AES67/70、AES67 Dante SAP 服务实现网络化管理；支持环境噪声/人声增强模式、AI 神经网络降噪，可适配不同噪声环境，有效消除教室平稳与非平稳背景噪声。</w:t>
            </w:r>
            <w:r>
              <w:rPr>
                <w:rFonts w:hint="eastAsia" w:ascii="宋体" w:hAnsi="宋体" w:cs="宋体"/>
                <w:color w:val="000000"/>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rPr>
                <w:highlight w:val="none"/>
              </w:rPr>
            </w:pPr>
            <w:r>
              <w:rPr>
                <w:rFonts w:hint="eastAsia" w:ascii="宋体" w:hAnsi="宋体" w:eastAsia="宋体" w:cs="宋体"/>
                <w:color w:val="000000"/>
                <w:szCs w:val="21"/>
                <w:highlight w:val="none"/>
                <w:lang w:bidi="ar"/>
              </w:rPr>
              <w:t xml:space="preserve">10.需根据教室实际高度配套相应的支架。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1.交换容量：≥2.56Tbps/23.04Tbps，转发率：≥220Mpps。</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2.端口：≥8个GE+14个1/10G SFP Plus端口；≥1个Console口；≥1个管理用以太网口；1个USB口。</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3.支持IRF2智能弹性架构。</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4.支持分布式设备管理，分布式链路聚合，分布式弹性路由。</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5.支持通过标准以太网接口进行堆叠，应支持本地堆叠和远程堆叠。</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6.支持基于LACP、BFD、ARP的MAD堆叠分裂检测机制。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7.支持链路聚合,支持10GE端口聚合，应支持静态聚合、动态聚合。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高性能分布式存储</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1.▲采用19英寸≤3U 机架式结构，≥24盘位企业级SATA硬盘（转速</w:t>
            </w:r>
            <w:r>
              <w:rPr>
                <w:rFonts w:hint="eastAsia" w:ascii="宋体" w:hAnsi="宋体" w:cs="宋体"/>
                <w:color w:val="000000"/>
                <w:szCs w:val="21"/>
                <w:highlight w:val="none"/>
                <w:lang w:bidi="ar"/>
              </w:rPr>
              <w:t xml:space="preserve">≥7200rpm，缓存≥256MB</w:t>
            </w:r>
            <w:r>
              <w:rPr>
                <w:rFonts w:hint="eastAsia" w:ascii="宋体" w:hAnsi="宋体" w:cs="宋体"/>
                <w:color w:val="000000"/>
                <w:szCs w:val="21"/>
                <w:highlight w:val="none"/>
              </w:rPr>
              <w:t xml:space="preserve">），存储总容量应≥192TB，采用双冗余电源，冗余风扇，支持电源、BBU电池、主板、风扇可直接插拔。</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支持≥2个万兆网络接口、≥1个千兆以太网口。</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单台存储节点的读写性能应支持≥16Gbps或≥1000路（码流4Mbps）高清视频流数据的写入。</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控制节点支持单台以及多台节点集群，在不同控制节点进行元数据备份；同时在控制节点全部损坏情况下，从已有的存储节点中恢复系统元数据。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 支持在硬盘出现故障时在系统全局空闲空间内自动恢复数据，数据恢复速度可达到≥6TB/h，数据恢复过程中业务不中断。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单台设备支持在任意3块以上硬盘同时出现故障（符合校验要求的情况下），数据不丢失、业务不中断，读写不受影响。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 支持通过WEB方式对系统进行管理，实现集群的配置、资源使用状态监控、运行状态、性能监控、在线批量升级、系统日志查询、故障报警及一键升级等功能。</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10.支持存储配额配置和空间预分配功能，支持国标GB/T28181视频流直写云存储设备。</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 支持不同节点的硬盘随意漫游，漫游过程中，不会造成数据丢失，方便运维和管理。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课堂全要素采集分析</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cs="宋体"/>
                <w:b/>
                <w:bCs/>
                <w:szCs w:val="21"/>
                <w:highlight w:val="none"/>
              </w:rPr>
              <w:t xml:space="preserve">AI教学分析模块：</w:t>
            </w:r>
            <w:r/>
          </w:p>
          <w:p>
            <w:pPr>
              <w:keepNext/>
              <w:spacing w:line="360" w:lineRule="auto"/>
              <w:rPr>
                <w:rFonts w:hint="eastAsia"/>
                <w:szCs w:val="21"/>
                <w:highlight w:val="none"/>
              </w:rPr>
            </w:pPr>
            <w:r>
              <w:rPr>
                <w:rFonts w:hint="eastAsia" w:ascii="宋体" w:hAnsi="宋体" w:cs="宋体"/>
                <w:szCs w:val="21"/>
                <w:highlight w:val="none"/>
              </w:rPr>
              <w:t xml:space="preserve">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szCs w:val="21"/>
                <w:highlight w:val="none"/>
                <w:lang w:bidi="ar"/>
              </w:rPr>
              <w:t xml:space="preserve">（需提供带有CMA或CNAS认证的检测报告。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szCs w:val="21"/>
                <w:highlight w:val="none"/>
              </w:rPr>
              <w:t xml:space="preserve">3.内置算法库，涵盖语音识别、自然语言处理、推荐算法、图像分析等算法，可封装为独立的算法模块单独或组合使用，并对外提供标准服务接口或API调用接口。</w:t>
            </w:r>
            <w:r/>
          </w:p>
          <w:p>
            <w:pPr>
              <w:keepNext/>
              <w:spacing w:line="360" w:lineRule="auto"/>
              <w:rPr>
                <w:rFonts w:hint="eastAsia"/>
                <w:highlight w:val="none"/>
              </w:rPr>
            </w:pPr>
            <w:r>
              <w:rPr>
                <w:rFonts w:hint="eastAsia" w:ascii="宋体" w:hAnsi="宋体" w:cs="宋体"/>
                <w:szCs w:val="21"/>
                <w:highlight w:val="none"/>
              </w:rPr>
              <w:t xml:space="preserve">4.应具备人员统计算法，在小型、中型、大型教室且光照≥300 Lux的环境下，人数识别统计准确率≥95％；在复杂光照环境下，准确率不低于93％。</w:t>
            </w:r>
            <w:r/>
          </w:p>
          <w:p>
            <w:pPr>
              <w:keepNext/>
              <w:spacing w:line="360" w:lineRule="auto"/>
              <w:rPr>
                <w:rFonts w:hint="eastAsia"/>
                <w:highlight w:val="none"/>
              </w:rPr>
            </w:pPr>
            <w:r>
              <w:rPr>
                <w:rFonts w:hint="eastAsia" w:ascii="宋体" w:hAnsi="宋体" w:cs="宋体"/>
                <w:szCs w:val="21"/>
                <w:highlight w:val="none"/>
              </w:rPr>
              <w:t xml:space="preserve">5.应具备学生行为分析功能，可实时检测趴桌、起立、使用手机、抬头听讲、举手等行为动作，提供带时间戳的行为数据，供业务系统根据时长占比绘制学情热力图，辅助学情改进。</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7.支持敏感词管理和热词管理，可实现对≥50万个敏感词、≥5万个热词的管理，支持自定义选择不同敏感词库，可设置敏感触发自动终止课程直播等管理策略。</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szCs w:val="21"/>
                <w:highlight w:val="none"/>
                <w:lang w:bidi="ar"/>
              </w:rPr>
              <w:t xml:space="preserve">需提供带有CMA或CNAS认证报告</w:t>
            </w:r>
            <w:r>
              <w:rPr>
                <w:rFonts w:hint="eastAsia" w:ascii="宋体" w:hAnsi="宋体" w:cs="宋体"/>
                <w:szCs w:val="21"/>
                <w:highlight w:val="none"/>
              </w:rPr>
              <w:t xml:space="preserve">）</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9.支持倍速语音转写，最大支持≥40倍速，且具备高准确率与低延迟；支持实时语音转写，转写速度≤100毫秒。</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r/>
          </w:p>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w:t xml:space="preserve">AI巡课模块：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1.应具备在线巡课、预警中心、教室情况统计、系统管理等功能模块。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2.系统应具备教学数据导航面板，支持统计在线教室数量、总教室数、待上课程数、总课程数、上课中教室数、即将上课教室数、无课教室数、有异常教室数。</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r/>
          </w:p>
          <w:p>
            <w:pPr>
              <w:keepNext/>
              <w:spacing w:line="360" w:lineRule="auto"/>
              <w:rPr>
                <w:rFonts w:hint="eastAsia"/>
                <w:highlight w:val="none"/>
              </w:rPr>
            </w:pPr>
            <w:r>
              <w:rPr>
                <w:rFonts w:hint="eastAsia" w:ascii="宋体" w:hAnsi="宋体" w:cs="宋体"/>
                <w:szCs w:val="21"/>
                <w:highlight w:val="none"/>
              </w:rPr>
              <w:t xml:space="preserve">4.支持关注面板，可查看所有已关注的教室，支持通过教室名称、教学楼名称模糊搜索关注的教室，支持单个删除或全部清空关注教室。</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5.支持预案面板，支持新增校级、院级、运维管理等不同类型预案，可设置预案名称、预案属性；支持按照教室、学院、课程等维度设置预案的巡课范围。</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6.支持单视角与多视角切换，在4/6/9/10/16/36窗口模式下支持不同视角方案；切换到不同多视角后，根据设置规则，按从左到右、从上到下的顺序合并为一组，依次显示同一教室的不同。</w:t>
            </w:r>
            <w:r/>
          </w:p>
          <w:p>
            <w:pPr>
              <w:keepNext/>
              <w:spacing w:line="360" w:lineRule="auto"/>
              <w:rPr>
                <w:rFonts w:hint="eastAsia"/>
                <w:highlight w:val="none"/>
              </w:rPr>
            </w:pPr>
            <w:r>
              <w:rPr>
                <w:rFonts w:hint="eastAsia" w:ascii="宋体" w:hAnsi="宋体" w:cs="宋体"/>
                <w:szCs w:val="21"/>
                <w:highlight w:val="none"/>
              </w:rPr>
              <w:t xml:space="preserve">7.支持视频码率切换，可全局切换所有窗口视频的码率，以适应不同网络环境和不同性能设备的使用需求。</w:t>
            </w:r>
            <w:r/>
          </w:p>
          <w:p>
            <w:pPr>
              <w:keepNext/>
              <w:spacing w:line="360" w:lineRule="auto"/>
              <w:rPr>
                <w:rFonts w:hint="eastAsia"/>
                <w:highlight w:val="none"/>
              </w:rPr>
            </w:pPr>
            <w:r>
              <w:rPr>
                <w:rFonts w:hint="eastAsia" w:ascii="宋体" w:hAnsi="宋体" w:cs="宋体"/>
                <w:szCs w:val="21"/>
                <w:highlight w:val="none"/>
              </w:rPr>
              <w:t xml:space="preserve">8.支持轮巡功能一键开启或关闭。开启轮巡功能时，若窗口内视频超过一页，可根据设定时间实现播放窗口翻页，翻页间隔时间可手动调整。</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9.巡视窗口支持展示对应教室名称、课程状态、当前播放视角等信息；当该教室有排课信息时，将鼠标悬停即可显示课程名称、教学班编号、教学班名称、授课老师、课程时间、开课学院等信息。</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10.支持对巡视窗口进行手动视角切换、一键开启或关闭声音、一键全屏、一键关注或取消关注等操作。</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11.在选用WebRTC协议、单路视频流为1080P/2Mbps码流的情况下，支持单路视频源加载时长≤200ms，36路视频同时加载时长≤1s。</w:t>
            </w:r>
            <w:r/>
          </w:p>
          <w:p>
            <w:pPr>
              <w:keepNext/>
              <w:spacing w:line="360" w:lineRule="auto"/>
              <w:rPr>
                <w:rFonts w:hint="eastAsia"/>
                <w:highlight w:val="none"/>
              </w:rPr>
            </w:pPr>
            <w:r>
              <w:rPr>
                <w:rFonts w:hint="eastAsia" w:ascii="宋体" w:hAnsi="宋体" w:cs="宋体"/>
                <w:szCs w:val="21"/>
                <w:highlight w:val="none"/>
              </w:rPr>
              <w:t xml:space="preserve">12.支持音频检测功能，开启后可显示音频波动状态，根据音频流状态动态呈现教室内的音频情况。</w:t>
            </w:r>
            <w:r/>
          </w:p>
          <w:p>
            <w:pPr>
              <w:keepNext/>
              <w:spacing w:line="360" w:lineRule="auto"/>
              <w:rPr>
                <w:rFonts w:hint="eastAsia"/>
                <w:highlight w:val="none"/>
              </w:rPr>
            </w:pPr>
            <w:r>
              <w:rPr>
                <w:rFonts w:hint="eastAsia" w:ascii="宋体" w:hAnsi="宋体" w:cs="宋体"/>
                <w:szCs w:val="21"/>
                <w:highlight w:val="none"/>
              </w:rPr>
              <w:t xml:space="preserve">13.支持AI分析功能，在巡视窗口点击AI分析按钮，可查看当前教室的智能分析结果：有课时展示选课学生、实到学生、出勤率、前排就座率、抬头率、座位分布；无课时展示教室座位数、就座人数、教室上座率、教室空闲率。</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15.支持管理员在巡课时通过教室内的摄像机与教室人员进行反向语音沟通，便于即时通知、运维管理及紧急情况指挥。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r/>
          </w:p>
          <w:p>
            <w:pPr>
              <w:keepNext/>
              <w:spacing w:line="360" w:lineRule="auto"/>
              <w:rPr>
                <w:rFonts w:hint="eastAsia"/>
                <w:highlight w:val="none"/>
              </w:rPr>
            </w:pPr>
            <w:r>
              <w:rPr>
                <w:rFonts w:hint="eastAsia" w:ascii="宋体" w:hAnsi="宋体" w:cs="宋体"/>
                <w:szCs w:val="21"/>
                <w:highlight w:val="none"/>
              </w:rPr>
              <w:t xml:space="preserve">17.系统支持预警数据统计，可展示今日新增预警总数以及高、中、低不同预警级别的数量；支持统计近7天、周次、月度、学期及自定义时间段范围内的预警总数、待处理预警数量、挂起预警数量、已处理预警数量。</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18.支持排课教室数据统计，可展示课程时间、课程节次、课程名称、上课教室、教学班、授课老师、实到学生、应到学生、到勤率、迟到人数、前排就座人数、前排就座率、前排满座率、抬头率、教室座位利用率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19.支持无课教室数据统计，可展示时间段划分、教室、教室状态、教室座位数、教室人数、前排上座率、前排空闲率、最新时间等维度的数据。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r/>
          </w:p>
          <w:p>
            <w:pPr>
              <w:jc w:val="left"/>
              <w:keepNext/>
              <w:spacing w:line="360" w:lineRule="auto"/>
              <w:widowControl/>
              <w:rPr>
                <w:rFonts w:hint="eastAsia"/>
                <w:highlight w:val="none"/>
              </w:rPr>
            </w:pPr>
            <w:r>
              <w:rPr>
                <w:rFonts w:hint="eastAsia" w:ascii="宋体" w:hAnsi="宋体" w:cs="宋体"/>
                <w:szCs w:val="21"/>
                <w:highlight w:val="none"/>
              </w:rPr>
              <w:t xml:space="preserve">23. 提供全域教学数字化巡课驾驶舱，支持对今日概况、学情概况、开课数量、空间使用情况、上课情况、巡课覆盖进行实时可视化监测，并提供多维度的历史趋势分析、数据环比展示及多级筛选功能。</w:t>
            </w:r>
            <w:r/>
          </w:p>
          <w:p>
            <w:pPr>
              <w:keepNext/>
              <w:spacing w:line="360" w:lineRule="auto"/>
              <w:rPr>
                <w:rFonts w:hint="eastAsia"/>
                <w:highlight w:val="none"/>
              </w:rPr>
            </w:pPr>
            <w:r>
              <w:rPr>
                <w:rFonts w:hint="eastAsia"/>
                <w:highlight w:val="none"/>
              </w:rPr>
              <w:t xml:space="preserve">24. 应支持考试期间复用为智能巡考，</w:t>
            </w:r>
            <w:r>
              <w:rPr>
                <w:rFonts w:hint="eastAsia" w:ascii="宋体" w:hAnsi="宋体" w:cs="宋体"/>
                <w:szCs w:val="21"/>
                <w:highlight w:val="none"/>
              </w:rPr>
              <w:t xml:space="preserve">提供考试录像预约、存储管理及视频回看等功能，可设置考试计划、录像留存时间与覆盖策略。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25. 应支持实时巡考，可从多视角轮巡不同考场视频并设置轮巡时间，支持保存巡考预案，可通过勾选“考试中、即将考试、异常”状态快速过滤考场教室数据。</w:t>
            </w:r>
            <w:r/>
          </w:p>
          <w:p>
            <w:pPr>
              <w:keepNext/>
              <w:spacing w:line="360" w:lineRule="auto"/>
              <w:rPr>
                <w:rFonts w:hint="eastAsia"/>
                <w:highlight w:val="none"/>
              </w:rPr>
            </w:pPr>
            <w:r>
              <w:rPr>
                <w:rFonts w:hint="eastAsia" w:ascii="宋体" w:hAnsi="宋体" w:cs="宋体"/>
                <w:szCs w:val="21"/>
                <w:highlight w:val="none"/>
              </w:rPr>
              <w:t xml:space="preserve">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r/>
          </w:p>
          <w:p>
            <w:pPr>
              <w:keepNext/>
              <w:spacing w:line="360" w:lineRule="auto"/>
              <w:rPr>
                <w:rFonts w:hint="eastAsia"/>
                <w:highlight w:val="none"/>
              </w:rPr>
            </w:pPr>
            <w:r>
              <w:rPr>
                <w:rFonts w:hint="eastAsia" w:ascii="宋体" w:hAnsi="宋体" w:cs="宋体"/>
                <w:szCs w:val="21"/>
                <w:highlight w:val="none"/>
              </w:rPr>
              <w:t xml:space="preserve">27. 系统支持多种考生个人行为分析，包括提前作答、左右偏头、向后偏头、站立、中途出入考场、举手、考后继续作答。</w:t>
            </w:r>
            <w:r/>
          </w:p>
          <w:p>
            <w:pPr>
              <w:keepNext/>
              <w:spacing w:line="360" w:lineRule="auto"/>
              <w:rPr>
                <w:rFonts w:hint="eastAsia"/>
                <w:highlight w:val="none"/>
              </w:rPr>
            </w:pPr>
            <w:r>
              <w:rPr>
                <w:rFonts w:hint="eastAsia" w:ascii="宋体" w:hAnsi="宋体" w:cs="宋体"/>
                <w:szCs w:val="21"/>
                <w:highlight w:val="none"/>
              </w:rPr>
              <w:t xml:space="preserve">28. 系统支持多种考试群体行为分析，包括考生长时间不离场、群体起立、群体交头接耳、群体停止作答、群体考后继续作答、考生人数统计（含缺考率分析）。</w:t>
            </w:r>
            <w:r/>
          </w:p>
          <w:p>
            <w:pPr>
              <w:keepNext/>
              <w:spacing w:line="360" w:lineRule="auto"/>
              <w:rPr>
                <w:rFonts w:hint="eastAsia"/>
                <w:highlight w:val="none"/>
              </w:rPr>
            </w:pPr>
            <w:r>
              <w:rPr>
                <w:rFonts w:hint="eastAsia" w:ascii="宋体" w:hAnsi="宋体" w:cs="宋体"/>
                <w:szCs w:val="21"/>
                <w:highlight w:val="none"/>
              </w:rPr>
              <w:t xml:space="preserve">29. 系统支持多种监考员行为监测，包括未按时到达考场、人数少于两人、长时间停留在考生旁、在固定区域时间过长、两名监考员同时在固定区域时间过长、抽烟、提前收卷、延迟收卷、未在讲台监督收卷。</w:t>
            </w:r>
            <w:r/>
          </w:p>
          <w:p>
            <w:pPr>
              <w:jc w:val="left"/>
              <w:keepNext/>
              <w:spacing w:line="360" w:lineRule="auto"/>
              <w:widowControl/>
              <w:rPr>
                <w:rFonts w:hint="eastAsia"/>
                <w:highlight w:val="none"/>
              </w:rPr>
            </w:pPr>
            <w:r>
              <w:rPr>
                <w:rFonts w:hint="eastAsia" w:ascii="宋体" w:hAnsi="宋体" w:cs="宋体"/>
                <w:szCs w:val="21"/>
                <w:highlight w:val="none"/>
              </w:rPr>
              <w:t xml:space="preserve">30. </w:t>
            </w:r>
            <w:r>
              <w:rPr>
                <w:rFonts w:hint="eastAsia" w:ascii="宋体" w:hAnsi="宋体" w:cs="宋体"/>
                <w:color w:val="000000"/>
                <w:szCs w:val="21"/>
                <w:highlight w:val="none"/>
              </w:rPr>
              <w:t xml:space="preserve">课堂全要素采集分析</w:t>
            </w:r>
            <w:r>
              <w:rPr>
                <w:rFonts w:hint="eastAsia" w:ascii="宋体" w:hAnsi="宋体" w:cs="宋体"/>
                <w:szCs w:val="21"/>
                <w:highlight w:val="none"/>
              </w:rPr>
              <w:t xml:space="preserve">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国产优质线材、录播设备管理箱体、摄像机支架等一批，设备安装及系统调试等。</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jc w:val="left"/>
        <w:spacing w:line="460" w:lineRule="exact"/>
        <w:rPr>
          <w:rFonts w:hint="eastAsia" w:ascii="宋体" w:hAnsi="宋体"/>
          <w:b/>
          <w:bCs/>
          <w:szCs w:val="21"/>
          <w:highlight w:val="none"/>
        </w:rPr>
      </w:pPr>
      <w:r>
        <w:rPr>
          <w:rFonts w:hint="eastAsia" w:ascii="宋体" w:hAnsi="宋体"/>
          <w:b/>
          <w:bCs/>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、技术方案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（一）施工总体部署方案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p>
    <w:p>
      <w:pPr>
        <w:numPr>
          <w:ilvl w:val="0"/>
          <w:numId w:val="0"/>
        </w:numPr>
        <w:ind w:firstLine="420"/>
        <w:jc w:val="left"/>
        <w:spacing w:line="460" w:lineRule="exact"/>
        <w:rPr>
          <w:rFonts w:hint="eastAsia"/>
          <w:highlight w:val="none"/>
        </w:rPr>
      </w:pP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关键施工技术、工艺及工程项目实施重点难点分析的解决方案</w:t>
      </w:r>
      <w:r/>
    </w:p>
    <w:p>
      <w:pPr>
        <w:ind w:firstLine="420"/>
        <w:jc w:val="left"/>
        <w:spacing w:line="460" w:lineRule="exact"/>
        <w:rPr>
          <w:rFonts w:hint="eastAsia"/>
          <w:highlight w:val="none"/>
        </w:rPr>
      </w:pPr>
      <w:r>
        <w:rPr>
          <w:rFonts w:hint="eastAsia"/>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w:t>
      </w:r>
      <w:r>
        <w:rPr>
          <w:rFonts w:hint="eastAsia" w:ascii="宋体" w:hAnsi="宋体" w:cs="宋体"/>
          <w:szCs w:val="21"/>
          <w:highlight w:val="none"/>
        </w:rPr>
        <w:t xml:space="preserve">安全保护措施及文明施工及环境保护措施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w:t>
      </w:r>
      <w:r>
        <w:rPr>
          <w:rFonts w:hint="eastAsia" w:ascii="宋体" w:hAnsi="宋体" w:cs="宋体"/>
          <w:szCs w:val="21"/>
          <w:highlight w:val="none"/>
        </w:rPr>
        <w:t xml:space="preserve">针对本项目拟投入资源配备计划</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）针对本项目的工程进度计划及措施等方案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六</w:t>
      </w:r>
      <w:r>
        <w:rPr>
          <w:rFonts w:hint="eastAsia" w:ascii="宋体" w:hAnsi="宋体"/>
          <w:szCs w:val="21"/>
          <w:highlight w:val="none"/>
        </w:rPr>
        <w:t xml:space="preserve">）</w:t>
      </w:r>
      <w:r>
        <w:rPr>
          <w:rFonts w:hint="eastAsia" w:ascii="宋体" w:hAnsi="宋体" w:cs="宋体"/>
          <w:szCs w:val="21"/>
          <w:highlight w:val="none"/>
        </w:rPr>
        <w:t xml:space="preserve">质量保证措施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p>
    <w:p>
      <w:pPr>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.★售后服务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（1）保修期：本项目免费质保期为3年（自验收合格之日起计算）。质保期内，设备非因人为操作不当发生损坏的，所需维修费用（含零部件费、维修费）均由</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承担；同时，</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需及时响应并解决软件故障、漏洞及兼容性问题，免费提供版本升级、bug修复等服务，确保系统稳定运行。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（2）本项目须提供不少于1人的驻场服务，服务期限不少于3年，工作时间需覆盖学校教学安排与计划，满足学校教学保障需求。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（3）上述事宜须提供供应商承诺函并加盖公章。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.★实施交付</w:t>
      </w:r>
      <w:r/>
    </w:p>
    <w:p>
      <w:pPr>
        <w:ind w:firstLine="420"/>
        <w:spacing w:line="360" w:lineRule="auto"/>
        <w:rPr>
          <w:rFonts w:hint="eastAsia" w:ascii="宋体" w:hAnsi="宋体" w:cs="宋体"/>
          <w:szCs w:val="21"/>
          <w:highlight w:val="none"/>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应在合同签订生效后60个日历日内，向采购人交付全部合同货物并完成安装。</w:t>
      </w:r>
      <w:r>
        <w:rPr>
          <w:rFonts w:hint="eastAsia" w:ascii="宋体" w:hAnsi="宋体" w:cs="宋体"/>
          <w:szCs w:val="21"/>
          <w:highlight w:val="none"/>
        </w:rPr>
        <w:t xml:space="preserve">为防止教室电源交叉使用出现误插拔，录播电源须整改须为独立线路，独立管理。根据教室内视频信号接入源、显示源实际情况，须配置对应设备与辅材实现课件采集，确保录播画面的教室课件采集的稳定性。</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九</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default" w:ascii="宋体" w:hAnsi="宋体" w:eastAsia="宋体" w:cs="宋体"/>
          <w:color w:val="000000"/>
          <w:highlight w:val="none"/>
        </w:rPr>
        <w:t xml:space="preserve">新建直录播软硬件设备</w:t>
      </w:r>
      <w:r>
        <w:rPr>
          <w:rFonts w:hint="eastAsia" w:ascii="宋体" w:hAnsi="宋体" w:eastAsia="宋体" w:cs="宋体"/>
          <w:color w:val="000000"/>
          <w:highlight w:val="none"/>
          <w:lang w:val="en-US" w:eastAsia="zh-CN"/>
        </w:rPr>
        <w:t xml:space="preserve">需</w:t>
      </w:r>
      <w:r>
        <w:rPr>
          <w:rFonts w:hint="default" w:ascii="宋体" w:hAnsi="宋体" w:eastAsia="宋体" w:cs="宋体"/>
          <w:color w:val="000000"/>
          <w:highlight w:val="none"/>
        </w:rPr>
        <w:t xml:space="preserve">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r/>
    </w:p>
    <w:p>
      <w:pPr>
        <w:ind w:firstLine="420"/>
        <w:spacing w:line="360" w:lineRule="auto"/>
        <w:rPr>
          <w:rFonts w:hint="default" w:ascii="宋体" w:hAnsi="宋体" w:eastAsia="宋体" w:cs="宋体"/>
          <w:color w:val="000000"/>
          <w:highlight w:val="none"/>
        </w:rPr>
      </w:pPr>
      <w:r>
        <w:rPr>
          <w:rFonts w:hint="default" w:ascii="宋体" w:hAnsi="宋体" w:eastAsia="宋体" w:cs="宋体"/>
          <w:color w:val="000000"/>
          <w:highlight w:val="none"/>
        </w:rPr>
        <w:t xml:space="preserve">★投标方应提供承诺函并加盖所投产品生产厂商公章：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default" w:ascii="宋体" w:hAnsi="宋体" w:eastAsia="宋体" w:cs="宋体"/>
          <w:color w:val="000000"/>
          <w:highlight w:val="none"/>
        </w:rPr>
        <w:t xml:space="preserve">若采用自有直录播管理平台，该平台应终身免费使用，且对我校后期第三方软硬件设备（如教务系统、教学质量管理平台、学校门户、智慧教室等）的接入、整合工作提供接口及必要的技术支持。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default" w:ascii="宋体" w:hAnsi="宋体" w:eastAsia="宋体" w:cs="宋体"/>
          <w:color w:val="000000"/>
          <w:highlight w:val="none"/>
        </w:rPr>
        <w:t xml:space="preserve">若新建设备直接接入一期已建成的融合视讯应用管理平台，所投产品生产厂商同样须承诺对该平台后续接入第三方系统提供必要的接口及技术支持。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default" w:ascii="宋体" w:hAnsi="宋体" w:eastAsia="宋体" w:cs="宋体"/>
          <w:color w:val="000000"/>
          <w:highlight w:val="none"/>
        </w:rPr>
        <w:t xml:space="preserve">原有系统厂商向中标供应商免费提供完整的接口文档及技术支持。本项目中标供应商需承担对接开发、适配调试的相关成本费用，在原有系统厂商没有工作量的情况下，无需支付的任何额外费用。</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十一</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r/>
    </w:p>
    <w:p>
      <w:pPr>
        <w:ind w:firstLine="420"/>
        <w:spacing w:line="360" w:lineRule="auto"/>
        <w:rPr>
          <w:rFonts w:hint="eastAsia"/>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.现场实际情况，由投标人自行勘察。</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最迟应在开标前五天，联系学校相关部门，</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联系人：张振华，18751882412。</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验收要求</w:t>
      </w:r>
      <w:r/>
    </w:p>
    <w:p>
      <w:pPr>
        <w:ind w:firstLine="420"/>
        <w:spacing w:line="360" w:lineRule="auto"/>
        <w:rPr>
          <w:rFonts w:hint="eastAsia"/>
          <w:highlight w:val="none"/>
        </w:rPr>
      </w:pPr>
      <w:r>
        <w:rPr>
          <w:rFonts w:hint="eastAsia" w:ascii="宋体" w:hAnsi="宋体" w:cs="宋体"/>
          <w:color w:val="000000"/>
          <w:highlight w:val="none"/>
        </w:rPr>
        <w:t xml:space="preserve">所有设备须为包装完整的正品，在规定时间内送达现场且无拆卸痕迹。若未能按期交付并完成调试，校方将以书面形式向</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追责，相关责任由</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全部承担。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付款方式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将全部货物运至采购人指定交货地点，按照招标文件、合同约定及采购人要求完成安装调试后，经采购人最终书面确认验收合格，</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向采购人提供合法有效的正规增值税发票，采购人收到发票后按合同约定支付货款。</w:t>
      </w:r>
      <w:r/>
    </w:p>
    <w:p>
      <w:pPr>
        <w:ind w:firstLine="420"/>
        <w:spacing w:line="360" w:lineRule="auto"/>
        <w:rPr>
          <w:highlight w:val="none"/>
        </w:rPr>
      </w:pPr>
      <w:r>
        <w:rPr>
          <w:highlight w:val="none"/>
        </w:rPr>
      </w:r>
      <w:r/>
    </w:p>
    <w:p>
      <w:pPr>
        <w:pStyle w:val="1072"/>
        <w:spacing w:line="360" w:lineRule="auto"/>
        <w:rPr>
          <w:rFonts w:ascii="宋体" w:hAnsi="宋体"/>
          <w:szCs w:val="21"/>
          <w:highlight w:val="none"/>
        </w:rPr>
      </w:pPr>
      <w:r>
        <w:rPr>
          <w:rFonts w:ascii="宋体" w:hAnsi="宋体"/>
          <w:szCs w:val="21"/>
          <w:highlight w:val="none"/>
        </w:rPr>
      </w:r>
      <w:r/>
    </w:p>
    <w:p>
      <w:pPr>
        <w:pStyle w:val="1088"/>
        <w:ind w:firstLine="0"/>
        <w:rPr>
          <w:rFonts w:ascii="Arial" w:hAnsi="Arial" w:cs="Arial"/>
          <w:sz w:val="24"/>
          <w:szCs w:val="24"/>
          <w:highlight w:val="none"/>
        </w:rPr>
      </w:pPr>
      <w:r>
        <w:rPr>
          <w:rFonts w:ascii="Arial" w:hAnsi="Arial" w:cs="Arial"/>
          <w:sz w:val="24"/>
          <w:szCs w:val="24"/>
          <w:highlight w:val="none"/>
        </w:rPr>
      </w:r>
      <w:r/>
    </w:p>
    <w:p>
      <w:pPr>
        <w:pStyle w:val="1088"/>
        <w:ind w:firstLine="0"/>
        <w:rPr>
          <w:rFonts w:hint="eastAsia" w:ascii="Arial" w:hAnsi="Arial" w:cs="Arial"/>
          <w:sz w:val="24"/>
          <w:szCs w:val="24"/>
          <w:highlight w:val="none"/>
        </w:rPr>
      </w:pPr>
      <w:r>
        <w:rPr>
          <w:rFonts w:hint="eastAsia" w:ascii="Arial" w:hAnsi="Arial" w:cs="Arial"/>
          <w:sz w:val="24"/>
          <w:szCs w:val="24"/>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pStyle w:val="1059"/>
        <w:rPr>
          <w:rFonts w:ascii="Arial" w:hAnsi="Arial" w:cs="Arial"/>
          <w:sz w:val="24"/>
          <w:szCs w:val="24"/>
          <w:highlight w:val="none"/>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highlight w:val="none"/>
        </w:rPr>
        <w:br w:type="page" w:clear="all"/>
      </w:r>
      <w:r/>
    </w:p>
    <w:p>
      <w:pPr>
        <w:pStyle w:val="1059"/>
        <w:rPr>
          <w:rFonts w:ascii="宋体" w:hAnsi="宋体" w:cs="宋体"/>
          <w:highlight w:val="none"/>
          <w:lang w:val="zh-CN"/>
        </w:rPr>
      </w:pPr>
      <w:r/>
      <w:bookmarkStart w:id="29" w:name="_Toc19167"/>
      <w:r>
        <w:rPr>
          <w:rFonts w:ascii="Arial" w:hAnsi="Arial" w:cs="Arial"/>
          <w:highlight w:val="none"/>
          <w:lang w:val="zh-CN"/>
        </w:rPr>
        <w:t xml:space="preserve">第五章 合同主要条款</w:t>
      </w:r>
      <w:bookmarkEnd w:id="29"/>
      <w:r/>
      <w:bookmarkStart w:id="30" w:name="_Toc534273675"/>
      <w:r/>
      <w:bookmarkStart w:id="31" w:name="_Toc534273798"/>
      <w:r/>
      <w:bookmarkStart w:id="32" w:name="_Toc504573082"/>
      <w:r/>
      <w:r/>
    </w:p>
    <w:p>
      <w:pPr>
        <w:pStyle w:val="1027"/>
        <w:ind w:firstLine="320"/>
        <w:jc w:val="right"/>
        <w:spacing w:before="120" w:after="120" w:line="360" w:lineRule="auto"/>
        <w:rPr>
          <w:rFonts w:ascii="宋体" w:hAnsi="宋体"/>
          <w:sz w:val="16"/>
          <w:szCs w:val="16"/>
          <w:highlight w:val="none"/>
        </w:rPr>
      </w:pPr>
      <w:r>
        <w:rPr>
          <w:rFonts w:hint="eastAsia" w:ascii="宋体" w:hAnsi="宋体"/>
          <w:sz w:val="16"/>
          <w:szCs w:val="16"/>
          <w:highlight w:val="none"/>
        </w:rPr>
        <w:t xml:space="preserve">合同编号：</w:t>
      </w:r>
      <w:bookmarkStart w:id="33" w:name="合同编号"/>
      <w:r/>
      <w:bookmarkEnd w:id="33"/>
      <w:r/>
      <w:r/>
    </w:p>
    <w:tbl>
      <w:tblPr>
        <w:tblStyle w:val="815"/>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jc w:val="center"/>
              <w:spacing w:before="100" w:beforeAutospacing="1" w:after="100" w:afterAutospacing="1" w:line="480" w:lineRule="auto"/>
              <w:widowControl/>
              <w:rPr>
                <w:rFonts w:ascii="Arial" w:hAnsi="Arial" w:cs="Arial"/>
                <w:b/>
                <w:bCs/>
                <w:sz w:val="44"/>
                <w:szCs w:val="44"/>
                <w:highlight w:val="none"/>
              </w:rPr>
              <w:outlineLvl w:val="1"/>
            </w:pPr>
            <w:r/>
            <w:bookmarkStart w:id="34" w:name="_Toc21827"/>
            <w:r>
              <w:rPr>
                <w:rFonts w:hint="eastAsia" w:ascii="Arial" w:hAnsi="Arial" w:cs="Arial"/>
                <w:b/>
                <w:bCs/>
                <w:sz w:val="44"/>
                <w:szCs w:val="44"/>
                <w:highlight w:val="none"/>
                <w:lang w:eastAsia="zh-CN"/>
              </w:rPr>
              <w:t xml:space="preserve">直录播教室常态化建设二期工程</w:t>
            </w:r>
            <w:r>
              <w:rPr>
                <w:rFonts w:ascii="Arial" w:hAnsi="Arial" w:cs="Arial"/>
                <w:b/>
                <w:bCs/>
                <w:sz w:val="44"/>
                <w:szCs w:val="44"/>
                <w:highlight w:val="none"/>
              </w:rPr>
              <w:t xml:space="preserve">合同</w:t>
            </w:r>
            <w:bookmarkEnd w:id="34"/>
            <w:r/>
            <w:r/>
          </w:p>
        </w:tc>
      </w:tr>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发包方（甲方）： </w:t>
            </w:r>
            <w:r>
              <w:rPr>
                <w:rFonts w:hint="eastAsia" w:ascii="宋体" w:hAnsi="宋体"/>
                <w:szCs w:val="21"/>
                <w:highlight w:val="none"/>
                <w:lang w:eastAsia="zh-CN"/>
              </w:rPr>
              <w:t xml:space="preserve">南京艺术学院</w:t>
            </w:r>
            <w:r>
              <w:rPr>
                <w:rFonts w:hint="eastAsia" w:ascii="宋体" w:hAnsi="宋体"/>
                <w:szCs w:val="21"/>
                <w:highlight w:val="none"/>
              </w:rPr>
              <w:t xml:space="preserve">                       签订地点：        </w:t>
            </w:r>
            <w:r/>
          </w:p>
          <w:p>
            <w:pPr>
              <w:spacing w:line="480" w:lineRule="auto"/>
              <w:rPr>
                <w:rFonts w:ascii="宋体" w:hAnsi="宋体"/>
                <w:szCs w:val="21"/>
                <w:highlight w:val="none"/>
              </w:rPr>
            </w:pPr>
            <w:r>
              <w:rPr>
                <w:rFonts w:hint="eastAsia" w:ascii="宋体" w:hAnsi="宋体"/>
                <w:szCs w:val="21"/>
                <w:highlight w:val="none"/>
              </w:rPr>
              <w:t xml:space="preserve">承包方（乙方）： </w:t>
            </w:r>
            <w:r>
              <w:rPr>
                <w:rFonts w:hint="eastAsia" w:ascii="宋体" w:hAnsi="宋体"/>
                <w:szCs w:val="21"/>
                <w:highlight w:val="none"/>
                <w:u w:val="single"/>
              </w:rPr>
              <w:t xml:space="preserve">                     </w:t>
            </w:r>
            <w:r>
              <w:rPr>
                <w:rFonts w:hint="eastAsia" w:ascii="宋体" w:hAnsi="宋体"/>
                <w:szCs w:val="21"/>
                <w:highlight w:val="none"/>
              </w:rPr>
              <w:t xml:space="preserve">              签订日期：</w:t>
            </w:r>
            <w:r/>
          </w:p>
          <w:p>
            <w:pPr>
              <w:ind w:firstLine="420"/>
              <w:spacing w:line="480" w:lineRule="auto"/>
              <w:rPr>
                <w:rFonts w:ascii="宋体" w:hAnsi="宋体"/>
                <w:szCs w:val="21"/>
                <w:highlight w:val="none"/>
              </w:rPr>
            </w:pPr>
            <w:r>
              <w:rPr>
                <w:rFonts w:hint="eastAsia" w:ascii="宋体" w:hAnsi="宋体"/>
                <w:szCs w:val="21"/>
                <w:highlight w:val="none"/>
              </w:rPr>
              <w:t xml:space="preserve">按照《中华人民共和国民法典》、《中华人民共和国建筑法》等有关规定，结合本工程具体情况，双方达成如下协议：</w:t>
            </w:r>
            <w:r/>
          </w:p>
          <w:p>
            <w:pPr>
              <w:numPr>
                <w:ilvl w:val="0"/>
                <w:numId w:val="0"/>
              </w:numPr>
              <w:ind w:left="-855" w:firstLine="1265"/>
              <w:spacing w:line="480" w:lineRule="auto"/>
              <w:rPr>
                <w:rFonts w:ascii="宋体" w:hAnsi="宋体"/>
                <w:b/>
                <w:szCs w:val="21"/>
                <w:highlight w:val="none"/>
              </w:rPr>
            </w:pPr>
            <w:r>
              <w:rPr>
                <w:rFonts w:hint="eastAsia" w:ascii="宋体" w:hAnsi="宋体"/>
                <w:b/>
                <w:szCs w:val="21"/>
                <w:highlight w:val="none"/>
              </w:rPr>
              <w:t xml:space="preserve">第1条 工程概况                                                       </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1.1、工程名称：</w:t>
            </w:r>
            <w:r>
              <w:rPr>
                <w:rFonts w:hint="eastAsia" w:ascii="宋体" w:hAnsi="宋体"/>
                <w:szCs w:val="21"/>
                <w:highlight w:val="none"/>
                <w:u w:val="single"/>
                <w:lang w:eastAsia="zh-CN"/>
              </w:rPr>
              <w:t xml:space="preserve">直录播教室常态化建设二期工程</w:t>
            </w:r>
            <w:r>
              <w:rPr>
                <w:rFonts w:hint="eastAsia" w:ascii="宋体" w:hAnsi="宋体"/>
                <w:szCs w:val="21"/>
                <w:highlight w:val="none"/>
              </w:rPr>
              <w:t xml:space="preserve">（具体到校区、楼宇、房号、路段等）</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 1.2、工程地点：</w:t>
            </w:r>
            <w:r>
              <w:rPr>
                <w:rFonts w:hint="eastAsia" w:ascii="宋体" w:hAnsi="宋体"/>
                <w:szCs w:val="21"/>
                <w:highlight w:val="none"/>
                <w:lang w:eastAsia="zh-CN"/>
              </w:rPr>
              <w:t xml:space="preserve">南京艺术学院</w:t>
            </w:r>
            <w:r/>
          </w:p>
          <w:p>
            <w:pPr>
              <w:ind w:firstLine="420"/>
              <w:spacing w:line="480" w:lineRule="auto"/>
              <w:rPr>
                <w:rFonts w:ascii="宋体" w:hAnsi="宋体"/>
                <w:szCs w:val="21"/>
                <w:highlight w:val="none"/>
              </w:rPr>
            </w:pPr>
            <w:r>
              <w:rPr>
                <w:rFonts w:hint="eastAsia" w:ascii="宋体" w:hAnsi="宋体"/>
                <w:szCs w:val="21"/>
                <w:highlight w:val="none"/>
              </w:rPr>
              <w:t xml:space="preserve">1.3、承包范围：</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1.4、承包方式：</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1.5、工期：</w:t>
            </w:r>
            <w:r>
              <w:rPr>
                <w:rFonts w:hint="eastAsia" w:ascii="宋体" w:hAnsi="宋体"/>
                <w:szCs w:val="21"/>
                <w:highlight w:val="none"/>
                <w:u w:val="single"/>
              </w:rPr>
              <w:t xml:space="preserve">   </w:t>
            </w:r>
            <w:r>
              <w:rPr>
                <w:rFonts w:hint="eastAsia" w:ascii="宋体" w:hAnsi="宋体"/>
                <w:szCs w:val="21"/>
                <w:highlight w:val="none"/>
              </w:rPr>
              <w:t xml:space="preserve">天。开工：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日，竣工：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left="-360" w:firstLine="840"/>
              <w:spacing w:line="480" w:lineRule="auto"/>
              <w:rPr>
                <w:rFonts w:ascii="宋体" w:hAnsi="宋体"/>
                <w:szCs w:val="21"/>
                <w:highlight w:val="none"/>
              </w:rPr>
            </w:pPr>
            <w:r>
              <w:rPr>
                <w:rFonts w:hint="eastAsia" w:ascii="宋体" w:hAnsi="宋体"/>
                <w:szCs w:val="21"/>
                <w:highlight w:val="none"/>
              </w:rPr>
              <w:t xml:space="preserve">1.6、工程质量：</w:t>
            </w:r>
            <w:r>
              <w:rPr>
                <w:rFonts w:hint="eastAsia" w:ascii="宋体" w:hAnsi="宋体"/>
                <w:szCs w:val="21"/>
                <w:highlight w:val="none"/>
                <w:u w:val="single"/>
              </w:rPr>
              <w:t xml:space="preserve">                       </w:t>
            </w:r>
            <w:r/>
          </w:p>
          <w:p>
            <w:pPr>
              <w:ind w:left="-360" w:firstLine="840"/>
              <w:spacing w:line="480" w:lineRule="auto"/>
              <w:rPr>
                <w:rFonts w:ascii="宋体" w:hAnsi="宋体"/>
                <w:szCs w:val="21"/>
                <w:highlight w:val="none"/>
              </w:rPr>
            </w:pPr>
            <w:r>
              <w:rPr>
                <w:rFonts w:hint="eastAsia" w:ascii="宋体" w:hAnsi="宋体"/>
                <w:szCs w:val="21"/>
                <w:highlight w:val="none"/>
              </w:rPr>
              <w:t xml:space="preserve">1.7、合同价款（预算价，人民币大写）：</w:t>
            </w:r>
            <w:r>
              <w:rPr>
                <w:rFonts w:hint="eastAsia" w:ascii="宋体" w:hAnsi="宋体"/>
                <w:szCs w:val="21"/>
                <w:highlight w:val="none"/>
                <w:u w:val="single"/>
              </w:rPr>
              <w:t xml:space="preserve">                                         </w:t>
            </w:r>
            <w:r/>
          </w:p>
          <w:p>
            <w:pPr>
              <w:pStyle w:val="1072"/>
              <w:numPr>
                <w:ilvl w:val="0"/>
                <w:numId w:val="10"/>
              </w:numPr>
              <w:ind w:left="0"/>
              <w:spacing w:line="480" w:lineRule="auto"/>
              <w:rPr>
                <w:rFonts w:ascii="宋体" w:hAnsi="宋体"/>
                <w:b/>
                <w:bCs/>
                <w:szCs w:val="21"/>
                <w:highlight w:val="none"/>
              </w:rPr>
            </w:pPr>
            <w:r>
              <w:rPr>
                <w:rFonts w:hint="eastAsia" w:ascii="宋体" w:hAnsi="宋体"/>
                <w:szCs w:val="21"/>
                <w:highlight w:val="none"/>
              </w:rPr>
              <w:t xml:space="preserve">    1.8、保修期：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szCs w:val="21"/>
                <w:highlight w:val="none"/>
              </w:rPr>
              <w:t xml:space="preserve">自</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日至</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日，具体</w:t>
            </w:r>
            <w:r>
              <w:rPr>
                <w:rFonts w:hint="eastAsia" w:ascii="宋体" w:hAnsi="宋体"/>
                <w:szCs w:val="21"/>
                <w:highlight w:val="none"/>
              </w:rPr>
              <w:t xml:space="preserve">自验收合格次日起。</w:t>
            </w:r>
            <w:r/>
          </w:p>
          <w:p>
            <w:pPr>
              <w:pStyle w:val="1072"/>
              <w:numPr>
                <w:ilvl w:val="0"/>
                <w:numId w:val="10"/>
              </w:numPr>
              <w:ind w:left="0"/>
              <w:spacing w:line="480" w:lineRule="auto"/>
              <w:rPr>
                <w:rFonts w:ascii="宋体" w:hAnsi="宋体"/>
                <w:b/>
                <w:bCs/>
                <w:szCs w:val="21"/>
                <w:highlight w:val="none"/>
              </w:rPr>
            </w:pPr>
            <w:r>
              <w:rPr>
                <w:rFonts w:hint="eastAsia" w:ascii="宋体" w:hAnsi="宋体"/>
                <w:b/>
                <w:bCs/>
                <w:szCs w:val="21"/>
                <w:highlight w:val="none"/>
              </w:rPr>
              <w:t xml:space="preserve">    </w:t>
            </w:r>
            <w:r>
              <w:rPr>
                <w:rFonts w:ascii="宋体" w:hAnsi="宋体"/>
                <w:b/>
                <w:bCs/>
                <w:szCs w:val="21"/>
                <w:highlight w:val="none"/>
              </w:rPr>
              <w:t xml:space="preserve">1.9</w:t>
            </w:r>
            <w:r>
              <w:rPr>
                <w:rFonts w:hint="eastAsia" w:ascii="宋体" w:hAnsi="宋体"/>
                <w:b/>
                <w:bCs/>
                <w:szCs w:val="21"/>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spacing w:line="480" w:lineRule="auto"/>
              <w:rPr>
                <w:rFonts w:ascii="宋体" w:hAnsi="宋体"/>
                <w:b/>
                <w:szCs w:val="21"/>
                <w:highlight w:val="none"/>
              </w:rPr>
            </w:pPr>
            <w:r>
              <w:rPr>
                <w:rFonts w:hint="eastAsia" w:ascii="宋体" w:hAnsi="宋体"/>
                <w:b/>
                <w:szCs w:val="21"/>
                <w:highlight w:val="none"/>
              </w:rPr>
              <w:t xml:space="preserve">第2条  甲方工作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2.1开工前</w:t>
            </w:r>
            <w:r>
              <w:rPr>
                <w:rFonts w:hint="eastAsia" w:ascii="宋体" w:hAnsi="宋体"/>
                <w:szCs w:val="21"/>
                <w:highlight w:val="none"/>
                <w:u w:val="single"/>
              </w:rPr>
              <w:t xml:space="preserve">   </w:t>
            </w:r>
            <w:r>
              <w:rPr>
                <w:rFonts w:hint="eastAsia" w:ascii="宋体" w:hAnsi="宋体"/>
                <w:szCs w:val="21"/>
                <w:highlight w:val="none"/>
              </w:rPr>
              <w:t xml:space="preserve">天，向乙方提供经确认的施工图纸或作法说明</w:t>
            </w:r>
            <w:r>
              <w:rPr>
                <w:rFonts w:hint="eastAsia" w:ascii="宋体" w:hAnsi="宋体"/>
                <w:szCs w:val="21"/>
                <w:highlight w:val="none"/>
                <w:u w:val="single"/>
              </w:rPr>
              <w:t xml:space="preserve">   </w:t>
            </w:r>
            <w:r>
              <w:rPr>
                <w:rFonts w:hint="eastAsia" w:ascii="宋体" w:hAnsi="宋体"/>
                <w:szCs w:val="21"/>
                <w:highlight w:val="none"/>
              </w:rPr>
              <w:t xml:space="preserve">份，并向乙方进行现场交底。向乙方提供施工所需的水、电接点（费用乙方自理），并说明使用注意事项，办理施工所涉及的各种申请、批件等手续。</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2.2指派</w:t>
            </w:r>
            <w:r>
              <w:rPr>
                <w:rFonts w:hint="eastAsia" w:ascii="宋体" w:hAnsi="宋体"/>
                <w:szCs w:val="21"/>
                <w:highlight w:val="none"/>
                <w:u w:val="single"/>
              </w:rPr>
              <w:t xml:space="preserve">             </w:t>
            </w:r>
            <w:r>
              <w:rPr>
                <w:rFonts w:hint="eastAsia" w:ascii="宋体" w:hAnsi="宋体"/>
                <w:szCs w:val="21"/>
                <w:highlight w:val="none"/>
              </w:rPr>
              <w:t xml:space="preserve">为甲方驻工地代表，负责合同履行。对工程质量、进度进行监督检查，办理验收、变更、登记手续和其他事宜。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2.3委托</w:t>
            </w:r>
            <w:r>
              <w:rPr>
                <w:rFonts w:ascii="宋体" w:hAnsi="宋体"/>
                <w:szCs w:val="21"/>
                <w:highlight w:val="none"/>
                <w:u w:val="single"/>
              </w:rPr>
              <w:t xml:space="preserve">          </w:t>
            </w:r>
            <w:r>
              <w:rPr>
                <w:rFonts w:hint="eastAsia" w:ascii="宋体" w:hAnsi="宋体"/>
                <w:szCs w:val="21"/>
                <w:highlight w:val="none"/>
              </w:rPr>
              <w:t xml:space="preserve">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 xml:space="preserve">为监理工程师，其职责在监理合同中应明确，并将合同副本交乙方</w:t>
            </w:r>
            <w:r>
              <w:rPr>
                <w:rFonts w:ascii="宋体" w:hAnsi="宋体"/>
                <w:szCs w:val="21"/>
                <w:highlight w:val="none"/>
                <w:u w:val="single"/>
              </w:rPr>
              <w:t xml:space="preserve">     </w:t>
            </w:r>
            <w:r>
              <w:rPr>
                <w:rFonts w:hint="eastAsia" w:ascii="宋体" w:hAnsi="宋体"/>
                <w:szCs w:val="21"/>
                <w:highlight w:val="none"/>
              </w:rPr>
              <w:t xml:space="preserve">份。</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2.4如确实需要拆改原建筑物结构或设备管线，负责到有关部门办理相应审批手续。</w:t>
            </w:r>
            <w:r/>
          </w:p>
          <w:p>
            <w:pPr>
              <w:numPr>
                <w:ilvl w:val="0"/>
                <w:numId w:val="0"/>
              </w:numPr>
              <w:ind w:left="-645" w:firstLine="1470"/>
              <w:spacing w:line="480" w:lineRule="auto"/>
              <w:rPr>
                <w:rFonts w:ascii="宋体" w:hAnsi="宋体"/>
                <w:szCs w:val="21"/>
                <w:highlight w:val="none"/>
              </w:rPr>
            </w:pPr>
            <w:r>
              <w:rPr>
                <w:rFonts w:hint="eastAsia" w:ascii="宋体" w:hAnsi="宋体"/>
                <w:szCs w:val="21"/>
                <w:highlight w:val="none"/>
              </w:rPr>
              <w:t xml:space="preserve">2.5协助乙方做好现场保卫、消防、垃圾处理等工作。</w:t>
            </w:r>
            <w:r/>
          </w:p>
          <w:p>
            <w:pPr>
              <w:spacing w:line="480" w:lineRule="auto"/>
              <w:rPr>
                <w:rFonts w:hint="eastAsia" w:ascii="宋体" w:hAnsi="宋体" w:eastAsia="宋体" w:cs="Times New Roman"/>
                <w:szCs w:val="21"/>
                <w:highlight w:val="none"/>
              </w:rPr>
            </w:pPr>
            <w:r>
              <w:rPr>
                <w:rFonts w:hint="eastAsia" w:ascii="宋体" w:hAnsi="宋体"/>
                <w:b/>
                <w:szCs w:val="21"/>
                <w:highlight w:val="none"/>
              </w:rPr>
              <w:t xml:space="preserve">第3条 乙方工作</w:t>
            </w:r>
            <w:r/>
          </w:p>
          <w:p>
            <w:pPr>
              <w:numPr>
                <w:ilvl w:val="0"/>
                <w:numId w:val="0"/>
              </w:numPr>
              <w:ind w:firstLine="630"/>
              <w:spacing w:line="480" w:lineRule="auto"/>
              <w:rPr>
                <w:rFonts w:ascii="宋体" w:hAnsi="宋体"/>
                <w:szCs w:val="21"/>
                <w:highlight w:val="none"/>
              </w:rPr>
            </w:pPr>
            <w:r>
              <w:rPr>
                <w:rFonts w:hint="eastAsia" w:ascii="宋体" w:hAnsi="宋体" w:eastAsia="宋体" w:cs="Times New Roman"/>
                <w:szCs w:val="21"/>
                <w:highlight w:val="none"/>
              </w:rPr>
              <w:t xml:space="preserve"> 3</w:t>
            </w:r>
            <w:r>
              <w:rPr>
                <w:rFonts w:hint="eastAsia" w:ascii="宋体" w:hAnsi="宋体"/>
                <w:szCs w:val="21"/>
                <w:highlight w:val="none"/>
              </w:rPr>
              <w:t xml:space="preserve">.1参加甲方组织的施工图纸或作法说明的现场交底，拟定施工方案和进度计划，交甲方审定。</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3.2指派 </w:t>
            </w:r>
            <w:r>
              <w:rPr>
                <w:rFonts w:hint="eastAsia" w:ascii="宋体" w:hAnsi="宋体"/>
                <w:szCs w:val="21"/>
                <w:highlight w:val="none"/>
                <w:u w:val="single"/>
              </w:rPr>
              <w:t xml:space="preserve">         </w:t>
            </w:r>
            <w:r>
              <w:rPr>
                <w:rFonts w:hint="eastAsia" w:ascii="宋体" w:hAnsi="宋体"/>
                <w:szCs w:val="21"/>
                <w:highlight w:val="none"/>
              </w:rPr>
              <w:t xml:space="preserve">为乙方驻工地项目经理，负责合同履行。按要求组织施工，保质、保量、按期完成施工任务，解决由乙方负责的各项事宜。</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3.3严格执行施工、操作安全、防火安全、环境保护等规定；严格按照图纸或作法说明进行施工；做好各项质量检查记录；参加竣工验收并提交2套完整的竣工资料，编制工程结算。</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3.5施工中未经甲方同意或有关部门批准，不得随意拆改原建筑物结构及各种设备管线，若发生必须无条件修复并承担一切费用。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3.6工程竣工未移交甲方之前，负责对现场的一切设施和工程成品进行保护，若有损坏，乙方负责赔偿。</w:t>
            </w:r>
            <w:r/>
          </w:p>
          <w:p>
            <w:pPr>
              <w:spacing w:line="480" w:lineRule="auto"/>
              <w:rPr>
                <w:rFonts w:ascii="宋体" w:hAnsi="宋体"/>
                <w:b/>
                <w:szCs w:val="21"/>
                <w:highlight w:val="none"/>
              </w:rPr>
            </w:pPr>
            <w:r>
              <w:rPr>
                <w:rFonts w:hint="eastAsia" w:ascii="宋体" w:hAnsi="宋体"/>
                <w:b/>
                <w:szCs w:val="21"/>
                <w:highlight w:val="none"/>
              </w:rPr>
              <w:t xml:space="preserve">第4 条  关于工期的约定</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4.1甲方要求比合同约定的工期提前竣工时，应征得乙方同意</w:t>
            </w:r>
            <w:r>
              <w:rPr>
                <w:rFonts w:hint="eastAsia" w:ascii="宋体" w:hAnsi="宋体"/>
                <w:strike w:val="0"/>
                <w:szCs w:val="21"/>
                <w:highlight w:val="none"/>
              </w:rPr>
              <w:t xml:space="preserve">，并支付乙方因赶工采取的措施费</w:t>
            </w:r>
            <w:r>
              <w:rPr>
                <w:rFonts w:hint="eastAsia" w:ascii="宋体" w:hAnsi="宋体"/>
                <w:szCs w:val="21"/>
                <w:highlight w:val="none"/>
                <w:lang w:eastAsia="zh-CN"/>
              </w:rPr>
              <w:t xml:space="preserve">。</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4.2因甲方未按约定完成工作，影响工期的，工期顺延。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4.3因乙方责任，不能按期开工或中途无故停工，影响工期的，工期不顺延。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4.4因设计变更或非乙方原因造成的停电、停水、停气及不可抗力因素影响，导致一周内累计停工8小时以上的，工期相应顺延。</w:t>
            </w:r>
            <w:r/>
          </w:p>
          <w:p>
            <w:pPr>
              <w:spacing w:line="480" w:lineRule="auto"/>
              <w:rPr>
                <w:rFonts w:ascii="宋体" w:hAnsi="宋体"/>
                <w:b/>
                <w:szCs w:val="21"/>
                <w:highlight w:val="none"/>
              </w:rPr>
            </w:pPr>
            <w:r>
              <w:rPr>
                <w:rFonts w:hint="eastAsia" w:ascii="宋体" w:hAnsi="宋体"/>
                <w:b/>
                <w:szCs w:val="21"/>
                <w:highlight w:val="none"/>
              </w:rPr>
              <w:t xml:space="preserve">第5 条 关于工程质量及验收的约定</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 5.1本工程以甲、乙双方确认的施工图纸、作法说明、设计变更和《建筑工程施工质量评定统一标准》（ GB</w:t>
            </w:r>
            <w:r>
              <w:rPr>
                <w:rFonts w:ascii="宋体" w:hAnsi="宋体"/>
                <w:szCs w:val="21"/>
                <w:highlight w:val="none"/>
              </w:rPr>
              <w:t xml:space="preserve">50300-2013</w:t>
            </w:r>
            <w:r>
              <w:rPr>
                <w:rFonts w:hint="eastAsia" w:ascii="宋体" w:hAnsi="宋体"/>
                <w:szCs w:val="21"/>
                <w:highlight w:val="none"/>
              </w:rPr>
              <w:t xml:space="preserve">）等国家制订的施工及验收规范为质量评定验收标准。</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5.2本工程质量应至少达到国家质量评定</w:t>
            </w:r>
            <w:r>
              <w:rPr>
                <w:rFonts w:hint="eastAsia" w:ascii="宋体" w:hAnsi="宋体"/>
                <w:szCs w:val="21"/>
                <w:highlight w:val="none"/>
                <w:u w:val="single"/>
              </w:rPr>
              <w:t xml:space="preserve">合格</w:t>
            </w:r>
            <w:r>
              <w:rPr>
                <w:rFonts w:hint="eastAsia" w:ascii="宋体" w:hAnsi="宋体"/>
                <w:szCs w:val="21"/>
                <w:highlight w:val="none"/>
              </w:rPr>
              <w:t xml:space="preserve">标准（工程质量的认定以南京市质检站质检意见为准），若达不到，乙方负责返工直至达到</w:t>
            </w:r>
            <w:r>
              <w:rPr>
                <w:rFonts w:hint="eastAsia" w:ascii="宋体" w:hAnsi="宋体"/>
                <w:szCs w:val="21"/>
                <w:highlight w:val="none"/>
                <w:u w:val="single"/>
              </w:rPr>
              <w:t xml:space="preserve">此</w:t>
            </w:r>
            <w:r>
              <w:rPr>
                <w:rFonts w:hint="eastAsia" w:ascii="宋体" w:hAnsi="宋体"/>
                <w:szCs w:val="21"/>
                <w:highlight w:val="none"/>
              </w:rPr>
              <w:t xml:space="preserve">标准，并承担一切费用。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5.4本工程所用材料、设备，乙方必须负责检测其质量并达到环保要求，不合格的材料、设备不得使用，否则影响工程质量，其返工费用由乙方承担，工期不顺延。</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5.5由于乙方原因造成质量事故，返工费用由乙方承担，工期不顺延。</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5.6工程竣工后，乙方应通知甲方验收，甲方自接到通知1</w:t>
            </w:r>
            <w:r>
              <w:rPr>
                <w:rFonts w:ascii="宋体" w:hAnsi="宋体"/>
                <w:szCs w:val="21"/>
                <w:highlight w:val="none"/>
              </w:rPr>
              <w:t xml:space="preserve">0</w:t>
            </w:r>
            <w:r>
              <w:rPr>
                <w:rFonts w:hint="eastAsia" w:ascii="宋体" w:hAnsi="宋体"/>
                <w:szCs w:val="21"/>
                <w:highlight w:val="none"/>
              </w:rPr>
              <w:t xml:space="preserve">个工作日内组织验收，并办理验收，移交手续。如甲方在规定时间内未能组织验收，需及时通知乙方，另定验收日期，但甲方应承认竣工日期，并承担乙方的看管费用和相关费用。</w:t>
            </w:r>
            <w:r/>
          </w:p>
          <w:p>
            <w:pPr>
              <w:spacing w:line="480" w:lineRule="auto"/>
              <w:rPr>
                <w:rFonts w:ascii="宋体" w:hAnsi="宋体"/>
                <w:b/>
                <w:szCs w:val="21"/>
                <w:highlight w:val="none"/>
              </w:rPr>
            </w:pPr>
            <w:r>
              <w:rPr>
                <w:rFonts w:hint="eastAsia" w:ascii="宋体" w:hAnsi="宋体"/>
                <w:b/>
                <w:szCs w:val="21"/>
                <w:highlight w:val="none"/>
              </w:rPr>
              <w:t xml:space="preserve">第6 条 关于工程价款及结算的约定</w:t>
            </w:r>
            <w:r/>
          </w:p>
          <w:p>
            <w:pPr>
              <w:ind w:left="26" w:firstLine="315"/>
              <w:spacing w:line="480" w:lineRule="auto"/>
              <w:rPr>
                <w:rFonts w:ascii="宋体" w:hAnsi="宋体"/>
                <w:szCs w:val="21"/>
                <w:highlight w:val="none"/>
              </w:rPr>
            </w:pPr>
            <w:r>
              <w:rPr>
                <w:rFonts w:hint="eastAsia" w:ascii="宋体" w:hAnsi="宋体"/>
                <w:szCs w:val="21"/>
                <w:highlight w:val="none"/>
              </w:rPr>
              <w:t xml:space="preserve">6.1  双方商定本合同价款采用下述第</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种计价方式。</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1）固定单价</w:t>
            </w:r>
            <w:r/>
          </w:p>
          <w:p>
            <w:pPr>
              <w:ind w:firstLine="420"/>
              <w:spacing w:line="480" w:lineRule="auto"/>
              <w:rPr>
                <w:rFonts w:ascii="宋体" w:hAnsi="宋体"/>
                <w:szCs w:val="21"/>
                <w:highlight w:val="none"/>
              </w:rPr>
            </w:pPr>
            <w:r>
              <w:rPr>
                <w:rFonts w:hint="eastAsia" w:ascii="宋体" w:hAnsi="宋体"/>
                <w:szCs w:val="21"/>
                <w:highlight w:val="none"/>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限合同价内按实结算</w:t>
            </w:r>
            <w:r/>
          </w:p>
          <w:p>
            <w:pPr>
              <w:spacing w:line="480" w:lineRule="auto"/>
              <w:rPr>
                <w:rFonts w:ascii="宋体" w:hAnsi="宋体"/>
                <w:szCs w:val="21"/>
                <w:highlight w:val="none"/>
              </w:rPr>
            </w:pPr>
            <w:r>
              <w:rPr>
                <w:rFonts w:ascii="宋体" w:hAnsi="宋体"/>
                <w:szCs w:val="21"/>
                <w:highlight w:val="none"/>
              </w:rPr>
              <w:t xml:space="preserve">    不满足（1）中条件的工程项目，选择此计价方式。工程量按现场实际施工量计算；综合单价按《建设工程工程量清单计价规范》、江苏省相关计价表及现行文件规定进行计算。</w:t>
            </w:r>
            <w:r/>
          </w:p>
          <w:p>
            <w:pPr>
              <w:ind w:firstLine="420"/>
              <w:spacing w:line="480" w:lineRule="auto"/>
              <w:rPr>
                <w:rFonts w:ascii="宋体" w:hAnsi="宋体"/>
                <w:szCs w:val="21"/>
                <w:highlight w:val="none"/>
              </w:rPr>
            </w:pPr>
            <w:r>
              <w:rPr>
                <w:rFonts w:hint="eastAsia" w:ascii="宋体" w:hAnsi="宋体"/>
                <w:szCs w:val="21"/>
                <w:highlight w:val="none"/>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计价方式（1）、（2）风险范围以外合同价款调整方法：</w:t>
            </w:r>
            <w:r>
              <w:rPr>
                <w:rFonts w:hint="eastAsia" w:ascii="宋体" w:hAnsi="宋体"/>
                <w:bCs/>
                <w:szCs w:val="21"/>
                <w:highlight w:val="none"/>
              </w:rPr>
              <w:t xml:space="preserve">（1）甲方认可的工程设计变更；（2）甲方和监理方均认可的现场签证；(3)变更总金额不得超过原合同金额的10%。</w:t>
            </w:r>
            <w:r/>
          </w:p>
          <w:p>
            <w:pPr>
              <w:ind w:firstLine="420"/>
              <w:spacing w:line="480" w:lineRule="auto"/>
              <w:rPr>
                <w:rFonts w:hint="eastAsia" w:ascii="宋体" w:hAnsi="宋体" w:eastAsia="宋体" w:cs="Times New Roman"/>
                <w:szCs w:val="21"/>
                <w:highlight w:val="none"/>
              </w:rPr>
            </w:pPr>
            <w:r>
              <w:rPr>
                <w:rFonts w:hint="eastAsia" w:ascii="宋体" w:hAnsi="宋体"/>
                <w:szCs w:val="21"/>
                <w:highlight w:val="none"/>
              </w:rPr>
              <w:t xml:space="preserve">6.2 履约保证</w:t>
            </w:r>
            <w:r>
              <w:rPr>
                <w:rFonts w:hint="eastAsia" w:ascii="宋体" w:hAnsi="宋体" w:eastAsia="宋体" w:cs="Times New Roman"/>
                <w:szCs w:val="21"/>
                <w:highlight w:val="none"/>
              </w:rPr>
              <w:t xml:space="preserve">金：签订合同前，</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须向</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缴纳中标价3%的履约保证金（</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合法票据一个月内无息退还（不计息）)；因成交供应商原因，导致工程无法推进的，或质保期内存在质量问题未及时妥善解决的，质保金不予返还。</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6.3 本合同生效后，甲方凭乙方合法票据按以下约定支付工程款：</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第7 条 关于材料供应的约定</w:t>
            </w:r>
            <w:r/>
          </w:p>
          <w:p>
            <w:pPr>
              <w:ind w:firstLine="420"/>
              <w:spacing w:line="480" w:lineRule="auto"/>
              <w:rPr>
                <w:rFonts w:ascii="宋体" w:hAnsi="宋体"/>
                <w:szCs w:val="21"/>
                <w:highlight w:val="none"/>
              </w:rPr>
            </w:pPr>
            <w:r>
              <w:rPr>
                <w:rFonts w:hint="eastAsia" w:ascii="宋体" w:hAnsi="宋体"/>
                <w:szCs w:val="21"/>
                <w:highlight w:val="none"/>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spacing w:line="480" w:lineRule="auto"/>
              <w:rPr>
                <w:rFonts w:ascii="宋体" w:hAnsi="宋体"/>
                <w:b/>
                <w:szCs w:val="21"/>
                <w:highlight w:val="none"/>
              </w:rPr>
            </w:pPr>
            <w:r>
              <w:rPr>
                <w:rFonts w:hint="eastAsia" w:ascii="宋体" w:hAnsi="宋体"/>
                <w:b/>
                <w:szCs w:val="21"/>
                <w:highlight w:val="none"/>
              </w:rPr>
              <w:t xml:space="preserve">第8条  有关安全生产和防火的约定</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 8.1甲方提供或乙方提供经甲方确认的施工图纸或作法说明，应符合《中华人民共和国消防法》和有关防火设计规范。</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8.2乙方在施工期间应严格遵守《中华人民国和国建筑法》、《中华人民共和国消防法》、《</w:t>
            </w:r>
            <w:r>
              <w:rPr>
                <w:rStyle w:val="1068"/>
                <w:rFonts w:hint="eastAsia" w:ascii="Arial" w:hAnsi="Arial" w:cs="Arial"/>
                <w:color w:val="000000"/>
                <w:szCs w:val="21"/>
                <w:highlight w:val="none"/>
                <w:shd w:val="clear" w:color="auto" w:fill="ffffff"/>
              </w:rPr>
              <w:t xml:space="preserve">建设工程安全生产管理条例》、</w:t>
            </w:r>
            <w:r>
              <w:rPr>
                <w:rFonts w:hint="eastAsia" w:ascii="宋体" w:hAnsi="宋体"/>
                <w:szCs w:val="21"/>
                <w:highlight w:val="none"/>
              </w:rPr>
              <w:t xml:space="preserve">《</w:t>
            </w:r>
            <w:r>
              <w:rPr>
                <w:rFonts w:hint="eastAsia" w:ascii="Arial" w:hAnsi="Arial" w:cs="Arial"/>
                <w:szCs w:val="21"/>
                <w:highlight w:val="none"/>
                <w:shd w:val="clear" w:color="auto" w:fill="ffffff"/>
              </w:rPr>
              <w:t xml:space="preserve">建设工程质量管理条例</w:t>
            </w:r>
            <w:r>
              <w:rPr>
                <w:rFonts w:hint="eastAsia" w:ascii="宋体" w:hAnsi="宋体"/>
                <w:szCs w:val="21"/>
                <w:highlight w:val="none"/>
              </w:rPr>
              <w:t xml:space="preserve">》等法规。由于乙方在施工生产过程中违反有关安全、质量、消防等法规导致发生安全或火灾事故，乙方应承担由此引发的一切经济损失。</w:t>
            </w:r>
            <w:r/>
          </w:p>
          <w:p>
            <w:pPr>
              <w:spacing w:line="480" w:lineRule="auto"/>
              <w:rPr>
                <w:rFonts w:ascii="宋体" w:hAnsi="宋体"/>
                <w:b/>
                <w:szCs w:val="21"/>
                <w:highlight w:val="none"/>
              </w:rPr>
            </w:pPr>
            <w:r>
              <w:rPr>
                <w:rFonts w:hint="eastAsia" w:ascii="宋体" w:hAnsi="宋体"/>
                <w:b/>
                <w:szCs w:val="21"/>
                <w:highlight w:val="none"/>
              </w:rPr>
              <w:t xml:space="preserve">第9 条  奖励和违约责任</w:t>
            </w:r>
            <w:r/>
          </w:p>
          <w:p>
            <w:pPr>
              <w:numPr>
                <w:ilvl w:val="0"/>
                <w:numId w:val="0"/>
              </w:numPr>
              <w:ind w:left="-629" w:firstLine="1260"/>
              <w:spacing w:line="480" w:lineRule="auto"/>
              <w:rPr>
                <w:rFonts w:ascii="宋体" w:hAnsi="宋体"/>
                <w:szCs w:val="21"/>
                <w:highlight w:val="none"/>
              </w:rPr>
            </w:pPr>
            <w:r>
              <w:rPr>
                <w:rFonts w:hint="eastAsia" w:ascii="宋体" w:hAnsi="宋体"/>
                <w:szCs w:val="21"/>
                <w:highlight w:val="none"/>
              </w:rPr>
              <w:t xml:space="preserve"> 9.1甲方未能按合同的约定支付款，按最高人民法院关于延期付款的规定向乙方承担违约责任，双方有书面约定的除外。</w:t>
            </w:r>
            <w:r/>
          </w:p>
          <w:p>
            <w:pPr>
              <w:numPr>
                <w:ilvl w:val="0"/>
                <w:numId w:val="0"/>
              </w:numPr>
              <w:ind w:left="-629" w:firstLine="1260"/>
              <w:spacing w:line="480" w:lineRule="auto"/>
              <w:rPr>
                <w:rFonts w:ascii="宋体" w:hAnsi="宋体"/>
                <w:b/>
                <w:szCs w:val="21"/>
                <w:highlight w:val="none"/>
              </w:rPr>
            </w:pPr>
            <w:r>
              <w:rPr>
                <w:rFonts w:hint="eastAsia" w:ascii="宋体" w:hAnsi="宋体"/>
                <w:szCs w:val="21"/>
                <w:highlight w:val="none"/>
              </w:rPr>
              <w:t xml:space="preserve">9.2由于乙方原因，逾期竣工，每逾期一天，乙方支付甲方</w:t>
            </w:r>
            <w:r>
              <w:rPr>
                <w:rFonts w:ascii="宋体" w:hAnsi="宋体"/>
                <w:szCs w:val="21"/>
                <w:highlight w:val="none"/>
                <w:u w:val="single"/>
              </w:rPr>
              <w:t xml:space="preserve">1000</w:t>
            </w:r>
            <w:r>
              <w:rPr>
                <w:rFonts w:hint="eastAsia" w:ascii="宋体" w:hAnsi="宋体"/>
                <w:szCs w:val="21"/>
                <w:highlight w:val="none"/>
              </w:rPr>
              <w:t xml:space="preserve">元违约金（在履约保证金中扣除）。甲方要求提前竣工，除支付赶工措施费外，每提前一天，甲方支付乙方</w:t>
            </w:r>
            <w:r>
              <w:rPr>
                <w:rFonts w:ascii="宋体" w:hAnsi="宋体"/>
                <w:szCs w:val="21"/>
                <w:highlight w:val="none"/>
                <w:u w:val="single"/>
              </w:rPr>
              <w:t xml:space="preserve">1000</w:t>
            </w:r>
            <w:r>
              <w:rPr>
                <w:rFonts w:hint="eastAsia" w:ascii="宋体" w:hAnsi="宋体"/>
                <w:szCs w:val="21"/>
                <w:highlight w:val="none"/>
              </w:rPr>
              <w:t xml:space="preserve">元，作为奖励。</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9.3乙方送至现场的材料设备与投标文件中的材料设备（</w:t>
            </w:r>
            <w:r>
              <w:rPr>
                <w:rFonts w:hint="eastAsia" w:ascii="宋体" w:hAnsi="宋体"/>
                <w:bCs/>
                <w:szCs w:val="21"/>
                <w:highlight w:val="none"/>
              </w:rPr>
              <w:t xml:space="preserve">品牌、生产厂家、规格型号、材质）有不一致的地方，应更换至符合要求，同时甲方有权</w:t>
            </w:r>
            <w:r>
              <w:rPr>
                <w:rFonts w:hint="eastAsia" w:ascii="宋体" w:hAnsi="宋体"/>
                <w:szCs w:val="21"/>
                <w:highlight w:val="none"/>
              </w:rPr>
              <w:t xml:space="preserve">从履约保证金中</w:t>
            </w:r>
            <w:r>
              <w:rPr>
                <w:rFonts w:hint="eastAsia" w:ascii="宋体" w:hAnsi="宋体"/>
                <w:bCs/>
                <w:szCs w:val="21"/>
                <w:highlight w:val="none"/>
              </w:rPr>
              <w:t xml:space="preserve">扣除</w:t>
            </w:r>
            <w:r>
              <w:rPr>
                <w:rFonts w:hint="eastAsia" w:ascii="宋体" w:hAnsi="宋体"/>
                <w:szCs w:val="21"/>
                <w:highlight w:val="none"/>
              </w:rPr>
              <w:t xml:space="preserve">合同总价的5%作为乙方向甲方支付的违约金。</w:t>
            </w:r>
            <w:r/>
          </w:p>
          <w:p>
            <w:pPr>
              <w:numPr>
                <w:ilvl w:val="0"/>
                <w:numId w:val="0"/>
              </w:numPr>
              <w:spacing w:line="480" w:lineRule="auto"/>
              <w:rPr>
                <w:rFonts w:ascii="宋体" w:hAnsi="宋体"/>
                <w:szCs w:val="21"/>
                <w:highlight w:val="none"/>
              </w:rPr>
            </w:pPr>
            <w:r>
              <w:rPr>
                <w:rFonts w:hint="eastAsia" w:ascii="宋体" w:hAnsi="宋体"/>
                <w:szCs w:val="21"/>
                <w:highlight w:val="none"/>
              </w:rPr>
              <w:t xml:space="preserve"> 9.4乙方应妥善保护甲方提供的设备及现场堆放的家具、陈设和工程成品，如造成损失，应照价赔偿。</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9.5甲方未办理任何手续，擅自同意拆改原有建筑物结构或设备管线，由此发生的损失或事故（包括罚款），由甲方负责并承担损失。</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9.6未经甲方同意，乙方擅自拆改原建筑物结构或设备管线，由此发生的损失或事故（包括罚款），由乙方负责并承担损失。</w:t>
            </w:r>
            <w:r/>
          </w:p>
          <w:p>
            <w:pPr>
              <w:numPr>
                <w:ilvl w:val="0"/>
                <w:numId w:val="0"/>
              </w:numPr>
              <w:ind w:left="-629" w:firstLine="1050"/>
              <w:spacing w:line="480" w:lineRule="auto"/>
              <w:rPr>
                <w:rFonts w:ascii="宋体" w:hAnsi="宋体"/>
                <w:szCs w:val="21"/>
                <w:highlight w:val="none"/>
              </w:rPr>
            </w:pPr>
            <w:r>
              <w:rPr>
                <w:rFonts w:hint="eastAsia" w:ascii="宋体" w:hAnsi="宋体"/>
                <w:szCs w:val="21"/>
                <w:highlight w:val="none"/>
              </w:rPr>
              <w:t xml:space="preserve"> 9.7未办理验收手续，甲方提前使用或擅自动用，造成损失由甲方负责。</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9.8因一方原因，合同无法继续履行时，应通知对方，办理合同终止协议，并由责任方赔偿对方由此造成的经济损失。</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9.9质量未达到要求，乙方应在</w:t>
            </w:r>
            <w:r>
              <w:rPr>
                <w:rFonts w:hint="eastAsia" w:ascii="宋体" w:hAnsi="宋体"/>
                <w:bCs/>
                <w:szCs w:val="21"/>
                <w:highlight w:val="none"/>
              </w:rPr>
              <w:t xml:space="preserve">规定的期限内</w:t>
            </w:r>
            <w:r>
              <w:rPr>
                <w:rFonts w:hint="eastAsia" w:ascii="宋体" w:hAnsi="宋体"/>
                <w:szCs w:val="21"/>
                <w:highlight w:val="none"/>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20"/>
              <w:spacing w:line="480" w:lineRule="auto"/>
              <w:tabs>
                <w:tab w:val="left" w:pos="3664" w:leader="none"/>
              </w:tabs>
              <w:rPr>
                <w:rFonts w:ascii="宋体" w:hAnsi="宋体"/>
                <w:szCs w:val="21"/>
                <w:highlight w:val="none"/>
              </w:rPr>
            </w:pPr>
            <w:r>
              <w:rPr>
                <w:rFonts w:hint="eastAsia" w:ascii="宋体" w:hAnsi="宋体"/>
                <w:szCs w:val="21"/>
                <w:highlight w:val="none"/>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20"/>
              <w:spacing w:line="480" w:lineRule="auto"/>
              <w:rPr>
                <w:rFonts w:ascii="宋体" w:hAnsi="宋体"/>
                <w:szCs w:val="21"/>
                <w:highlight w:val="none"/>
              </w:rPr>
            </w:pPr>
            <w:r>
              <w:rPr>
                <w:rFonts w:ascii="宋体" w:hAnsi="宋体" w:cs="宋体"/>
                <w:szCs w:val="21"/>
                <w:highlight w:val="none"/>
              </w:rPr>
              <w:t xml:space="preserve">9.11 </w:t>
            </w:r>
            <w:r>
              <w:rPr>
                <w:rFonts w:hint="eastAsia" w:ascii="宋体" w:hAnsi="宋体" w:cs="宋体"/>
                <w:szCs w:val="21"/>
                <w:highlight w:val="none"/>
              </w:rPr>
              <w:t xml:space="preserve">任何一方违反本合同约定，除承担违约金外，还承担守约方向违约方追责所支付的一切费用，包括但不限于律师费、诉讼费、保全费、公告费、鉴定费、交通费、食宿费、保函费等。</w:t>
            </w:r>
            <w:r/>
          </w:p>
          <w:p>
            <w:pPr>
              <w:numPr>
                <w:ilvl w:val="0"/>
                <w:numId w:val="0"/>
              </w:numPr>
              <w:ind w:left="-960" w:firstLine="1265"/>
              <w:spacing w:line="480" w:lineRule="auto"/>
              <w:rPr>
                <w:rFonts w:ascii="宋体" w:hAnsi="宋体"/>
                <w:b/>
                <w:szCs w:val="21"/>
                <w:highlight w:val="none"/>
              </w:rPr>
            </w:pPr>
            <w:r>
              <w:rPr>
                <w:rFonts w:hint="eastAsia" w:ascii="宋体" w:hAnsi="宋体"/>
                <w:b/>
                <w:szCs w:val="21"/>
                <w:highlight w:val="none"/>
              </w:rPr>
              <w:t xml:space="preserve">第10条  争议的解决方式</w:t>
            </w:r>
            <w:r/>
          </w:p>
          <w:p>
            <w:pPr>
              <w:ind w:firstLine="420"/>
              <w:spacing w:line="480" w:lineRule="auto"/>
              <w:rPr>
                <w:rFonts w:ascii="宋体" w:hAnsi="宋体"/>
                <w:szCs w:val="21"/>
                <w:highlight w:val="none"/>
              </w:rPr>
            </w:pPr>
            <w:r>
              <w:rPr>
                <w:rFonts w:hint="eastAsia" w:ascii="宋体" w:hAnsi="宋体"/>
                <w:szCs w:val="21"/>
                <w:highlight w:val="none"/>
              </w:rPr>
              <w:t xml:space="preserve">在本合同履行过程中发生争议，双方协商解决，协商不成的可依法向工程所在地人民法院起诉。</w:t>
            </w:r>
            <w:r/>
          </w:p>
          <w:p>
            <w:pPr>
              <w:ind w:left="684" w:hanging="264"/>
              <w:spacing w:line="480" w:lineRule="auto"/>
              <w:tabs>
                <w:tab w:val="left" w:pos="3664" w:leader="none"/>
              </w:tabs>
              <w:rPr>
                <w:rFonts w:ascii="宋体" w:hAnsi="宋体"/>
                <w:b/>
                <w:szCs w:val="21"/>
                <w:highlight w:val="none"/>
              </w:rPr>
            </w:pPr>
            <w:r>
              <w:rPr>
                <w:rFonts w:hint="eastAsia" w:ascii="宋体" w:hAnsi="宋体"/>
                <w:b/>
                <w:szCs w:val="21"/>
                <w:highlight w:val="none"/>
              </w:rPr>
              <w:t xml:space="preserve">第11条 附则</w:t>
            </w:r>
            <w:r/>
          </w:p>
          <w:p>
            <w:pPr>
              <w:ind w:firstLine="420"/>
              <w:spacing w:line="480" w:lineRule="auto"/>
              <w:rPr>
                <w:rFonts w:ascii="宋体" w:hAnsi="宋体"/>
                <w:szCs w:val="21"/>
                <w:highlight w:val="none"/>
              </w:rPr>
            </w:pPr>
            <w:r>
              <w:rPr>
                <w:rFonts w:hint="eastAsia" w:ascii="宋体" w:hAnsi="宋体"/>
                <w:szCs w:val="21"/>
                <w:highlight w:val="none"/>
              </w:rPr>
              <w:t xml:space="preserve">11.1本合同一式六份，甲方肆份，乙方贰份。</w:t>
            </w:r>
            <w:r/>
          </w:p>
          <w:p>
            <w:pPr>
              <w:ind w:firstLine="420"/>
              <w:spacing w:line="480" w:lineRule="auto"/>
              <w:rPr>
                <w:rFonts w:ascii="宋体" w:hAnsi="宋体"/>
                <w:szCs w:val="21"/>
                <w:highlight w:val="none"/>
              </w:rPr>
            </w:pPr>
            <w:r>
              <w:rPr>
                <w:rFonts w:hint="eastAsia" w:ascii="宋体" w:hAnsi="宋体"/>
                <w:szCs w:val="21"/>
                <w:highlight w:val="none"/>
              </w:rPr>
              <w:t xml:space="preserve">11.2本合同履行完成后自动终止。</w:t>
            </w:r>
            <w:r/>
          </w:p>
          <w:p>
            <w:pPr>
              <w:ind w:firstLine="480"/>
              <w:spacing w:line="480" w:lineRule="auto"/>
              <w:rPr>
                <w:rFonts w:ascii="宋体" w:hAnsi="宋体" w:cs="宋体"/>
                <w:szCs w:val="21"/>
                <w:highlight w:val="none"/>
              </w:rPr>
            </w:pPr>
            <w:r>
              <w:rPr>
                <w:rFonts w:hint="eastAsia" w:ascii="宋体" w:hAnsi="宋体" w:cs="宋体"/>
                <w:szCs w:val="21"/>
                <w:highlight w:val="none"/>
              </w:rPr>
              <w:t xml:space="preserve">11.3形成本合同的采购文件、报价文件、工作量清单、报价预算书、主材清单、服务承诺等，对双方均具有约束力。</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一：工程量清单；</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二：售后服务承诺。</w:t>
            </w:r>
            <w:r/>
          </w:p>
        </w:tc>
      </w:tr>
    </w:tbl>
    <w:p>
      <w:pPr>
        <w:jc w:val="left"/>
        <w:widowControl/>
        <w:rPr>
          <w:szCs w:val="21"/>
          <w:highlight w:val="none"/>
        </w:rPr>
      </w:pPr>
      <w:r>
        <w:rPr>
          <w:szCs w:val="21"/>
          <w:highlight w:val="none"/>
        </w:rPr>
      </w:r>
      <w:r/>
    </w:p>
    <w:tbl>
      <w:tblPr>
        <w:tblStyle w:val="8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vAlign w:val="top"/>
            <w:textDirection w:val="lrTb"/>
            <w:noWrap w:val="false"/>
          </w:tcPr>
          <w:p>
            <w:pPr>
              <w:spacing w:line="480" w:lineRule="auto"/>
              <w:rPr>
                <w:rFonts w:ascii="宋体" w:hAnsi="宋体"/>
                <w:szCs w:val="21"/>
                <w:highlight w:val="none"/>
              </w:rPr>
            </w:pPr>
            <w:r>
              <w:rPr>
                <w:rFonts w:hint="eastAsia" w:ascii="宋体" w:hAnsi="宋体" w:cs="宋体"/>
                <w:szCs w:val="21"/>
                <w:highlight w:val="none"/>
              </w:rPr>
              <w:t xml:space="preserve">甲方（盖章</w:t>
            </w:r>
            <w:r>
              <w:rPr>
                <w:rFonts w:hint="eastAsia" w:ascii="宋体" w:hAnsi="宋体"/>
                <w:szCs w:val="21"/>
                <w:highlight w:val="none"/>
              </w:rPr>
              <w:t xml:space="preserve">）：</w:t>
            </w:r>
            <w:bookmarkStart w:id="35" w:name="电子签名"/>
            <w:r/>
            <w:bookmarkEnd w:id="35"/>
            <w:r/>
            <w:r/>
          </w:p>
          <w:p>
            <w:pPr>
              <w:spacing w:line="480" w:lineRule="auto"/>
              <w:rPr>
                <w:rFonts w:ascii="宋体" w:hAnsi="宋体"/>
                <w:szCs w:val="21"/>
                <w:highlight w:val="none"/>
              </w:rPr>
            </w:pPr>
            <w:r>
              <w:rPr>
                <w:rFonts w:hint="eastAsia" w:ascii="宋体" w:hAnsi="宋体"/>
                <w:szCs w:val="21"/>
                <w:highlight w:val="none"/>
              </w:rPr>
              <w:t xml:space="preserve">法定代表人：</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c>
          <w:tcPr>
            <w:tcW w:w="4148" w:type="dxa"/>
            <w:vAlign w:val="top"/>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乙方（盖章）：</w:t>
            </w:r>
            <w:r/>
          </w:p>
          <w:p>
            <w:pPr>
              <w:spacing w:line="480" w:lineRule="auto"/>
              <w:rPr>
                <w:rFonts w:ascii="宋体" w:hAnsi="宋体"/>
                <w:szCs w:val="21"/>
                <w:highlight w:val="none"/>
              </w:rPr>
            </w:pPr>
            <w:r>
              <w:rPr>
                <w:rFonts w:hint="eastAsia" w:ascii="宋体" w:hAnsi="宋体"/>
                <w:szCs w:val="21"/>
                <w:highlight w:val="none"/>
              </w:rPr>
              <w:t xml:space="preserve">法定代表：</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r>
    </w:tbl>
    <w:p>
      <w:pPr>
        <w:spacing w:line="480" w:lineRule="auto"/>
        <w:rPr>
          <w:highlight w:val="none"/>
        </w:rPr>
      </w:pPr>
      <w:r>
        <w:rPr>
          <w:highlight w:val="none"/>
        </w:rPr>
      </w:r>
      <w:r/>
    </w:p>
    <w:p>
      <w:pPr>
        <w:ind w:firstLine="420"/>
        <w:rPr>
          <w:szCs w:val="24"/>
          <w:highlight w:val="none"/>
          <w:lang w:val="zh-CN"/>
        </w:rPr>
      </w:pPr>
      <w:r>
        <w:rPr>
          <w:szCs w:val="24"/>
          <w:highlight w:val="none"/>
          <w:lang w:val="zh-CN"/>
        </w:rPr>
        <w:br w:type="page" w:clear="all"/>
      </w:r>
      <w:r/>
    </w:p>
    <w:p>
      <w:pPr>
        <w:pStyle w:val="1059"/>
        <w:rPr>
          <w:rFonts w:ascii="Arial" w:hAnsi="Arial" w:cs="Arial"/>
          <w:highlight w:val="none"/>
        </w:rPr>
      </w:pPr>
      <w:r/>
      <w:bookmarkStart w:id="36" w:name="_Toc7982"/>
      <w:r>
        <w:rPr>
          <w:rFonts w:ascii="Arial" w:hAnsi="Arial" w:cs="Arial"/>
          <w:highlight w:val="none"/>
          <w:lang w:val="zh-CN"/>
        </w:rPr>
        <w:t xml:space="preserve">第六章  </w:t>
      </w:r>
      <w:bookmarkEnd w:id="30"/>
      <w:r/>
      <w:bookmarkEnd w:id="31"/>
      <w:r/>
      <w:bookmarkEnd w:id="32"/>
      <w:r>
        <w:rPr>
          <w:rFonts w:hint="eastAsia" w:ascii="Arial" w:hAnsi="宋体" w:cs="Arial"/>
          <w:szCs w:val="21"/>
          <w:highlight w:val="none"/>
        </w:rPr>
        <w:t xml:space="preserve">磋商响应文件格式及附件</w:t>
      </w:r>
      <w:bookmarkEnd w:id="36"/>
      <w:r/>
      <w:r/>
    </w:p>
    <w:p>
      <w:pPr>
        <w:spacing w:line="440" w:lineRule="exact"/>
        <w:rPr>
          <w:rFonts w:ascii="Arial" w:hAnsi="Arial" w:cs="Arial"/>
          <w:sz w:val="20"/>
          <w:highlight w:val="none"/>
        </w:rPr>
      </w:pPr>
      <w:r>
        <w:rPr>
          <w:rFonts w:ascii="Arial" w:hAnsi="Arial" w:cs="Arial"/>
          <w:sz w:val="20"/>
          <w:highlight w:val="none"/>
        </w:rPr>
      </w:r>
      <w:r/>
    </w:p>
    <w:p>
      <w:pPr>
        <w:jc w:val="center"/>
        <w:spacing w:line="440" w:lineRule="exact"/>
        <w:rPr>
          <w:rFonts w:ascii="Arial" w:hAnsi="Arial" w:cs="Arial"/>
          <w:sz w:val="20"/>
          <w:highlight w:val="none"/>
        </w:rPr>
      </w:pPr>
      <w:r>
        <w:rPr>
          <w:rFonts w:ascii="Arial" w:hAnsi="Arial" w:cs="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570"/>
        <w:jc w:val="center"/>
        <w:rPr>
          <w:rFonts w:ascii="Arial" w:hAnsi="Arial"/>
          <w:sz w:val="28"/>
          <w:szCs w:val="28"/>
          <w:highlight w:val="none"/>
        </w:rPr>
      </w:pPr>
      <w:r>
        <w:rPr>
          <w:rFonts w:ascii="Arial" w:hAnsi="Arial"/>
          <w:sz w:val="28"/>
          <w:szCs w:val="28"/>
          <w:highlight w:val="none"/>
        </w:rPr>
        <w:t xml:space="preserve">（项目名称）</w:t>
      </w:r>
      <w:r/>
    </w:p>
    <w:p>
      <w:pPr>
        <w:ind w:firstLine="410"/>
        <w:jc w:val="center"/>
        <w:rPr>
          <w:rFonts w:ascii="Arial" w:hAnsi="Arial"/>
          <w:sz w:val="20"/>
          <w:highlight w:val="none"/>
        </w:rPr>
      </w:pPr>
      <w:r>
        <w:rPr>
          <w:rFonts w:ascii="Arial" w:hAnsi="Arial"/>
          <w:sz w:val="20"/>
          <w:highlight w:val="none"/>
        </w:rPr>
      </w:r>
      <w:r/>
    </w:p>
    <w:p>
      <w:pPr>
        <w:ind w:firstLine="410"/>
        <w:jc w:val="center"/>
        <w:rPr>
          <w:rFonts w:ascii="Arial" w:hAnsi="Arial"/>
          <w:sz w:val="20"/>
          <w:highlight w:val="none"/>
        </w:rPr>
      </w:pPr>
      <w:r>
        <w:rPr>
          <w:rFonts w:ascii="Arial" w:hAnsi="Arial"/>
          <w:sz w:val="20"/>
          <w:highlight w:val="none"/>
        </w:rPr>
      </w:r>
      <w:r/>
    </w:p>
    <w:p>
      <w:pPr>
        <w:ind w:firstLine="890"/>
        <w:jc w:val="center"/>
        <w:rPr>
          <w:rFonts w:ascii="Arial" w:hAnsi="Arial"/>
          <w:sz w:val="44"/>
          <w:szCs w:val="44"/>
          <w:highlight w:val="none"/>
        </w:rPr>
      </w:pPr>
      <w:r>
        <w:rPr>
          <w:rFonts w:ascii="Arial" w:hAnsi="Arial"/>
          <w:sz w:val="44"/>
          <w:szCs w:val="44"/>
          <w:highlight w:val="none"/>
        </w:rPr>
        <w:t xml:space="preserve">竞争性磋商响应文件</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ind w:firstLine="570"/>
        <w:jc w:val="center"/>
        <w:rPr>
          <w:rFonts w:ascii="Arial" w:hAnsi="Arial"/>
          <w:sz w:val="28"/>
          <w:szCs w:val="28"/>
          <w:highlight w:val="none"/>
        </w:rPr>
      </w:pPr>
      <w:r>
        <w:rPr>
          <w:rFonts w:ascii="Arial" w:hAnsi="Arial"/>
          <w:sz w:val="28"/>
          <w:szCs w:val="28"/>
          <w:highlight w:val="none"/>
        </w:rPr>
        <w:t xml:space="preserve">年 月 日</w:t>
      </w:r>
      <w:r/>
    </w:p>
    <w:p>
      <w:pPr>
        <w:ind w:firstLine="430"/>
        <w:spacing w:line="360" w:lineRule="auto"/>
        <w:shd w:val="clear" w:color="auto" w:fill="ffffff"/>
        <w:widowControl/>
        <w:rPr>
          <w:rFonts w:ascii="Arial" w:hAnsi="Arial"/>
          <w:highlight w:val="none"/>
        </w:rPr>
      </w:pPr>
      <w:r>
        <w:rPr>
          <w:rFonts w:ascii="Arial" w:hAnsi="Arial"/>
          <w:highlight w:val="none"/>
        </w:rPr>
      </w:r>
      <w:r/>
    </w:p>
    <w:p>
      <w:pPr>
        <w:numPr>
          <w:ilvl w:val="0"/>
          <w:numId w:val="11"/>
        </w:numPr>
        <w:ind w:firstLine="472"/>
        <w:spacing w:line="360" w:lineRule="auto"/>
        <w:shd w:val="clear" w:color="auto" w:fill="ffffff"/>
        <w:widowControl/>
        <w:rPr>
          <w:rFonts w:ascii="Arial" w:hAnsi="Arial"/>
          <w:sz w:val="28"/>
          <w:szCs w:val="28"/>
          <w:highlight w:val="none"/>
        </w:rPr>
      </w:pPr>
      <w:r>
        <w:rPr>
          <w:rFonts w:ascii="Arial" w:hAnsi="Arial"/>
          <w:b/>
          <w:bCs/>
          <w:sz w:val="24"/>
          <w:highlight w:val="none"/>
        </w:rPr>
        <w:br w:type="page" w:clear="all"/>
      </w:r>
      <w:bookmarkStart w:id="37" w:name="_Toc534273677"/>
      <w:r/>
      <w:bookmarkEnd w:id="37"/>
      <w:r/>
      <w:bookmarkStart w:id="38" w:name="_Toc504573083"/>
      <w:r/>
      <w:bookmarkEnd w:id="38"/>
      <w:r/>
      <w:bookmarkStart w:id="39" w:name="_Toc534273800"/>
      <w:r/>
      <w:bookmarkEnd w:id="39"/>
      <w:r/>
      <w:bookmarkStart w:id="40" w:name="_Toc504056868"/>
      <w:r/>
      <w:bookmarkEnd w:id="40"/>
      <w:r/>
      <w:bookmarkStart w:id="41" w:name="_Toc504044380"/>
      <w:r/>
      <w:bookmarkEnd w:id="41"/>
      <w:r/>
      <w:bookmarkStart w:id="42" w:name="_Toc490133028"/>
      <w:r/>
      <w:bookmarkEnd w:id="42"/>
      <w:r>
        <w:rPr>
          <w:rFonts w:hint="eastAsia" w:ascii="Arial" w:hAnsi="Arial"/>
          <w:sz w:val="28"/>
          <w:szCs w:val="28"/>
          <w:highlight w:val="none"/>
        </w:rPr>
        <w:t xml:space="preserve">基本目录</w:t>
      </w:r>
      <w:r/>
    </w:p>
    <w:p>
      <w:pPr>
        <w:ind w:firstLine="570"/>
        <w:rPr>
          <w:rFonts w:ascii="Arial" w:hAnsi="Arial"/>
          <w:sz w:val="28"/>
          <w:szCs w:val="28"/>
          <w:highlight w:val="none"/>
        </w:rPr>
        <w:outlineLvl w:val="2"/>
      </w:pPr>
      <w:r/>
      <w:bookmarkStart w:id="43" w:name="_Toc10774"/>
      <w:r>
        <w:rPr>
          <w:rFonts w:hint="eastAsia" w:ascii="Arial" w:hAnsi="Arial"/>
          <w:sz w:val="28"/>
          <w:szCs w:val="28"/>
          <w:highlight w:val="none"/>
        </w:rPr>
        <w:t xml:space="preserve">1、磋商报价表</w:t>
      </w:r>
      <w:bookmarkEnd w:id="43"/>
      <w:r/>
      <w:r/>
    </w:p>
    <w:p>
      <w:pPr>
        <w:ind w:firstLine="733"/>
        <w:jc w:val="center"/>
        <w:rPr>
          <w:rFonts w:ascii="Arial" w:hAnsi="Arial"/>
          <w:b/>
          <w:sz w:val="36"/>
          <w:szCs w:val="36"/>
          <w:highlight w:val="none"/>
        </w:rPr>
      </w:pPr>
      <w:r>
        <w:rPr>
          <w:rFonts w:ascii="Arial" w:hAnsi="Arial"/>
          <w:b/>
          <w:sz w:val="36"/>
          <w:szCs w:val="36"/>
          <w:highlight w:val="none"/>
        </w:rPr>
        <w:t xml:space="preserve">磋商报价表</w:t>
      </w:r>
      <w:r/>
    </w:p>
    <w:p>
      <w:pPr>
        <w:pStyle w:val="1057"/>
        <w:ind w:firstLine="430"/>
        <w:widowControl/>
        <w:rPr>
          <w:sz w:val="21"/>
          <w:szCs w:val="21"/>
          <w:highlight w:val="none"/>
        </w:rPr>
      </w:pPr>
      <w:r>
        <w:rPr>
          <w:sz w:val="21"/>
          <w:szCs w:val="21"/>
          <w:highlight w:val="none"/>
        </w:rPr>
        <w:t xml:space="preserve">本次为首次报价                                  货币单位：人民币元</w:t>
      </w:r>
      <w:r/>
    </w:p>
    <w:p>
      <w:pPr>
        <w:pStyle w:val="1057"/>
        <w:ind w:firstLine="430"/>
        <w:widowControl/>
        <w:rPr>
          <w:sz w:val="21"/>
          <w:szCs w:val="21"/>
          <w:highlight w:val="none"/>
        </w:rPr>
      </w:pPr>
      <w:r>
        <w:rPr>
          <w:sz w:val="21"/>
          <w:szCs w:val="21"/>
          <w:highlight w:val="none"/>
        </w:rPr>
        <w:t xml:space="preserve">项目编号：项目编号 </w:t>
      </w:r>
      <w:r/>
    </w:p>
    <w:tbl>
      <w:tblPr>
        <w:tblStyle w:val="81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41"/>
        <w:gridCol w:w="2435"/>
        <w:gridCol w:w="3616"/>
      </w:tblGrid>
      <w:tr>
        <w:trPr>
          <w:tblCellSpacing w:w="15" w:type="dxa"/>
        </w:trPr>
        <w:tc>
          <w:tcPr>
            <w:tcW w:w="2459" w:type="dxa"/>
            <w:vAlign w:val="center"/>
            <w:textDirection w:val="lrTb"/>
            <w:noWrap w:val="false"/>
          </w:tcPr>
          <w:p>
            <w:pPr>
              <w:pStyle w:val="1057"/>
              <w:ind w:firstLine="430"/>
              <w:widowControl/>
              <w:rPr>
                <w:sz w:val="21"/>
                <w:szCs w:val="21"/>
                <w:highlight w:val="none"/>
              </w:rPr>
            </w:pPr>
            <w:r>
              <w:rPr>
                <w:sz w:val="21"/>
                <w:szCs w:val="21"/>
                <w:highlight w:val="none"/>
              </w:rPr>
              <w:t xml:space="preserve">项目名称</w:t>
            </w:r>
            <w:r/>
          </w:p>
        </w:tc>
        <w:tc>
          <w:tcPr>
            <w:tcW w:w="2470" w:type="dxa"/>
            <w:vAlign w:val="center"/>
            <w:textDirection w:val="lrTb"/>
            <w:noWrap w:val="false"/>
          </w:tcPr>
          <w:p>
            <w:pPr>
              <w:pStyle w:val="1057"/>
              <w:ind w:firstLine="430"/>
              <w:widowControl/>
              <w:rPr>
                <w:sz w:val="21"/>
                <w:szCs w:val="21"/>
                <w:highlight w:val="none"/>
              </w:rPr>
            </w:pPr>
            <w:r>
              <w:rPr>
                <w:sz w:val="21"/>
                <w:szCs w:val="21"/>
                <w:highlight w:val="none"/>
              </w:rPr>
              <w:t xml:space="preserve">项目内容</w:t>
            </w:r>
            <w:r/>
          </w:p>
        </w:tc>
        <w:tc>
          <w:tcPr>
            <w:tcW w:w="3678" w:type="dxa"/>
            <w:vAlign w:val="center"/>
            <w:textDirection w:val="lrTb"/>
            <w:noWrap w:val="false"/>
          </w:tcPr>
          <w:p>
            <w:pPr>
              <w:pStyle w:val="1057"/>
              <w:ind w:firstLine="430"/>
              <w:widowControl/>
              <w:rPr>
                <w:sz w:val="21"/>
                <w:szCs w:val="21"/>
                <w:highlight w:val="none"/>
              </w:rPr>
            </w:pPr>
            <w:r>
              <w:rPr>
                <w:sz w:val="21"/>
                <w:szCs w:val="21"/>
                <w:highlight w:val="none"/>
              </w:rPr>
              <w:t xml:space="preserve">总价（小写）</w:t>
            </w:r>
            <w:r/>
          </w:p>
        </w:tc>
      </w:tr>
      <w:tr>
        <w:trPr>
          <w:tblCellSpacing w:w="15" w:type="dxa"/>
        </w:trPr>
        <w:tc>
          <w:tcPr>
            <w:tcW w:w="2459" w:type="dxa"/>
            <w:vAlign w:val="center"/>
            <w:textDirection w:val="lrTb"/>
            <w:noWrap w:val="false"/>
          </w:tcPr>
          <w:p>
            <w:pPr>
              <w:pStyle w:val="1057"/>
              <w:ind w:firstLine="430"/>
              <w:widowControl/>
              <w:rPr>
                <w:sz w:val="21"/>
                <w:szCs w:val="21"/>
                <w:highlight w:val="none"/>
              </w:rPr>
            </w:pPr>
            <w:r>
              <w:rPr>
                <w:sz w:val="21"/>
                <w:szCs w:val="21"/>
                <w:highlight w:val="none"/>
              </w:rPr>
              <w:t xml:space="preserve"> 项目名称 </w:t>
            </w:r>
            <w:r/>
          </w:p>
        </w:tc>
        <w:tc>
          <w:tcPr>
            <w:tcW w:w="2470" w:type="dxa"/>
            <w:vAlign w:val="center"/>
            <w:textDirection w:val="lrTb"/>
            <w:noWrap w:val="false"/>
          </w:tcPr>
          <w:p>
            <w:pPr>
              <w:pStyle w:val="1057"/>
              <w:ind w:firstLine="430"/>
              <w:widowControl/>
              <w:rPr>
                <w:sz w:val="21"/>
                <w:szCs w:val="21"/>
                <w:highlight w:val="none"/>
              </w:rPr>
            </w:pPr>
            <w:r>
              <w:rPr>
                <w:sz w:val="21"/>
                <w:szCs w:val="21"/>
                <w:highlight w:val="none"/>
              </w:rPr>
              <w:t xml:space="preserve">详见响应文件</w:t>
            </w:r>
            <w:r/>
          </w:p>
        </w:tc>
        <w:tc>
          <w:tcPr>
            <w:tcW w:w="3678" w:type="dxa"/>
            <w:vAlign w:val="center"/>
            <w:textDirection w:val="lrTb"/>
            <w:noWrap w:val="false"/>
          </w:tcPr>
          <w:p>
            <w:pPr>
              <w:pStyle w:val="1057"/>
              <w:ind w:firstLine="430"/>
              <w:widowControl/>
              <w:rPr>
                <w:rFonts w:eastAsia="宋体"/>
                <w:sz w:val="21"/>
                <w:szCs w:val="21"/>
                <w:highlight w:val="none"/>
                <w:lang w:val="en-US" w:eastAsia="zh-CN"/>
              </w:rPr>
            </w:pPr>
            <w:r>
              <w:rPr>
                <w:sz w:val="21"/>
                <w:szCs w:val="21"/>
                <w:highlight w:val="none"/>
              </w:rPr>
              <w:t xml:space="preserve"> 元</w:t>
            </w:r>
            <w:r/>
          </w:p>
        </w:tc>
      </w:tr>
      <w:tr>
        <w:trPr>
          <w:tblCellSpacing w:w="15" w:type="dxa"/>
        </w:trPr>
        <w:tc>
          <w:tcPr>
            <w:tcW w:w="2459" w:type="dxa"/>
            <w:vAlign w:val="center"/>
            <w:textDirection w:val="lrTb"/>
            <w:noWrap w:val="false"/>
          </w:tcPr>
          <w:p>
            <w:pPr>
              <w:pStyle w:val="1057"/>
              <w:ind w:firstLine="430"/>
              <w:widowControl/>
              <w:rPr>
                <w:sz w:val="21"/>
                <w:szCs w:val="21"/>
                <w:highlight w:val="none"/>
              </w:rPr>
            </w:pPr>
            <w:r>
              <w:rPr>
                <w:sz w:val="21"/>
                <w:szCs w:val="21"/>
                <w:highlight w:val="none"/>
              </w:rPr>
              <w:t xml:space="preserve">总价（大写）：</w:t>
            </w:r>
            <w:r/>
          </w:p>
        </w:tc>
        <w:tc>
          <w:tcPr>
            <w:gridSpan w:val="2"/>
            <w:tcW w:w="6159" w:type="dxa"/>
            <w:vAlign w:val="center"/>
            <w:textDirection w:val="lrTb"/>
            <w:noWrap w:val="false"/>
          </w:tcPr>
          <w:p>
            <w:pPr>
              <w:pStyle w:val="1057"/>
              <w:ind w:firstLine="430"/>
              <w:widowControl/>
              <w:rPr>
                <w:sz w:val="21"/>
                <w:szCs w:val="21"/>
                <w:highlight w:val="none"/>
              </w:rPr>
            </w:pPr>
            <w:r>
              <w:rPr>
                <w:sz w:val="21"/>
                <w:szCs w:val="21"/>
                <w:highlight w:val="none"/>
              </w:rPr>
              <w:t xml:space="preserve">金额大写 </w:t>
            </w:r>
            <w:r/>
          </w:p>
        </w:tc>
      </w:tr>
    </w:tbl>
    <w:p>
      <w:pPr>
        <w:pStyle w:val="1057"/>
        <w:ind w:firstLine="430"/>
        <w:widowControl/>
        <w:rPr>
          <w:sz w:val="21"/>
          <w:szCs w:val="21"/>
          <w:highlight w:val="none"/>
        </w:rPr>
      </w:pPr>
      <w:r>
        <w:rPr>
          <w:sz w:val="21"/>
          <w:szCs w:val="21"/>
          <w:highlight w:val="none"/>
        </w:rPr>
        <w:t xml:space="preserve">报价说明：</w:t>
      </w:r>
      <w:r/>
    </w:p>
    <w:p>
      <w:pPr>
        <w:pStyle w:val="1057"/>
        <w:ind w:firstLine="430"/>
        <w:widowControl/>
        <w:rPr>
          <w:sz w:val="21"/>
          <w:szCs w:val="21"/>
          <w:highlight w:val="none"/>
        </w:rPr>
      </w:pPr>
      <w:r>
        <w:rPr>
          <w:sz w:val="21"/>
          <w:szCs w:val="21"/>
          <w:highlight w:val="none"/>
        </w:rPr>
        <w:t xml:space="preserve">1、报价包括完成项目的所有费用。采购人不再支付报价以外的任何费用。</w:t>
      </w:r>
      <w:r/>
    </w:p>
    <w:p>
      <w:pPr>
        <w:pStyle w:val="1057"/>
        <w:ind w:firstLine="430"/>
        <w:widowControl/>
        <w:rPr>
          <w:sz w:val="21"/>
          <w:szCs w:val="21"/>
          <w:highlight w:val="none"/>
        </w:rPr>
      </w:pPr>
      <w:r>
        <w:rPr>
          <w:sz w:val="21"/>
          <w:szCs w:val="21"/>
          <w:highlight w:val="none"/>
        </w:rPr>
        <w:t xml:space="preserve">2、报价以总价为准，大小写不一致以大写为准；</w:t>
      </w:r>
      <w:r/>
    </w:p>
    <w:p>
      <w:pPr>
        <w:pStyle w:val="1057"/>
        <w:ind w:firstLine="430"/>
        <w:widowControl/>
        <w:rPr>
          <w:sz w:val="21"/>
          <w:szCs w:val="21"/>
          <w:highlight w:val="none"/>
        </w:rPr>
      </w:pPr>
      <w:r>
        <w:rPr>
          <w:sz w:val="21"/>
          <w:szCs w:val="21"/>
          <w:highlight w:val="none"/>
        </w:rPr>
        <w:t xml:space="preserve">3、偏离说明：详见《偏离表》；</w:t>
      </w:r>
      <w:r/>
    </w:p>
    <w:p>
      <w:pPr>
        <w:pStyle w:val="1057"/>
        <w:ind w:firstLine="430"/>
        <w:widowControl/>
        <w:rPr>
          <w:sz w:val="21"/>
          <w:szCs w:val="21"/>
          <w:highlight w:val="none"/>
        </w:rPr>
      </w:pPr>
      <w:r>
        <w:rPr>
          <w:sz w:val="21"/>
          <w:szCs w:val="21"/>
          <w:highlight w:val="none"/>
        </w:rPr>
        <w:t xml:space="preserve">供应商（电子签章）：</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4" w:name="_Toc9113"/>
      <w:r>
        <w:rPr>
          <w:rFonts w:hint="eastAsia" w:ascii="Arial" w:hAnsi="Arial"/>
          <w:sz w:val="28"/>
          <w:szCs w:val="28"/>
          <w:highlight w:val="none"/>
        </w:rPr>
        <w:t xml:space="preserve">2、分项报价表</w:t>
      </w:r>
      <w:bookmarkEnd w:id="44"/>
      <w:r/>
      <w:r/>
    </w:p>
    <w:p>
      <w:pPr>
        <w:jc w:val="center"/>
        <w:spacing w:line="360" w:lineRule="auto"/>
        <w:shd w:val="clear" w:color="auto" w:fill="ffffff"/>
        <w:widowControl/>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 xml:space="preserve">已标价工程量清单（按工程量清单报价）</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已标价工程量清单与招标文件规定的暂估价、暂列金额及甲供材料价格一致；</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已标价工程量清单与招标文件明确列出的不可竞争费用项目或费率或计算基础一致的；</w:t>
      </w:r>
      <w:r/>
    </w:p>
    <w:p>
      <w:pPr>
        <w:jc w:val="left"/>
        <w:spacing w:line="360" w:lineRule="auto"/>
        <w:shd w:val="clear" w:color="auto" w:fill="ffffff"/>
        <w:widowControl/>
        <w:rPr>
          <w:rFonts w:ascii="宋体" w:hAnsi="宋体" w:cs="宋体"/>
          <w:szCs w:val="21"/>
          <w:highlight w:val="none"/>
        </w:rPr>
      </w:pPr>
      <w:r>
        <w:rPr>
          <w:rFonts w:hint="eastAsia" w:ascii="Arial" w:hAnsi="宋体" w:cs="Arial"/>
          <w:b/>
          <w:szCs w:val="21"/>
          <w:highlight w:val="none"/>
        </w:rPr>
        <w:t xml:space="preserve">已标价工程量清单与招标文件提供的工程量清单中的项目编码、项目名称、项目特征、计量单位、工程量一致的（措施项目增项除外）；</w:t>
      </w:r>
      <w:r/>
    </w:p>
    <w:p>
      <w:pPr>
        <w:pStyle w:val="1072"/>
        <w:rPr>
          <w:highlight w:val="none"/>
        </w:rPr>
      </w:pPr>
      <w:r>
        <w:rPr>
          <w:highlight w:val="none"/>
        </w:rPr>
      </w:r>
      <w:r/>
    </w:p>
    <w:p>
      <w:pPr>
        <w:ind w:firstLine="430"/>
        <w:jc w:val="left"/>
        <w:spacing w:line="360" w:lineRule="auto"/>
        <w:shd w:val="clear" w:color="auto" w:fill="ffffff"/>
        <w:widowControl/>
        <w:rPr>
          <w:rFonts w:hint="eastAsia" w:ascii="Arial" w:hAnsi="Arial"/>
          <w:b/>
          <w:bCs/>
          <w:szCs w:val="21"/>
          <w:highlight w:val="none"/>
          <w:lang w:val="en-US" w:eastAsia="zh-CN"/>
        </w:rPr>
      </w:pPr>
      <w:r>
        <w:rPr>
          <w:rFonts w:hint="eastAsia" w:ascii="Arial" w:hAnsi="Arial"/>
          <w:b/>
          <w:bCs/>
          <w:szCs w:val="21"/>
          <w:highlight w:val="none"/>
          <w:lang w:val="en-US" w:eastAsia="zh-CN"/>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5" w:name="_Toc11217"/>
      <w:r>
        <w:rPr>
          <w:rFonts w:hint="eastAsia" w:ascii="Arial" w:hAnsi="Arial"/>
          <w:sz w:val="28"/>
          <w:szCs w:val="28"/>
          <w:highlight w:val="none"/>
        </w:rPr>
        <w:t xml:space="preserve">3、竞争性磋商申请及声明</w:t>
      </w:r>
      <w:bookmarkEnd w:id="45"/>
      <w:r/>
      <w:r/>
    </w:p>
    <w:p>
      <w:pPr>
        <w:ind w:firstLine="430"/>
        <w:rPr>
          <w:rFonts w:ascii="Arial" w:hAnsi="Arial"/>
          <w:szCs w:val="21"/>
          <w:highlight w:val="none"/>
          <w:lang w:val="zh-CN"/>
        </w:rPr>
      </w:pPr>
      <w:r>
        <w:rPr>
          <w:rFonts w:ascii="Arial" w:hAnsi="Arial"/>
          <w:szCs w:val="21"/>
          <w:highlight w:val="none"/>
          <w:lang w:val="zh-CN"/>
        </w:rPr>
      </w:r>
      <w:r/>
    </w:p>
    <w:p>
      <w:pPr>
        <w:ind w:firstLine="733"/>
        <w:jc w:val="center"/>
        <w:rPr>
          <w:rFonts w:ascii="Arial" w:hAnsi="Arial"/>
          <w:b/>
          <w:sz w:val="36"/>
          <w:szCs w:val="36"/>
          <w:highlight w:val="none"/>
        </w:rPr>
      </w:pPr>
      <w:r>
        <w:rPr>
          <w:rFonts w:ascii="Arial" w:hAnsi="Arial"/>
          <w:b/>
          <w:sz w:val="36"/>
          <w:szCs w:val="36"/>
          <w:highlight w:val="none"/>
        </w:rPr>
        <w:t xml:space="preserve">竞争性磋商申请及声明</w:t>
      </w:r>
      <w:r/>
    </w:p>
    <w:p>
      <w:pPr>
        <w:ind w:firstLine="430"/>
        <w:jc w:val="center"/>
        <w:rPr>
          <w:rFonts w:ascii="Arial" w:hAnsi="Arial"/>
          <w:szCs w:val="21"/>
          <w:highlight w:val="none"/>
        </w:rPr>
      </w:pPr>
      <w:r>
        <w:rPr>
          <w:rFonts w:ascii="Arial" w:hAnsi="Arial"/>
          <w:szCs w:val="21"/>
          <w:highlight w:val="none"/>
        </w:rPr>
      </w:r>
      <w:r/>
    </w:p>
    <w:p>
      <w:pPr>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3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30"/>
        <w:spacing w:line="440" w:lineRule="exact"/>
        <w:shd w:val="clear" w:color="auto" w:fill="ffffff"/>
        <w:widowControl/>
        <w:rPr>
          <w:rFonts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ind w:firstLine="430"/>
        <w:rPr>
          <w:rFonts w:ascii="Arial" w:hAnsi="Arial"/>
          <w:szCs w:val="21"/>
          <w:highlight w:val="none"/>
          <w:lang w:val="zh-CN"/>
        </w:rPr>
        <w:outlineLvl w:val="2"/>
      </w:pPr>
      <w:r/>
      <w:bookmarkStart w:id="46" w:name="_Toc504573084"/>
      <w:r/>
      <w:bookmarkEnd w:id="46"/>
      <w:r/>
      <w:bookmarkStart w:id="47" w:name="_Toc534273678"/>
      <w:r/>
      <w:bookmarkEnd w:id="47"/>
      <w:r/>
      <w:bookmarkStart w:id="48" w:name="_Toc490133029"/>
      <w:r/>
      <w:bookmarkEnd w:id="48"/>
      <w:r/>
      <w:bookmarkStart w:id="49" w:name="_Toc534273801"/>
      <w:r/>
      <w:bookmarkEnd w:id="49"/>
      <w:r/>
      <w:bookmarkStart w:id="50" w:name="_Toc504056869"/>
      <w:r/>
      <w:bookmarkEnd w:id="50"/>
      <w:r/>
      <w:bookmarkStart w:id="51" w:name="_Toc504044381"/>
      <w:r/>
      <w:bookmarkEnd w:id="51"/>
      <w:r>
        <w:rPr>
          <w:rFonts w:ascii="Arial" w:hAnsi="Arial"/>
          <w:szCs w:val="21"/>
          <w:highlight w:val="none"/>
          <w:lang w:val="zh-CN"/>
        </w:rPr>
        <w:br w:type="page" w:clear="all"/>
      </w:r>
      <w:bookmarkStart w:id="52" w:name="_Toc10899"/>
      <w:r>
        <w:rPr>
          <w:rFonts w:hint="eastAsia" w:ascii="Arial" w:hAnsi="Arial"/>
          <w:sz w:val="28"/>
          <w:szCs w:val="28"/>
          <w:highlight w:val="none"/>
        </w:rPr>
        <w:t xml:space="preserve">4、授权书</w:t>
      </w:r>
      <w:bookmarkEnd w:id="52"/>
      <w:r/>
      <w:r/>
    </w:p>
    <w:p>
      <w:pPr>
        <w:ind w:firstLine="431"/>
        <w:rPr>
          <w:rFonts w:ascii="Arial" w:hAnsi="Arial"/>
          <w:b/>
          <w:szCs w:val="21"/>
          <w:highlight w:val="none"/>
          <w:lang w:val="zh-CN"/>
        </w:rPr>
      </w:pPr>
      <w:r>
        <w:rPr>
          <w:rFonts w:ascii="Arial" w:hAnsi="Arial"/>
          <w:b/>
          <w:szCs w:val="21"/>
          <w:highlight w:val="none"/>
          <w:lang w:val="zh-CN"/>
        </w:rPr>
      </w:r>
      <w:r/>
    </w:p>
    <w:p>
      <w:pPr>
        <w:ind w:firstLine="733"/>
        <w:jc w:val="center"/>
        <w:rPr>
          <w:rFonts w:ascii="Arial" w:hAnsi="Arial"/>
          <w:b/>
          <w:sz w:val="36"/>
          <w:szCs w:val="36"/>
          <w:highlight w:val="none"/>
        </w:rPr>
      </w:pPr>
      <w:r>
        <w:rPr>
          <w:rFonts w:hint="eastAsia" w:ascii="Arial" w:hAnsi="Arial"/>
          <w:b/>
          <w:sz w:val="36"/>
          <w:szCs w:val="36"/>
          <w:highlight w:val="none"/>
        </w:rPr>
        <w:t xml:space="preserve"> 法人授权书</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0"/>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ind w:firstLine="420"/>
        <w:jc w:val="left"/>
        <w:spacing w:line="360" w:lineRule="auto"/>
        <w:shd w:val="clear" w:color="auto" w:fill="ffffff"/>
        <w:widowControl/>
        <w:rPr>
          <w:rFonts w:ascii="Arial" w:hAnsi="Arial"/>
          <w:b/>
          <w:bCs/>
          <w:szCs w:val="21"/>
          <w:highlight w:val="none"/>
        </w:rPr>
      </w:pPr>
      <w:r/>
      <w:bookmarkStart w:id="53" w:name="_Toc490133030"/>
      <w:r/>
      <w:bookmarkEnd w:id="53"/>
      <w:r/>
      <w:bookmarkStart w:id="54" w:name="_Toc504573085"/>
      <w:r/>
      <w:bookmarkEnd w:id="54"/>
      <w:r/>
      <w:bookmarkStart w:id="55" w:name="_Toc534273802"/>
      <w:r/>
      <w:bookmarkEnd w:id="55"/>
      <w:r/>
      <w:bookmarkStart w:id="56" w:name="_Toc504044382"/>
      <w:r/>
      <w:bookmarkEnd w:id="56"/>
      <w:r/>
      <w:bookmarkStart w:id="57" w:name="_Toc534273679"/>
      <w:r/>
      <w:bookmarkEnd w:id="57"/>
      <w:r/>
      <w:bookmarkStart w:id="58" w:name="_Toc504056870"/>
      <w:r/>
      <w:bookmarkEnd w:id="58"/>
      <w:r>
        <w:rPr>
          <w:highlight w:val="none"/>
          <w:lang w:val="zh-CN"/>
        </w:rPr>
        <w:br w:type="page" w:clear="all"/>
      </w:r>
      <w:r/>
    </w:p>
    <w:p>
      <w:pPr>
        <w:ind w:firstLine="570"/>
        <w:rPr>
          <w:rFonts w:ascii="Arial" w:hAnsi="Arial"/>
          <w:szCs w:val="21"/>
          <w:highlight w:val="none"/>
        </w:rPr>
        <w:outlineLvl w:val="2"/>
      </w:pPr>
      <w:r/>
      <w:bookmarkStart w:id="59" w:name="_Toc18173"/>
      <w:r/>
      <w:bookmarkStart w:id="60" w:name="_Toc534273682"/>
      <w:r/>
      <w:bookmarkStart w:id="61" w:name="_Toc490133032"/>
      <w:r/>
      <w:bookmarkStart w:id="62" w:name="_Toc504044384"/>
      <w:r/>
      <w:bookmarkStart w:id="63" w:name="_Toc534273804"/>
      <w:r/>
      <w:bookmarkStart w:id="64" w:name="_Toc504056872"/>
      <w:r/>
      <w:bookmarkStart w:id="65" w:name="_Toc534273805"/>
      <w:r/>
      <w:bookmarkStart w:id="66" w:name="_Toc534273681"/>
      <w:r/>
      <w:bookmarkStart w:id="67" w:name="_Toc504573087"/>
      <w:r>
        <w:rPr>
          <w:rFonts w:hint="eastAsia" w:ascii="Arial" w:hAnsi="Arial"/>
          <w:sz w:val="28"/>
          <w:szCs w:val="28"/>
          <w:highlight w:val="none"/>
        </w:rPr>
        <w:t xml:space="preserve">5、商务条款偏离表</w:t>
      </w:r>
      <w:bookmarkEnd w:id="59"/>
      <w:r/>
      <w:r/>
    </w:p>
    <w:p>
      <w:pPr>
        <w:ind w:firstLine="430"/>
        <w:rPr>
          <w:rFonts w:ascii="Arial" w:hAnsi="Arial"/>
          <w:szCs w:val="21"/>
          <w:highlight w:val="none"/>
          <w:lang w:val="zh-CN"/>
        </w:rPr>
      </w:pPr>
      <w:r>
        <w:rPr>
          <w:rFonts w:ascii="Arial" w:hAnsi="Arial"/>
          <w:szCs w:val="21"/>
          <w:highlight w:val="none"/>
          <w:lang w:val="zh-CN"/>
        </w:rPr>
      </w:r>
      <w:r/>
    </w:p>
    <w:p>
      <w:pPr>
        <w:ind w:firstLine="733"/>
        <w:jc w:val="center"/>
        <w:spacing w:before="312" w:line="360" w:lineRule="auto"/>
        <w:shd w:val="clear" w:color="auto" w:fill="ffffff"/>
        <w:widowControl/>
        <w:rPr>
          <w:rFonts w:ascii="Arial" w:hAnsi="Arial"/>
          <w:b/>
          <w:sz w:val="36"/>
          <w:szCs w:val="36"/>
          <w:highlight w:val="none"/>
        </w:rPr>
      </w:pPr>
      <w:r>
        <w:rPr>
          <w:rFonts w:hint="eastAsia" w:ascii="Arial" w:hAnsi="Arial"/>
          <w:b/>
          <w:sz w:val="36"/>
          <w:szCs w:val="36"/>
          <w:highlight w:val="none"/>
        </w:rPr>
        <w:t xml:space="preserve">商务条款偏离表</w:t>
      </w:r>
      <w:r/>
    </w:p>
    <w:p>
      <w:pPr>
        <w:ind w:firstLine="430"/>
        <w:rPr>
          <w:rFonts w:ascii="Arial" w:hAnsi="Arial"/>
          <w:szCs w:val="21"/>
          <w:highlight w:val="none"/>
          <w:lang w:val="zh-CN"/>
        </w:rPr>
      </w:pPr>
      <w:r>
        <w:rPr>
          <w:rFonts w:ascii="Arial" w:hAnsi="Arial"/>
          <w:szCs w:val="21"/>
          <w:highlight w:val="none"/>
          <w:lang w:val="zh-CN"/>
        </w:rPr>
      </w:r>
      <w:r/>
    </w:p>
    <w:tbl>
      <w:tblPr>
        <w:tblStyle w:val="81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bookmarkEnd w:id="60"/>
      <w:bookmarkEnd w:id="61"/>
      <w:bookmarkEnd w:id="62"/>
      <w:bookmarkEnd w:id="63"/>
      <w:bookmarkEnd w:id="64"/>
      <w:bookmarkEnd w:id="65"/>
      <w:bookmarkEnd w:id="66"/>
      <w:bookmarkEnd w:id="67"/>
      <w:r/>
    </w:p>
    <w:p>
      <w:pPr>
        <w:ind w:firstLine="431"/>
        <w:rPr>
          <w:rFonts w:ascii="Arial" w:hAnsi="Arial"/>
          <w:sz w:val="28"/>
          <w:szCs w:val="28"/>
          <w:highlight w:val="none"/>
        </w:rPr>
        <w:outlineLvl w:val="2"/>
      </w:pPr>
      <w:r>
        <w:rPr>
          <w:rFonts w:ascii="Arial" w:hAnsi="Arial"/>
          <w:b/>
          <w:bCs/>
          <w:szCs w:val="21"/>
          <w:highlight w:val="none"/>
        </w:rPr>
        <w:br w:type="page" w:clear="all"/>
      </w:r>
      <w:bookmarkStart w:id="68" w:name="_Toc19168"/>
      <w:r>
        <w:rPr>
          <w:rFonts w:hint="eastAsia" w:ascii="Arial" w:hAnsi="Arial"/>
          <w:sz w:val="28"/>
          <w:szCs w:val="28"/>
          <w:highlight w:val="none"/>
        </w:rPr>
        <w:t xml:space="preserve">6、</w:t>
      </w:r>
      <w:bookmarkEnd w:id="68"/>
      <w:r>
        <w:rPr>
          <w:rFonts w:hint="eastAsia" w:ascii="Arial" w:hAnsi="Arial"/>
          <w:sz w:val="28"/>
          <w:szCs w:val="28"/>
          <w:highlight w:val="none"/>
        </w:rPr>
        <w:t xml:space="preserve">采购需求条款偏离表</w:t>
      </w:r>
      <w:r/>
    </w:p>
    <w:p>
      <w:pPr>
        <w:ind w:firstLine="431"/>
        <w:spacing w:before="312" w:after="312"/>
        <w:rPr>
          <w:rFonts w:ascii="Arial" w:hAnsi="Arial"/>
          <w:b/>
          <w:bCs/>
          <w:szCs w:val="21"/>
          <w:highlight w:val="none"/>
        </w:rPr>
      </w:pPr>
      <w:r>
        <w:rPr>
          <w:rFonts w:ascii="Arial" w:hAnsi="Arial"/>
          <w:b/>
          <w:bCs/>
          <w:szCs w:val="21"/>
          <w:highlight w:val="none"/>
        </w:rPr>
      </w:r>
      <w:r/>
    </w:p>
    <w:p>
      <w:pPr>
        <w:ind w:firstLine="431"/>
        <w:rPr>
          <w:rFonts w:ascii="Arial" w:hAnsi="Arial"/>
          <w:b/>
          <w:szCs w:val="21"/>
          <w:highlight w:val="none"/>
        </w:rPr>
      </w:pPr>
      <w:r>
        <w:rPr>
          <w:rFonts w:ascii="Arial" w:hAnsi="Arial"/>
          <w:b/>
          <w:szCs w:val="21"/>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ind w:firstLine="430"/>
        <w:rPr>
          <w:rFonts w:ascii="Arial" w:hAnsi="Arial"/>
          <w:szCs w:val="21"/>
          <w:highlight w:val="none"/>
          <w:lang w:val="zh-CN"/>
        </w:rPr>
      </w:pPr>
      <w:r>
        <w:rPr>
          <w:rFonts w:ascii="Arial" w:hAnsi="Arial"/>
          <w:szCs w:val="21"/>
          <w:highlight w:val="none"/>
          <w:lang w:val="zh-CN"/>
        </w:rPr>
        <w:t xml:space="preserve">                        </w:t>
      </w:r>
      <w:r/>
    </w:p>
    <w:p>
      <w:pPr>
        <w:ind w:firstLine="430"/>
        <w:rPr>
          <w:rFonts w:ascii="Arial" w:hAnsi="Arial"/>
          <w:szCs w:val="21"/>
          <w:highlight w:val="none"/>
        </w:rPr>
      </w:pPr>
      <w:r>
        <w:rPr>
          <w:rFonts w:ascii="Arial" w:hAnsi="Arial"/>
          <w:szCs w:val="21"/>
          <w:highlight w:val="none"/>
        </w:rPr>
        <w:t xml:space="preserve">                                         </w:t>
      </w:r>
      <w:r/>
    </w:p>
    <w:tbl>
      <w:tblPr>
        <w:tblStyle w:val="81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1"/>
              <w:jc w:val="center"/>
              <w:rPr>
                <w:rFonts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rPr>
          <w:rFonts w:ascii="Arial" w:hAnsi="Arial"/>
          <w:szCs w:val="21"/>
          <w:highlight w:val="none"/>
          <w:lang w:val="zh-CN"/>
        </w:rPr>
      </w:pPr>
      <w:r>
        <w:rPr>
          <w:rFonts w:ascii="Arial" w:hAnsi="Arial"/>
          <w:szCs w:val="21"/>
          <w:highlight w:val="none"/>
          <w:lang w:val="zh-CN"/>
        </w:rPr>
      </w:r>
      <w:r/>
    </w:p>
    <w:p>
      <w:pPr>
        <w:pStyle w:val="1138"/>
        <w:ind w:firstLine="430"/>
        <w:rPr>
          <w:highlight w:val="none"/>
          <w:lang w:val="zh-CN"/>
        </w:rPr>
      </w:pPr>
      <w:r>
        <w:rPr>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rPr>
      </w:pPr>
      <w:r>
        <w:rPr>
          <w:rFonts w:ascii="Arial" w:hAnsi="Arial"/>
          <w:szCs w:val="21"/>
          <w:highlight w:val="none"/>
        </w:rPr>
        <w:br w:type="page" w:clear="all"/>
      </w:r>
      <w:r/>
    </w:p>
    <w:p>
      <w:pPr>
        <w:ind w:firstLine="430"/>
        <w:rPr>
          <w:rFonts w:ascii="Arial" w:hAnsi="Arial"/>
          <w:szCs w:val="21"/>
          <w:highlight w:val="none"/>
        </w:rPr>
      </w:pPr>
      <w:r>
        <w:rPr>
          <w:rFonts w:ascii="Arial" w:hAnsi="Arial"/>
          <w:szCs w:val="21"/>
          <w:highlight w:val="none"/>
        </w:rPr>
      </w:r>
      <w:r/>
    </w:p>
    <w:p>
      <w:pPr>
        <w:ind w:firstLine="570"/>
        <w:rPr>
          <w:rFonts w:ascii="Arial" w:hAnsi="Arial"/>
          <w:sz w:val="28"/>
          <w:szCs w:val="28"/>
          <w:highlight w:val="none"/>
        </w:rPr>
      </w:pPr>
      <w:r/>
      <w:bookmarkStart w:id="69" w:name="_Toc534273806"/>
      <w:r/>
      <w:bookmarkEnd w:id="69"/>
      <w:r/>
      <w:bookmarkStart w:id="70" w:name="_Toc504573088"/>
      <w:r/>
      <w:bookmarkEnd w:id="70"/>
      <w:r/>
      <w:bookmarkStart w:id="71" w:name="_Toc504573089"/>
      <w:r/>
      <w:bookmarkEnd w:id="71"/>
      <w:r/>
      <w:bookmarkStart w:id="72" w:name="_Toc504056873"/>
      <w:r/>
      <w:bookmarkEnd w:id="72"/>
      <w:r/>
      <w:bookmarkStart w:id="73" w:name="_Toc490133033"/>
      <w:r/>
      <w:bookmarkEnd w:id="73"/>
      <w:r/>
      <w:bookmarkStart w:id="74" w:name="_Toc504044385"/>
      <w:r/>
      <w:bookmarkEnd w:id="74"/>
      <w:r/>
      <w:bookmarkStart w:id="75" w:name="_Toc504044386"/>
      <w:r/>
      <w:bookmarkEnd w:id="75"/>
      <w:r/>
      <w:bookmarkStart w:id="76" w:name="_Toc504056874"/>
      <w:r/>
      <w:bookmarkEnd w:id="76"/>
      <w:r/>
      <w:bookmarkStart w:id="77" w:name="_Toc534273683"/>
      <w:r/>
      <w:bookmarkEnd w:id="77"/>
      <w:r/>
      <w:bookmarkStart w:id="78" w:name="_Toc490133034"/>
      <w:r/>
      <w:bookmarkEnd w:id="78"/>
      <w:r>
        <w:rPr>
          <w:rFonts w:hint="eastAsia" w:ascii="Arial" w:hAnsi="Arial"/>
          <w:sz w:val="28"/>
          <w:szCs w:val="28"/>
          <w:highlight w:val="none"/>
        </w:rPr>
        <w:t xml:space="preserve">7、其他文件</w:t>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79" w:name="_Toc2624"/>
      <w:r>
        <w:rPr>
          <w:rFonts w:hint="eastAsia" w:ascii="Arial" w:hAnsi="Arial"/>
          <w:sz w:val="28"/>
          <w:szCs w:val="28"/>
          <w:highlight w:val="none"/>
        </w:rPr>
        <w:t xml:space="preserve">二、资格条件</w:t>
      </w:r>
      <w:bookmarkEnd w:id="79"/>
      <w:r/>
      <w:r/>
    </w:p>
    <w:p>
      <w:pPr>
        <w:ind w:firstLine="420"/>
        <w:spacing w:line="360" w:lineRule="auto"/>
        <w:rPr>
          <w:rFonts w:hint="eastAsia" w:ascii="宋体" w:hAnsi="宋体" w:cs="宋体"/>
          <w:bCs/>
          <w:szCs w:val="21"/>
          <w:highlight w:val="none"/>
        </w:rPr>
        <w:outlineLvl w:val="2"/>
      </w:pPr>
      <w:r/>
      <w:bookmarkStart w:id="80" w:name="_Toc10169"/>
      <w:r>
        <w:rPr>
          <w:rFonts w:hint="eastAsia" w:ascii="宋体" w:hAnsi="宋体" w:cs="宋体"/>
          <w:bCs/>
          <w:szCs w:val="21"/>
          <w:highlight w:val="none"/>
        </w:rPr>
        <w:t xml:space="preserve">（1）具有独立承担民事责任的能力（提供法人或者其他组织的营业执照；供应商为自然人的，提供其身份证）；</w:t>
      </w:r>
      <w:bookmarkEnd w:id="80"/>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1" w:name="_Toc18033"/>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bookmarkEnd w:id="8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2" w:name="_Toc10001"/>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8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3" w:name="_Toc10315"/>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83"/>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4" w:name="_Toc28417"/>
      <w:r>
        <w:rPr>
          <w:rFonts w:hint="eastAsia" w:ascii="宋体" w:hAnsi="宋体" w:cs="宋体"/>
          <w:bCs/>
          <w:szCs w:val="21"/>
          <w:highlight w:val="none"/>
        </w:rPr>
        <w:t xml:space="preserve">（5）参加政府采购活动前三年内，在经营活动中没有重大违法记录（提供承诺书）；</w:t>
      </w:r>
      <w:bookmarkEnd w:id="84"/>
      <w:r/>
      <w:r/>
    </w:p>
    <w:p>
      <w:pPr>
        <w:ind w:firstLine="570"/>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ind w:firstLine="430"/>
        <w:spacing w:line="360" w:lineRule="auto"/>
        <w:rPr>
          <w:rFonts w:ascii="Arial" w:hAnsi="Arial" w:eastAsia="黑体"/>
          <w:szCs w:val="21"/>
          <w:highlight w:val="none"/>
        </w:rPr>
      </w:pPr>
      <w:r>
        <w:rPr>
          <w:rFonts w:ascii="Arial" w:hAnsi="Arial" w:eastAsia="黑体"/>
          <w:szCs w:val="21"/>
          <w:highlight w:val="none"/>
        </w:rPr>
      </w:r>
      <w:r/>
    </w:p>
    <w:p>
      <w:pPr>
        <w:ind w:firstLine="430"/>
        <w:spacing w:line="360" w:lineRule="auto"/>
        <w:rPr>
          <w:rFonts w:ascii="Arial" w:hAnsi="Arial"/>
          <w:szCs w:val="21"/>
          <w:highlight w:val="none"/>
        </w:rPr>
      </w:pPr>
      <w:r>
        <w:rPr>
          <w:rFonts w:ascii="Arial" w:hAnsi="Arial"/>
          <w:szCs w:val="21"/>
          <w:highlight w:val="none"/>
        </w:rPr>
        <w:t xml:space="preserve">江苏省设备成套股份有限公司：</w:t>
      </w:r>
      <w:r/>
    </w:p>
    <w:p>
      <w:pPr>
        <w:ind w:firstLine="430"/>
        <w:spacing w:line="360" w:lineRule="auto"/>
        <w:rPr>
          <w:rFonts w:ascii="Arial" w:hAnsi="Arial"/>
          <w:highlight w:val="none"/>
        </w:rPr>
      </w:pPr>
      <w:r>
        <w:rPr>
          <w:rFonts w:ascii="Arial" w:hAnsi="Arial"/>
          <w:highlight w:val="none"/>
        </w:rPr>
      </w:r>
      <w:r/>
    </w:p>
    <w:p>
      <w:pPr>
        <w:ind w:firstLine="43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lang w:eastAsia="zh-CN"/>
        </w:rPr>
        <w:t xml:space="preserve">重大税收违法失信主体</w:t>
      </w:r>
      <w:r>
        <w:rPr>
          <w:rFonts w:ascii="Arial" w:hAnsi="Arial"/>
          <w:b/>
          <w:szCs w:val="21"/>
          <w:highlight w:val="none"/>
        </w:rPr>
        <w:t xml:space="preserve">、政府采购严重违法失信行为记录名单的供应商。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85" w:name="_Toc24736"/>
      <w:r>
        <w:rPr>
          <w:rFonts w:hint="eastAsia" w:ascii="宋体" w:hAnsi="宋体" w:cs="宋体"/>
          <w:bCs/>
          <w:szCs w:val="21"/>
          <w:highlight w:val="none"/>
        </w:rPr>
        <w:t xml:space="preserve">（6）法律、行政法规规定的其他条件：无</w:t>
      </w:r>
      <w:bookmarkEnd w:id="85"/>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ind w:firstLine="463"/>
        <w:rPr>
          <w:rFonts w:ascii="Arial" w:hAnsi="Arial"/>
          <w:b/>
          <w:spacing w:val="8"/>
          <w:szCs w:val="21"/>
          <w:highlight w:val="none"/>
        </w:rPr>
      </w:pPr>
      <w:r>
        <w:rPr>
          <w:rFonts w:hint="eastAsia" w:ascii="Arial" w:hAnsi="Arial"/>
          <w:b/>
          <w:spacing w:val="8"/>
          <w:szCs w:val="21"/>
          <w:highlight w:val="none"/>
        </w:rPr>
        <w:br w:type="page" w:clear="all"/>
      </w:r>
      <w:r/>
    </w:p>
    <w:p>
      <w:pPr>
        <w:ind w:firstLine="452"/>
        <w:spacing w:line="360" w:lineRule="auto"/>
        <w:rPr>
          <w:rFonts w:hint="eastAsia" w:ascii="Arial" w:hAnsi="Arial" w:eastAsia="宋体"/>
          <w:bCs/>
          <w:spacing w:val="8"/>
          <w:szCs w:val="21"/>
          <w:highlight w:val="none"/>
          <w:lang w:eastAsia="zh-CN"/>
        </w:rPr>
        <w:outlineLvl w:val="2"/>
      </w:pPr>
      <w:r/>
      <w:bookmarkStart w:id="86" w:name="_Toc2988"/>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lang w:val="en-US" w:eastAsia="zh-CN"/>
        </w:rPr>
        <w:t xml:space="preserve">无。</w:t>
      </w:r>
      <w:bookmarkEnd w:id="86"/>
      <w:r/>
      <w:r/>
    </w:p>
    <w:p>
      <w:pPr>
        <w:rPr>
          <w:highlight w:val="none"/>
        </w:rPr>
      </w:pPr>
      <w:r>
        <w:rPr>
          <w:highlight w:val="none"/>
        </w:rPr>
      </w:r>
      <w:r/>
    </w:p>
    <w:p>
      <w:pPr>
        <w:numPr>
          <w:ilvl w:val="0"/>
          <w:numId w:val="12"/>
        </w:numPr>
        <w:ind w:firstLine="424"/>
        <w:spacing w:line="360" w:lineRule="auto"/>
        <w:rPr>
          <w:rFonts w:ascii="Arial" w:hAnsi="Arial"/>
          <w:bCs/>
          <w:szCs w:val="21"/>
          <w:highlight w:val="none"/>
        </w:rPr>
      </w:pPr>
      <w:r>
        <w:rPr>
          <w:rFonts w:ascii="Arial" w:hAnsi="Arial"/>
          <w:bCs/>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52"/>
        <w:spacing w:line="360" w:lineRule="auto"/>
        <w:rPr>
          <w:rFonts w:ascii="Arial" w:hAnsi="Arial"/>
          <w:bCs/>
          <w:spacing w:val="8"/>
          <w:szCs w:val="21"/>
          <w:highlight w:val="none"/>
        </w:rPr>
        <w:outlineLvl w:val="2"/>
      </w:pPr>
      <w:r/>
      <w:bookmarkStart w:id="87" w:name="_Toc22335"/>
      <w:r>
        <w:rPr>
          <w:rFonts w:hint="eastAsia" w:ascii="Arial" w:hAnsi="Arial"/>
          <w:bCs/>
          <w:spacing w:val="8"/>
          <w:szCs w:val="21"/>
          <w:highlight w:val="none"/>
        </w:rPr>
        <w:t xml:space="preserve">（9）本项目不接受联合体投标。</w:t>
      </w:r>
      <w:bookmarkEnd w:id="87"/>
      <w:r/>
      <w:r/>
    </w:p>
    <w:p>
      <w:pPr>
        <w:ind w:firstLine="570"/>
        <w:rPr>
          <w:rFonts w:ascii="Arial" w:hAnsi="Arial"/>
          <w:sz w:val="28"/>
          <w:szCs w:val="28"/>
          <w:highlight w:val="none"/>
          <w:lang w:val="zh-CN"/>
        </w:rPr>
      </w:pPr>
      <w:r>
        <w:rPr>
          <w:rFonts w:hint="eastAsia" w:ascii="Arial" w:hAnsi="Arial"/>
          <w:sz w:val="28"/>
          <w:szCs w:val="28"/>
          <w:highlight w:val="none"/>
          <w:lang w:val="zh-CN"/>
        </w:rPr>
        <w:br w:type="page" w:clear="all"/>
      </w:r>
      <w:r/>
    </w:p>
    <w:p>
      <w:pPr>
        <w:ind w:firstLine="456"/>
        <w:spacing w:line="360" w:lineRule="auto"/>
        <w:rPr>
          <w:rFonts w:ascii="Arial" w:hAnsi="Arial"/>
          <w:spacing w:val="8"/>
          <w:szCs w:val="21"/>
          <w:highlight w:val="none"/>
        </w:rPr>
        <w:outlineLvl w:val="2"/>
      </w:pPr>
      <w:r/>
      <w:bookmarkStart w:id="88" w:name="_Toc26898"/>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0</w:t>
      </w:r>
      <w:r>
        <w:rPr>
          <w:rFonts w:hint="eastAsia" w:ascii="Arial" w:hAnsi="Arial"/>
          <w:spacing w:val="8"/>
          <w:szCs w:val="21"/>
          <w:highlight w:val="none"/>
        </w:rPr>
        <w:t xml:space="preserve">） 拒绝下述供应商参加本次采购活动：</w:t>
      </w:r>
      <w:bookmarkEnd w:id="88"/>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w:t>
      </w:r>
      <w:r>
        <w:rPr>
          <w:rFonts w:hint="eastAsia" w:ascii="Arial" w:hAnsi="Arial"/>
          <w:spacing w:val="8"/>
          <w:szCs w:val="21"/>
          <w:highlight w:val="none"/>
          <w:lang w:eastAsia="zh-CN"/>
        </w:rPr>
        <w:t xml:space="preserve">重大税收违法失信主体</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89" w:name="_Toc1512"/>
      <w:r>
        <w:rPr>
          <w:rFonts w:hint="eastAsia" w:ascii="Arial" w:hAnsi="Arial"/>
          <w:sz w:val="28"/>
          <w:szCs w:val="28"/>
          <w:highlight w:val="none"/>
        </w:rPr>
        <w:t xml:space="preserve">三、符合条件</w:t>
      </w:r>
      <w:bookmarkEnd w:id="89"/>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t xml:space="preserve">（注：满足采购文件要求，详见竞争性磋商须知。）</w:t>
      </w:r>
      <w:r/>
    </w:p>
    <w:p>
      <w:pPr>
        <w:ind w:firstLine="570"/>
        <w:rPr>
          <w:rFonts w:ascii="Arial" w:hAnsi="Arial"/>
          <w:sz w:val="28"/>
          <w:szCs w:val="28"/>
          <w:highlight w:val="none"/>
        </w:rPr>
      </w:pPr>
      <w:r>
        <w:rPr>
          <w:rFonts w:ascii="Arial" w:hAnsi="Arial"/>
          <w:sz w:val="28"/>
          <w:szCs w:val="28"/>
          <w:highlight w:val="none"/>
        </w:rPr>
        <w:br w:type="page" w:clear="all"/>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outlineLvl w:val="1"/>
      </w:pPr>
      <w:r/>
      <w:bookmarkStart w:id="90" w:name="_Toc26795"/>
      <w:r>
        <w:rPr>
          <w:rFonts w:hint="eastAsia" w:ascii="Arial" w:hAnsi="Arial"/>
          <w:sz w:val="28"/>
          <w:szCs w:val="28"/>
          <w:highlight w:val="none"/>
        </w:rPr>
        <w:t xml:space="preserve">四、</w:t>
      </w:r>
      <w:r>
        <w:rPr>
          <w:rFonts w:ascii="Arial" w:hAnsi="Arial"/>
          <w:sz w:val="28"/>
          <w:szCs w:val="28"/>
          <w:highlight w:val="none"/>
        </w:rPr>
        <w:t xml:space="preserve">综合评审评分项</w:t>
      </w:r>
      <w:bookmarkEnd w:id="90"/>
      <w:r/>
      <w:r/>
    </w:p>
    <w:p>
      <w:pPr>
        <w:ind w:firstLine="570"/>
        <w:rPr>
          <w:rFonts w:ascii="Arial" w:hAnsi="Arial"/>
          <w:sz w:val="28"/>
          <w:szCs w:val="28"/>
          <w:highlight w:val="none"/>
        </w:rPr>
      </w:pPr>
      <w:r>
        <w:rPr>
          <w:rFonts w:hint="eastAsia" w:ascii="Arial" w:hAnsi="Arial"/>
          <w:sz w:val="28"/>
          <w:szCs w:val="28"/>
          <w:highlight w:val="none"/>
        </w:rPr>
        <w:t xml:space="preserve">（注：详见第三章 评审标准。）</w:t>
      </w:r>
      <w:r/>
    </w:p>
    <w:p>
      <w:pPr>
        <w:ind w:left="420" w:firstLine="570"/>
        <w:rPr>
          <w:rFonts w:ascii="Arial" w:hAnsi="Arial"/>
          <w:sz w:val="28"/>
          <w:szCs w:val="28"/>
          <w:highlight w:val="none"/>
          <w:lang w:val="zh-CN"/>
        </w:rPr>
      </w:pPr>
      <w:r>
        <w:rPr>
          <w:rFonts w:ascii="Arial" w:hAnsi="Arial"/>
          <w:sz w:val="28"/>
          <w:szCs w:val="28"/>
          <w:highlight w:val="none"/>
          <w:lang w:val="zh-CN"/>
        </w:rPr>
      </w:r>
      <w:r/>
    </w:p>
    <w:p>
      <w:pPr>
        <w:ind w:firstLine="43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p>
    <w:p>
      <w:pPr>
        <w:ind w:firstLine="431"/>
        <w:jc w:val="center"/>
        <w:rPr>
          <w:rFonts w:ascii="Arial" w:hAnsi="Arial"/>
          <w:b/>
          <w:bCs/>
          <w:szCs w:val="21"/>
          <w:highlight w:val="none"/>
          <w:lang w:val="zh-CN"/>
        </w:rPr>
      </w:pPr>
      <w:r>
        <w:rPr>
          <w:rFonts w:ascii="Arial" w:hAnsi="Arial"/>
          <w:b/>
          <w:bCs/>
          <w:szCs w:val="21"/>
          <w:highlight w:val="none"/>
          <w:lang w:val="zh-CN"/>
        </w:rPr>
      </w:r>
      <w:r/>
    </w:p>
    <w:p>
      <w:pPr>
        <w:ind w:firstLine="430"/>
        <w:rPr>
          <w:rFonts w:ascii="Arial" w:hAnsi="Arial"/>
          <w:szCs w:val="21"/>
          <w:highlight w:val="none"/>
          <w:lang w:val="zh-CN"/>
        </w:rPr>
      </w:pPr>
      <w:r>
        <w:rPr>
          <w:rFonts w:ascii="Arial" w:hAnsi="Arial"/>
          <w:szCs w:val="21"/>
          <w:highlight w:val="none"/>
          <w:lang w:val="zh-CN"/>
        </w:rPr>
        <w:t xml:space="preserve">项目名称：                                     项目编号：</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89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姓名</w:t>
            </w:r>
            <w:r/>
          </w:p>
        </w:tc>
        <w:tc>
          <w:tcPr>
            <w:tcW w:w="66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性别</w:t>
            </w:r>
            <w:r/>
          </w:p>
        </w:tc>
        <w:tc>
          <w:tcPr>
            <w:tcW w:w="709"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年龄</w:t>
            </w:r>
            <w:r/>
          </w:p>
        </w:tc>
        <w:tc>
          <w:tcPr>
            <w:tcW w:w="11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学历及专业</w:t>
            </w:r>
            <w:r/>
          </w:p>
        </w:tc>
        <w:tc>
          <w:tcPr>
            <w:tcW w:w="105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执业资格及证书号</w:t>
            </w:r>
            <w:r/>
          </w:p>
        </w:tc>
        <w:tc>
          <w:tcPr>
            <w:tcW w:w="102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技术</w:t>
            </w:r>
            <w:r/>
          </w:p>
          <w:p>
            <w:pPr>
              <w:jc w:val="both"/>
              <w:rPr>
                <w:rFonts w:ascii="Arial" w:hAnsi="Arial"/>
                <w:b/>
                <w:szCs w:val="21"/>
                <w:highlight w:val="none"/>
                <w:lang w:val="zh-CN"/>
              </w:rPr>
            </w:pPr>
            <w:r>
              <w:rPr>
                <w:rFonts w:ascii="Arial" w:hAnsi="Arial"/>
                <w:b/>
                <w:szCs w:val="21"/>
                <w:highlight w:val="none"/>
                <w:lang w:val="zh-CN"/>
              </w:rPr>
              <w:t xml:space="preserve">职称</w:t>
            </w:r>
            <w:r/>
          </w:p>
        </w:tc>
        <w:tc>
          <w:tcPr>
            <w:tcW w:w="117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相关工作年限及工作经历</w:t>
            </w:r>
            <w:r/>
          </w:p>
        </w:tc>
        <w:tc>
          <w:tcPr>
            <w:tcW w:w="1588"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拟担任本项目何种工作</w:t>
            </w:r>
            <w:r/>
          </w:p>
        </w:tc>
        <w:tc>
          <w:tcPr>
            <w:tcW w:w="851"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lang w:val="zh-CN"/>
        </w:rPr>
      </w:pPr>
      <w:r>
        <w:rPr>
          <w:rFonts w:ascii="Arial" w:hAnsi="Arial"/>
          <w:szCs w:val="21"/>
          <w:highlight w:val="none"/>
          <w:lang w:val="zh-CN"/>
        </w:rPr>
      </w:r>
      <w:r/>
    </w:p>
    <w:p>
      <w:pPr>
        <w:ind w:firstLine="430"/>
        <w:spacing w:before="312" w:after="312"/>
        <w:rPr>
          <w:rFonts w:ascii="Arial" w:hAnsi="Arial"/>
          <w:szCs w:val="21"/>
          <w:highlight w:val="none"/>
          <w:lang w:val="zh-CN"/>
        </w:rPr>
      </w:pPr>
      <w:r/>
      <w:bookmarkStart w:id="91" w:name="_Toc534273684"/>
      <w:r/>
      <w:bookmarkEnd w:id="91"/>
      <w:r/>
      <w:bookmarkStart w:id="92" w:name="_Toc504573090"/>
      <w:r/>
      <w:bookmarkEnd w:id="92"/>
      <w:r/>
      <w:bookmarkStart w:id="93" w:name="_Toc490133035"/>
      <w:r/>
      <w:bookmarkEnd w:id="93"/>
      <w:r/>
      <w:bookmarkStart w:id="94" w:name="_Toc534273807"/>
      <w:r/>
      <w:bookmarkEnd w:id="94"/>
      <w:r/>
      <w:bookmarkStart w:id="95" w:name="_Toc504056875"/>
      <w:r/>
      <w:bookmarkEnd w:id="95"/>
      <w:r/>
      <w:bookmarkStart w:id="96" w:name="_Toc504044387"/>
      <w:r/>
      <w:bookmarkEnd w:id="96"/>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p>
    <w:p>
      <w:pPr>
        <w:ind w:firstLine="430"/>
        <w:rPr>
          <w:rFonts w:ascii="Arial" w:hAnsi="Arial"/>
          <w:highlight w:val="none"/>
        </w:rPr>
      </w:pPr>
      <w:r>
        <w:rPr>
          <w:rFonts w:ascii="Arial" w:hAnsi="Arial"/>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p>
    <w:tbl>
      <w:tblPr>
        <w:tblStyle w:val="8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1710" w:type="dxa"/>
            <w:vAlign w:val="center"/>
            <w:textDirection w:val="lrTb"/>
            <w:noWrap w:val="false"/>
          </w:tcPr>
          <w:p>
            <w:pPr>
              <w:ind w:firstLine="431"/>
              <w:jc w:val="center"/>
              <w:rPr>
                <w:rFonts w:ascii="Arial" w:hAnsi="Arial"/>
                <w:b/>
                <w:szCs w:val="21"/>
                <w:highlight w:val="none"/>
                <w:lang w:val="zh-CN"/>
              </w:rPr>
            </w:pPr>
            <w:r>
              <w:rPr>
                <w:rFonts w:ascii="Arial" w:hAnsi="Arial"/>
                <w:b/>
                <w:szCs w:val="21"/>
                <w:highlight w:val="none"/>
                <w:lang w:val="zh-CN"/>
              </w:rPr>
              <w:t xml:space="preserve">项目名称</w:t>
            </w:r>
            <w:r/>
          </w:p>
        </w:tc>
        <w:tc>
          <w:tcPr>
            <w:tcW w:w="136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业主单位</w:t>
            </w:r>
            <w:r/>
          </w:p>
        </w:tc>
        <w:tc>
          <w:tcPr>
            <w:tcW w:w="145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业主联系方式</w:t>
            </w:r>
            <w:r/>
          </w:p>
        </w:tc>
        <w:tc>
          <w:tcPr>
            <w:tcW w:w="130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工作主要内容</w:t>
            </w:r>
            <w:r/>
          </w:p>
        </w:tc>
        <w:tc>
          <w:tcPr>
            <w:tcW w:w="1026" w:type="dxa"/>
            <w:vAlign w:val="center"/>
            <w:textDirection w:val="lrTb"/>
            <w:noWrap w:val="false"/>
          </w:tcPr>
          <w:p>
            <w:pPr>
              <w:jc w:val="both"/>
              <w:rPr>
                <w:rFonts w:ascii="Arial" w:hAnsi="Arial"/>
                <w:b/>
                <w:szCs w:val="21"/>
                <w:highlight w:val="none"/>
              </w:rPr>
            </w:pPr>
            <w:r>
              <w:rPr>
                <w:rFonts w:ascii="Arial" w:hAnsi="Arial"/>
                <w:b/>
                <w:szCs w:val="21"/>
                <w:highlight w:val="none"/>
              </w:rPr>
              <w:t xml:space="preserve">合同</w:t>
            </w:r>
            <w:r/>
          </w:p>
          <w:p>
            <w:pPr>
              <w:jc w:val="both"/>
              <w:rPr>
                <w:rFonts w:ascii="Arial" w:hAnsi="Arial"/>
                <w:b/>
                <w:szCs w:val="21"/>
                <w:highlight w:val="none"/>
              </w:rPr>
            </w:pPr>
            <w:r>
              <w:rPr>
                <w:rFonts w:ascii="Arial" w:hAnsi="Arial"/>
                <w:b/>
                <w:szCs w:val="21"/>
                <w:highlight w:val="none"/>
              </w:rPr>
              <w:t xml:space="preserve">金额</w:t>
            </w:r>
            <w:r/>
          </w:p>
        </w:tc>
        <w:tc>
          <w:tcPr>
            <w:tcW w:w="102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spacing w:line="360" w:lineRule="auto"/>
        <w:rPr>
          <w:rFonts w:ascii="Arial" w:hAnsi="Arial"/>
          <w:b/>
          <w:highlight w:val="none"/>
        </w:rPr>
      </w:pPr>
      <w:r>
        <w:rPr>
          <w:rFonts w:ascii="Arial" w:hAnsi="Arial"/>
          <w:b/>
          <w:highlight w:val="none"/>
        </w:rPr>
      </w:r>
      <w:r/>
    </w:p>
    <w:p>
      <w:pPr>
        <w:ind w:firstLine="431"/>
        <w:spacing w:line="360" w:lineRule="auto"/>
        <w:rPr>
          <w:rFonts w:ascii="Arial" w:hAnsi="Arial"/>
          <w:b/>
          <w:highlight w:val="none"/>
        </w:rPr>
      </w:pPr>
      <w:r>
        <w:rPr>
          <w:rFonts w:ascii="Arial" w:hAnsi="Arial"/>
          <w:b/>
          <w:highlight w:val="none"/>
        </w:rPr>
      </w:r>
      <w:r/>
    </w:p>
    <w:p>
      <w:pPr>
        <w:ind w:firstLine="43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p>
    <w:p>
      <w:pPr>
        <w:ind w:firstLine="430"/>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ind w:firstLine="431"/>
        <w:spacing w:line="360" w:lineRule="auto"/>
        <w:rPr>
          <w:rFonts w:ascii="Arial" w:hAnsi="Arial"/>
          <w:b/>
          <w:highlight w:val="none"/>
        </w:rPr>
      </w:pPr>
      <w:r/>
      <w:bookmarkStart w:id="97" w:name="_Toc504056876"/>
      <w:r/>
      <w:bookmarkEnd w:id="97"/>
      <w:r/>
      <w:bookmarkStart w:id="98" w:name="_Toc534273685"/>
      <w:r/>
      <w:bookmarkEnd w:id="98"/>
      <w:r/>
      <w:bookmarkStart w:id="99" w:name="_Toc534273808"/>
      <w:r/>
      <w:bookmarkEnd w:id="99"/>
      <w:r/>
      <w:bookmarkStart w:id="100" w:name="_Toc504044388"/>
      <w:r/>
      <w:bookmarkEnd w:id="100"/>
      <w:r/>
      <w:bookmarkStart w:id="101" w:name="_Toc504573091"/>
      <w:r/>
      <w:bookmarkEnd w:id="101"/>
      <w:r/>
      <w:bookmarkStart w:id="102" w:name="_Toc490133036"/>
      <w:r/>
      <w:bookmarkEnd w:id="102"/>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p>
    <w:p>
      <w:pPr>
        <w:ind w:firstLine="431"/>
        <w:rPr>
          <w:rFonts w:ascii="Arial" w:hAnsi="Arial"/>
          <w:sz w:val="28"/>
          <w:szCs w:val="28"/>
          <w:highlight w:val="none"/>
        </w:rPr>
        <w:outlineLvl w:val="1"/>
      </w:pPr>
      <w:r>
        <w:rPr>
          <w:rStyle w:val="1139"/>
          <w:rFonts w:ascii="Arial" w:hAnsi="Arial"/>
          <w:sz w:val="21"/>
          <w:szCs w:val="21"/>
          <w:highlight w:val="none"/>
        </w:rPr>
        <w:br w:type="page" w:clear="all"/>
      </w:r>
      <w:bookmarkStart w:id="103" w:name="_Toc17410"/>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03"/>
      <w:r/>
      <w:r/>
    </w:p>
    <w:p>
      <w:pPr>
        <w:ind w:firstLine="431"/>
        <w:spacing w:before="312" w:after="312"/>
        <w:rPr>
          <w:rStyle w:val="1139"/>
          <w:rFonts w:ascii="Arial" w:hAnsi="Arial"/>
          <w:sz w:val="21"/>
          <w:szCs w:val="21"/>
          <w:highlight w:val="none"/>
        </w:rPr>
      </w:pPr>
      <w:r>
        <w:rPr>
          <w:rFonts w:ascii="Arial" w:hAnsi="Arial"/>
          <w:sz w:val="21"/>
          <w:szCs w:val="21"/>
          <w:highlight w:val="none"/>
        </w:rPr>
      </w:r>
      <w:r/>
    </w:p>
    <w:p>
      <w:pPr>
        <w:ind w:firstLine="572"/>
        <w:jc w:val="center"/>
        <w:spacing w:before="312" w:after="312" w:line="480" w:lineRule="auto"/>
        <w:rPr>
          <w:rFonts w:ascii="Arial" w:hAnsi="Arial"/>
          <w:b/>
          <w:sz w:val="36"/>
          <w:szCs w:val="36"/>
          <w:highlight w:val="none"/>
        </w:rPr>
      </w:pPr>
      <w:r/>
      <w:bookmarkStart w:id="104" w:name="OLE_LINK14"/>
      <w:r/>
      <w:bookmarkStart w:id="105" w:name="OLE_LINK13"/>
      <w:r>
        <w:rPr>
          <w:rFonts w:hint="eastAsia" w:ascii="宋体" w:hAnsi="宋体"/>
          <w:b/>
          <w:bCs/>
          <w:sz w:val="28"/>
          <w:szCs w:val="28"/>
          <w:highlight w:val="none"/>
        </w:rPr>
        <w:t xml:space="preserve">中小企业声明函（工程、服务）</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本公司（联合体）郑重声明，根据《政府采购促进中小企业发展管理办法》（财库〔</w:t>
      </w:r>
      <w:r>
        <w:rPr>
          <w:rFonts w:hint="eastAsia" w:ascii="Arial" w:hAnsi="Arial"/>
          <w:highlight w:val="none"/>
        </w:rPr>
        <w:t xml:space="preserve">2020</w:t>
      </w:r>
      <w:r>
        <w:rPr>
          <w:rFonts w:hint="eastAsia"/>
          <w:highlight w:val="none"/>
        </w:rPr>
        <w:t xml:space="preserve">〕</w:t>
      </w:r>
      <w:r>
        <w:rPr>
          <w:rFonts w:hint="eastAsia" w:ascii="宋体" w:hAnsi="宋体"/>
          <w:highlight w:val="none"/>
        </w:rPr>
        <w:t xml:space="preserve">） </w:t>
      </w:r>
      <w:r>
        <w:rPr>
          <w:rFonts w:hint="eastAsia" w:ascii="Arial" w:hAnsi="Arial"/>
          <w:highlight w:val="none"/>
        </w:rPr>
        <w:t xml:space="preserve">46</w:t>
      </w:r>
      <w:r>
        <w:rPr>
          <w:rFonts w:hint="eastAsia" w:ascii="宋体" w:hAnsi="宋体"/>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rPr>
        <w:t xml:space="preserve">,</w:t>
      </w:r>
      <w:r>
        <w:rPr>
          <w:rFonts w:hint="eastAsia" w:ascii="宋体" w:hAnsi="宋体"/>
          <w:highlight w:val="none"/>
        </w:rPr>
        <w:t xml:space="preserve">属于</w:t>
      </w:r>
      <w:r>
        <w:rPr>
          <w:rFonts w:hint="eastAsia" w:ascii="宋体" w:hAnsi="宋体"/>
          <w:highlight w:val="none"/>
          <w:u w:val="single"/>
        </w:rPr>
        <w:t xml:space="preserve">（采购文件中明确的所属行业）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u w:val="single"/>
        </w:rPr>
        <w:t xml:space="preserve">,</w:t>
      </w:r>
      <w:r>
        <w:rPr>
          <w:rFonts w:hint="eastAsia" w:ascii="宋体" w:hAnsi="宋体"/>
          <w:highlight w:val="none"/>
        </w:rPr>
        <w:t xml:space="preserve">属于（采购文件中明确的所属行业）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rPr>
          <w:rFonts w:hint="eastAsia" w:ascii="Arial" w:hAnsi="Arial"/>
          <w:highlight w:val="none"/>
        </w:rPr>
        <w:tab/>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right"/>
        <w:spacing w:line="440" w:lineRule="exact"/>
        <w:widowControl/>
        <w:rPr>
          <w:rFonts w:hint="eastAsia" w:ascii="宋体" w:hAnsi="宋体"/>
          <w:highlight w:val="none"/>
        </w:rPr>
      </w:pPr>
      <w:r>
        <w:rPr>
          <w:rFonts w:hint="eastAsia" w:ascii="Arial" w:hAnsi="Arial"/>
          <w:szCs w:val="21"/>
          <w:highlight w:val="none"/>
        </w:rPr>
        <w:t xml:space="preserve">供应商名称（加盖电子公章）</w:t>
      </w:r>
      <w:r>
        <w:rPr>
          <w:rFonts w:hint="eastAsia" w:ascii="宋体" w:hAnsi="宋体"/>
          <w:highlight w:val="none"/>
        </w:rPr>
        <w:t xml:space="preserve">：</w:t>
      </w:r>
      <w:r/>
    </w:p>
    <w:p>
      <w:pPr>
        <w:ind w:firstLine="430"/>
        <w:jc w:val="center"/>
        <w:spacing w:line="360" w:lineRule="auto"/>
        <w:rPr>
          <w:rFonts w:hint="eastAsia" w:ascii="宋体" w:hAnsi="宋体"/>
          <w:highlight w:val="none"/>
        </w:rPr>
      </w:pPr>
      <w:r>
        <w:rPr>
          <w:rFonts w:hint="eastAsia" w:ascii="宋体" w:hAnsi="宋体"/>
          <w:highlight w:val="none"/>
        </w:rPr>
        <w:t xml:space="preserve">                                                   日期：</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0"/>
      </w:pPr>
      <w:r/>
      <w:bookmarkStart w:id="106" w:name="_Toc22731"/>
      <w:r>
        <w:rPr>
          <w:rFonts w:hint="eastAsia" w:ascii="宋体" w:hAnsi="宋体" w:eastAsia="宋体" w:cs="宋体"/>
          <w:szCs w:val="24"/>
          <w:highlight w:val="none"/>
        </w:rPr>
        <w:t xml:space="preserve">备注：</w:t>
      </w:r>
      <w:bookmarkEnd w:id="106"/>
      <w:r/>
      <w:r/>
    </w:p>
    <w:p>
      <w:pPr>
        <w:ind w:firstLine="630"/>
        <w:keepLines/>
        <w:keepNext/>
        <w:rPr>
          <w:rFonts w:ascii="宋体" w:hAnsi="宋体" w:eastAsia="宋体" w:cs="宋体"/>
          <w:szCs w:val="24"/>
          <w:highlight w:val="none"/>
        </w:rPr>
        <w:outlineLvl w:val="0"/>
      </w:pPr>
      <w:r/>
      <w:bookmarkStart w:id="107" w:name="_Toc20726"/>
      <w:r>
        <w:rPr>
          <w:rFonts w:hint="eastAsia" w:ascii="宋体" w:hAnsi="宋体" w:eastAsia="宋体" w:cs="宋体"/>
          <w:szCs w:val="24"/>
          <w:highlight w:val="none"/>
        </w:rPr>
        <w:t xml:space="preserve">1.从业人员、营业收入、资产总额填报上一年度数据，无上一年度数据的新成立企业可不填报。</w:t>
      </w:r>
      <w:bookmarkEnd w:id="107"/>
      <w:r/>
      <w:r/>
    </w:p>
    <w:p>
      <w:pPr>
        <w:ind w:firstLine="630"/>
        <w:keepLines/>
        <w:keepNext/>
        <w:rPr>
          <w:rFonts w:ascii="宋体" w:hAnsi="宋体" w:eastAsia="宋体" w:cs="宋体"/>
          <w:b/>
          <w:bCs/>
          <w:szCs w:val="24"/>
          <w:highlight w:val="none"/>
        </w:rPr>
        <w:outlineLvl w:val="0"/>
      </w:pPr>
      <w:r/>
      <w:bookmarkStart w:id="108" w:name="_Toc1042"/>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108"/>
      <w:r/>
      <w:r/>
    </w:p>
    <w:p>
      <w:pPr>
        <w:ind w:firstLine="630"/>
        <w:keepLines/>
        <w:keepNext/>
        <w:rPr>
          <w:rFonts w:ascii="宋体" w:hAnsi="宋体" w:eastAsia="宋体" w:cs="宋体"/>
          <w:b/>
          <w:bCs/>
          <w:szCs w:val="24"/>
          <w:highlight w:val="none"/>
        </w:rPr>
        <w:outlineLvl w:val="0"/>
      </w:pPr>
      <w:r/>
      <w:bookmarkStart w:id="109" w:name="_Toc6740"/>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109"/>
      <w:r/>
      <w:r/>
    </w:p>
    <w:p>
      <w:pPr>
        <w:ind w:firstLine="632"/>
        <w:keepLines/>
        <w:keepNext/>
        <w:rPr>
          <w:rFonts w:ascii="宋体" w:hAnsi="宋体" w:eastAsia="宋体" w:cs="宋体"/>
          <w:b/>
          <w:bCs/>
          <w:szCs w:val="24"/>
          <w:highlight w:val="none"/>
        </w:rPr>
        <w:outlineLvl w:val="0"/>
      </w:pPr>
      <w:r/>
      <w:bookmarkStart w:id="110" w:name="_Toc379"/>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110"/>
      <w:r/>
      <w:r/>
    </w:p>
    <w:p>
      <w:pPr>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ind w:firstLine="430"/>
        <w:jc w:val="center"/>
        <w:spacing w:line="360" w:lineRule="auto"/>
        <w:rPr>
          <w:rFonts w:ascii="Arial" w:hAnsi="Arial"/>
          <w:b/>
          <w:sz w:val="36"/>
          <w:szCs w:val="36"/>
          <w:highlight w:val="none"/>
        </w:rPr>
      </w:pPr>
      <w:r>
        <w:rPr>
          <w:rFonts w:ascii="Arial" w:hAnsi="Arial"/>
          <w:b/>
          <w:bCs/>
          <w:sz w:val="28"/>
          <w:highlight w:val="none"/>
        </w:rPr>
        <w:br w:type="page" w:clear="all"/>
      </w:r>
      <w:r>
        <w:rPr>
          <w:rFonts w:ascii="Arial" w:hAnsi="Arial"/>
          <w:b/>
          <w:sz w:val="36"/>
          <w:szCs w:val="36"/>
          <w:highlight w:val="none"/>
        </w:rPr>
        <w:t xml:space="preserve">残疾人福利性单位声明函</w:t>
      </w:r>
      <w:bookmarkEnd w:id="104"/>
      <w:bookmarkEnd w:id="105"/>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ind w:firstLine="430"/>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ind w:firstLine="430"/>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ind w:firstLine="399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1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31"/>
      <w:isLgl w:val="false"/>
      <w:suff w:val="tab"/>
      <w:lvlText w:val="%1"/>
      <w:lvlJc w:val="left"/>
      <w:pPr>
        <w:ind w:left="567" w:hanging="567"/>
        <w:tabs>
          <w:tab w:val="left" w:pos="567" w:leader="none"/>
        </w:tabs>
      </w:pPr>
      <w:rPr>
        <w:rFonts w:hint="eastAsia" w:cs="Times New Roman"/>
      </w:rPr>
    </w:lvl>
    <w:lvl w:ilvl="1">
      <w:start w:val="1"/>
      <w:numFmt w:val="decimal"/>
      <w:pStyle w:val="1085"/>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86"/>
      <w:isLgl w:val="false"/>
      <w:suff w:val="nothing"/>
      <w:lvlText w:val="第%1章"/>
      <w:lvlJc w:val="left"/>
      <w:pPr>
        <w:ind w:left="0" w:firstLine="0"/>
      </w:pPr>
    </w:lvl>
    <w:lvl w:ilvl="1">
      <w:start w:val="1"/>
      <w:numFmt w:val="decimal"/>
      <w:pStyle w:val="987"/>
      <w:isLgl w:val="false"/>
      <w:suff w:val="nothing"/>
      <w:lvlText w:val=""/>
      <w:lvlJc w:val="left"/>
      <w:pPr>
        <w:ind w:left="0" w:firstLine="0"/>
      </w:pPr>
    </w:lvl>
    <w:lvl w:ilvl="2">
      <w:start w:val="1"/>
      <w:numFmt w:val="decimal"/>
      <w:pStyle w:val="988"/>
      <w:isLgl w:val="false"/>
      <w:suff w:val="nothing"/>
      <w:lvlText w:val=""/>
      <w:lvlJc w:val="left"/>
      <w:pPr>
        <w:ind w:left="0" w:firstLine="0"/>
      </w:pPr>
    </w:lvl>
    <w:lvl w:ilvl="3">
      <w:start w:val="1"/>
      <w:numFmt w:val="decimal"/>
      <w:pStyle w:val="989"/>
      <w:isLgl w:val="false"/>
      <w:suff w:val="nothing"/>
      <w:lvlText w:val=""/>
      <w:lvlJc w:val="left"/>
      <w:pPr>
        <w:ind w:left="0" w:firstLine="0"/>
      </w:pPr>
    </w:lvl>
    <w:lvl w:ilvl="4">
      <w:start w:val="1"/>
      <w:numFmt w:val="decimal"/>
      <w:pStyle w:val="990"/>
      <w:isLgl w:val="false"/>
      <w:suff w:val="nothing"/>
      <w:lvlText w:val=""/>
      <w:lvlJc w:val="left"/>
      <w:pPr>
        <w:ind w:left="0" w:firstLine="0"/>
      </w:pPr>
    </w:lvl>
    <w:lvl w:ilvl="5">
      <w:start w:val="1"/>
      <w:numFmt w:val="decimal"/>
      <w:pStyle w:val="993"/>
      <w:isLgl w:val="false"/>
      <w:suff w:val="nothing"/>
      <w:lvlText w:val=""/>
      <w:lvlJc w:val="left"/>
      <w:pPr>
        <w:ind w:left="0" w:firstLine="0"/>
      </w:pPr>
    </w:lvl>
    <w:lvl w:ilvl="6">
      <w:start w:val="1"/>
      <w:numFmt w:val="decimal"/>
      <w:pStyle w:val="994"/>
      <w:isLgl w:val="false"/>
      <w:suff w:val="nothing"/>
      <w:lvlText w:val=""/>
      <w:lvlJc w:val="left"/>
      <w:pPr>
        <w:ind w:left="0" w:firstLine="0"/>
      </w:pPr>
    </w:lvl>
    <w:lvl w:ilvl="7">
      <w:start w:val="1"/>
      <w:numFmt w:val="decimal"/>
      <w:pStyle w:val="995"/>
      <w:isLgl w:val="false"/>
      <w:suff w:val="nothing"/>
      <w:lvlText w:val=""/>
      <w:lvlJc w:val="left"/>
      <w:pPr>
        <w:ind w:left="0" w:firstLine="0"/>
      </w:pPr>
    </w:lvl>
    <w:lvl w:ilvl="8">
      <w:start w:val="1"/>
      <w:numFmt w:val="decimal"/>
      <w:pStyle w:val="996"/>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bullet"/>
      <w:pStyle w:val="108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6"/>
  </w:num>
  <w:num w:numId="7">
    <w:abstractNumId w:val="8"/>
  </w:num>
  <w:num w:numId="8">
    <w:abstractNumId w:val="11"/>
  </w:num>
  <w:num w:numId="9">
    <w:abstractNumId w:val="3"/>
  </w:num>
  <w:num w:numId="10">
    <w:abstractNumId w:val="9"/>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link w:val="1137"/>
    <w:uiPriority w:val="0"/>
    <w:qFormat/>
    <w:pPr>
      <w:jc w:val="both"/>
      <w:widowControl w:val="off"/>
    </w:pPr>
    <w:rPr>
      <w:rFonts w:hint="default" w:ascii="Times New Roman" w:hAnsi="Times New Roman" w:eastAsia="宋体" w:cs="Times New Roman"/>
      <w:sz w:val="21"/>
      <w:lang w:val="en-US" w:eastAsia="zh-CN" w:bidi="ar-SA"/>
    </w:rPr>
  </w:style>
  <w:style w:type="paragraph" w:styleId="805">
    <w:name w:val="Heading 1"/>
    <w:basedOn w:val="804"/>
    <w:next w:val="804"/>
    <w:link w:val="839"/>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840"/>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41"/>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42"/>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43"/>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4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46"/>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47"/>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right="0" w:firstLine="0"/>
      <w:spacing w:after="57"/>
    </w:pPr>
  </w:style>
  <w:style w:type="paragraph" w:styleId="817">
    <w:name w:val="Caption"/>
    <w:basedOn w:val="804"/>
    <w:next w:val="804"/>
    <w:uiPriority w:val="35"/>
    <w:semiHidden/>
    <w:unhideWhenUsed/>
    <w:qFormat/>
    <w:pPr>
      <w:spacing w:line="276" w:lineRule="auto"/>
    </w:pPr>
    <w:rPr>
      <w:b/>
      <w:bCs/>
      <w:color w:val="4f81bd" w:themeColor="accent1"/>
      <w:sz w:val="18"/>
      <w:szCs w:val="18"/>
    </w:rPr>
  </w:style>
  <w:style w:type="paragraph" w:styleId="818">
    <w:name w:val="annotation text"/>
    <w:basedOn w:val="804"/>
    <w:uiPriority w:val="99"/>
    <w:semiHidden/>
    <w:unhideWhenUsed/>
    <w:qFormat/>
    <w:pPr>
      <w:jc w:val="left"/>
    </w:pPr>
  </w:style>
  <w:style w:type="paragraph" w:styleId="819">
    <w:name w:val="toc 5"/>
    <w:basedOn w:val="804"/>
    <w:next w:val="804"/>
    <w:uiPriority w:val="39"/>
    <w:unhideWhenUsed/>
    <w:qFormat/>
    <w:pPr>
      <w:ind w:left="1134" w:right="0" w:firstLine="0"/>
      <w:spacing w:after="57"/>
    </w:pPr>
  </w:style>
  <w:style w:type="paragraph" w:styleId="820">
    <w:name w:val="toc 3"/>
    <w:basedOn w:val="804"/>
    <w:next w:val="804"/>
    <w:uiPriority w:val="39"/>
    <w:unhideWhenUsed/>
    <w:qFormat/>
    <w:pPr>
      <w:ind w:left="567" w:right="0" w:firstLine="0"/>
      <w:spacing w:after="57"/>
    </w:pPr>
  </w:style>
  <w:style w:type="paragraph" w:styleId="821">
    <w:name w:val="toc 8"/>
    <w:basedOn w:val="804"/>
    <w:next w:val="804"/>
    <w:uiPriority w:val="39"/>
    <w:unhideWhenUsed/>
    <w:qFormat/>
    <w:pPr>
      <w:ind w:left="1984" w:right="0" w:firstLine="0"/>
      <w:spacing w:after="57"/>
    </w:pPr>
  </w:style>
  <w:style w:type="paragraph" w:styleId="822">
    <w:name w:val="endnote text"/>
    <w:basedOn w:val="804"/>
    <w:link w:val="984"/>
    <w:uiPriority w:val="99"/>
    <w:semiHidden/>
    <w:unhideWhenUsed/>
    <w:qFormat/>
    <w:pPr>
      <w:spacing w:after="0" w:line="240" w:lineRule="auto"/>
    </w:pPr>
    <w:rPr>
      <w:sz w:val="20"/>
    </w:rPr>
  </w:style>
  <w:style w:type="paragraph" w:styleId="823">
    <w:name w:val="Footer"/>
    <w:basedOn w:val="804"/>
    <w:link w:val="857"/>
    <w:uiPriority w:val="99"/>
    <w:unhideWhenUsed/>
    <w:qFormat/>
    <w:pPr>
      <w:spacing w:after="0" w:line="240" w:lineRule="auto"/>
      <w:tabs>
        <w:tab w:val="center" w:pos="7143" w:leader="none"/>
        <w:tab w:val="right" w:pos="14287" w:leader="none"/>
      </w:tabs>
    </w:pPr>
  </w:style>
  <w:style w:type="paragraph" w:styleId="824">
    <w:name w:val="Header"/>
    <w:basedOn w:val="804"/>
    <w:link w:val="855"/>
    <w:uiPriority w:val="99"/>
    <w:unhideWhenUsed/>
    <w:qFormat/>
    <w:pPr>
      <w:spacing w:after="0" w:line="240" w:lineRule="auto"/>
      <w:tabs>
        <w:tab w:val="center" w:pos="7143" w:leader="none"/>
        <w:tab w:val="right" w:pos="14287" w:leader="none"/>
      </w:tabs>
    </w:pPr>
  </w:style>
  <w:style w:type="paragraph" w:styleId="825">
    <w:name w:val="toc 1"/>
    <w:basedOn w:val="804"/>
    <w:next w:val="804"/>
    <w:uiPriority w:val="39"/>
    <w:unhideWhenUsed/>
    <w:qFormat/>
    <w:pPr>
      <w:ind w:left="0" w:right="0" w:firstLine="0"/>
      <w:spacing w:after="57"/>
    </w:pPr>
  </w:style>
  <w:style w:type="paragraph" w:styleId="826">
    <w:name w:val="toc 4"/>
    <w:basedOn w:val="804"/>
    <w:next w:val="804"/>
    <w:uiPriority w:val="39"/>
    <w:unhideWhenUsed/>
    <w:qFormat/>
    <w:pPr>
      <w:ind w:left="850" w:right="0" w:firstLine="0"/>
      <w:spacing w:after="57"/>
    </w:pPr>
  </w:style>
  <w:style w:type="paragraph" w:styleId="827">
    <w:name w:val="Subtitle"/>
    <w:basedOn w:val="804"/>
    <w:next w:val="804"/>
    <w:link w:val="850"/>
    <w:uiPriority w:val="11"/>
    <w:qFormat/>
    <w:pPr>
      <w:spacing w:before="200" w:after="200"/>
    </w:pPr>
    <w:rPr>
      <w:sz w:val="24"/>
      <w:szCs w:val="24"/>
    </w:rPr>
  </w:style>
  <w:style w:type="paragraph" w:styleId="828">
    <w:name w:val="footnote text"/>
    <w:basedOn w:val="804"/>
    <w:link w:val="983"/>
    <w:uiPriority w:val="99"/>
    <w:semiHidden/>
    <w:unhideWhenUsed/>
    <w:qFormat/>
    <w:pPr>
      <w:spacing w:after="40" w:line="240" w:lineRule="auto"/>
    </w:pPr>
    <w:rPr>
      <w:sz w:val="18"/>
    </w:rPr>
  </w:style>
  <w:style w:type="paragraph" w:styleId="829">
    <w:name w:val="toc 6"/>
    <w:basedOn w:val="804"/>
    <w:next w:val="804"/>
    <w:uiPriority w:val="39"/>
    <w:unhideWhenUsed/>
    <w:qFormat/>
    <w:pPr>
      <w:ind w:left="1417" w:right="0" w:firstLine="0"/>
      <w:spacing w:after="57"/>
    </w:pPr>
  </w:style>
  <w:style w:type="paragraph" w:styleId="830">
    <w:name w:val="table of figures"/>
    <w:basedOn w:val="804"/>
    <w:next w:val="804"/>
    <w:uiPriority w:val="99"/>
    <w:unhideWhenUsed/>
    <w:qFormat/>
    <w:pPr>
      <w:spacing w:after="0" w:afterAutospacing="0"/>
    </w:pPr>
  </w:style>
  <w:style w:type="paragraph" w:styleId="831">
    <w:name w:val="toc 2"/>
    <w:basedOn w:val="804"/>
    <w:next w:val="804"/>
    <w:uiPriority w:val="39"/>
    <w:unhideWhenUsed/>
    <w:qFormat/>
    <w:pPr>
      <w:ind w:left="283" w:right="0" w:firstLine="0"/>
      <w:spacing w:after="57"/>
    </w:pPr>
  </w:style>
  <w:style w:type="paragraph" w:styleId="832">
    <w:name w:val="toc 9"/>
    <w:basedOn w:val="804"/>
    <w:next w:val="804"/>
    <w:uiPriority w:val="39"/>
    <w:unhideWhenUsed/>
    <w:qFormat/>
    <w:pPr>
      <w:ind w:left="2268" w:right="0" w:firstLine="0"/>
      <w:spacing w:after="57"/>
    </w:pPr>
  </w:style>
  <w:style w:type="paragraph" w:styleId="833">
    <w:name w:val="Normal (Web)"/>
    <w:basedOn w:val="804"/>
    <w:uiPriority w:val="0"/>
    <w:qFormat/>
    <w:rPr>
      <w:sz w:val="24"/>
    </w:rPr>
  </w:style>
  <w:style w:type="paragraph" w:styleId="834">
    <w:name w:val="Title"/>
    <w:basedOn w:val="804"/>
    <w:next w:val="804"/>
    <w:link w:val="849"/>
    <w:uiPriority w:val="10"/>
    <w:qFormat/>
    <w:pPr>
      <w:contextualSpacing/>
      <w:spacing w:before="300" w:after="200"/>
    </w:pPr>
    <w:rPr>
      <w:sz w:val="48"/>
      <w:szCs w:val="48"/>
    </w:r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rPr>
  </w:style>
  <w:style w:type="character" w:styleId="838">
    <w:name w:val="footnote reference"/>
    <w:uiPriority w:val="99"/>
    <w:unhideWhenUsed/>
    <w:qFormat/>
    <w:rPr>
      <w:vertAlign w:val="superscript"/>
    </w:rPr>
  </w:style>
  <w:style w:type="character" w:styleId="839" w:customStyle="1">
    <w:name w:val="Heading 1 Char"/>
    <w:link w:val="805"/>
    <w:uiPriority w:val="9"/>
    <w:qFormat/>
    <w:rPr>
      <w:rFonts w:ascii="Arial" w:hAnsi="Arial" w:eastAsia="Arial" w:cs="Arial"/>
      <w:sz w:val="40"/>
      <w:szCs w:val="40"/>
    </w:rPr>
  </w:style>
  <w:style w:type="character" w:styleId="840" w:customStyle="1">
    <w:name w:val="Heading 2 Char"/>
    <w:link w:val="806"/>
    <w:uiPriority w:val="9"/>
    <w:qFormat/>
    <w:rPr>
      <w:rFonts w:ascii="Arial" w:hAnsi="Arial" w:eastAsia="Arial" w:cs="Arial"/>
      <w:sz w:val="34"/>
    </w:rPr>
  </w:style>
  <w:style w:type="character" w:styleId="841" w:customStyle="1">
    <w:name w:val="Heading 3 Char"/>
    <w:link w:val="807"/>
    <w:uiPriority w:val="9"/>
    <w:qFormat/>
    <w:rPr>
      <w:rFonts w:ascii="Arial" w:hAnsi="Arial" w:eastAsia="Arial" w:cs="Arial"/>
      <w:sz w:val="30"/>
      <w:szCs w:val="30"/>
    </w:rPr>
  </w:style>
  <w:style w:type="character" w:styleId="842" w:customStyle="1">
    <w:name w:val="Heading 4 Char"/>
    <w:link w:val="808"/>
    <w:uiPriority w:val="9"/>
    <w:qFormat/>
    <w:rPr>
      <w:rFonts w:ascii="Arial" w:hAnsi="Arial" w:eastAsia="Arial" w:cs="Arial"/>
      <w:b/>
      <w:bCs/>
      <w:sz w:val="26"/>
      <w:szCs w:val="26"/>
    </w:rPr>
  </w:style>
  <w:style w:type="character" w:styleId="843" w:customStyle="1">
    <w:name w:val="Heading 5 Char"/>
    <w:link w:val="809"/>
    <w:uiPriority w:val="9"/>
    <w:qFormat/>
    <w:rPr>
      <w:rFonts w:ascii="Arial" w:hAnsi="Arial" w:eastAsia="Arial" w:cs="Arial"/>
      <w:b/>
      <w:bCs/>
      <w:sz w:val="24"/>
      <w:szCs w:val="24"/>
    </w:rPr>
  </w:style>
  <w:style w:type="character" w:styleId="844" w:customStyle="1">
    <w:name w:val="Heading 6 Char"/>
    <w:link w:val="810"/>
    <w:uiPriority w:val="9"/>
    <w:qFormat/>
    <w:rPr>
      <w:rFonts w:ascii="Arial" w:hAnsi="Arial" w:eastAsia="Arial" w:cs="Arial"/>
      <w:b/>
      <w:bCs/>
      <w:sz w:val="22"/>
      <w:szCs w:val="22"/>
    </w:rPr>
  </w:style>
  <w:style w:type="character" w:styleId="845" w:customStyle="1">
    <w:name w:val="Heading 7 Char"/>
    <w:link w:val="811"/>
    <w:uiPriority w:val="9"/>
    <w:qFormat/>
    <w:rPr>
      <w:rFonts w:ascii="Arial" w:hAnsi="Arial" w:eastAsia="Arial" w:cs="Arial"/>
      <w:b/>
      <w:bCs/>
      <w:i/>
      <w:iCs/>
      <w:sz w:val="22"/>
      <w:szCs w:val="22"/>
    </w:rPr>
  </w:style>
  <w:style w:type="character" w:styleId="846" w:customStyle="1">
    <w:name w:val="Heading 8 Char"/>
    <w:link w:val="812"/>
    <w:uiPriority w:val="9"/>
    <w:qFormat/>
    <w:rPr>
      <w:rFonts w:ascii="Arial" w:hAnsi="Arial" w:eastAsia="Arial" w:cs="Arial"/>
      <w:i/>
      <w:iCs/>
      <w:sz w:val="22"/>
      <w:szCs w:val="22"/>
    </w:rPr>
  </w:style>
  <w:style w:type="character" w:styleId="847" w:customStyle="1">
    <w:name w:val="Heading 9 Char"/>
    <w:link w:val="813"/>
    <w:uiPriority w:val="9"/>
    <w:qFormat/>
    <w:rPr>
      <w:rFonts w:ascii="Arial" w:hAnsi="Arial" w:eastAsia="Arial" w:cs="Arial"/>
      <w:i/>
      <w:iCs/>
      <w:sz w:val="21"/>
      <w:szCs w:val="21"/>
    </w:rPr>
  </w:style>
  <w:style w:type="paragraph" w:styleId="848">
    <w:name w:val="No Spacing"/>
    <w:uiPriority w:val="1"/>
    <w:qFormat/>
    <w:pPr>
      <w:spacing w:before="0" w:after="0" w:line="240" w:lineRule="auto"/>
    </w:pPr>
    <w:rPr>
      <w:rFonts w:hint="default" w:ascii="Times New Roman" w:hAnsi="Times New Roman" w:eastAsia="宋体" w:cs="Times New Roman"/>
    </w:rPr>
  </w:style>
  <w:style w:type="character" w:styleId="849" w:customStyle="1">
    <w:name w:val="Title Char"/>
    <w:link w:val="834"/>
    <w:uiPriority w:val="10"/>
    <w:qFormat/>
    <w:rPr>
      <w:sz w:val="48"/>
      <w:szCs w:val="48"/>
    </w:rPr>
  </w:style>
  <w:style w:type="character" w:styleId="850" w:customStyle="1">
    <w:name w:val="Subtitle Char"/>
    <w:link w:val="827"/>
    <w:uiPriority w:val="11"/>
    <w:qFormat/>
    <w:rPr>
      <w:sz w:val="24"/>
      <w:szCs w:val="24"/>
    </w:rPr>
  </w:style>
  <w:style w:type="paragraph" w:styleId="851">
    <w:name w:val="Quote"/>
    <w:basedOn w:val="804"/>
    <w:next w:val="804"/>
    <w:link w:val="852"/>
    <w:uiPriority w:val="29"/>
    <w:qFormat/>
    <w:pPr>
      <w:ind w:left="720" w:right="720"/>
    </w:pPr>
    <w:rPr>
      <w:i/>
    </w:rPr>
  </w:style>
  <w:style w:type="character" w:styleId="852" w:customStyle="1">
    <w:name w:val="Quote Char"/>
    <w:link w:val="851"/>
    <w:uiPriority w:val="29"/>
    <w:qFormat/>
    <w:rPr>
      <w:i/>
    </w:rPr>
  </w:style>
  <w:style w:type="paragraph" w:styleId="853">
    <w:name w:val="Intense Quote"/>
    <w:basedOn w:val="804"/>
    <w:next w:val="804"/>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Intense Quote Char"/>
    <w:link w:val="853"/>
    <w:uiPriority w:val="30"/>
    <w:qFormat/>
    <w:rPr>
      <w:i/>
    </w:rPr>
  </w:style>
  <w:style w:type="character" w:styleId="855" w:customStyle="1">
    <w:name w:val="Header Char"/>
    <w:link w:val="824"/>
    <w:uiPriority w:val="99"/>
    <w:qFormat/>
  </w:style>
  <w:style w:type="character" w:styleId="856" w:customStyle="1">
    <w:name w:val="Footer Char"/>
    <w:link w:val="823"/>
    <w:uiPriority w:val="99"/>
    <w:qFormat/>
  </w:style>
  <w:style w:type="character" w:styleId="857" w:customStyle="1">
    <w:name w:val="Caption Char"/>
    <w:link w:val="823"/>
    <w:uiPriority w:val="99"/>
    <w:qFormat/>
  </w:style>
  <w:style w:type="table" w:styleId="8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Footnote Text Char"/>
    <w:link w:val="828"/>
    <w:uiPriority w:val="99"/>
    <w:qFormat/>
    <w:rPr>
      <w:sz w:val="18"/>
    </w:rPr>
  </w:style>
  <w:style w:type="character" w:styleId="984" w:customStyle="1">
    <w:name w:val="Endnote Text Char"/>
    <w:link w:val="822"/>
    <w:uiPriority w:val="99"/>
    <w:qFormat/>
    <w:rPr>
      <w:sz w:val="20"/>
    </w:rPr>
  </w:style>
  <w:style w:type="paragraph" w:styleId="985" w:customStyle="1">
    <w:name w:val="TOC Heading"/>
    <w:uiPriority w:val="39"/>
    <w:unhideWhenUsed/>
    <w:qFormat/>
    <w:rPr>
      <w:rFonts w:hint="default" w:ascii="Times New Roman" w:hAnsi="Times New Roman" w:eastAsia="宋体" w:cs="Times New Roman"/>
    </w:rPr>
  </w:style>
  <w:style w:type="paragraph" w:styleId="986" w:customStyle="1">
    <w:name w:val="标题 11"/>
    <w:basedOn w:val="804"/>
    <w:next w:val="804"/>
    <w:link w:val="999"/>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7" w:customStyle="1">
    <w:name w:val="标题 211"/>
    <w:basedOn w:val="804"/>
    <w:next w:val="804"/>
    <w:link w:val="1000"/>
    <w:uiPriority w:val="99"/>
    <w:qFormat/>
    <w:pPr>
      <w:numPr>
        <w:ilvl w:val="1"/>
        <w:numId w:val="1"/>
      </w:numPr>
      <w:jc w:val="left"/>
      <w:keepLines/>
      <w:keepNext/>
      <w:spacing w:before="120" w:after="120"/>
      <w:outlineLvl w:val="1"/>
    </w:pPr>
    <w:rPr>
      <w:rFonts w:ascii="Cambria" w:hAnsi="Cambria"/>
      <w:b/>
      <w:bCs/>
      <w:sz w:val="32"/>
      <w:szCs w:val="32"/>
    </w:rPr>
  </w:style>
  <w:style w:type="paragraph" w:styleId="988" w:customStyle="1">
    <w:name w:val="标题 31"/>
    <w:basedOn w:val="804"/>
    <w:next w:val="804"/>
    <w:link w:val="1001"/>
    <w:uiPriority w:val="99"/>
    <w:qFormat/>
    <w:pPr>
      <w:numPr>
        <w:ilvl w:val="2"/>
        <w:numId w:val="1"/>
      </w:numPr>
      <w:keepLines/>
      <w:keepNext/>
      <w:spacing w:before="120" w:after="120"/>
      <w:outlineLvl w:val="2"/>
    </w:pPr>
    <w:rPr>
      <w:b/>
      <w:bCs/>
      <w:sz w:val="32"/>
      <w:szCs w:val="32"/>
    </w:rPr>
  </w:style>
  <w:style w:type="paragraph" w:styleId="989" w:customStyle="1">
    <w:name w:val="标题 41"/>
    <w:basedOn w:val="804"/>
    <w:next w:val="804"/>
    <w:link w:val="1002"/>
    <w:uiPriority w:val="99"/>
    <w:qFormat/>
    <w:pPr>
      <w:numPr>
        <w:ilvl w:val="3"/>
        <w:numId w:val="1"/>
      </w:numPr>
      <w:keepLines/>
      <w:keepNext/>
      <w:spacing w:before="120" w:after="120"/>
      <w:outlineLvl w:val="3"/>
    </w:pPr>
    <w:rPr>
      <w:rFonts w:ascii="Cambria" w:hAnsi="Cambria"/>
      <w:b/>
      <w:bCs/>
      <w:sz w:val="28"/>
      <w:szCs w:val="28"/>
    </w:rPr>
  </w:style>
  <w:style w:type="paragraph" w:styleId="990" w:customStyle="1">
    <w:name w:val="标题 51"/>
    <w:basedOn w:val="804"/>
    <w:next w:val="991"/>
    <w:link w:val="1003"/>
    <w:uiPriority w:val="99"/>
    <w:qFormat/>
    <w:pPr>
      <w:numPr>
        <w:ilvl w:val="4"/>
        <w:numId w:val="1"/>
      </w:numPr>
      <w:keepNext/>
      <w:spacing w:before="156" w:after="156"/>
      <w:outlineLvl w:val="4"/>
    </w:pPr>
    <w:rPr>
      <w:b/>
      <w:bCs/>
      <w:sz w:val="28"/>
      <w:szCs w:val="28"/>
    </w:rPr>
  </w:style>
  <w:style w:type="paragraph" w:styleId="991" w:customStyle="1">
    <w:name w:val="正文缩进1"/>
    <w:basedOn w:val="804"/>
    <w:next w:val="992"/>
    <w:link w:val="1004"/>
    <w:uiPriority w:val="0"/>
    <w:qFormat/>
    <w:pPr>
      <w:ind w:firstLine="420"/>
    </w:pPr>
  </w:style>
  <w:style w:type="paragraph" w:styleId="992" w:customStyle="1">
    <w:name w:val="正文文本缩进1"/>
    <w:basedOn w:val="804"/>
    <w:link w:val="1005"/>
    <w:uiPriority w:val="99"/>
    <w:qFormat/>
    <w:pPr>
      <w:ind w:firstLine="645"/>
    </w:pPr>
    <w:rPr>
      <w:sz w:val="20"/>
    </w:rPr>
  </w:style>
  <w:style w:type="paragraph" w:styleId="993" w:customStyle="1">
    <w:name w:val="标题 61"/>
    <w:basedOn w:val="804"/>
    <w:next w:val="804"/>
    <w:link w:val="1006"/>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4" w:customStyle="1">
    <w:name w:val="标题 71"/>
    <w:basedOn w:val="804"/>
    <w:next w:val="804"/>
    <w:link w:val="1007"/>
    <w:uiPriority w:val="99"/>
    <w:qFormat/>
    <w:pPr>
      <w:numPr>
        <w:ilvl w:val="6"/>
        <w:numId w:val="1"/>
      </w:numPr>
      <w:keepLines/>
      <w:keepNext/>
      <w:spacing w:before="240" w:after="64" w:line="320" w:lineRule="auto"/>
      <w:outlineLvl w:val="6"/>
    </w:pPr>
    <w:rPr>
      <w:b/>
      <w:bCs/>
      <w:sz w:val="24"/>
      <w:szCs w:val="24"/>
    </w:rPr>
  </w:style>
  <w:style w:type="paragraph" w:styleId="995" w:customStyle="1">
    <w:name w:val="标题 81"/>
    <w:basedOn w:val="804"/>
    <w:next w:val="804"/>
    <w:link w:val="1008"/>
    <w:uiPriority w:val="99"/>
    <w:qFormat/>
    <w:pPr>
      <w:numPr>
        <w:ilvl w:val="7"/>
        <w:numId w:val="1"/>
      </w:numPr>
      <w:keepLines/>
      <w:keepNext/>
      <w:spacing w:before="240" w:after="64" w:line="320" w:lineRule="auto"/>
      <w:outlineLvl w:val="7"/>
    </w:pPr>
    <w:rPr>
      <w:rFonts w:ascii="Cambria" w:hAnsi="Cambria"/>
      <w:sz w:val="24"/>
      <w:szCs w:val="24"/>
    </w:rPr>
  </w:style>
  <w:style w:type="paragraph" w:styleId="996" w:customStyle="1">
    <w:name w:val="标题 91"/>
    <w:basedOn w:val="804"/>
    <w:next w:val="804"/>
    <w:link w:val="1009"/>
    <w:uiPriority w:val="99"/>
    <w:qFormat/>
    <w:pPr>
      <w:numPr>
        <w:ilvl w:val="8"/>
        <w:numId w:val="1"/>
      </w:numPr>
      <w:keepLines/>
      <w:keepNext/>
      <w:spacing w:before="240" w:after="64" w:line="320" w:lineRule="auto"/>
      <w:outlineLvl w:val="8"/>
    </w:pPr>
    <w:rPr>
      <w:rFonts w:ascii="Cambria" w:hAnsi="Cambria"/>
      <w:szCs w:val="21"/>
    </w:rPr>
  </w:style>
  <w:style w:type="character" w:styleId="997" w:customStyle="1">
    <w:name w:val="默认段落字体1"/>
    <w:link w:val="804"/>
    <w:uiPriority w:val="1"/>
    <w:unhideWhenUsed/>
    <w:qFormat/>
  </w:style>
  <w:style w:type="table" w:styleId="998" w:customStyle="1">
    <w:name w:val="普通表格1"/>
    <w:uiPriority w:val="99"/>
    <w:unhideWhenUsed/>
    <w:qFormat/>
    <w:tblPr/>
  </w:style>
  <w:style w:type="character" w:styleId="999" w:customStyle="1">
    <w:name w:val="标题 1 Char"/>
    <w:link w:val="986"/>
    <w:uiPriority w:val="0"/>
    <w:qFormat/>
    <w:rPr>
      <w:rFonts w:ascii="黑体" w:eastAsia="黑体"/>
      <w:b/>
      <w:sz w:val="28"/>
    </w:rPr>
  </w:style>
  <w:style w:type="character" w:styleId="1000" w:customStyle="1">
    <w:name w:val="标题 2 Char"/>
    <w:link w:val="987"/>
    <w:uiPriority w:val="99"/>
    <w:qFormat/>
    <w:rPr>
      <w:rFonts w:ascii="Cambria" w:hAnsi="Cambria"/>
      <w:b/>
      <w:bCs/>
      <w:sz w:val="32"/>
      <w:szCs w:val="32"/>
    </w:rPr>
  </w:style>
  <w:style w:type="character" w:styleId="1001" w:customStyle="1">
    <w:name w:val="标题 3 Char1"/>
    <w:link w:val="988"/>
    <w:uiPriority w:val="99"/>
    <w:qFormat/>
    <w:rPr>
      <w:b/>
      <w:bCs/>
      <w:sz w:val="32"/>
      <w:szCs w:val="32"/>
    </w:rPr>
  </w:style>
  <w:style w:type="character" w:styleId="1002" w:customStyle="1">
    <w:name w:val="标题 4 Char"/>
    <w:link w:val="989"/>
    <w:uiPriority w:val="99"/>
    <w:qFormat/>
    <w:rPr>
      <w:rFonts w:ascii="Cambria" w:hAnsi="Cambria"/>
      <w:b/>
      <w:bCs/>
      <w:sz w:val="28"/>
      <w:szCs w:val="28"/>
    </w:rPr>
  </w:style>
  <w:style w:type="character" w:styleId="1003" w:customStyle="1">
    <w:name w:val="标题 5 Char"/>
    <w:link w:val="990"/>
    <w:uiPriority w:val="99"/>
    <w:qFormat/>
    <w:rPr>
      <w:b/>
      <w:bCs/>
      <w:sz w:val="28"/>
      <w:szCs w:val="28"/>
    </w:rPr>
  </w:style>
  <w:style w:type="character" w:styleId="1004" w:customStyle="1">
    <w:name w:val="正文缩进 Char"/>
    <w:link w:val="991"/>
    <w:uiPriority w:val="0"/>
    <w:qFormat/>
    <w:rPr>
      <w:rFonts w:eastAsia="宋体" w:cs="Times New Roman"/>
      <w:sz w:val="21"/>
      <w:lang w:val="en-US" w:eastAsia="zh-CN" w:bidi="ar-SA"/>
    </w:rPr>
  </w:style>
  <w:style w:type="character" w:styleId="1005" w:customStyle="1">
    <w:name w:val="正文文本缩进 Char"/>
    <w:link w:val="992"/>
    <w:uiPriority w:val="99"/>
    <w:semiHidden/>
    <w:qFormat/>
    <w:rPr>
      <w:rFonts w:cs="Times New Roman"/>
      <w:sz w:val="20"/>
      <w:szCs w:val="20"/>
    </w:rPr>
  </w:style>
  <w:style w:type="character" w:styleId="1006" w:customStyle="1">
    <w:name w:val="标题 6 Char"/>
    <w:link w:val="993"/>
    <w:uiPriority w:val="99"/>
    <w:qFormat/>
    <w:rPr>
      <w:rFonts w:ascii="Cambria" w:hAnsi="Cambria"/>
      <w:b/>
      <w:bCs/>
      <w:sz w:val="24"/>
      <w:szCs w:val="24"/>
    </w:rPr>
  </w:style>
  <w:style w:type="character" w:styleId="1007" w:customStyle="1">
    <w:name w:val="标题 7 Char"/>
    <w:link w:val="994"/>
    <w:uiPriority w:val="99"/>
    <w:qFormat/>
    <w:rPr>
      <w:b/>
      <w:bCs/>
      <w:sz w:val="24"/>
      <w:szCs w:val="24"/>
    </w:rPr>
  </w:style>
  <w:style w:type="character" w:styleId="1008" w:customStyle="1">
    <w:name w:val="标题 8 Char"/>
    <w:link w:val="995"/>
    <w:uiPriority w:val="99"/>
    <w:qFormat/>
    <w:rPr>
      <w:rFonts w:ascii="Cambria" w:hAnsi="Cambria"/>
      <w:sz w:val="24"/>
      <w:szCs w:val="24"/>
    </w:rPr>
  </w:style>
  <w:style w:type="character" w:styleId="1009" w:customStyle="1">
    <w:name w:val="标题 9 Char"/>
    <w:link w:val="996"/>
    <w:uiPriority w:val="99"/>
    <w:qFormat/>
    <w:rPr>
      <w:rFonts w:ascii="Cambria" w:hAnsi="Cambria"/>
      <w:sz w:val="21"/>
      <w:szCs w:val="21"/>
    </w:rPr>
  </w:style>
  <w:style w:type="paragraph" w:styleId="1010" w:customStyle="1">
    <w:name w:val="列表 31"/>
    <w:basedOn w:val="804"/>
    <w:uiPriority w:val="99"/>
    <w:qFormat/>
    <w:pPr>
      <w:ind w:left="1260" w:hanging="420"/>
    </w:pPr>
  </w:style>
  <w:style w:type="paragraph" w:styleId="1011" w:customStyle="1">
    <w:name w:val="目录 71"/>
    <w:basedOn w:val="804"/>
    <w:next w:val="804"/>
    <w:uiPriority w:val="99"/>
    <w:semiHidden/>
    <w:qFormat/>
    <w:pPr>
      <w:ind w:left="1260"/>
      <w:jc w:val="left"/>
    </w:pPr>
    <w:rPr>
      <w:sz w:val="18"/>
    </w:rPr>
  </w:style>
  <w:style w:type="paragraph" w:styleId="1012" w:customStyle="1">
    <w:name w:val="索引 81"/>
    <w:basedOn w:val="804"/>
    <w:next w:val="804"/>
    <w:uiPriority w:val="99"/>
    <w:semiHidden/>
    <w:qFormat/>
    <w:pPr>
      <w:ind w:left="2940"/>
    </w:pPr>
  </w:style>
  <w:style w:type="paragraph" w:styleId="1013" w:customStyle="1">
    <w:name w:val="题注1"/>
    <w:basedOn w:val="804"/>
    <w:next w:val="804"/>
    <w:uiPriority w:val="35"/>
    <w:qFormat/>
    <w:pPr>
      <w:spacing w:line="360" w:lineRule="auto"/>
    </w:pPr>
    <w:rPr>
      <w:rFonts w:ascii="Cambria" w:hAnsi="Cambria" w:eastAsia="黑体"/>
      <w:sz w:val="24"/>
    </w:rPr>
  </w:style>
  <w:style w:type="paragraph" w:styleId="1014" w:customStyle="1">
    <w:name w:val="索引 51"/>
    <w:basedOn w:val="804"/>
    <w:next w:val="804"/>
    <w:uiPriority w:val="99"/>
    <w:semiHidden/>
    <w:qFormat/>
    <w:pPr>
      <w:ind w:left="1680"/>
    </w:pPr>
  </w:style>
  <w:style w:type="paragraph" w:styleId="1015" w:customStyle="1">
    <w:name w:val="文档结构图1"/>
    <w:basedOn w:val="804"/>
    <w:link w:val="1016"/>
    <w:uiPriority w:val="99"/>
    <w:semiHidden/>
    <w:qFormat/>
    <w:pPr>
      <w:shd w:val="clear" w:color="auto" w:fill="000080"/>
    </w:pPr>
    <w:rPr>
      <w:sz w:val="2"/>
    </w:rPr>
  </w:style>
  <w:style w:type="character" w:styleId="1016" w:customStyle="1">
    <w:name w:val="文档结构图 Char"/>
    <w:link w:val="1015"/>
    <w:uiPriority w:val="99"/>
    <w:semiHidden/>
    <w:qFormat/>
    <w:rPr>
      <w:rFonts w:cs="Times New Roman"/>
      <w:sz w:val="2"/>
    </w:rPr>
  </w:style>
  <w:style w:type="paragraph" w:styleId="1017" w:customStyle="1">
    <w:name w:val="批注文字1"/>
    <w:basedOn w:val="804"/>
    <w:link w:val="1018"/>
    <w:uiPriority w:val="0"/>
    <w:qFormat/>
    <w:pPr>
      <w:jc w:val="left"/>
    </w:pPr>
    <w:rPr>
      <w:sz w:val="20"/>
    </w:rPr>
  </w:style>
  <w:style w:type="character" w:styleId="1018" w:customStyle="1">
    <w:name w:val="批注文字 Char"/>
    <w:link w:val="1017"/>
    <w:uiPriority w:val="0"/>
    <w:qFormat/>
    <w:rPr>
      <w:rFonts w:cs="Times New Roman"/>
      <w:sz w:val="20"/>
      <w:szCs w:val="20"/>
    </w:rPr>
  </w:style>
  <w:style w:type="paragraph" w:styleId="1019" w:customStyle="1">
    <w:name w:val="索引 61"/>
    <w:basedOn w:val="804"/>
    <w:next w:val="804"/>
    <w:uiPriority w:val="99"/>
    <w:semiHidden/>
    <w:qFormat/>
    <w:pPr>
      <w:ind w:left="2100"/>
    </w:pPr>
  </w:style>
  <w:style w:type="paragraph" w:styleId="1020" w:customStyle="1">
    <w:name w:val="正文文本 31"/>
    <w:basedOn w:val="804"/>
    <w:link w:val="1021"/>
    <w:uiPriority w:val="99"/>
    <w:qFormat/>
    <w:rPr>
      <w:sz w:val="16"/>
      <w:szCs w:val="16"/>
    </w:rPr>
  </w:style>
  <w:style w:type="character" w:styleId="1021" w:customStyle="1">
    <w:name w:val="正文文本 3 Char"/>
    <w:link w:val="1020"/>
    <w:uiPriority w:val="99"/>
    <w:semiHidden/>
    <w:qFormat/>
    <w:rPr>
      <w:rFonts w:cs="Times New Roman"/>
      <w:sz w:val="16"/>
      <w:szCs w:val="16"/>
    </w:rPr>
  </w:style>
  <w:style w:type="paragraph" w:styleId="1022" w:customStyle="1">
    <w:name w:val="正文文本1"/>
    <w:basedOn w:val="804"/>
    <w:link w:val="1023"/>
    <w:uiPriority w:val="99"/>
    <w:qFormat/>
    <w:rPr>
      <w:sz w:val="20"/>
    </w:rPr>
  </w:style>
  <w:style w:type="character" w:styleId="1023" w:customStyle="1">
    <w:name w:val="正文文本 Char"/>
    <w:link w:val="1022"/>
    <w:uiPriority w:val="99"/>
    <w:semiHidden/>
    <w:qFormat/>
    <w:rPr>
      <w:rFonts w:cs="Times New Roman"/>
      <w:sz w:val="20"/>
      <w:szCs w:val="20"/>
    </w:rPr>
  </w:style>
  <w:style w:type="paragraph" w:styleId="1024" w:customStyle="1">
    <w:name w:val="索引 41"/>
    <w:basedOn w:val="804"/>
    <w:next w:val="804"/>
    <w:uiPriority w:val="99"/>
    <w:semiHidden/>
    <w:qFormat/>
    <w:pPr>
      <w:ind w:left="1260"/>
    </w:pPr>
  </w:style>
  <w:style w:type="paragraph" w:styleId="1025" w:customStyle="1">
    <w:name w:val="目录 51"/>
    <w:basedOn w:val="804"/>
    <w:next w:val="804"/>
    <w:uiPriority w:val="99"/>
    <w:semiHidden/>
    <w:qFormat/>
    <w:pPr>
      <w:ind w:left="840"/>
      <w:jc w:val="left"/>
    </w:pPr>
    <w:rPr>
      <w:sz w:val="18"/>
    </w:rPr>
  </w:style>
  <w:style w:type="paragraph" w:styleId="1026" w:customStyle="1">
    <w:name w:val="目录 31"/>
    <w:basedOn w:val="804"/>
    <w:next w:val="804"/>
    <w:uiPriority w:val="99"/>
    <w:semiHidden/>
    <w:qFormat/>
    <w:pPr>
      <w:ind w:left="420"/>
      <w:jc w:val="left"/>
    </w:pPr>
    <w:rPr>
      <w:i/>
      <w:sz w:val="20"/>
    </w:rPr>
  </w:style>
  <w:style w:type="paragraph" w:styleId="1027" w:customStyle="1">
    <w:name w:val="纯文本1"/>
    <w:basedOn w:val="804"/>
    <w:link w:val="1028"/>
    <w:uiPriority w:val="0"/>
    <w:qFormat/>
    <w:rPr>
      <w:rFonts w:ascii="宋体" w:hAnsi="Courier New"/>
      <w:szCs w:val="21"/>
    </w:rPr>
  </w:style>
  <w:style w:type="character" w:styleId="1028" w:customStyle="1">
    <w:name w:val="纯文本 Char"/>
    <w:link w:val="1027"/>
    <w:uiPriority w:val="0"/>
    <w:qFormat/>
    <w:rPr>
      <w:rFonts w:ascii="宋体" w:hAnsi="Courier New" w:cs="Courier New"/>
      <w:sz w:val="21"/>
      <w:szCs w:val="21"/>
    </w:rPr>
  </w:style>
  <w:style w:type="paragraph" w:styleId="1029" w:customStyle="1">
    <w:name w:val="目录 81"/>
    <w:basedOn w:val="804"/>
    <w:next w:val="804"/>
    <w:uiPriority w:val="99"/>
    <w:semiHidden/>
    <w:qFormat/>
    <w:pPr>
      <w:ind w:left="1470"/>
      <w:jc w:val="left"/>
    </w:pPr>
    <w:rPr>
      <w:sz w:val="18"/>
    </w:rPr>
  </w:style>
  <w:style w:type="paragraph" w:styleId="1030" w:customStyle="1">
    <w:name w:val="索引 31"/>
    <w:basedOn w:val="804"/>
    <w:next w:val="804"/>
    <w:uiPriority w:val="99"/>
    <w:semiHidden/>
    <w:qFormat/>
    <w:pPr>
      <w:ind w:left="840"/>
    </w:pPr>
  </w:style>
  <w:style w:type="paragraph" w:styleId="1031" w:customStyle="1">
    <w:name w:val="日期1"/>
    <w:basedOn w:val="804"/>
    <w:next w:val="804"/>
    <w:link w:val="1032"/>
    <w:uiPriority w:val="99"/>
    <w:qFormat/>
    <w:pPr>
      <w:ind w:left="100"/>
    </w:pPr>
    <w:rPr>
      <w:sz w:val="20"/>
    </w:rPr>
  </w:style>
  <w:style w:type="character" w:styleId="1032" w:customStyle="1">
    <w:name w:val="日期 Char"/>
    <w:link w:val="1031"/>
    <w:uiPriority w:val="99"/>
    <w:semiHidden/>
    <w:qFormat/>
    <w:rPr>
      <w:rFonts w:cs="Times New Roman"/>
      <w:sz w:val="20"/>
      <w:szCs w:val="20"/>
    </w:rPr>
  </w:style>
  <w:style w:type="paragraph" w:styleId="1033" w:customStyle="1">
    <w:name w:val="正文文本缩进 21"/>
    <w:basedOn w:val="804"/>
    <w:link w:val="1034"/>
    <w:uiPriority w:val="99"/>
    <w:qFormat/>
    <w:pPr>
      <w:ind w:left="630" w:firstLine="645"/>
    </w:pPr>
    <w:rPr>
      <w:sz w:val="20"/>
    </w:rPr>
  </w:style>
  <w:style w:type="character" w:styleId="1034" w:customStyle="1">
    <w:name w:val="正文文本缩进 2 Char"/>
    <w:link w:val="1033"/>
    <w:uiPriority w:val="99"/>
    <w:semiHidden/>
    <w:qFormat/>
    <w:rPr>
      <w:rFonts w:cs="Times New Roman"/>
      <w:sz w:val="20"/>
      <w:szCs w:val="20"/>
    </w:rPr>
  </w:style>
  <w:style w:type="paragraph" w:styleId="1035" w:customStyle="1">
    <w:name w:val="批注框文本1"/>
    <w:basedOn w:val="804"/>
    <w:link w:val="1036"/>
    <w:uiPriority w:val="99"/>
    <w:semiHidden/>
    <w:qFormat/>
    <w:rPr>
      <w:sz w:val="18"/>
      <w:szCs w:val="18"/>
    </w:rPr>
  </w:style>
  <w:style w:type="character" w:styleId="1036" w:customStyle="1">
    <w:name w:val="批注框文本 Char"/>
    <w:link w:val="1035"/>
    <w:uiPriority w:val="99"/>
    <w:semiHidden/>
    <w:qFormat/>
    <w:rPr>
      <w:sz w:val="18"/>
      <w:szCs w:val="18"/>
    </w:rPr>
  </w:style>
  <w:style w:type="paragraph" w:styleId="1037" w:customStyle="1">
    <w:name w:val="页脚11"/>
    <w:basedOn w:val="804"/>
    <w:link w:val="1038"/>
    <w:uiPriority w:val="99"/>
    <w:qFormat/>
    <w:pPr>
      <w:jc w:val="left"/>
      <w:tabs>
        <w:tab w:val="center" w:pos="4153" w:leader="none"/>
        <w:tab w:val="right" w:pos="8306" w:leader="none"/>
      </w:tabs>
    </w:pPr>
    <w:rPr>
      <w:sz w:val="18"/>
    </w:rPr>
  </w:style>
  <w:style w:type="character" w:styleId="1038" w:customStyle="1">
    <w:name w:val="页脚 Char"/>
    <w:link w:val="1037"/>
    <w:uiPriority w:val="99"/>
    <w:qFormat/>
    <w:rPr>
      <w:rFonts w:eastAsia="宋体" w:cs="Times New Roman"/>
      <w:sz w:val="18"/>
      <w:lang w:val="en-US" w:eastAsia="zh-CN" w:bidi="ar-SA"/>
    </w:rPr>
  </w:style>
  <w:style w:type="paragraph" w:styleId="1039" w:customStyle="1">
    <w:name w:val="页眉1"/>
    <w:basedOn w:val="804"/>
    <w:link w:val="1040"/>
    <w:uiPriority w:val="99"/>
    <w:qFormat/>
    <w:pPr>
      <w:jc w:val="center"/>
      <w:tabs>
        <w:tab w:val="center" w:pos="4153" w:leader="none"/>
        <w:tab w:val="right" w:pos="8306" w:leader="none"/>
      </w:tabs>
      <w:pBdr>
        <w:bottom w:val="single" w:color="000000" w:sz="6" w:space="1"/>
      </w:pBdr>
    </w:pPr>
    <w:rPr>
      <w:sz w:val="18"/>
    </w:rPr>
  </w:style>
  <w:style w:type="character" w:styleId="1040" w:customStyle="1">
    <w:name w:val="页眉 Char"/>
    <w:link w:val="1039"/>
    <w:uiPriority w:val="99"/>
    <w:semiHidden/>
    <w:qFormat/>
    <w:rPr>
      <w:rFonts w:eastAsia="宋体" w:cs="Times New Roman"/>
      <w:sz w:val="18"/>
      <w:lang w:val="en-US" w:eastAsia="zh-CN" w:bidi="ar-SA"/>
    </w:rPr>
  </w:style>
  <w:style w:type="paragraph" w:styleId="1041" w:customStyle="1">
    <w:name w:val="目录 11"/>
    <w:basedOn w:val="804"/>
    <w:next w:val="804"/>
    <w:uiPriority w:val="39"/>
    <w:qFormat/>
    <w:pPr>
      <w:jc w:val="left"/>
      <w:spacing w:before="120" w:after="120"/>
    </w:pPr>
    <w:rPr>
      <w:b/>
      <w:caps/>
      <w:sz w:val="20"/>
    </w:rPr>
  </w:style>
  <w:style w:type="paragraph" w:styleId="1042" w:customStyle="1">
    <w:name w:val="目录 41"/>
    <w:basedOn w:val="804"/>
    <w:next w:val="804"/>
    <w:uiPriority w:val="99"/>
    <w:semiHidden/>
    <w:qFormat/>
    <w:pPr>
      <w:ind w:left="630"/>
      <w:jc w:val="left"/>
    </w:pPr>
    <w:rPr>
      <w:sz w:val="18"/>
    </w:rPr>
  </w:style>
  <w:style w:type="paragraph" w:styleId="1043" w:customStyle="1">
    <w:name w:val="索引标题1"/>
    <w:basedOn w:val="804"/>
    <w:next w:val="1044"/>
    <w:uiPriority w:val="99"/>
    <w:semiHidden/>
    <w:qFormat/>
  </w:style>
  <w:style w:type="paragraph" w:styleId="1044" w:customStyle="1">
    <w:name w:val="索引 11"/>
    <w:basedOn w:val="804"/>
    <w:next w:val="804"/>
    <w:uiPriority w:val="99"/>
    <w:semiHidden/>
    <w:qFormat/>
    <w:pPr>
      <w:jc w:val="center"/>
    </w:pPr>
    <w:rPr>
      <w:rFonts w:ascii="仿宋_GB2312" w:hAnsi="宋体" w:eastAsia="仿宋_GB2312"/>
      <w:sz w:val="30"/>
      <w:szCs w:val="24"/>
    </w:rPr>
  </w:style>
  <w:style w:type="paragraph" w:styleId="1045" w:customStyle="1">
    <w:name w:val="目录 61"/>
    <w:basedOn w:val="804"/>
    <w:next w:val="804"/>
    <w:uiPriority w:val="99"/>
    <w:semiHidden/>
    <w:qFormat/>
    <w:pPr>
      <w:ind w:left="1050"/>
      <w:jc w:val="left"/>
    </w:pPr>
    <w:rPr>
      <w:sz w:val="18"/>
    </w:rPr>
  </w:style>
  <w:style w:type="paragraph" w:styleId="1046" w:customStyle="1">
    <w:name w:val="正文文本缩进 31"/>
    <w:basedOn w:val="804"/>
    <w:link w:val="1047"/>
    <w:uiPriority w:val="99"/>
    <w:qFormat/>
    <w:pPr>
      <w:ind w:left="645" w:firstLine="645"/>
    </w:pPr>
    <w:rPr>
      <w:sz w:val="16"/>
      <w:szCs w:val="16"/>
    </w:rPr>
  </w:style>
  <w:style w:type="character" w:styleId="1047" w:customStyle="1">
    <w:name w:val="正文文本缩进 3 Char"/>
    <w:link w:val="1046"/>
    <w:uiPriority w:val="99"/>
    <w:semiHidden/>
    <w:qFormat/>
    <w:rPr>
      <w:rFonts w:cs="Times New Roman"/>
      <w:sz w:val="16"/>
      <w:szCs w:val="16"/>
    </w:rPr>
  </w:style>
  <w:style w:type="paragraph" w:styleId="1048" w:customStyle="1">
    <w:name w:val="索引 71"/>
    <w:basedOn w:val="804"/>
    <w:next w:val="804"/>
    <w:uiPriority w:val="99"/>
    <w:semiHidden/>
    <w:qFormat/>
    <w:pPr>
      <w:ind w:left="2520"/>
    </w:pPr>
  </w:style>
  <w:style w:type="paragraph" w:styleId="1049" w:customStyle="1">
    <w:name w:val="索引 91"/>
    <w:basedOn w:val="804"/>
    <w:next w:val="804"/>
    <w:uiPriority w:val="99"/>
    <w:semiHidden/>
    <w:qFormat/>
    <w:pPr>
      <w:ind w:left="3360"/>
    </w:pPr>
  </w:style>
  <w:style w:type="paragraph" w:styleId="1050" w:customStyle="1">
    <w:name w:val="图表目录1"/>
    <w:basedOn w:val="804"/>
    <w:next w:val="804"/>
    <w:uiPriority w:val="99"/>
    <w:semiHidden/>
    <w:qFormat/>
    <w:pPr>
      <w:ind w:left="840" w:hanging="420"/>
    </w:pPr>
  </w:style>
  <w:style w:type="paragraph" w:styleId="1051" w:customStyle="1">
    <w:name w:val="目录 21"/>
    <w:basedOn w:val="804"/>
    <w:next w:val="804"/>
    <w:uiPriority w:val="39"/>
    <w:qFormat/>
    <w:pPr>
      <w:ind w:left="210"/>
      <w:jc w:val="left"/>
    </w:pPr>
    <w:rPr>
      <w:smallCaps/>
      <w:sz w:val="20"/>
    </w:rPr>
  </w:style>
  <w:style w:type="paragraph" w:styleId="1052" w:customStyle="1">
    <w:name w:val="目录 91"/>
    <w:basedOn w:val="804"/>
    <w:next w:val="804"/>
    <w:uiPriority w:val="99"/>
    <w:semiHidden/>
    <w:qFormat/>
    <w:pPr>
      <w:ind w:left="1680"/>
      <w:jc w:val="left"/>
    </w:pPr>
    <w:rPr>
      <w:sz w:val="18"/>
    </w:rPr>
  </w:style>
  <w:style w:type="paragraph" w:styleId="1053" w:customStyle="1">
    <w:name w:val="正文文本 21"/>
    <w:basedOn w:val="804"/>
    <w:link w:val="1054"/>
    <w:uiPriority w:val="99"/>
    <w:qFormat/>
    <w:pPr>
      <w:jc w:val="center"/>
      <w:widowControl/>
    </w:pPr>
    <w:rPr>
      <w:sz w:val="20"/>
    </w:rPr>
  </w:style>
  <w:style w:type="character" w:styleId="1054" w:customStyle="1">
    <w:name w:val="正文文本 2 Char"/>
    <w:link w:val="1053"/>
    <w:uiPriority w:val="99"/>
    <w:semiHidden/>
    <w:qFormat/>
    <w:rPr>
      <w:rFonts w:cs="Times New Roman"/>
      <w:sz w:val="20"/>
      <w:szCs w:val="20"/>
    </w:rPr>
  </w:style>
  <w:style w:type="paragraph" w:styleId="1055" w:customStyle="1">
    <w:name w:val="HTML 预设格式1"/>
    <w:basedOn w:val="804"/>
    <w:link w:val="105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6" w:customStyle="1">
    <w:name w:val="HTML 预设格式 Char"/>
    <w:link w:val="1055"/>
    <w:uiPriority w:val="99"/>
    <w:semiHidden/>
    <w:qFormat/>
    <w:rPr>
      <w:rFonts w:ascii="Courier New" w:hAnsi="Courier New" w:cs="Courier New"/>
      <w:sz w:val="20"/>
      <w:szCs w:val="20"/>
    </w:rPr>
  </w:style>
  <w:style w:type="paragraph" w:styleId="1057" w:customStyle="1">
    <w:name w:val="普通(网站)1"/>
    <w:basedOn w:val="804"/>
    <w:uiPriority w:val="99"/>
    <w:qFormat/>
    <w:pPr>
      <w:jc w:val="left"/>
      <w:spacing w:before="100" w:beforeAutospacing="1" w:after="100" w:afterAutospacing="1"/>
      <w:widowControl/>
    </w:pPr>
    <w:rPr>
      <w:rFonts w:ascii="Arial" w:hAnsi="Arial" w:cs="Arial"/>
      <w:sz w:val="24"/>
      <w:szCs w:val="24"/>
    </w:rPr>
  </w:style>
  <w:style w:type="paragraph" w:styleId="1058" w:customStyle="1">
    <w:name w:val="索引 21"/>
    <w:basedOn w:val="804"/>
    <w:next w:val="804"/>
    <w:uiPriority w:val="99"/>
    <w:semiHidden/>
    <w:qFormat/>
    <w:pPr>
      <w:ind w:left="420"/>
    </w:pPr>
  </w:style>
  <w:style w:type="paragraph" w:styleId="1059" w:customStyle="1">
    <w:name w:val="标题1"/>
    <w:basedOn w:val="804"/>
    <w:next w:val="804"/>
    <w:link w:val="1060"/>
    <w:uiPriority w:val="10"/>
    <w:qFormat/>
    <w:pPr>
      <w:jc w:val="center"/>
      <w:spacing w:before="240" w:after="60"/>
      <w:outlineLvl w:val="0"/>
    </w:pPr>
    <w:rPr>
      <w:rFonts w:ascii="Cambria" w:hAnsi="Cambria"/>
      <w:b/>
      <w:bCs/>
      <w:sz w:val="32"/>
      <w:szCs w:val="32"/>
    </w:rPr>
  </w:style>
  <w:style w:type="character" w:styleId="1060" w:customStyle="1">
    <w:name w:val="标题 Char"/>
    <w:link w:val="1059"/>
    <w:uiPriority w:val="10"/>
    <w:qFormat/>
    <w:rPr>
      <w:rFonts w:ascii="Cambria" w:hAnsi="Cambria" w:cs="Times New Roman"/>
      <w:b/>
      <w:bCs/>
      <w:sz w:val="32"/>
      <w:szCs w:val="32"/>
    </w:rPr>
  </w:style>
  <w:style w:type="paragraph" w:styleId="1061" w:customStyle="1">
    <w:name w:val="批注主题1"/>
    <w:basedOn w:val="1017"/>
    <w:next w:val="1017"/>
    <w:link w:val="1062"/>
    <w:uiPriority w:val="99"/>
    <w:semiHidden/>
    <w:qFormat/>
    <w:rPr>
      <w:b/>
      <w:bCs/>
    </w:rPr>
  </w:style>
  <w:style w:type="character" w:styleId="1062" w:customStyle="1">
    <w:name w:val="批注主题 Char"/>
    <w:link w:val="1061"/>
    <w:uiPriority w:val="99"/>
    <w:semiHidden/>
    <w:qFormat/>
    <w:rPr>
      <w:rFonts w:cs="Times New Roman"/>
      <w:b/>
      <w:bCs/>
      <w:sz w:val="20"/>
      <w:szCs w:val="20"/>
    </w:rPr>
  </w:style>
  <w:style w:type="paragraph" w:styleId="1063" w:customStyle="1">
    <w:name w:val="正文首行缩进1"/>
    <w:basedOn w:val="1022"/>
    <w:link w:val="1064"/>
    <w:uiPriority w:val="99"/>
    <w:qFormat/>
    <w:pPr>
      <w:ind w:firstLine="420"/>
      <w:spacing w:after="120"/>
    </w:pPr>
    <w:rPr>
      <w:rFonts w:ascii="Times New Roman" w:hAnsi="Times New Roman" w:eastAsia="宋体"/>
      <w:sz w:val="21"/>
      <w:szCs w:val="24"/>
    </w:rPr>
  </w:style>
  <w:style w:type="character" w:styleId="1064" w:customStyle="1">
    <w:name w:val="正文首行缩进 Char"/>
    <w:link w:val="1063"/>
    <w:uiPriority w:val="99"/>
    <w:semiHidden/>
    <w:qFormat/>
  </w:style>
  <w:style w:type="character" w:styleId="1065" w:customStyle="1">
    <w:name w:val="要点1"/>
    <w:basedOn w:val="997"/>
    <w:link w:val="804"/>
    <w:uiPriority w:val="22"/>
    <w:qFormat/>
    <w:rPr>
      <w:b/>
    </w:rPr>
  </w:style>
  <w:style w:type="character" w:styleId="1066" w:customStyle="1">
    <w:name w:val="页码1"/>
    <w:link w:val="804"/>
    <w:uiPriority w:val="0"/>
    <w:qFormat/>
    <w:rPr>
      <w:rFonts w:cs="Times New Roman"/>
    </w:rPr>
  </w:style>
  <w:style w:type="character" w:styleId="1067" w:customStyle="1">
    <w:name w:val="已访问的超链接1"/>
    <w:link w:val="804"/>
    <w:uiPriority w:val="99"/>
    <w:qFormat/>
    <w:rPr>
      <w:rFonts w:cs="Times New Roman"/>
      <w:color w:val="800080"/>
      <w:u w:val="single"/>
    </w:rPr>
  </w:style>
  <w:style w:type="character" w:styleId="1068" w:customStyle="1">
    <w:name w:val="强调1"/>
    <w:link w:val="804"/>
    <w:uiPriority w:val="0"/>
    <w:qFormat/>
    <w:rPr>
      <w:color w:val="cc0000"/>
    </w:rPr>
  </w:style>
  <w:style w:type="character" w:styleId="1069" w:customStyle="1">
    <w:name w:val="超链接1"/>
    <w:link w:val="804"/>
    <w:uiPriority w:val="99"/>
    <w:qFormat/>
    <w:rPr>
      <w:rFonts w:cs="Times New Roman"/>
      <w:color w:val="0000ff"/>
      <w:u w:val="single"/>
    </w:rPr>
  </w:style>
  <w:style w:type="character" w:styleId="1070" w:customStyle="1">
    <w:name w:val="批注引用1"/>
    <w:link w:val="804"/>
    <w:uiPriority w:val="0"/>
    <w:qFormat/>
    <w:rPr>
      <w:rFonts w:cs="Times New Roman"/>
      <w:sz w:val="21"/>
    </w:rPr>
  </w:style>
  <w:style w:type="paragraph" w:styleId="107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2" w:customStyle="1">
    <w:name w:val="列出段落"/>
    <w:basedOn w:val="804"/>
    <w:uiPriority w:val="99"/>
    <w:qFormat/>
    <w:pPr>
      <w:ind w:firstLine="420"/>
    </w:pPr>
    <w:rPr>
      <w:rFonts w:ascii="Calibri" w:hAnsi="Calibri"/>
      <w:szCs w:val="22"/>
    </w:rPr>
  </w:style>
  <w:style w:type="paragraph" w:styleId="1073" w:customStyle="1">
    <w:name w:val="一级条标题"/>
    <w:basedOn w:val="1074"/>
    <w:next w:val="107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4" w:customStyle="1">
    <w:name w:val="章标题"/>
    <w:basedOn w:val="804"/>
    <w:next w:val="80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75" w:customStyle="1">
    <w:name w:val="段"/>
    <w:basedOn w:val="804"/>
    <w:next w:val="804"/>
    <w:uiPriority w:val="0"/>
    <w:qFormat/>
    <w:pPr>
      <w:ind w:firstLine="200"/>
      <w:widowControl/>
    </w:pPr>
    <w:rPr>
      <w:rFonts w:hint="eastAsia" w:ascii="宋体"/>
      <w:szCs w:val="20"/>
    </w:rPr>
  </w:style>
  <w:style w:type="character" w:styleId="1076" w:customStyle="1">
    <w:name w:val="标题 3 Char"/>
    <w:link w:val="804"/>
    <w:uiPriority w:val="99"/>
    <w:qFormat/>
    <w:rPr>
      <w:rFonts w:ascii="宋体" w:hAnsi="宋体" w:eastAsia="宋体" w:cs="Times New Roman"/>
      <w:b/>
      <w:bCs/>
      <w:sz w:val="32"/>
      <w:szCs w:val="32"/>
      <w:lang w:val="en-US" w:eastAsia="zh-CN" w:bidi="ar-SA"/>
    </w:rPr>
  </w:style>
  <w:style w:type="character" w:styleId="1077" w:customStyle="1">
    <w:name w:val="para_small"/>
    <w:link w:val="804"/>
    <w:uiPriority w:val="99"/>
    <w:qFormat/>
    <w:rPr>
      <w:rFonts w:cs="Times New Roman"/>
    </w:rPr>
  </w:style>
  <w:style w:type="character" w:styleId="1078" w:customStyle="1">
    <w:name w:val="point_normal1"/>
    <w:link w:val="804"/>
    <w:uiPriority w:val="99"/>
    <w:qFormat/>
    <w:rPr>
      <w:rFonts w:ascii="Arial" w:hAnsi="Arial" w:cs="Arial"/>
      <w:sz w:val="18"/>
      <w:szCs w:val="18"/>
    </w:rPr>
  </w:style>
  <w:style w:type="character" w:styleId="1079" w:customStyle="1">
    <w:name w:val="纯文本 Char1"/>
    <w:link w:val="804"/>
    <w:uiPriority w:val="0"/>
    <w:qFormat/>
    <w:rPr>
      <w:rFonts w:ascii="宋体" w:hAnsi="Courier New" w:eastAsia="宋体"/>
      <w:sz w:val="21"/>
      <w:lang w:val="en-US" w:eastAsia="zh-CN" w:bidi="ar-SA"/>
    </w:rPr>
  </w:style>
  <w:style w:type="character" w:styleId="1080" w:customStyle="1">
    <w:name w:val="二级目录 Char"/>
    <w:link w:val="1081"/>
    <w:uiPriority w:val="99"/>
    <w:qFormat/>
    <w:rPr>
      <w:b/>
      <w:sz w:val="30"/>
      <w:szCs w:val="28"/>
      <w:lang w:val="en-US" w:eastAsia="zh-CN" w:bidi="ar-SA"/>
    </w:rPr>
  </w:style>
  <w:style w:type="paragraph" w:styleId="1081" w:customStyle="1">
    <w:name w:val="二级目录"/>
    <w:next w:val="804"/>
    <w:link w:val="1080"/>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82" w:customStyle="1">
    <w:name w:val="正文2 Char"/>
    <w:link w:val="1083"/>
    <w:uiPriority w:val="0"/>
    <w:qFormat/>
    <w:rPr>
      <w:sz w:val="24"/>
    </w:rPr>
  </w:style>
  <w:style w:type="paragraph" w:styleId="1083" w:customStyle="1">
    <w:name w:val="正文2"/>
    <w:basedOn w:val="804"/>
    <w:link w:val="1082"/>
    <w:uiPriority w:val="0"/>
    <w:qFormat/>
    <w:pPr>
      <w:ind w:firstLine="510"/>
      <w:spacing w:before="156" w:line="360" w:lineRule="auto"/>
    </w:pPr>
    <w:rPr>
      <w:sz w:val="24"/>
    </w:rPr>
  </w:style>
  <w:style w:type="paragraph" w:styleId="1084" w:customStyle="1">
    <w:name w:val="xl112"/>
    <w:basedOn w:val="80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5" w:customStyle="1">
    <w:name w:val="丁华标题2"/>
    <w:basedOn w:val="987"/>
    <w:next w:val="1086"/>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086" w:customStyle="1">
    <w:name w:val="丁华正文"/>
    <w:basedOn w:val="1046"/>
    <w:uiPriority w:val="99"/>
    <w:qFormat/>
    <w:pPr>
      <w:ind w:left="0" w:firstLine="510"/>
      <w:spacing w:line="360" w:lineRule="auto"/>
    </w:pPr>
    <w:rPr>
      <w:rFonts w:ascii="Times New Roman" w:hAnsi="Times New Roman" w:eastAsia="宋体"/>
      <w:color w:val="000000"/>
      <w:sz w:val="24"/>
      <w:szCs w:val="16"/>
    </w:rPr>
  </w:style>
  <w:style w:type="paragraph" w:styleId="1087" w:customStyle="1">
    <w:name w:val="xl115"/>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8" w:customStyle="1">
    <w:name w:val="列表段落1"/>
    <w:basedOn w:val="804"/>
    <w:next w:val="1017"/>
    <w:uiPriority w:val="99"/>
    <w:qFormat/>
    <w:pPr>
      <w:ind w:firstLine="420"/>
    </w:pPr>
    <w:rPr>
      <w:rFonts w:ascii="Times New Roman" w:hAnsi="Times New Roman" w:eastAsia="宋体" w:cs="Times New Roman"/>
      <w:szCs w:val="20"/>
    </w:rPr>
  </w:style>
  <w:style w:type="paragraph" w:styleId="1089" w:customStyle="1">
    <w:name w:val="Bullets L1"/>
    <w:basedOn w:val="804"/>
    <w:uiPriority w:val="99"/>
    <w:qFormat/>
    <w:pPr>
      <w:numPr>
        <w:ilvl w:val="0"/>
        <w:numId w:val="3"/>
      </w:numPr>
      <w:jc w:val="left"/>
      <w:spacing w:before="60" w:after="60"/>
      <w:widowControl/>
    </w:pPr>
    <w:rPr>
      <w:rFonts w:ascii="Arial" w:hAnsi="Arial"/>
      <w:sz w:val="20"/>
    </w:rPr>
  </w:style>
  <w:style w:type="paragraph" w:styleId="1090" w:customStyle="1">
    <w:name w:val="xl107"/>
    <w:basedOn w:val="804"/>
    <w:uiPriority w:val="0"/>
    <w:qFormat/>
    <w:pPr>
      <w:jc w:val="left"/>
      <w:spacing w:before="100" w:beforeAutospacing="1" w:after="100" w:afterAutospacing="1"/>
      <w:widowControl/>
    </w:pPr>
    <w:rPr>
      <w:rFonts w:ascii="Arial" w:hAnsi="Arial" w:cs="Arial"/>
      <w:sz w:val="20"/>
    </w:rPr>
  </w:style>
  <w:style w:type="paragraph" w:styleId="1091" w:customStyle="1">
    <w:name w:val="xl117"/>
    <w:basedOn w:val="80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2" w:customStyle="1">
    <w:name w:val="font7"/>
    <w:basedOn w:val="804"/>
    <w:uiPriority w:val="0"/>
    <w:qFormat/>
    <w:pPr>
      <w:jc w:val="left"/>
      <w:spacing w:before="100" w:beforeAutospacing="1" w:after="100" w:afterAutospacing="1"/>
      <w:widowControl/>
    </w:pPr>
    <w:rPr>
      <w:rFonts w:ascii="Arial" w:hAnsi="Arial" w:cs="Arial"/>
      <w:color w:val="000000"/>
      <w:sz w:val="20"/>
    </w:rPr>
  </w:style>
  <w:style w:type="paragraph" w:styleId="1093" w:customStyle="1">
    <w:name w:val="retrait3"/>
    <w:basedOn w:val="804"/>
    <w:uiPriority w:val="99"/>
    <w:qFormat/>
    <w:pPr>
      <w:ind w:left="851"/>
      <w:jc w:val="left"/>
      <w:spacing w:before="20" w:after="20"/>
      <w:widowControl/>
    </w:pPr>
    <w:rPr>
      <w:rFonts w:ascii="Arial" w:hAnsi="Arial"/>
      <w:sz w:val="24"/>
    </w:rPr>
  </w:style>
  <w:style w:type="paragraph" w:styleId="1094" w:customStyle="1">
    <w:name w:val="TOC 标题"/>
    <w:basedOn w:val="986"/>
    <w:next w:val="804"/>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95" w:customStyle="1">
    <w:name w:val="默认段落字体 Para Char"/>
    <w:basedOn w:val="804"/>
    <w:uiPriority w:val="99"/>
    <w:qFormat/>
    <w:rPr>
      <w:sz w:val="24"/>
      <w:szCs w:val="24"/>
    </w:rPr>
  </w:style>
  <w:style w:type="paragraph" w:styleId="1096" w:customStyle="1">
    <w:name w:val="丁华标题3"/>
    <w:basedOn w:val="1085"/>
    <w:next w:val="1086"/>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097" w:customStyle="1">
    <w:name w:val="xl116"/>
    <w:basedOn w:val="80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8" w:customStyle="1">
    <w:name w:val="段落"/>
    <w:basedOn w:val="804"/>
    <w:uiPriority w:val="99"/>
    <w:qFormat/>
    <w:pPr>
      <w:ind w:firstLine="480"/>
      <w:spacing w:line="460" w:lineRule="exact"/>
    </w:pPr>
    <w:rPr>
      <w:sz w:val="24"/>
    </w:rPr>
  </w:style>
  <w:style w:type="paragraph" w:styleId="1099" w:customStyle="1">
    <w:name w:val="msolistparagraph"/>
    <w:basedOn w:val="804"/>
    <w:uiPriority w:val="99"/>
    <w:qFormat/>
    <w:pPr>
      <w:ind w:firstLine="420"/>
    </w:pPr>
    <w:rPr>
      <w:rFonts w:ascii="Calibri" w:hAnsi="Calibri"/>
      <w:szCs w:val="22"/>
    </w:rPr>
  </w:style>
  <w:style w:type="paragraph" w:styleId="1100" w:customStyle="1">
    <w:name w:val="Char Char Char Char Char Char Char Char Char Char Char Char Char"/>
    <w:basedOn w:val="1015"/>
    <w:uiPriority w:val="99"/>
    <w:qFormat/>
    <w:rPr>
      <w:rFonts w:ascii="Tahoma" w:hAnsi="Tahoma"/>
      <w:sz w:val="24"/>
      <w:szCs w:val="24"/>
    </w:rPr>
  </w:style>
  <w:style w:type="paragraph" w:styleId="1101" w:customStyle="1">
    <w:name w:val="论文正文"/>
    <w:basedOn w:val="1033"/>
    <w:uiPriority w:val="99"/>
    <w:qFormat/>
    <w:pPr>
      <w:ind w:left="0" w:firstLine="200"/>
      <w:jc w:val="left"/>
      <w:spacing w:line="360" w:lineRule="auto"/>
    </w:pPr>
    <w:rPr>
      <w:rFonts w:ascii="Times New Roman" w:hAnsi="Times New Roman"/>
      <w:sz w:val="28"/>
      <w:szCs w:val="24"/>
    </w:rPr>
  </w:style>
  <w:style w:type="paragraph" w:styleId="1102" w:customStyle="1">
    <w:name w:val="xl111"/>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3"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列出段落3"/>
    <w:basedOn w:val="804"/>
    <w:uiPriority w:val="34"/>
    <w:qFormat/>
    <w:pPr>
      <w:ind w:firstLine="420"/>
    </w:pPr>
  </w:style>
  <w:style w:type="paragraph" w:styleId="1105" w:customStyle="1">
    <w:name w:val="p0"/>
    <w:basedOn w:val="804"/>
    <w:uiPriority w:val="99"/>
    <w:qFormat/>
    <w:pPr>
      <w:widowControl/>
    </w:pPr>
    <w:rPr>
      <w:szCs w:val="21"/>
    </w:rPr>
  </w:style>
  <w:style w:type="paragraph" w:styleId="1106">
    <w:name w:val="List Paragraph"/>
    <w:basedOn w:val="804"/>
    <w:uiPriority w:val="34"/>
    <w:qFormat/>
    <w:pPr>
      <w:ind w:firstLine="420"/>
    </w:pPr>
  </w:style>
  <w:style w:type="paragraph" w:styleId="1107" w:customStyle="1">
    <w:name w:val="Char"/>
    <w:basedOn w:val="804"/>
    <w:uiPriority w:val="0"/>
    <w:qFormat/>
    <w:rPr>
      <w:rFonts w:ascii="Tahoma" w:hAnsi="Tahoma" w:cs="仿宋_GB2312"/>
      <w:sz w:val="24"/>
      <w:szCs w:val="28"/>
    </w:rPr>
  </w:style>
  <w:style w:type="paragraph" w:styleId="1108" w:customStyle="1">
    <w:name w:val="xl113"/>
    <w:basedOn w:val="80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9" w:customStyle="1">
    <w:name w:val="font6"/>
    <w:basedOn w:val="804"/>
    <w:uiPriority w:val="0"/>
    <w:qFormat/>
    <w:pPr>
      <w:jc w:val="left"/>
      <w:spacing w:before="100" w:beforeAutospacing="1" w:after="100" w:afterAutospacing="1"/>
      <w:widowControl/>
    </w:pPr>
    <w:rPr>
      <w:rFonts w:ascii="宋体" w:hAnsi="宋体" w:cs="宋体"/>
      <w:color w:val="000000"/>
      <w:sz w:val="20"/>
    </w:rPr>
  </w:style>
  <w:style w:type="paragraph" w:styleId="1110" w:customStyle="1">
    <w:name w:val="xl114"/>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1" w:customStyle="1">
    <w:name w:val="Char1"/>
    <w:basedOn w:val="804"/>
    <w:uiPriority w:val="99"/>
    <w:qFormat/>
    <w:pPr>
      <w:jc w:val="left"/>
      <w:spacing w:after="160" w:line="240" w:lineRule="exact"/>
      <w:widowControl/>
    </w:pPr>
    <w:rPr>
      <w:rFonts w:ascii="Verdana" w:hAnsi="Verdana" w:eastAsia="仿宋_GB2312"/>
      <w:sz w:val="24"/>
      <w:lang w:eastAsia="en-US"/>
    </w:rPr>
  </w:style>
  <w:style w:type="paragraph" w:styleId="1112" w:customStyle="1">
    <w:name w:val="font5"/>
    <w:basedOn w:val="804"/>
    <w:uiPriority w:val="0"/>
    <w:qFormat/>
    <w:pPr>
      <w:jc w:val="left"/>
      <w:spacing w:before="100" w:beforeAutospacing="1" w:after="100" w:afterAutospacing="1"/>
      <w:widowControl/>
    </w:pPr>
    <w:rPr>
      <w:rFonts w:ascii="宋体" w:hAnsi="宋体" w:cs="宋体"/>
      <w:sz w:val="18"/>
      <w:szCs w:val="18"/>
    </w:rPr>
  </w:style>
  <w:style w:type="paragraph" w:styleId="1113" w:customStyle="1">
    <w:name w:val="xl25"/>
    <w:basedOn w:val="804"/>
    <w:uiPriority w:val="99"/>
    <w:qFormat/>
    <w:pPr>
      <w:jc w:val="center"/>
      <w:spacing w:before="100" w:beforeAutospacing="1" w:after="100" w:afterAutospacing="1"/>
      <w:widowControl/>
      <w:pBdr>
        <w:right w:val="single" w:color="000000" w:sz="4" w:space="0"/>
      </w:pBdr>
    </w:pPr>
    <w:rPr>
      <w:szCs w:val="21"/>
    </w:rPr>
  </w:style>
  <w:style w:type="paragraph" w:styleId="1114" w:customStyle="1">
    <w:name w:val="Char Char Char Char Char Char Char Char Char Char Char1 Char Char Char1"/>
    <w:basedOn w:val="804"/>
    <w:uiPriority w:val="99"/>
    <w:semiHidden/>
    <w:qFormat/>
    <w:pPr>
      <w:ind w:firstLine="200"/>
      <w:jc w:val="left"/>
    </w:pPr>
    <w:rPr>
      <w:rFonts w:ascii="Tahoma" w:hAnsi="Tahoma"/>
      <w:sz w:val="24"/>
      <w:szCs w:val="24"/>
    </w:rPr>
  </w:style>
  <w:style w:type="paragraph" w:styleId="1115" w:customStyle="1">
    <w:name w:val="默认段落字体 Para Char Char Char Char Char Char Char"/>
    <w:basedOn w:val="804"/>
    <w:uiPriority w:val="99"/>
    <w:qFormat/>
  </w:style>
  <w:style w:type="paragraph" w:styleId="1116" w:customStyle="1">
    <w:name w:val="Char Char Char Char"/>
    <w:basedOn w:val="1015"/>
    <w:uiPriority w:val="99"/>
    <w:qFormat/>
    <w:pPr>
      <w:spacing w:line="360" w:lineRule="auto"/>
    </w:pPr>
    <w:rPr>
      <w:rFonts w:ascii="Tahoma" w:hAnsi="Tahoma"/>
      <w:sz w:val="24"/>
      <w:szCs w:val="24"/>
    </w:rPr>
  </w:style>
  <w:style w:type="paragraph" w:styleId="1117"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18" w:customStyle="1">
    <w:name w:val="模板正文"/>
    <w:basedOn w:val="804"/>
    <w:uiPriority w:val="0"/>
    <w:qFormat/>
    <w:pPr>
      <w:ind w:firstLine="200"/>
      <w:spacing w:before="120" w:line="360" w:lineRule="auto"/>
    </w:pPr>
    <w:rPr>
      <w:rFonts w:eastAsia="仿宋_GB2312"/>
      <w:sz w:val="24"/>
      <w:szCs w:val="21"/>
    </w:rPr>
  </w:style>
  <w:style w:type="paragraph" w:styleId="1119" w:customStyle="1">
    <w:name w:val="表格1"/>
    <w:basedOn w:val="804"/>
    <w:uiPriority w:val="99"/>
    <w:qFormat/>
    <w:rPr>
      <w:rFonts w:ascii="宋体"/>
      <w:szCs w:val="21"/>
    </w:rPr>
  </w:style>
  <w:style w:type="paragraph" w:styleId="1120" w:customStyle="1">
    <w:name w:val="tableau"/>
    <w:basedOn w:val="804"/>
    <w:uiPriority w:val="99"/>
    <w:qFormat/>
    <w:pPr>
      <w:jc w:val="center"/>
      <w:spacing w:before="20" w:after="20"/>
      <w:widowControl/>
    </w:pPr>
    <w:rPr>
      <w:rFonts w:ascii="Arial" w:hAnsi="Arial"/>
      <w:sz w:val="16"/>
      <w:lang w:eastAsia="en-US"/>
    </w:rPr>
  </w:style>
  <w:style w:type="paragraph" w:styleId="1121" w:customStyle="1">
    <w:name w:val="样式"/>
    <w:basedOn w:val="804"/>
    <w:next w:val="1022"/>
    <w:uiPriority w:val="99"/>
    <w:qFormat/>
    <w:rPr>
      <w:rFonts w:ascii="楷体_GB2312" w:hAnsi="Arial" w:eastAsia="楷体_GB2312"/>
      <w:sz w:val="28"/>
    </w:rPr>
  </w:style>
  <w:style w:type="paragraph" w:styleId="1122" w:customStyle="1">
    <w:name w:val="普通正文"/>
    <w:basedOn w:val="804"/>
    <w:uiPriority w:val="0"/>
    <w:qFormat/>
    <w:pPr>
      <w:ind w:firstLine="480"/>
      <w:jc w:val="left"/>
      <w:spacing w:before="120" w:after="120" w:line="360" w:lineRule="auto"/>
    </w:pPr>
    <w:rPr>
      <w:rFonts w:ascii="Arial" w:hAnsi="Arial" w:cs="Arial"/>
      <w:sz w:val="24"/>
      <w:szCs w:val="24"/>
    </w:rPr>
  </w:style>
  <w:style w:type="paragraph" w:styleId="1123" w:customStyle="1">
    <w:name w:val="列出段落1"/>
    <w:basedOn w:val="804"/>
    <w:uiPriority w:val="99"/>
    <w:qFormat/>
    <w:pPr>
      <w:contextualSpacing/>
      <w:ind w:left="720"/>
      <w:jc w:val="left"/>
      <w:widowControl/>
    </w:pPr>
    <w:rPr>
      <w:rFonts w:ascii="Arial" w:hAnsi="Arial" w:eastAsia="黑体"/>
      <w:sz w:val="24"/>
      <w:szCs w:val="24"/>
      <w:lang w:eastAsia="en-US"/>
    </w:rPr>
  </w:style>
  <w:style w:type="paragraph" w:styleId="1124" w:customStyle="1">
    <w:name w:val="xl108"/>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5" w:customStyle="1">
    <w:name w:val="列出段落2"/>
    <w:basedOn w:val="804"/>
    <w:uiPriority w:val="34"/>
    <w:qFormat/>
    <w:pPr>
      <w:ind w:firstLine="420"/>
    </w:pPr>
  </w:style>
  <w:style w:type="paragraph" w:styleId="1126" w:customStyle="1">
    <w:name w:val="xl109"/>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7" w:customStyle="1">
    <w:name w:val="List Paragraph1"/>
    <w:basedOn w:val="804"/>
    <w:uiPriority w:val="99"/>
    <w:qFormat/>
    <w:pPr>
      <w:ind w:firstLine="420"/>
    </w:pPr>
    <w:rPr>
      <w:szCs w:val="24"/>
    </w:rPr>
  </w:style>
  <w:style w:type="paragraph" w:styleId="1128" w:customStyle="1">
    <w:name w:val="Char Char2 Char Char"/>
    <w:basedOn w:val="1015"/>
    <w:uiPriority w:val="99"/>
    <w:qFormat/>
    <w:pPr>
      <w:spacing w:line="436" w:lineRule="exact"/>
    </w:pPr>
    <w:rPr>
      <w:rFonts w:ascii="Tahoma" w:hAnsi="Tahoma"/>
      <w:sz w:val="24"/>
    </w:rPr>
  </w:style>
  <w:style w:type="paragraph" w:styleId="1129" w:customStyle="1">
    <w:name w:val="xl110"/>
    <w:basedOn w:val="8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0" w:customStyle="1">
    <w:name w:val="Char Char Char"/>
    <w:basedOn w:val="1015"/>
    <w:uiPriority w:val="99"/>
    <w:qFormat/>
    <w:pPr>
      <w:spacing w:line="436" w:lineRule="exact"/>
    </w:pPr>
    <w:rPr>
      <w:szCs w:val="24"/>
    </w:rPr>
  </w:style>
  <w:style w:type="paragraph" w:styleId="1131" w:customStyle="1">
    <w:name w:val="丁华标题1"/>
    <w:basedOn w:val="986"/>
    <w:next w:val="1086"/>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32" w:customStyle="1">
    <w:name w:val="标题6"/>
    <w:basedOn w:val="990"/>
    <w:uiPriority w:val="99"/>
    <w:qFormat/>
    <w:pPr>
      <w:numPr>
        <w:ilvl w:val="0"/>
        <w:numId w:val="5"/>
      </w:numPr>
      <w:keepLines/>
    </w:pPr>
    <w:rPr>
      <w:rFonts w:ascii="Times New Roman"/>
      <w:b w:val="0"/>
      <w:color w:val="000000"/>
      <w:sz w:val="24"/>
      <w:szCs w:val="28"/>
    </w:rPr>
  </w:style>
  <w:style w:type="paragraph" w:styleId="1133" w:customStyle="1">
    <w:name w:val="_Style 193"/>
    <w:basedOn w:val="804"/>
    <w:next w:val="1072"/>
    <w:uiPriority w:val="34"/>
    <w:qFormat/>
    <w:pPr>
      <w:ind w:firstLine="420"/>
    </w:pPr>
    <w:rPr>
      <w:rFonts w:ascii="Calibri" w:hAnsi="Calibri"/>
    </w:rPr>
  </w:style>
  <w:style w:type="paragraph" w:styleId="113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5" w:customStyle="1">
    <w:name w:val="修订"/>
    <w:uiPriority w:val="99"/>
    <w:unhideWhenUsed/>
    <w:qFormat/>
    <w:rPr>
      <w:rFonts w:hint="default" w:ascii="Times New Roman" w:hAnsi="Times New Roman" w:eastAsia="宋体" w:cs="Times New Roman"/>
      <w:sz w:val="21"/>
      <w:lang w:val="en-US" w:eastAsia="zh-CN" w:bidi="ar-SA"/>
    </w:rPr>
  </w:style>
  <w:style w:type="paragraph" w:styleId="1136" w:customStyle="1">
    <w:name w:val="Default"/>
    <w:basedOn w:val="804"/>
    <w:uiPriority w:val="0"/>
    <w:qFormat/>
    <w:pPr>
      <w:jc w:val="left"/>
    </w:pPr>
    <w:rPr>
      <w:rFonts w:ascii="宋体" w:cs="宋体"/>
      <w:color w:val="000000"/>
      <w:sz w:val="24"/>
      <w:szCs w:val="24"/>
    </w:rPr>
  </w:style>
  <w:style w:type="character" w:styleId="1137" w:customStyle="1">
    <w:name w:val="font31"/>
    <w:basedOn w:val="997"/>
    <w:link w:val="804"/>
    <w:uiPriority w:val="0"/>
    <w:qFormat/>
    <w:rPr>
      <w:rFonts w:hint="eastAsia" w:ascii="宋体" w:hAnsi="宋体" w:eastAsia="宋体" w:cs="宋体"/>
      <w:color w:val="000000"/>
      <w:sz w:val="21"/>
      <w:szCs w:val="21"/>
      <w:u w:val="none"/>
    </w:rPr>
  </w:style>
  <w:style w:type="paragraph" w:styleId="1138" w:customStyle="1">
    <w:name w:val="列表段落11"/>
    <w:basedOn w:val="804"/>
    <w:uiPriority w:val="0"/>
    <w:qFormat/>
    <w:pPr>
      <w:ind w:firstLine="420"/>
    </w:pPr>
  </w:style>
  <w:style w:type="character" w:styleId="1139" w:customStyle="1">
    <w:name w:val="标题 2 字符"/>
    <w:link w:val="1140"/>
    <w:uiPriority w:val="0"/>
    <w:qFormat/>
    <w:rPr>
      <w:rFonts w:ascii="Cambria" w:hAnsi="Cambria"/>
      <w:b/>
      <w:bCs/>
      <w:sz w:val="32"/>
      <w:szCs w:val="32"/>
    </w:rPr>
  </w:style>
  <w:style w:type="paragraph" w:styleId="1140" w:customStyle="1">
    <w:name w:val="标题 21"/>
    <w:basedOn w:val="804"/>
    <w:link w:val="1139"/>
    <w:uiPriority w:val="0"/>
    <w:qFormat/>
    <w:pPr>
      <w:ind w:left="709"/>
      <w:jc w:val="left"/>
      <w:keepLines/>
      <w:keepNext/>
      <w:spacing w:before="120" w:after="120"/>
      <w:outlineLvl w:val="1"/>
    </w:pPr>
    <w:rPr>
      <w:rFonts w:ascii="Cambria" w:hAnsi="Cambria"/>
      <w:b/>
      <w:bCs/>
      <w:sz w:val="32"/>
      <w:szCs w:val="32"/>
    </w:rPr>
  </w:style>
  <w:style w:type="paragraph" w:styleId="1141" w:customStyle="1">
    <w:name w:val="页脚1"/>
    <w:basedOn w:val="804"/>
    <w:uiPriority w:val="0"/>
    <w:qFormat/>
    <w:pPr>
      <w:jc w:val="left"/>
      <w:tabs>
        <w:tab w:val="center" w:pos="4153" w:leader="none"/>
        <w:tab w:val="right" w:pos="8306" w:leader="none"/>
      </w:tabs>
    </w:pPr>
    <w:rPr>
      <w:sz w:val="18"/>
    </w:rPr>
  </w:style>
  <w:style w:type="paragraph" w:styleId="1142" w:customStyle="1">
    <w:name w:val="首行缩进"/>
    <w:basedOn w:val="804"/>
    <w:uiPriority w:val="0"/>
    <w:qFormat/>
    <w:pPr>
      <w:ind w:firstLine="480"/>
      <w:spacing w:line="360" w:lineRule="auto"/>
    </w:pPr>
    <w:rPr>
      <w:rFonts w:ascii="宋体" w:hAnsi="宋体" w:cs="宋体"/>
      <w:sz w:val="24"/>
    </w:rPr>
  </w:style>
  <w:style w:type="numbering" w:styleId="10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4</cp:revision>
  <dcterms:created xsi:type="dcterms:W3CDTF">2024-12-30T00:37:00Z</dcterms:created>
  <dcterms:modified xsi:type="dcterms:W3CDTF">2026-06-10T04:27:59Z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2052-12.1.0.26895</vt:lpwstr>
  </property>
  <property fmtid="{D5CDD505-2E9C-101B-9397-08002B2CF9AE}" pid="4" name="ICV">
    <vt:lpwstr>69049A067B8245B48D319C0032143AA6_12</vt:lpwstr>
  </property>
</Properties>
</file>