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44"/>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1044"/>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044"/>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044"/>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044"/>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044"/>
        <w:rPr>
          <w:rFonts w:hint="eastAsia"/>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江苏省灌云中等专业学校机械设计与制造创新综合应用实训室建设及智能制造实训基地采购项目（专门面向中小企业）</w:t>
      </w:r>
      <w:r>
        <w:rPr>
          <w:rFonts w:hint="eastAsia"/>
        </w:rPr>
      </w:r>
      <w:r/>
    </w:p>
    <w:p>
      <w:pPr>
        <w:pStyle w:val="1044"/>
        <w:ind w:firstLine="320"/>
        <w:spacing w:before="120" w:after="120" w:line="360" w:lineRule="auto"/>
        <w:rPr>
          <w:rFonts w:ascii="Segoe UI" w:hAnsi="Segoe UI" w:eastAsia="Segoe UI" w:cs="Segoe UI"/>
          <w:i w:val="0"/>
          <w:iCs w:val="0"/>
          <w:caps w:val="0"/>
          <w:spacing w:val="0"/>
          <w:sz w:val="21"/>
          <w:szCs w:val="21"/>
          <w:shd w:val="clear" w:color="auto" w:fill="ffffff"/>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lang w:eastAsia="zh-CN"/>
        </w:rPr>
        <w:t xml:space="preserve">JSZC-320723-JZCG-G2026-0012</w:t>
      </w:r>
      <w:r/>
    </w:p>
    <w:p>
      <w:pPr>
        <w:pStyle w:val="1044"/>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1044"/>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1044"/>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10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4"/>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1044"/>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104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1044"/>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1044"/>
        <w:jc w:val="both"/>
        <w:spacing w:line="480" w:lineRule="auto"/>
        <w:rPr>
          <w:rFonts w:ascii="Times New Roman" w:hAnsi="Times New Roman"/>
          <w:color w:val="000000"/>
          <w:szCs w:val="21"/>
        </w:r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Pr>
          <w:rFonts w:ascii="Times New Roman" w:hAnsi="Times New Roman"/>
          <w:color w:val="000000"/>
          <w:szCs w:val="21"/>
        </w:rPr>
      </w:r>
      <w:r/>
    </w:p>
    <w:p>
      <w:pPr>
        <w:pStyle w:val="1044"/>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104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1044"/>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104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04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04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04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04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rPr>
          <w:rFonts w:hint="eastAsia" w:ascii="Times New Roman" w:hAnsi="Times New Roman"/>
          <w:color w:val="000000"/>
          <w:szCs w:val="21"/>
        </w:rPr>
      </w:pPr>
      <w:r>
        <w:rPr>
          <w:rFonts w:hint="eastAsia" w:ascii="Times New Roman" w:hAnsi="Times New Roman"/>
          <w:color w:val="000000"/>
          <w:szCs w:val="21"/>
        </w:rPr>
      </w:r>
      <w:r/>
    </w:p>
    <w:p>
      <w:pPr>
        <w:pStyle w:val="1044"/>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1044"/>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1044"/>
        <w:ind w:firstLine="480"/>
        <w:jc w:val="left"/>
        <w:pageBreakBefore w:val="0"/>
        <w:spacing w:line="500" w:lineRule="exact"/>
        <w:widowControl w:val="off"/>
        <w:rPr>
          <w:rFonts w:hint="eastAsia" w:ascii="Calibri" w:hAnsi="Calibri" w:eastAsia="宋体" w:cs="Times New Roman"/>
          <w:sz w:val="24"/>
          <w:szCs w:val="24"/>
        </w:rPr>
      </w:pPr>
      <w:r/>
      <w:bookmarkStart w:id="6" w:name="_Toc38985269"/>
      <w:r/>
      <w:bookmarkStart w:id="7" w:name="_Toc28359008"/>
      <w:r/>
      <w:bookmarkStart w:id="8" w:name="_Toc35393627"/>
      <w:r/>
      <w:bookmarkStart w:id="9" w:name="_Toc35393796"/>
      <w:r/>
      <w:bookmarkStart w:id="10" w:name="_Toc28359085"/>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灌云县政府采购中心就</w:t>
      </w:r>
      <w:r>
        <w:rPr>
          <w:rFonts w:hint="eastAsia" w:ascii="Calibri" w:hAnsi="Calibri" w:eastAsia="宋体" w:cs="Times New Roman"/>
          <w:sz w:val="24"/>
          <w:szCs w:val="24"/>
          <w:lang w:eastAsia="zh-CN"/>
        </w:rPr>
        <w:t xml:space="preserve">江苏省灌云中等专业学校机械设计与制造创新综合应用实训室建设及智能制造实训基地采购项目（专门面向中小企业）</w:t>
      </w:r>
      <w:r>
        <w:rPr>
          <w:rFonts w:hint="eastAsia" w:ascii="Calibri" w:hAnsi="Calibri" w:eastAsia="宋体" w:cs="Times New Roman"/>
          <w:sz w:val="24"/>
          <w:szCs w:val="24"/>
        </w:rPr>
        <w:t xml:space="preserve">(</w:t>
      </w:r>
      <w:r>
        <w:rPr>
          <w:rFonts w:hint="eastAsia" w:ascii="Calibri" w:hAnsi="Calibri" w:eastAsia="宋体" w:cs="Times New Roman"/>
          <w:sz w:val="24"/>
          <w:szCs w:val="24"/>
          <w:highlight w:val="none"/>
        </w:rPr>
        <w:t xml:space="preserve">项目编号JSZC-320723-JZCG-G2026-0012)进</w:t>
      </w:r>
      <w:r>
        <w:rPr>
          <w:rFonts w:hint="eastAsia" w:ascii="Calibri" w:hAnsi="Calibri" w:eastAsia="宋体" w:cs="Times New Roman"/>
          <w:sz w:val="24"/>
          <w:szCs w:val="24"/>
          <w:highlight w:val="none"/>
        </w:rPr>
        <w:t xml:space="preserve">行</w:t>
      </w:r>
      <w:r>
        <w:rPr>
          <w:rFonts w:hint="eastAsia" w:ascii="Calibri" w:hAnsi="Calibri" w:eastAsia="宋体" w:cs="Times New Roman"/>
          <w:sz w:val="24"/>
          <w:szCs w:val="24"/>
        </w:rPr>
        <w:t xml:space="preserve">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1044"/>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044"/>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江苏省灌云中等专业学校机械设计与制造创新综合应用实训室建设及智能制造实训基地采购项目（专门面向中小企业）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rPr>
          <w:rFonts w:ascii="宋体" w:hAnsi="宋体"/>
          <w:color w:val="000000"/>
          <w:sz w:val="24"/>
          <w:szCs w:val="24"/>
          <w:highlight w:val="none"/>
        </w:rPr>
      </w:r>
      <w:r/>
    </w:p>
    <w:p>
      <w:pPr>
        <w:pStyle w:val="1047"/>
        <w:ind w:firstLine="496"/>
        <w:pageBreakBefore w:val="0"/>
        <w:spacing w:before="145" w:after="145" w:line="500" w:lineRule="exact"/>
        <w:widowControl w:val="off"/>
        <w:rPr>
          <w:color w:val="000000"/>
          <w:highlight w:val="none"/>
        </w:rPr>
      </w:pPr>
      <w:r/>
      <w:bookmarkStart w:id="11" w:name="_Toc35393621"/>
      <w:r/>
      <w:bookmarkStart w:id="12" w:name="_Toc28359002"/>
      <w:r/>
      <w:bookmarkStart w:id="13" w:name="_Toc28359079"/>
      <w:r/>
      <w:bookmarkStart w:id="14" w:name="_Toc35393790"/>
      <w:r/>
      <w:bookmarkStart w:id="15" w:name="_Hlk24379207"/>
      <w:r/>
      <w:bookmarkStart w:id="16" w:name="_Toc38985263"/>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1044"/>
        <w:ind w:firstLine="480"/>
        <w:keepLines w:val="0"/>
        <w:keepNext w:val="0"/>
        <w:pageBreakBefore w:val="0"/>
        <w:spacing w:line="500" w:lineRule="exact"/>
        <w:widowControl w:val="off"/>
        <w:rPr>
          <w:rFonts w:hint="eastAsia"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4"/>
          <w:highlight w:val="none"/>
          <w:lang w:eastAsia="zh-CN"/>
        </w:rPr>
        <w:t xml:space="preserve">1.项目编号：</w:t>
      </w:r>
      <w:r>
        <w:rPr>
          <w:rFonts w:ascii="Segoe UI" w:hAnsi="Segoe UI" w:eastAsia="Segoe UI" w:cs="Segoe UI"/>
          <w:i w:val="0"/>
          <w:iCs w:val="0"/>
          <w:caps w:val="0"/>
          <w:spacing w:val="0"/>
          <w:sz w:val="21"/>
          <w:szCs w:val="21"/>
          <w:shd w:val="clear" w:color="auto" w:fill="ffffff"/>
        </w:rPr>
        <w:t xml:space="preserve">JSZC-320723-JZCG-G2026-0012</w:t>
      </w:r>
      <w:r>
        <w:rPr>
          <w:rFonts w:hint="eastAsia" w:ascii="宋体" w:hAnsi="宋体" w:eastAsia="宋体" w:cs="Times New Roman"/>
          <w:color w:val="000000"/>
          <w:sz w:val="24"/>
          <w:szCs w:val="24"/>
          <w:highlight w:val="yellow"/>
          <w:lang w:val="en-US" w:eastAsia="zh-CN"/>
        </w:rPr>
      </w:r>
      <w:r/>
    </w:p>
    <w:p>
      <w:pPr>
        <w:pStyle w:val="1044"/>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w:t>
      </w:r>
      <w:bookmarkEnd w:id="15"/>
      <w:r>
        <w:rPr>
          <w:rFonts w:hint="eastAsia" w:ascii="宋体" w:hAnsi="宋体" w:eastAsia="宋体" w:cs="Times New Roman"/>
          <w:color w:val="000000"/>
          <w:sz w:val="24"/>
          <w:szCs w:val="24"/>
          <w:highlight w:val="none"/>
          <w:lang w:eastAsia="zh-CN"/>
        </w:rPr>
        <w:t xml:space="preserve">江苏省灌云中等专业学校机械设计与制造创新综合应用实训室建设及智能制造实训基地采购项目（专门面向中小企业）</w:t>
      </w:r>
      <w:r>
        <w:rPr>
          <w:rFonts w:hint="eastAsia" w:ascii="宋体" w:hAnsi="宋体" w:eastAsia="宋体" w:cs="Times New Roman"/>
          <w:color w:val="000000"/>
          <w:sz w:val="24"/>
          <w:szCs w:val="24"/>
          <w:highlight w:val="none"/>
          <w:lang w:eastAsia="zh-CN"/>
        </w:rPr>
      </w:r>
      <w:r/>
    </w:p>
    <w:p>
      <w:pPr>
        <w:pStyle w:val="1044"/>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329</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1044"/>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329</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1044"/>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1044"/>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支撑机械制造及自动化专业联院办学点申办，满足核心课程教学、数字化设计、增材制造与零部件测绘类技能大赛备赛及精密测量技能培训需求；搭建智能制造综合实训平台，支撑智能制造装备技术专业建设，满足产线运维、机器人应用等课程教学、智能制造类技能大赛备赛及企业员工技能培训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44"/>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1044"/>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cs="Times New Roman"/>
          <w:color w:val="000000"/>
          <w:sz w:val="24"/>
          <w:szCs w:val="24"/>
          <w:highlight w:val="none"/>
          <w:lang w:val="en-US" w:eastAsia="zh-CN"/>
        </w:rPr>
        <w:t xml:space="preserve">合同签订之日起</w:t>
      </w:r>
      <w:r>
        <w:rPr>
          <w:rFonts w:hint="eastAsia" w:ascii="宋体" w:hAnsi="宋体" w:eastAsia="宋体" w:cs="Times New Roman"/>
          <w:color w:val="000000"/>
          <w:sz w:val="24"/>
          <w:szCs w:val="24"/>
          <w:highlight w:val="none"/>
          <w:lang w:val="en-US" w:eastAsia="zh-CN"/>
        </w:rPr>
        <w:t xml:space="preserve">60天内完</w:t>
      </w:r>
      <w:r>
        <w:rPr>
          <w:rFonts w:hint="eastAsia" w:ascii="宋体" w:hAnsi="宋体" w:cs="Times New Roman"/>
          <w:color w:val="000000"/>
          <w:sz w:val="24"/>
          <w:szCs w:val="24"/>
          <w:highlight w:val="none"/>
          <w:lang w:val="en-US" w:eastAsia="zh-CN"/>
        </w:rPr>
        <w:t xml:space="preserve">成供货及安装调试，经采购人组织验收并达到正常使用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44"/>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1047"/>
        <w:ind w:firstLine="496"/>
        <w:pageBreakBefore w:val="0"/>
        <w:spacing w:before="145" w:after="145" w:line="500" w:lineRule="exact"/>
        <w:widowControl w:val="off"/>
        <w:rPr>
          <w:rFonts w:hint="eastAsia" w:eastAsia="宋体"/>
          <w:color w:val="000000"/>
          <w:highlight w:val="none"/>
          <w:lang w:eastAsia="zh-CN"/>
        </w:rPr>
      </w:pPr>
      <w:r/>
      <w:bookmarkStart w:id="17" w:name="_Toc35393622"/>
      <w:r/>
      <w:bookmarkStart w:id="18" w:name="_Toc28359003"/>
      <w:r/>
      <w:bookmarkStart w:id="19" w:name="_Toc38985264"/>
      <w:r/>
      <w:bookmarkStart w:id="20" w:name="_Toc28359080"/>
      <w:r/>
      <w:bookmarkStart w:id="21" w:name="_Toc35393791"/>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1044"/>
        <w:ind w:firstLine="480"/>
        <w:jc w:val="left"/>
        <w:spacing w:line="500" w:lineRule="exact"/>
        <w:rPr>
          <w:rFonts w:ascii="Calibri" w:hAnsi="Calibri" w:eastAsia="宋体" w:cs="Times New Roman"/>
          <w:sz w:val="24"/>
          <w:szCs w:val="24"/>
        </w:rPr>
      </w:pPr>
      <w:r/>
      <w:bookmarkStart w:id="22" w:name="_Toc38985265"/>
      <w:r/>
      <w:bookmarkStart w:id="23" w:name="_Toc35393792"/>
      <w:r/>
      <w:bookmarkStart w:id="24" w:name="_Toc28359004"/>
      <w:r/>
      <w:bookmarkStart w:id="25" w:name="_Toc28359081"/>
      <w:r/>
      <w:bookmarkStart w:id="26" w:name="_Toc35393623"/>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highlight w:val="none"/>
        </w:rPr>
        <w:t xml:space="preserve">（提供法人或者其他组织的营业执照等证明文件）；</w:t>
      </w:r>
      <w:r>
        <w:rPr>
          <w:rFonts w:hint="eastAsia" w:ascii="宋体" w:hAnsi="宋体" w:eastAsia="宋体" w:cs="Times New Roman"/>
          <w:color w:val="000000"/>
          <w:sz w:val="24"/>
          <w:szCs w:val="24"/>
          <w:highlight w:val="none"/>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)法律、行政法规规定的其他条件。</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w:t>
      </w:r>
      <w:r>
        <w:rPr>
          <w:rFonts w:hint="eastAsia" w:ascii="宋体" w:hAnsi="宋体" w:eastAsia="宋体" w:cs="Times New Roman"/>
          <w:sz w:val="24"/>
          <w:szCs w:val="24"/>
          <w:lang w:eastAsia="zh-CN"/>
        </w:rPr>
        <w:t xml:space="preserve">招标文件</w:t>
      </w:r>
      <w:r>
        <w:rPr>
          <w:rFonts w:hint="eastAsia" w:ascii="宋体" w:hAnsi="宋体" w:eastAsia="宋体" w:cs="Times New Roman"/>
          <w:sz w:val="24"/>
          <w:szCs w:val="24"/>
        </w:rPr>
        <w:t xml:space="preserve">投标文件格式。</w:t>
      </w:r>
      <w:r>
        <w:rPr>
          <w:rFonts w:hint="eastAsia" w:ascii="宋体" w:hAnsi="宋体" w:eastAsia="宋体" w:cs="Times New Roman"/>
          <w:sz w:val="24"/>
          <w:szCs w:val="24"/>
        </w:rPr>
      </w:r>
      <w:r/>
    </w:p>
    <w:p>
      <w:pPr>
        <w:pStyle w:val="1044"/>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，拒绝其参与政府采购活动（采购人或</w:t>
      </w:r>
      <w:r>
        <w:rPr>
          <w:rFonts w:hint="eastAsia" w:ascii="宋体" w:hAnsi="宋体" w:eastAsia="宋体" w:cs="Times New Roman"/>
          <w:sz w:val="24"/>
          <w:szCs w:val="24"/>
          <w:lang w:eastAsia="zh-CN"/>
        </w:rPr>
        <w:t xml:space="preserve">灌云县政府采购中心将</w:t>
      </w:r>
      <w:r>
        <w:rPr>
          <w:rFonts w:hint="eastAsia" w:ascii="宋体" w:hAnsi="宋体" w:eastAsia="宋体" w:cs="Times New Roman"/>
          <w:sz w:val="24"/>
          <w:szCs w:val="24"/>
        </w:rPr>
        <w:t xml:space="preserve">通过信用中国网站（www.creditchina.gov.cn）、中国政府采购网（www.ccgp.gov.cn），对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1044"/>
        <w:ind w:firstLine="480"/>
        <w:jc w:val="left"/>
        <w:spacing w:line="500" w:lineRule="exact"/>
        <w:rPr>
          <w:rFonts w:hint="eastAsia" w:ascii="Calibri" w:hAnsi="Calibri" w:eastAsia="宋体" w:cs="Times New Roman"/>
          <w:sz w:val="24"/>
          <w:szCs w:val="24"/>
          <w:lang w:eastAsia="zh-CN"/>
        </w:rPr>
      </w:pPr>
      <w:r>
        <w:rPr>
          <w:rFonts w:hint="eastAsia"/>
          <w:sz w:val="24"/>
          <w:szCs w:val="24"/>
        </w:rPr>
        <w:t xml:space="preserve">（二）落实政府采购政策需满足的资格要求：</w:t>
      </w:r>
      <w:r>
        <w:rPr>
          <w:rFonts w:hint="eastAsia" w:ascii="Calibri" w:hAnsi="Calibri" w:eastAsia="宋体" w:cs="Times New Roman"/>
          <w:b/>
          <w:color w:val="000000"/>
          <w:sz w:val="24"/>
          <w:szCs w:val="24"/>
          <w:highlight w:val="none"/>
        </w:rPr>
        <w:t xml:space="preserve">本项目专门面向中型企业、小型企业、微型企业、残疾人福利性单位、监狱企业采购，符合要求的投标人须提供《中小企业声明函》（详见第六章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投标文件格式）或《残疾人福利性单位声明函》（详见第六章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投标文件格式）或属于监狱企业的证明文件，否则投标无效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1044"/>
        <w:ind w:firstLine="480"/>
        <w:jc w:val="left"/>
        <w:spacing w:line="500" w:lineRule="exact"/>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1047"/>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1044"/>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8985266"/>
      <w:r/>
      <w:bookmarkStart w:id="28" w:name="_Toc35393624"/>
      <w:r/>
      <w:bookmarkStart w:id="29" w:name="_Toc35393793"/>
      <w:r/>
      <w:bookmarkStart w:id="30" w:name="_Toc28359082"/>
      <w:r/>
      <w:bookmarkStart w:id="31" w:name="_Toc28359005"/>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日至20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07</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1044"/>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1044"/>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1044"/>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1044"/>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1044"/>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1047"/>
        <w:ind w:firstLine="496"/>
        <w:pageBreakBefore w:val="0"/>
        <w:spacing w:before="145" w:after="145" w:line="500" w:lineRule="exact"/>
        <w:widowControl w:val="off"/>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1044"/>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8985267"/>
      <w:r/>
      <w:bookmarkStart w:id="33" w:name="_Toc35393625"/>
      <w:r/>
      <w:bookmarkStart w:id="34" w:name="_Toc28359084"/>
      <w:r/>
      <w:bookmarkStart w:id="35" w:name="_Toc28359007"/>
      <w:r/>
      <w:bookmarkStart w:id="36" w:name="_Toc35393794"/>
      <w:r>
        <w:rPr>
          <w:rFonts w:ascii="宋体" w:hAnsi="宋体" w:cs="宋体"/>
          <w:color w:val="000000"/>
          <w:sz w:val="24"/>
          <w:szCs w:val="24"/>
        </w:rPr>
        <w:t xml:space="preserve">时间</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07</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10</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时00分（北京时间）；</w:t>
      </w:r>
      <w:r>
        <w:rPr>
          <w:color w:val="000000"/>
          <w:szCs w:val="24"/>
          <w:highlight w:val="none"/>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1047"/>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1044"/>
        <w:ind w:firstLine="480"/>
        <w:pageBreakBefore w:val="0"/>
        <w:spacing w:line="500" w:lineRule="exact"/>
        <w:widowControl w:val="off"/>
        <w:rPr>
          <w:rFonts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1047"/>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1044"/>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1044"/>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一</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1044"/>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1044"/>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1044"/>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1044"/>
        <w:ind w:left="1079" w:hanging="300"/>
        <w:jc w:val="left"/>
        <w:keepLines w:val="0"/>
        <w:keepNext w:val="0"/>
        <w:pageBreakBefore w:val="0"/>
        <w:spacing w:line="50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lang w:val="en-US" w:eastAsia="zh-CN"/>
        </w:rPr>
        <w:t xml:space="preserve">  江苏省</w:t>
      </w:r>
      <w:r>
        <w:rPr>
          <w:rFonts w:hint="eastAsia" w:ascii="宋体" w:hAnsi="宋体" w:eastAsia="宋体" w:cs="宋体"/>
          <w:sz w:val="24"/>
          <w:szCs w:val="24"/>
          <w:u w:val="single"/>
          <w:lang w:eastAsia="zh-CN"/>
        </w:rPr>
        <w:t xml:space="preserve">灌云中等专业学校</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lang w:val="en-US" w:eastAsia="zh-CN"/>
        </w:rPr>
      </w:r>
      <w:r/>
    </w:p>
    <w:p>
      <w:pPr>
        <w:pStyle w:val="1044"/>
        <w:ind w:left="1079" w:hanging="300"/>
        <w:jc w:val="left"/>
        <w:keepLines w:val="0"/>
        <w:keepNext w:val="0"/>
        <w:pageBreakBefore w:val="0"/>
        <w:spacing w:line="500" w:lineRule="exact"/>
        <w:rPr>
          <w:rFonts w:hint="eastAsia" w:ascii="宋体" w:hAnsi="宋体" w:eastAsia="宋体" w:cs="宋体"/>
          <w:sz w:val="24"/>
          <w:szCs w:val="24"/>
          <w:u w:val="single"/>
          <w:lang w:val="en-US" w:eastAsia="zh-CN"/>
        </w:rPr>
      </w:pPr>
      <w:r>
        <w:rPr>
          <w:rFonts w:hint="eastAsia" w:ascii="宋体" w:hAnsi="宋体" w:eastAsia="宋体" w:cs="Times New Roman"/>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1044"/>
        <w:ind w:left="1079" w:hanging="300"/>
        <w:jc w:val="left"/>
        <w:keepLines w:val="0"/>
        <w:keepNext w:val="0"/>
        <w:pageBreakBefore w:val="0"/>
        <w:spacing w:line="5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u w:val="single"/>
          <w:lang w:val="en-US" w:eastAsia="zh-CN"/>
        </w:rPr>
        <w:t xml:space="preserve"> 姚老师  </w:t>
      </w:r>
      <w:r>
        <w:rPr>
          <w:rFonts w:ascii="宋体" w:hAnsi="宋体" w:eastAsia="宋体" w:cs="Times New Roman"/>
          <w:color w:val="000000"/>
          <w:sz w:val="24"/>
          <w:szCs w:val="24"/>
          <w:highlight w:val="none"/>
          <w:lang w:val="en-US" w:eastAsia="zh-CN"/>
        </w:rPr>
      </w:r>
      <w:r/>
    </w:p>
    <w:p>
      <w:pPr>
        <w:pStyle w:val="1044"/>
        <w:ind w:left="1079" w:hanging="300"/>
        <w:jc w:val="left"/>
        <w:keepLines w:val="0"/>
        <w:keepNext w:val="0"/>
        <w:pageBreakBefore w:val="0"/>
        <w:spacing w:line="500" w:lineRule="exact"/>
        <w:rPr>
          <w:rFonts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rPr>
        <w:t xml:space="preserve">联系方式：</w:t>
      </w:r>
      <w:bookmarkStart w:id="40" w:name="_Toc28359009"/>
      <w:r/>
      <w:bookmarkStart w:id="41" w:name="_Toc28359086"/>
      <w:r>
        <w:rPr>
          <w:rFonts w:hint="eastAsia" w:ascii="Calibri" w:hAnsi="Calibri" w:eastAsia="宋体" w:cs="Times New Roman"/>
          <w:sz w:val="24"/>
          <w:szCs w:val="24"/>
          <w:highlight w:val="none"/>
          <w:u w:val="single"/>
          <w:lang w:val="en-US" w:eastAsia="zh-CN"/>
        </w:rPr>
        <w:t xml:space="preserve"> 15161313905</w:t>
      </w:r>
      <w:r>
        <w:rPr>
          <w:rFonts w:ascii="宋体" w:hAnsi="宋体" w:eastAsia="宋体" w:cs="Times New Roman"/>
          <w:color w:val="000000"/>
          <w:sz w:val="24"/>
          <w:szCs w:val="24"/>
          <w:highlight w:val="none"/>
          <w:u w:val="single"/>
          <w:lang w:val="en-US" w:eastAsia="zh-CN"/>
        </w:rPr>
      </w:r>
      <w:r/>
    </w:p>
    <w:p>
      <w:pPr>
        <w:pStyle w:val="1044"/>
        <w:ind w:firstLine="720"/>
        <w:keepLines w:val="0"/>
        <w:keepNext w:val="0"/>
        <w:pageBreakBefore w:val="0"/>
        <w:spacing w:line="500" w:lineRule="exact"/>
        <w:rPr>
          <w:rFonts w:hint="eastAsia" w:ascii="宋体" w:hAnsi="宋体" w:eastAsia="宋体" w:cs="Times New Roman"/>
          <w:color w:val="000000"/>
          <w:sz w:val="24"/>
          <w:szCs w:val="24"/>
        </w:rPr>
      </w:pPr>
      <w:r/>
      <w:bookmarkEnd w:id="40"/>
      <w:r/>
      <w:bookmarkEnd w:id="41"/>
      <w:r>
        <w:rPr>
          <w:rFonts w:hint="eastAsia" w:ascii="宋体" w:hAnsi="宋体" w:eastAsia="宋体" w:cs="Times New Roman"/>
          <w:color w:val="000000"/>
          <w:sz w:val="24"/>
          <w:szCs w:val="24"/>
        </w:rPr>
        <w:t xml:space="preserve">2.采购代理机构信息</w:t>
      </w:r>
      <w:r>
        <w:rPr>
          <w:rFonts w:hint="eastAsia" w:ascii="宋体" w:hAnsi="宋体" w:eastAsia="宋体" w:cs="Times New Roman"/>
          <w:color w:val="000000"/>
          <w:sz w:val="24"/>
          <w:szCs w:val="24"/>
        </w:rPr>
      </w:r>
      <w:r/>
    </w:p>
    <w:p>
      <w:pPr>
        <w:pStyle w:val="1044"/>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宋体"/>
          <w:sz w:val="24"/>
          <w:szCs w:val="24"/>
          <w:u w:val="single"/>
          <w:lang w:eastAsia="zh-CN"/>
        </w:rPr>
        <w:t xml:space="preserve">灌云县政府采购中心</w:t>
      </w:r>
      <w:r>
        <w:rPr>
          <w:rFonts w:ascii="宋体" w:hAnsi="宋体" w:eastAsia="宋体" w:cs="Times New Roman"/>
          <w:color w:val="000000"/>
          <w:sz w:val="24"/>
          <w:szCs w:val="24"/>
          <w:lang w:val="en-US"/>
        </w:rPr>
      </w:r>
      <w:r/>
    </w:p>
    <w:p>
      <w:pPr>
        <w:pStyle w:val="1044"/>
        <w:ind w:firstLine="720"/>
        <w:keepLines w:val="0"/>
        <w:keepNext w:val="0"/>
        <w:pageBreakBefore w:val="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rPr>
          <w:rFonts w:hint="eastAsia" w:ascii="宋体" w:hAnsi="宋体" w:eastAsia="宋体" w:cs="Times New Roman"/>
          <w:color w:val="000000"/>
          <w:sz w:val="24"/>
          <w:szCs w:val="24"/>
          <w:u w:val="single"/>
          <w:lang w:eastAsia="zh-CN"/>
        </w:rPr>
        <w:t xml:space="preserve">灌云县东城区商务大厦</w:t>
      </w:r>
      <w:r>
        <w:rPr>
          <w:rFonts w:hint="eastAsia" w:ascii="宋体" w:hAnsi="宋体" w:eastAsia="宋体" w:cs="Times New Roman"/>
          <w:color w:val="000000"/>
          <w:sz w:val="24"/>
          <w:szCs w:val="24"/>
          <w:u w:val="single"/>
          <w:lang w:val="en-US" w:eastAsia="zh-CN"/>
        </w:rPr>
        <w:t xml:space="preserve">A座12楼</w:t>
      </w:r>
      <w:r>
        <w:rPr>
          <w:rFonts w:ascii="宋体" w:hAnsi="宋体" w:eastAsia="宋体" w:cs="Times New Roman"/>
          <w:color w:val="000000"/>
          <w:sz w:val="24"/>
          <w:szCs w:val="24"/>
        </w:rPr>
      </w:r>
      <w:r/>
    </w:p>
    <w:p>
      <w:pPr>
        <w:pStyle w:val="1044"/>
        <w:ind w:firstLine="720"/>
        <w:keepLines w:val="0"/>
        <w:keepNext w:val="0"/>
        <w:pageBreakBefore w:val="0"/>
        <w:spacing w:line="50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u w:val="single"/>
          <w:lang w:val="en-US" w:eastAsia="zh-CN"/>
        </w:rPr>
        <w:t xml:space="preserve">焦工</w:t>
      </w:r>
      <w:r>
        <w:rPr>
          <w:rFonts w:ascii="宋体" w:hAnsi="宋体" w:eastAsia="宋体" w:cs="Times New Roman"/>
          <w:color w:val="000000"/>
          <w:sz w:val="24"/>
          <w:szCs w:val="24"/>
          <w:lang w:val="en-US" w:eastAsia="zh-CN"/>
        </w:rPr>
      </w:r>
      <w:r/>
    </w:p>
    <w:p>
      <w:pPr>
        <w:pStyle w:val="1044"/>
        <w:ind w:firstLine="720"/>
        <w:keepLines w:val="0"/>
        <w:keepNext w:val="0"/>
        <w:pageBreakBefore w:val="0"/>
        <w:spacing w:line="500" w:lineRule="exact"/>
        <w:rPr>
          <w:rFonts w:hint="eastAsia"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rPr>
        <w:t xml:space="preserve">联系方式：</w:t>
      </w:r>
      <w:bookmarkStart w:id="42" w:name="_Toc28359010"/>
      <w:r/>
      <w:bookmarkStart w:id="43" w:name="_Toc28359087"/>
      <w:r>
        <w:rPr>
          <w:rFonts w:hint="eastAsia" w:ascii="宋体" w:hAnsi="宋体" w:eastAsia="宋体" w:cs="Times New Roman"/>
          <w:color w:val="000000"/>
          <w:sz w:val="24"/>
          <w:szCs w:val="24"/>
          <w:u w:val="single"/>
          <w:lang w:val="en-US" w:eastAsia="zh-CN"/>
        </w:rPr>
        <w:t xml:space="preserve">0518-80275537</w:t>
      </w:r>
      <w:r>
        <w:rPr>
          <w:rFonts w:hint="eastAsia" w:ascii="宋体" w:hAnsi="宋体" w:eastAsia="宋体" w:cs="Times New Roman"/>
          <w:color w:val="000000"/>
          <w:sz w:val="24"/>
          <w:szCs w:val="24"/>
          <w:u w:val="single"/>
          <w:lang w:val="en-US" w:eastAsia="zh-CN"/>
        </w:rPr>
      </w:r>
      <w:r/>
    </w:p>
    <w:p>
      <w:pPr>
        <w:pStyle w:val="1044"/>
        <w:ind w:firstLine="720"/>
        <w:keepLines w:val="0"/>
        <w:keepNext w:val="0"/>
        <w:pageBreakBefore w:val="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3.项目联系方式</w:t>
      </w:r>
      <w:r>
        <w:rPr>
          <w:rFonts w:ascii="宋体" w:hAnsi="宋体" w:eastAsia="宋体" w:cs="Times New Roman"/>
          <w:color w:val="000000"/>
          <w:sz w:val="24"/>
          <w:szCs w:val="24"/>
        </w:rPr>
      </w:r>
      <w:r/>
    </w:p>
    <w:p>
      <w:pPr>
        <w:pStyle w:val="1044"/>
        <w:ind w:firstLine="720"/>
        <w:keepLines w:val="0"/>
        <w:keepNext w:val="0"/>
        <w:pageBreakBefore w:val="0"/>
        <w:spacing w:line="500" w:lineRule="exact"/>
        <w:rPr>
          <w:rFonts w:ascii="宋体" w:hAnsi="宋体" w:eastAsia="宋体" w:cs="Times New Roman"/>
          <w:color w:val="ffff00"/>
          <w:sz w:val="24"/>
          <w:szCs w:val="24"/>
          <w:highlight w:val="none"/>
          <w:lang w:val="en-US" w:eastAsia="zh-CN"/>
        </w:rPr>
      </w:pPr>
      <w:r>
        <w:rPr>
          <w:rFonts w:ascii="宋体" w:hAnsi="宋体" w:eastAsia="宋体" w:cs="Times New Roman"/>
          <w:color w:val="000000"/>
          <w:sz w:val="24"/>
          <w:szCs w:val="24"/>
        </w:rPr>
        <w:t xml:space="preserve">项目联系人：</w:t>
      </w:r>
      <w:r>
        <w:rPr>
          <w:rFonts w:hint="eastAsia" w:ascii="宋体" w:hAnsi="宋体" w:eastAsia="宋体" w:cs="Times New Roman"/>
          <w:color w:val="ffff00"/>
          <w:sz w:val="24"/>
          <w:szCs w:val="24"/>
          <w:lang w:val="en-US" w:eastAsia="zh-CN"/>
        </w:rPr>
        <w:t xml:space="preserve">  </w:t>
      </w:r>
      <w:r>
        <w:rPr>
          <w:rFonts w:hint="eastAsia" w:ascii="宋体" w:hAnsi="宋体" w:eastAsia="宋体" w:cs="Times New Roman"/>
          <w:color w:val="000000"/>
          <w:sz w:val="24"/>
          <w:szCs w:val="24"/>
          <w:highlight w:val="none"/>
          <w:u w:val="single"/>
          <w:lang w:val="en-US" w:eastAsia="zh-CN"/>
        </w:rPr>
        <w:t xml:space="preserve">姚老师</w:t>
      </w:r>
      <w:r>
        <w:rPr>
          <w:rFonts w:ascii="宋体" w:hAnsi="宋体" w:eastAsia="宋体" w:cs="Times New Roman"/>
          <w:color w:val="ffff00"/>
          <w:sz w:val="24"/>
          <w:szCs w:val="24"/>
          <w:highlight w:val="none"/>
          <w:lang w:val="en-US" w:eastAsia="zh-CN"/>
        </w:rPr>
      </w:r>
      <w:r/>
    </w:p>
    <w:p>
      <w:pPr>
        <w:pStyle w:val="1044"/>
        <w:ind w:firstLine="720"/>
        <w:keepLines w:val="0"/>
        <w:keepNext w:val="0"/>
        <w:pageBreakBefore w:val="0"/>
        <w:spacing w:line="500" w:lineRule="exact"/>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电      话：</w:t>
      </w:r>
      <w:r>
        <w:rPr>
          <w:rFonts w:hint="eastAsia" w:ascii="宋体" w:hAnsi="宋体" w:eastAsia="宋体" w:cs="Times New Roman"/>
          <w:color w:val="000000"/>
          <w:sz w:val="24"/>
          <w:szCs w:val="24"/>
          <w:highlight w:val="none"/>
          <w:lang w:val="en-US" w:eastAsia="zh-CN"/>
        </w:rPr>
        <w:t xml:space="preserve">  </w:t>
      </w:r>
      <w:r>
        <w:rPr>
          <w:rFonts w:hint="eastAsia" w:ascii="Calibri" w:hAnsi="Calibri" w:eastAsia="宋体" w:cs="Times New Roman"/>
          <w:sz w:val="24"/>
          <w:szCs w:val="24"/>
          <w:highlight w:val="none"/>
          <w:u w:val="single"/>
          <w:lang w:val="en-US" w:eastAsia="zh-CN"/>
        </w:rPr>
        <w:t xml:space="preserve"> 15161313905</w:t>
      </w: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lang w:val="en-US" w:eastAsia="zh-CN"/>
        </w:rPr>
      </w:r>
      <w:r/>
    </w:p>
    <w:p>
      <w:pPr>
        <w:pStyle w:val="1044"/>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1044"/>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1044"/>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1044"/>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1044"/>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1044"/>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513029203"/>
      <w:r/>
      <w:bookmarkStart w:id="50" w:name="_Toc16938519"/>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1044"/>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1044"/>
        <w:ind w:firstLine="480"/>
        <w:jc w:val="left"/>
        <w:spacing w:line="500" w:lineRule="exact"/>
        <w:rPr>
          <w:rFonts w:ascii="Calibri" w:hAnsi="Calibri" w:eastAsia="宋体" w:cs="Times New Roman"/>
          <w:sz w:val="24"/>
          <w:szCs w:val="24"/>
        </w:rPr>
      </w:pPr>
      <w:r/>
      <w:bookmarkStart w:id="61" w:name="_Toc20823278"/>
      <w:r/>
      <w:bookmarkStart w:id="62" w:name="_Toc513029206"/>
      <w:r/>
      <w:bookmarkStart w:id="63" w:name="_Toc16938522"/>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1044"/>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64" w:name="_Toc513029207"/>
      <w:r/>
      <w:bookmarkStart w:id="65" w:name="_Toc16938523"/>
      <w:r/>
      <w:bookmarkStart w:id="66" w:name="_Toc20823279"/>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1044"/>
        <w:ind w:firstLine="480"/>
        <w:pageBreakBefore w:val="0"/>
        <w:spacing w:line="500" w:lineRule="exact"/>
        <w:rPr>
          <w:rFonts w:hint="eastAsia" w:ascii="Times New Roman" w:hAnsi="Times New Roman" w:eastAsia="宋体" w:cs="Times New Roman"/>
          <w:sz w:val="24"/>
          <w:szCs w:val="24"/>
        </w:rPr>
      </w:pPr>
      <w:r>
        <w:rPr>
          <w:rFonts w:hint="eastAsia" w:ascii="宋体" w:hAnsi="宋体" w:eastAsia="宋体" w:cs="Times New Roman"/>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其他国有资源（资产）有偿使用费35000元，由中标人支付，投标人在报价时综合考虑</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rPr>
      </w:r>
      <w:r/>
    </w:p>
    <w:p>
      <w:pPr>
        <w:pStyle w:val="1044"/>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1044"/>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1044"/>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6938525"/>
      <w:r/>
      <w:bookmarkStart w:id="69" w:name="_Toc120614215"/>
      <w:r/>
      <w:bookmarkStart w:id="70" w:name="_Toc513029209"/>
      <w:r/>
      <w:bookmarkStart w:id="71" w:name="_Toc20823281"/>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72" w:name="_Toc513029210"/>
      <w:r/>
      <w:bookmarkStart w:id="73" w:name="_Toc20823282"/>
      <w:r/>
      <w:bookmarkStart w:id="74"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1044"/>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1044"/>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1044"/>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1044"/>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1044"/>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1044"/>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1044"/>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1044"/>
        <w:ind w:firstLine="560"/>
        <w:keepLines/>
        <w:keepNext/>
        <w:pageBreakBefore w:val="0"/>
        <w:spacing w:line="500" w:lineRule="exact"/>
        <w:rPr>
          <w:rFonts w:hint="eastAsia" w:ascii="Arial" w:hAnsi="Arial" w:eastAsia="黑体" w:cs="Arial"/>
          <w:color w:val="000000"/>
          <w:sz w:val="28"/>
          <w:szCs w:val="28"/>
        </w:rPr>
        <w:outlineLvl w:val="3"/>
      </w:pPr>
      <w:r/>
      <w:bookmarkStart w:id="75" w:name="_Toc16938527"/>
      <w:r/>
      <w:bookmarkStart w:id="76" w:name="_Toc20823283"/>
      <w:r/>
      <w:bookmarkStart w:id="77" w:name="_Toc462564070"/>
      <w:r/>
      <w:bookmarkStart w:id="78"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1044"/>
        <w:ind w:firstLine="560"/>
        <w:keepLines/>
        <w:keepNext/>
        <w:pageBreakBefore w:val="0"/>
        <w:spacing w:line="500" w:lineRule="exact"/>
        <w:rPr>
          <w:rFonts w:hint="eastAsia" w:ascii="Arial" w:hAnsi="Arial" w:eastAsia="黑体" w:cs="Arial"/>
          <w:color w:val="000000"/>
          <w:sz w:val="28"/>
          <w:szCs w:val="28"/>
        </w:rPr>
        <w:outlineLvl w:val="3"/>
      </w:pPr>
      <w:r/>
      <w:bookmarkStart w:id="79" w:name="_Toc462564071"/>
      <w:r/>
      <w:bookmarkStart w:id="80" w:name="_Toc20823284"/>
      <w:r/>
      <w:bookmarkStart w:id="81" w:name="_Toc513029212"/>
      <w:r/>
      <w:bookmarkStart w:id="82" w:name="_Toc16938528"/>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1044"/>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1044"/>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1044"/>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120614216"/>
      <w:r/>
      <w:bookmarkStart w:id="84" w:name="_Toc462564072"/>
      <w:r/>
      <w:bookmarkStart w:id="85" w:name="_Toc20823285"/>
      <w:r/>
      <w:bookmarkStart w:id="86" w:name="_Toc16938529"/>
      <w:r/>
      <w:bookmarkStart w:id="87" w:name="_Toc513029213"/>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20823287"/>
      <w:r/>
      <w:bookmarkStart w:id="89" w:name="_Toc462564074"/>
      <w:r/>
      <w:bookmarkStart w:id="90" w:name="_Toc16938531"/>
      <w:r/>
      <w:bookmarkStart w:id="91" w:name="_Toc513029215"/>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668975"/>
      <w:r/>
      <w:bookmarkEnd w:id="92"/>
      <w:r/>
      <w:bookmarkStart w:id="93" w:name="_Hlt26670360"/>
      <w:r/>
      <w:bookmarkEnd w:id="93"/>
      <w:r/>
      <w:bookmarkStart w:id="94" w:name="_Hlt26954838"/>
      <w:r/>
      <w:bookmarkEnd w:id="94"/>
      <w:r/>
      <w:bookmarkStart w:id="95" w:name="_Toc513029219"/>
      <w:r/>
      <w:bookmarkStart w:id="96" w:name="_Toc49090509"/>
      <w:r/>
      <w:bookmarkStart w:id="97" w:name="_Toc14577357"/>
      <w:r/>
      <w:bookmarkStart w:id="98" w:name="_Toc14577354"/>
      <w:r/>
      <w:bookmarkStart w:id="99" w:name="_Toc49090507"/>
      <w:r/>
      <w:bookmarkStart w:id="100" w:name="_Toc513029216"/>
      <w:r/>
      <w:bookmarkStart w:id="101" w:name="_Toc14577355"/>
      <w:r/>
      <w:bookmarkStart w:id="102" w:name="_Toc49090508"/>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1044"/>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954848"/>
      <w:r/>
      <w:bookmarkEnd w:id="103"/>
      <w:r/>
      <w:bookmarkStart w:id="104" w:name="_Hlt26954731"/>
      <w:r/>
      <w:bookmarkEnd w:id="104"/>
      <w:r/>
      <w:bookmarkStart w:id="105" w:name="_Hlt26954846"/>
      <w:r/>
      <w:bookmarkEnd w:id="105"/>
      <w:r/>
      <w:bookmarkStart w:id="106" w:name="_Hlt26670482"/>
      <w:r/>
      <w:bookmarkEnd w:id="106"/>
      <w:r/>
      <w:bookmarkStart w:id="107" w:name="_Hlt26670486"/>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739"/>
      <w:r/>
      <w:bookmarkEnd w:id="108"/>
      <w:r/>
      <w:bookmarkStart w:id="109" w:name="_Hlt26954852"/>
      <w:r/>
      <w:bookmarkEnd w:id="109"/>
      <w:r/>
      <w:bookmarkStart w:id="110" w:name="_Toc20823296"/>
      <w:r/>
      <w:bookmarkStart w:id="111" w:name="_Toc16938540"/>
      <w:r/>
      <w:bookmarkStart w:id="112" w:name="_Toc513029224"/>
      <w:r/>
      <w:bookmarkStart w:id="113" w:name="_Toc120614217"/>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1044"/>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1044"/>
        <w:ind w:firstLine="420"/>
        <w:keepLines/>
        <w:keepNext/>
        <w:pageBreakBefore w:val="0"/>
        <w:spacing w:line="500" w:lineRule="exact"/>
        <w:rPr>
          <w:rFonts w:hint="eastAsia" w:ascii="黑体" w:hAnsi="Arial" w:eastAsia="黑体" w:cs="Arial"/>
          <w:color w:val="000000"/>
          <w:sz w:val="28"/>
          <w:szCs w:val="28"/>
        </w:rPr>
        <w:outlineLvl w:val="3"/>
      </w:pPr>
      <w:r/>
      <w:bookmarkStart w:id="114" w:name="_Toc513029225"/>
      <w:r/>
      <w:bookmarkStart w:id="115" w:name="_Toc462564084"/>
      <w:r/>
      <w:bookmarkStart w:id="116" w:name="_Toc20823297"/>
      <w:r/>
      <w:bookmarkStart w:id="11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1044"/>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16938542"/>
      <w:r/>
      <w:bookmarkStart w:id="119" w:name="_Toc20823298"/>
      <w:r/>
      <w:bookmarkStart w:id="120" w:name="_Toc513029226"/>
      <w:r>
        <w:rPr>
          <w:rFonts w:ascii="宋体" w:hAnsi="宋体"/>
          <w:bCs/>
          <w:color w:val="000000"/>
          <w:sz w:val="24"/>
          <w:szCs w:val="21"/>
        </w:rPr>
      </w:r>
      <w:r/>
    </w:p>
    <w:p>
      <w:pPr>
        <w:pStyle w:val="1044"/>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1044"/>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121" w:name="_Toc513029227"/>
      <w:r/>
      <w:bookmarkStart w:id="122" w:name="_Toc16938543"/>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124" w:name="_Toc513029228"/>
      <w:r/>
      <w:bookmarkStart w:id="125" w:name="_Toc20823300"/>
      <w:r/>
      <w:bookmarkStart w:id="126"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1044"/>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16938545"/>
      <w:r/>
      <w:bookmarkStart w:id="128" w:name="_Toc120614218"/>
      <w:r/>
      <w:bookmarkStart w:id="129" w:name="_Toc20823301"/>
      <w:r/>
      <w:bookmarkStart w:id="130" w:name="_Toc513029229"/>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131" w:name="_Toc20823302"/>
      <w:r/>
      <w:bookmarkStart w:id="132" w:name="_Toc16938546"/>
      <w:r/>
      <w:bookmarkStart w:id="133" w:name="_Toc513029230"/>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1044"/>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1044"/>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1044"/>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1044"/>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134" w:name="_Toc16938547"/>
      <w:r/>
      <w:bookmarkStart w:id="135" w:name="_Toc513029231"/>
      <w:r/>
      <w:bookmarkStart w:id="136"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1044"/>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1044"/>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1044"/>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1044"/>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1044"/>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1044"/>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bookmarkStart w:id="137" w:name="_Toc513029232"/>
      <w:r/>
      <w:bookmarkStart w:id="138" w:name="_Toc20823304"/>
      <w:r/>
      <w:bookmarkStart w:id="13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color w:val="000000"/>
          <w:sz w:val="24"/>
          <w:szCs w:val="24"/>
        </w:rPr>
      </w:pPr>
      <w:r/>
      <w:bookmarkStart w:id="140" w:name="_Toc513029233"/>
      <w:r/>
      <w:bookmarkStart w:id="141" w:name="_Toc20823305"/>
      <w:r/>
      <w:bookmarkStart w:id="14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1044"/>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1044"/>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1044"/>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1044"/>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1044"/>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1044"/>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1044"/>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1044"/>
        <w:ind w:firstLine="480"/>
        <w:pageBreakBefore w:val="0"/>
        <w:spacing w:line="500" w:lineRule="exact"/>
        <w:rPr>
          <w:rFonts w:ascii="宋体" w:hAnsi="宋体"/>
          <w:color w:val="000000"/>
          <w:sz w:val="24"/>
          <w:szCs w:val="21"/>
        </w:rPr>
      </w:pPr>
      <w:r/>
      <w:bookmarkStart w:id="143" w:name="_Toc20823306"/>
      <w:r/>
      <w:bookmarkStart w:id="144" w:name="_Toc16938550"/>
      <w:r/>
      <w:bookmarkStart w:id="14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1044"/>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1044"/>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1044"/>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1044"/>
        <w:ind w:left="478"/>
        <w:pageBreakBefore w:val="0"/>
        <w:spacing w:line="500" w:lineRule="exact"/>
        <w:rPr>
          <w:rFonts w:hint="eastAsia" w:ascii="宋体" w:hAnsi="宋体"/>
          <w:bCs/>
          <w:color w:val="000000"/>
          <w:sz w:val="24"/>
          <w:szCs w:val="21"/>
        </w:rPr>
      </w:pPr>
      <w:r/>
      <w:bookmarkStart w:id="146" w:name="_Toc16938551"/>
      <w:r/>
      <w:bookmarkStart w:id="147" w:name="_Toc20823307"/>
      <w:r/>
      <w:bookmarkStart w:id="148"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1044"/>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1044"/>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1044"/>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1044"/>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1044"/>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1044"/>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1044"/>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1044"/>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1044"/>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1044"/>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1044"/>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120614221"/>
      <w:r/>
      <w:bookmarkStart w:id="155" w:name="_Toc20823314"/>
      <w:r/>
      <w:bookmarkStart w:id="156" w:name="_Toc513029242"/>
      <w:r/>
      <w:bookmarkStart w:id="157" w:name="_Toc16938558"/>
      <w:r/>
      <w:bookmarkStart w:id="158" w:name="_Toc479757207"/>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1044"/>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1044"/>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1044"/>
        <w:ind w:firstLine="480"/>
        <w:jc w:val="left"/>
        <w:pageBreakBefore w:val="0"/>
        <w:spacing w:line="44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hint="eastAsia" w:ascii="Calibri" w:hAnsi="Calibri" w:eastAsia="宋体" w:cs="Times New Roman"/>
          <w:sz w:val="24"/>
          <w:szCs w:val="24"/>
        </w:rPr>
      </w:r>
      <w:r/>
    </w:p>
    <w:p>
      <w:pPr>
        <w:pStyle w:val="1044"/>
        <w:ind w:firstLine="480"/>
        <w:jc w:val="left"/>
        <w:pageBreakBefore w:val="0"/>
        <w:spacing w:line="44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1044"/>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Calibri" w:hAnsi="Calibri" w:eastAsia="宋体" w:cs="Times New Roman"/>
          <w:sz w:val="24"/>
          <w:szCs w:val="24"/>
        </w:rPr>
        <w:t xml:space="preserve">专门面向中型企业、小型企业、微型企业、残疾人福利性单位、监狱企业采购。</w:t>
      </w:r>
      <w:r>
        <w:rPr>
          <w:rFonts w:ascii="Calibri" w:hAnsi="Calibri" w:eastAsia="宋体" w:cs="Times New Roman"/>
          <w:sz w:val="24"/>
          <w:szCs w:val="24"/>
        </w:rPr>
      </w:r>
      <w:r/>
    </w:p>
    <w:p>
      <w:pPr>
        <w:pStyle w:val="1044"/>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参加本项目政府采购活动的供应商应当提供的材料：</w:t>
      </w:r>
      <w:r>
        <w:rPr>
          <w:rFonts w:hint="eastAsia" w:ascii="Calibri" w:hAnsi="Calibri" w:eastAsia="宋体" w:cs="Times New Roman"/>
          <w:sz w:val="24"/>
          <w:szCs w:val="24"/>
          <w:lang w:eastAsia="zh-CN"/>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投标人提供的货物全部由中型企业、小型企业、微型企业制造的，提供《中小企业声明函》（第六章 投标文件格式）。</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104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1044"/>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1047"/>
        <w:ind w:left="0" w:right="0" w:firstLine="562"/>
        <w:jc w:val="left"/>
        <w:pageBreakBefore w:val="0"/>
        <w:spacing w:before="0" w:after="0" w:line="480" w:lineRule="exact"/>
        <w:widowControl w:val="off"/>
        <w:rPr>
          <w:rFonts w:hint="eastAsia" w:ascii="Calibri" w:hAnsi="Calibri" w:eastAsia="宋体" w:cs="Times New Roman"/>
          <w:b w:val="0"/>
          <w:bCs w:val="0"/>
          <w:sz w:val="24"/>
          <w:szCs w:val="24"/>
          <w:lang w:val="en-US" w:eastAsia="zh-CN" w:bidi="ar-SA"/>
        </w:rPr>
      </w:pPr>
      <w:r>
        <w:rPr>
          <w:rFonts w:hint="eastAsia" w:ascii="Calibri" w:hAnsi="Calibri" w:eastAsia="宋体" w:cs="Times New Roman"/>
          <w:b w:val="0"/>
          <w:bCs w:val="0"/>
          <w:sz w:val="24"/>
          <w:szCs w:val="24"/>
          <w:lang w:val="en-US" w:eastAsia="zh-CN" w:bidi="ar-SA"/>
        </w:rPr>
        <w:t xml:space="preserve">40.1本项目执行《绿色数据中心政府采购需求</w:t>
      </w:r>
      <w:r>
        <w:rPr>
          <w:rFonts w:hint="eastAsia" w:ascii="Calibri" w:hAnsi="Calibri" w:eastAsia="宋体" w:cs="Times New Roman"/>
          <w:b w:val="0"/>
          <w:bCs w:val="0"/>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eastAsia="宋体" w:cs="Times New Roman"/>
          <w:b w:val="0"/>
          <w:bCs w:val="0"/>
          <w:sz w:val="24"/>
          <w:szCs w:val="24"/>
          <w:lang w:val="en-US" w:eastAsia="zh-CN" w:bidi="ar-SA"/>
        </w:rPr>
      </w:r>
      <w:r/>
    </w:p>
    <w:p>
      <w:pPr>
        <w:pStyle w:val="1047"/>
        <w:ind w:left="0" w:right="0" w:firstLine="562"/>
        <w:jc w:val="left"/>
        <w:pageBreakBefore w:val="0"/>
        <w:spacing w:before="0" w:after="0" w:line="480" w:lineRule="exact"/>
        <w:widowControl w:val="off"/>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41</w:t>
      </w:r>
      <w:r>
        <w:rPr>
          <w:rFonts w:hint="eastAsia" w:ascii="宋体" w:hAnsi="宋体" w:eastAsia="宋体" w:cs="宋体"/>
          <w:b/>
          <w:bCs/>
          <w:color w:val="000000"/>
          <w:sz w:val="28"/>
          <w:szCs w:val="28"/>
          <w:lang w:val="en-US" w:eastAsia="zh-CN"/>
        </w:rPr>
        <w:t xml:space="preserve">、采购本国产品的支持政策</w:t>
      </w:r>
      <w:r>
        <w:rPr>
          <w:rFonts w:hint="eastAsia" w:ascii="宋体" w:hAnsi="宋体" w:eastAsia="宋体" w:cs="宋体"/>
          <w:b/>
          <w:bCs/>
          <w:color w:val="000000"/>
          <w:sz w:val="28"/>
          <w:szCs w:val="28"/>
          <w:lang w:val="en-US" w:eastAsia="zh-CN"/>
        </w:rPr>
      </w:r>
      <w:r/>
    </w:p>
    <w:p>
      <w:pPr>
        <w:pStyle w:val="1044"/>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104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104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104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104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104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color w:val="000000"/>
          <w:sz w:val="24"/>
          <w:szCs w:val="24"/>
          <w:highlight w:val="none"/>
          <w:lang w:val="en-US" w:eastAsia="zh-CN" w:bidi="ar-SA"/>
        </w:rPr>
      </w:r>
      <w:r/>
    </w:p>
    <w:p>
      <w:pPr>
        <w:pStyle w:val="1044"/>
        <w:ind w:firstLine="480"/>
        <w:jc w:val="left"/>
        <w:spacing w:line="500" w:lineRule="exact"/>
        <w:rPr>
          <w:rFonts w:ascii="Calibri" w:hAnsi="Calibri" w:eastAsia="宋体" w:cs="Times New Roman"/>
          <w:color w:val="c00000"/>
          <w:sz w:val="24"/>
          <w:szCs w:val="24"/>
        </w:rPr>
      </w:pPr>
      <w:r>
        <w:rPr>
          <w:rFonts w:ascii="Calibri" w:hAnsi="Calibri" w:eastAsia="宋体" w:cs="Times New Roman"/>
          <w:color w:val="c00000"/>
          <w:sz w:val="24"/>
          <w:szCs w:val="24"/>
        </w:rPr>
      </w:r>
      <w:r/>
    </w:p>
    <w:p>
      <w:pPr>
        <w:pStyle w:val="1044"/>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1044"/>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1044"/>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1044"/>
        <w:ind w:firstLine="482"/>
        <w:jc w:val="left"/>
        <w:spacing w:line="500" w:lineRule="exact"/>
        <w:rPr>
          <w:rFonts w:hint="eastAsia"/>
          <w:b/>
          <w:bCs/>
          <w:sz w:val="24"/>
          <w:szCs w:val="24"/>
          <w:lang w:val="en-US" w:eastAsia="zh-CN"/>
        </w:rPr>
      </w:pPr>
      <w:r>
        <w:rPr>
          <w:rFonts w:hint="eastAsia" w:ascii="Calibri" w:eastAsia="宋体"/>
          <w:b/>
          <w:bCs/>
          <w:sz w:val="24"/>
          <w:szCs w:val="24"/>
          <w:lang w:val="en-US" w:eastAsia="zh-CN"/>
        </w:rPr>
        <w:t xml:space="preserve">特别提醒：</w:t>
      </w:r>
      <w:r>
        <w:rPr>
          <w:rFonts w:hint="eastAsia"/>
          <w:b/>
          <w:bCs/>
          <w:sz w:val="24"/>
          <w:szCs w:val="24"/>
          <w:lang w:val="en-US" w:eastAsia="zh-CN"/>
        </w:rPr>
      </w:r>
      <w:r/>
    </w:p>
    <w:p>
      <w:pPr>
        <w:pStyle w:val="1044"/>
        <w:ind w:firstLine="480"/>
        <w:jc w:val="left"/>
        <w:spacing w:line="500" w:lineRule="exact"/>
        <w:rPr>
          <w:rFonts w:hint="eastAsia"/>
          <w:color w:val="000000"/>
          <w:sz w:val="24"/>
          <w:szCs w:val="24"/>
          <w:lang w:val="en-US" w:eastAsia="zh-CN"/>
        </w:rPr>
      </w:pPr>
      <w:r>
        <w:rPr>
          <w:rFonts w:hint="eastAsia" w:ascii="Times New Roman" w:eastAsia="宋体"/>
          <w:sz w:val="24"/>
          <w:szCs w:val="24"/>
          <w:lang w:val="en-US" w:eastAsia="zh-CN"/>
        </w:rPr>
        <w:t xml:space="preserve">根据《关于推动解决政府采购异常低价问题的通知》（财库〔2026〕2号）规定，政府采购</w:t>
      </w:r>
      <w:r>
        <w:rPr>
          <w:rFonts w:hint="eastAsia" w:ascii="Calibri" w:eastAsia="宋体"/>
          <w:sz w:val="24"/>
          <w:szCs w:val="24"/>
          <w:lang w:val="en-US" w:eastAsia="zh-CN"/>
        </w:rPr>
        <w:t xml:space="preserve">评审过程中出现下列情形之一的，</w:t>
      </w:r>
      <w:r>
        <w:rPr>
          <w:rFonts w:hint="eastAsia"/>
          <w:sz w:val="24"/>
          <w:szCs w:val="24"/>
          <w:lang w:val="en-US" w:eastAsia="zh-CN"/>
        </w:rPr>
        <w:t xml:space="preserve">评审委员会</w:t>
      </w:r>
      <w:r>
        <w:rPr>
          <w:rFonts w:hint="eastAsia" w:ascii="Calibri" w:eastAsia="宋体"/>
          <w:sz w:val="24"/>
          <w:szCs w:val="24"/>
          <w:lang w:val="en-US" w:eastAsia="zh-CN"/>
        </w:rPr>
        <w:t xml:space="preserve">应当启动异常低价投标审查程序:</w:t>
      </w:r>
      <w:r>
        <w:rPr>
          <w:rFonts w:hint="eastAsia"/>
          <w:color w:val="000000"/>
          <w:sz w:val="24"/>
          <w:szCs w:val="24"/>
          <w:lang w:val="en-US" w:eastAsia="zh-CN"/>
        </w:rPr>
      </w:r>
      <w:r/>
    </w:p>
    <w:p>
      <w:pPr>
        <w:pStyle w:val="1044"/>
        <w:ind w:firstLine="480"/>
        <w:jc w:val="left"/>
        <w:spacing w:line="5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Times New Roman" w:hAnsi="Times New Roman" w:eastAsia="宋体" w:cs="Times New Roman"/>
          <w:sz w:val="24"/>
          <w:szCs w:val="24"/>
          <w:highlight w:val="none"/>
          <w:lang w:val="en-US" w:eastAsia="zh-CN"/>
        </w:rPr>
      </w:r>
      <w:r/>
    </w:p>
    <w:p>
      <w:pPr>
        <w:pStyle w:val="1044"/>
        <w:ind w:firstLine="480"/>
        <w:jc w:val="left"/>
        <w:spacing w:line="5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2.投标报价低于通过符合性审查的次低报价供应商投标报价50%的，即投标报价&lt;通过符合性审查的次低报价供应商投标报价×50%；</w:t>
      </w:r>
      <w:r>
        <w:rPr>
          <w:rFonts w:ascii="Times New Roman" w:hAnsi="Times New Roman" w:eastAsia="宋体" w:cs="Times New Roman"/>
          <w:sz w:val="24"/>
          <w:szCs w:val="24"/>
          <w:highlight w:val="none"/>
          <w:lang w:val="en-US" w:eastAsia="zh-CN"/>
        </w:rPr>
      </w:r>
      <w:r/>
    </w:p>
    <w:p>
      <w:pPr>
        <w:pStyle w:val="1044"/>
        <w:ind w:firstLine="480"/>
        <w:jc w:val="left"/>
        <w:spacing w:line="5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3.投标报价低于采购项目最高限价50%的，即投标报价&lt;采购项目最高限价×50%；</w:t>
      </w:r>
      <w:r>
        <w:rPr>
          <w:rFonts w:ascii="Times New Roman" w:hAnsi="Times New Roman" w:eastAsia="宋体" w:cs="Times New Roman"/>
          <w:sz w:val="24"/>
          <w:szCs w:val="24"/>
          <w:highlight w:val="none"/>
          <w:lang w:val="en-US" w:eastAsia="zh-CN"/>
        </w:rPr>
      </w:r>
      <w:r/>
    </w:p>
    <w:p>
      <w:pPr>
        <w:pStyle w:val="1044"/>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宋体" w:cs="Times New Roman"/>
          <w:sz w:val="24"/>
          <w:szCs w:val="24"/>
          <w:lang w:val="en-US" w:eastAsia="zh-CN"/>
        </w:rPr>
      </w:r>
      <w:r/>
    </w:p>
    <w:p>
      <w:pPr>
        <w:pStyle w:val="1044"/>
        <w:ind w:firstLine="480"/>
        <w:jc w:val="left"/>
        <w:spacing w:line="500" w:lineRule="exact"/>
        <w:rPr>
          <w:rFonts w:ascii="Calibri" w:hAnsi="Calibri" w:cs="Calibri"/>
          <w:i w:val="0"/>
          <w:iCs w:val="0"/>
          <w:caps w:val="0"/>
          <w:color w:val="383838"/>
          <w:spacing w:val="0"/>
          <w:sz w:val="21"/>
          <w:szCs w:val="21"/>
          <w:highlight w:val="none"/>
        </w:rPr>
      </w:pPr>
      <w:r>
        <w:rPr>
          <w:rFonts w:hint="eastAsia" w:ascii="Times New Roman" w:hAnsi="Times New Roman" w:eastAsia="宋体" w:cs="Times New Roman"/>
          <w:sz w:val="24"/>
          <w:szCs w:val="24"/>
          <w:lang w:val="en-US" w:eastAsia="zh-CN"/>
        </w:rPr>
        <w:t xml:space="preserve">相关法律法规对供应商报价有规</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定的，从其规定。</w:t>
      </w:r>
      <w:r>
        <w:rPr>
          <w:rFonts w:ascii="Calibri" w:hAnsi="Calibri" w:cs="Calibri"/>
          <w:i w:val="0"/>
          <w:iCs w:val="0"/>
          <w:caps w:val="0"/>
          <w:color w:val="383838"/>
          <w:spacing w:val="0"/>
          <w:sz w:val="21"/>
          <w:szCs w:val="21"/>
          <w:highlight w:val="none"/>
        </w:rPr>
      </w:r>
      <w:r/>
    </w:p>
    <w:p>
      <w:pPr>
        <w:pStyle w:val="1044"/>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i w:val="0"/>
          <w:iCs w:val="0"/>
          <w:caps w:val="0"/>
          <w:color w:val="383838"/>
          <w:spacing w:val="0"/>
          <w:sz w:val="21"/>
          <w:szCs w:val="21"/>
        </w:rPr>
      </w:r>
      <w:r/>
    </w:p>
    <w:p>
      <w:pPr>
        <w:pStyle w:val="1044"/>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i w:val="0"/>
          <w:iCs w:val="0"/>
          <w:caps w:val="0"/>
          <w:color w:val="383838"/>
          <w:spacing w:val="0"/>
          <w:sz w:val="21"/>
          <w:szCs w:val="21"/>
        </w:rPr>
      </w:r>
      <w:r/>
    </w:p>
    <w:p>
      <w:pPr>
        <w:pStyle w:val="1044"/>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i w:val="0"/>
          <w:iCs w:val="0"/>
          <w:caps w:val="0"/>
          <w:color w:val="383838"/>
          <w:spacing w:val="0"/>
          <w:sz w:val="21"/>
          <w:szCs w:val="21"/>
        </w:rPr>
      </w:r>
      <w:r/>
    </w:p>
    <w:p>
      <w:pPr>
        <w:pStyle w:val="1044"/>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cs="Calibri"/>
          <w:i w:val="0"/>
          <w:iCs w:val="0"/>
          <w:caps w:val="0"/>
          <w:color w:val="383838"/>
          <w:spacing w:val="0"/>
          <w:sz w:val="21"/>
          <w:szCs w:val="21"/>
        </w:rPr>
      </w:r>
      <w:r/>
    </w:p>
    <w:p>
      <w:pPr>
        <w:pStyle w:val="1044"/>
        <w:pageBreakBefore w:val="0"/>
        <w:spacing w:line="500" w:lineRule="exact"/>
        <w:rPr>
          <w:rFonts w:hint="eastAsia" w:ascii="宋体" w:hAnsi="宋体"/>
          <w:szCs w:val="20"/>
        </w:rPr>
      </w:pPr>
      <w:r>
        <w:rPr>
          <w:rFonts w:hint="eastAsia" w:ascii="宋体" w:hAnsi="宋体"/>
          <w:szCs w:val="20"/>
        </w:rPr>
      </w:r>
      <w:r/>
    </w:p>
    <w:p>
      <w:pPr>
        <w:pStyle w:val="1044"/>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1044"/>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1044"/>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044"/>
        <w:ind w:firstLine="480"/>
        <w:pageBreakBefore w:val="0"/>
        <w:spacing w:line="500" w:lineRule="exact"/>
        <w:rPr>
          <w:rFonts w:hint="eastAsia" w:ascii="宋体" w:hAnsi="宋体"/>
          <w:bCs/>
          <w:color w:val="000000"/>
          <w:sz w:val="24"/>
          <w:szCs w:val="21"/>
          <w:highlight w:val="none"/>
        </w:rPr>
      </w:pPr>
      <w:r/>
      <w:bookmarkStart w:id="159" w:name="_Toc20823315"/>
      <w:r/>
      <w:bookmarkStart w:id="160" w:name="_Toc513029243"/>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1044"/>
        <w:ind w:firstLine="1320"/>
        <w:rPr>
          <w:rFonts w:hint="eastAsia" w:ascii="宋体" w:hAnsi="宋体" w:eastAsia="宋体" w:cs="宋体"/>
          <w:b/>
          <w:bCs/>
          <w:spacing w:val="-20"/>
          <w:sz w:val="48"/>
          <w:szCs w:val="48"/>
          <w:highlight w:val="none"/>
          <w:lang w:eastAsia="zh-CN"/>
        </w:rPr>
      </w:pPr>
      <w:r/>
      <w:bookmarkEnd w:id="159"/>
      <w:r/>
      <w:bookmarkEnd w:id="160"/>
      <w:r/>
      <w:bookmarkEnd w:id="161"/>
      <w:r/>
      <w:bookmarkStart w:id="162" w:name="_Hlt16619350"/>
      <w:r/>
      <w:bookmarkStart w:id="163" w:name="_Toc120614244"/>
      <w:r/>
      <w:bookmarkStart w:id="164" w:name="_Toc20823346"/>
      <w:r/>
      <w:bookmarkStart w:id="165" w:name="_Toc16938590"/>
      <w:r/>
      <w:bookmarkStart w:id="166" w:name="_Toc479757211"/>
      <w:r/>
      <w:bookmarkStart w:id="167" w:name="_Toc462564139"/>
      <w:r>
        <w:rPr>
          <w:rFonts w:hint="eastAsia" w:ascii="宋体" w:hAnsi="宋体" w:eastAsia="宋体" w:cs="宋体"/>
          <w:b/>
          <w:bCs/>
          <w:spacing w:val="-20"/>
          <w:sz w:val="48"/>
          <w:szCs w:val="48"/>
          <w:highlight w:val="none"/>
          <w:lang w:eastAsia="zh-CN"/>
        </w:rPr>
      </w:r>
      <w:r/>
    </w:p>
    <w:p>
      <w:pPr>
        <w:pStyle w:val="1044"/>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1044"/>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1044"/>
        <w:ind w:firstLine="1320"/>
        <w:rPr>
          <w:rFonts w:ascii="宋体" w:hAnsi="宋体" w:eastAsia="Arial" w:cs="宋体"/>
          <w:b/>
          <w:bCs/>
          <w:spacing w:val="-20"/>
          <w:sz w:val="40"/>
          <w:szCs w:val="40"/>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Arial" w:cs="宋体"/>
          <w:b/>
          <w:bCs/>
          <w:spacing w:val="-20"/>
          <w:sz w:val="40"/>
          <w:szCs w:val="40"/>
          <w:highlight w:val="none"/>
        </w:rPr>
      </w:r>
      <w:r/>
    </w:p>
    <w:p>
      <w:pPr>
        <w:pStyle w:val="1044"/>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1044"/>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1044"/>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1044"/>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1044"/>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1044"/>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1044"/>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1044"/>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1044"/>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1044"/>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1044"/>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1044"/>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1044"/>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1044"/>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1044"/>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1044"/>
        <w:ind w:left="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（1）采购项目名称：</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1044"/>
        <w:ind w:firstLine="420"/>
        <w:jc w:val="left"/>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44"/>
        <w:ind w:firstLine="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（3）项目内容：</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1044"/>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1044"/>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1044"/>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1044"/>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1044"/>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1044"/>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1044"/>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1044"/>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1044"/>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1044"/>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1044"/>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1044"/>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1044"/>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1044"/>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1044"/>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1044"/>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1044"/>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1044"/>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1044"/>
        <w:ind w:firstLine="420"/>
        <w:jc w:val="left"/>
        <w:spacing w:line="400" w:lineRule="exact"/>
        <w:rPr>
          <w:rFonts w:hint="eastAsia" w:ascii="宋体" w:hAnsi="宋体" w:eastAsia="宋体" w:cs="Times New Roman"/>
          <w:b/>
          <w:bCs/>
          <w:color w:val="000000"/>
          <w:szCs w:val="21"/>
          <w:highlight w:val="none"/>
          <w:lang w:eastAsia="zh-CN"/>
        </w:rPr>
      </w:pPr>
      <w:r>
        <w:rPr>
          <w:rFonts w:hint="eastAsia" w:ascii="宋体" w:hAnsi="宋体" w:eastAsia="宋体" w:cs="Times New Roman"/>
          <w:szCs w:val="21"/>
          <w:highlight w:val="none"/>
          <w:lang w:val="en-US" w:eastAsia="zh-CN"/>
        </w:rPr>
        <w:t xml:space="preserve"> </w:t>
      </w:r>
      <w:r>
        <w:rPr>
          <w:rFonts w:hint="eastAsia" w:ascii="宋体" w:hAnsi="宋体" w:eastAsia="宋体" w:cs="Times New Roman"/>
          <w:b/>
          <w:bCs/>
          <w:color w:val="000000"/>
          <w:szCs w:val="21"/>
          <w:highlight w:val="none"/>
          <w:lang w:eastAsia="zh-CN"/>
        </w:rPr>
        <w:t xml:space="preserve">付款方式：</w:t>
      </w:r>
      <w:r>
        <w:rPr>
          <w:rFonts w:hint="eastAsia" w:ascii="宋体" w:hAnsi="宋体" w:eastAsia="宋体" w:cs="Times New Roman"/>
          <w:b/>
          <w:bCs/>
          <w:color w:val="000000"/>
          <w:szCs w:val="21"/>
          <w:highlight w:val="none"/>
          <w:lang w:eastAsia="zh-CN"/>
        </w:rPr>
        <w:t xml:space="preserve">货物安装调试建成运行、验收合格后30日内付至合同总金额的</w:t>
      </w:r>
      <w:r>
        <w:rPr>
          <w:rFonts w:hint="eastAsia" w:ascii="宋体" w:hAnsi="宋体" w:eastAsia="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lang w:eastAsia="zh-CN"/>
        </w:rPr>
        <w:t xml:space="preserve">0%；项目正式运行三个月后付至合同总金额的9</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t xml:space="preserve">%；项目</w:t>
      </w:r>
      <w:r>
        <w:rPr>
          <w:rFonts w:hint="eastAsia" w:ascii="宋体" w:hAnsi="宋体" w:eastAsia="宋体" w:cs="Times New Roman"/>
          <w:b/>
          <w:bCs/>
          <w:color w:val="000000"/>
          <w:szCs w:val="21"/>
          <w:highlight w:val="none"/>
          <w:lang w:val="en-US" w:eastAsia="zh-CN"/>
        </w:rPr>
        <w:t xml:space="preserve">质保期</w:t>
      </w:r>
      <w:r>
        <w:rPr>
          <w:rFonts w:hint="eastAsia" w:ascii="宋体" w:hAnsi="宋体" w:eastAsia="宋体" w:cs="Times New Roman"/>
          <w:b/>
          <w:bCs/>
          <w:color w:val="000000"/>
          <w:szCs w:val="21"/>
          <w:highlight w:val="none"/>
          <w:lang w:eastAsia="zh-CN"/>
        </w:rPr>
        <w:t xml:space="preserve">满付清结算价款。</w:t>
      </w:r>
      <w:r>
        <w:rPr>
          <w:rFonts w:hint="eastAsia" w:ascii="宋体" w:hAnsi="宋体" w:eastAsia="宋体" w:cs="Times New Roman"/>
          <w:b/>
          <w:bCs/>
          <w:color w:val="000000"/>
          <w:szCs w:val="21"/>
          <w:highlight w:val="none"/>
          <w:lang w:eastAsia="zh-CN"/>
        </w:rPr>
      </w:r>
      <w:r/>
    </w:p>
    <w:p>
      <w:pPr>
        <w:pStyle w:val="1044"/>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1044"/>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1044"/>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江苏省</w:t>
      </w:r>
      <w:r>
        <w:rPr>
          <w:rFonts w:hint="eastAsia" w:ascii="宋体" w:hAnsi="宋体" w:eastAsia="宋体" w:cs="宋体"/>
          <w:bCs/>
          <w:szCs w:val="21"/>
          <w:highlight w:val="none"/>
          <w:lang w:eastAsia="zh-CN"/>
        </w:rPr>
        <w:t xml:space="preserve">灌云中等专业学校</w:t>
      </w:r>
      <w:r>
        <w:rPr>
          <w:rFonts w:ascii="宋体" w:hAnsi="宋体" w:eastAsia="宋体" w:cs="宋体"/>
          <w:szCs w:val="21"/>
          <w:highlight w:val="none"/>
          <w:u w:val="single"/>
        </w:rPr>
      </w:r>
      <w:r/>
    </w:p>
    <w:p>
      <w:pPr>
        <w:pStyle w:val="1044"/>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1044"/>
        <w:ind w:firstLine="945"/>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收取履约保证金形式：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支票、汇票、本票或者金融机构、担保机构出具的保函等非现金形式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1044"/>
        <w:ind w:firstLine="84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1044"/>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1044"/>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1044"/>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1044"/>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1044"/>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1044"/>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1044"/>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1044"/>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1044"/>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1044"/>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1044"/>
        <w:ind w:firstLine="420"/>
        <w:jc w:val="left"/>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lang w:val="en-US" w:eastAsia="zh-CN"/>
        </w:rPr>
        <w:t xml:space="preserve">验收费用由中标供应商支付（专家费用执行连财购〔2021〕8号）。</w:t>
      </w:r>
      <w:r>
        <w:rPr>
          <w:rFonts w:hint="eastAsia" w:ascii="宋体" w:hAnsi="宋体" w:eastAsia="宋体" w:cs="宋体"/>
          <w:bCs/>
          <w:szCs w:val="21"/>
          <w:highlight w:val="none"/>
          <w:lang w:val="en-US" w:eastAsia="zh-CN"/>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1044"/>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1044"/>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1044"/>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1044"/>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1044"/>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1044"/>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1044"/>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1044"/>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1044"/>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1044"/>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1044"/>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1044"/>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1044"/>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1044"/>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1044"/>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1044"/>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1044"/>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1044"/>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1044"/>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1044"/>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1044"/>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1044"/>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1044"/>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1044"/>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1044"/>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1044"/>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1044"/>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1044"/>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1044"/>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1044"/>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1044"/>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1044"/>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1044"/>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1044"/>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1044"/>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1044"/>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1044"/>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1044"/>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1044"/>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1044"/>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1044"/>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1044"/>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1044"/>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1044"/>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1044"/>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1044"/>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1044"/>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1044"/>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1044"/>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1044"/>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1044"/>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1044"/>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1044"/>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1044"/>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1044"/>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1044"/>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1044"/>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1044"/>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宋体" w:cs="Times New Roman"/>
                <w:szCs w:val="21"/>
                <w:highlight w:val="none"/>
                <w:lang w:val="en-US" w:eastAsia="zh-CN"/>
              </w:rPr>
            </w:pPr>
            <w:r>
              <w:rPr>
                <w:rFonts w:hint="eastAsia" w:ascii="宋体" w:hAnsi="宋体" w:eastAsia="宋体" w:cs="Times New Roman"/>
                <w:szCs w:val="21"/>
              </w:rPr>
              <w:t xml:space="preserve">不接受联合体</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乙方送达安装调试后，申请验收，验收合格后甲方支付合同款项。</w:t>
            </w: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1044"/>
              <w:rPr>
                <w:rFonts w:hint="eastAsia" w:ascii="Calibri" w:hAnsi="Calibri" w:eastAsia="宋体" w:cs="Times New Roman"/>
                <w:highlight w:val="none"/>
                <w:lang w:val="en-US" w:eastAsia="zh-CN"/>
              </w:rPr>
            </w:pPr>
            <w:r>
              <w:rPr>
                <w:rFonts w:hint="eastAsia" w:ascii="宋体" w:hAnsi="宋体" w:eastAsia="宋体" w:cs="宋体"/>
                <w:sz w:val="21"/>
                <w:szCs w:val="21"/>
                <w:lang w:val="en-US" w:eastAsia="zh-CN"/>
              </w:rPr>
              <w:t xml:space="preserve">绿色环保</w:t>
            </w:r>
            <w:r>
              <w:rPr>
                <w:rFonts w:hint="eastAsia" w:ascii="Calibri" w:hAnsi="Calibri" w:eastAsia="宋体" w:cs="Times New Roman"/>
                <w:highlight w:val="none"/>
                <w:lang w:val="en-US" w:eastAsia="zh-CN"/>
              </w:rPr>
            </w:r>
            <w:r/>
          </w:p>
        </w:tc>
      </w:tr>
      <w:tr>
        <w:trPr>
          <w:trHeight w:val="667"/>
        </w:trPr>
        <w:tc>
          <w:tcPr>
            <w:tcW w:w="1607" w:type="dxa"/>
            <w:vAlign w:val="center"/>
            <w:vMerge w:val="continue"/>
            <w:textDirection w:val="lrTb"/>
            <w:noWrap w:val="false"/>
          </w:tcPr>
          <w:p>
            <w:pPr>
              <w:pStyle w:val="1044"/>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1044"/>
              <w:rPr>
                <w:rFonts w:ascii="Calibri" w:hAnsi="Calibri" w:eastAsia="Arial" w:cs="Times New Roman"/>
                <w:highlight w:val="none"/>
              </w:rPr>
            </w:pPr>
            <w:r>
              <w:rPr>
                <w:rFonts w:hint="eastAsia" w:ascii="Calibri" w:hAnsi="Calibri" w:eastAsia="宋体" w:cs="Times New Roman"/>
                <w:highlight w:val="none"/>
                <w:lang w:val="en-US" w:eastAsia="zh-CN"/>
              </w:rPr>
              <w:t xml:space="preserve">江苏省灌云中等专业学校</w:t>
            </w:r>
            <w:r>
              <w:rPr>
                <w:rFonts w:ascii="Calibri" w:hAnsi="Calibri" w:eastAsia="Arial" w:cs="Times New Roman"/>
                <w:highlight w:val="none"/>
              </w:rPr>
            </w:r>
            <w:r/>
          </w:p>
        </w:tc>
      </w:tr>
      <w:tr>
        <w:trPr>
          <w:trHeight w:val="772"/>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1044"/>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w:t>
            </w:r>
            <w:r>
              <w:rPr>
                <w:rFonts w:hint="eastAsia" w:ascii="Calibri" w:hAnsi="Calibri" w:eastAsia="宋体" w:cs="Times New Roman"/>
                <w:highlight w:val="none"/>
                <w:lang w:val="en-US" w:eastAsia="zh-CN"/>
              </w:rPr>
            </w:r>
            <w:r/>
          </w:p>
        </w:tc>
      </w:tr>
      <w:tr>
        <w:trPr>
          <w:trHeight w:val="667"/>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1044"/>
              <w:rPr>
                <w:rFonts w:hint="eastAsia" w:ascii="Calibri" w:hAnsi="Calibri" w:eastAsia="宋体" w:cs="Times New Roman"/>
                <w:highlight w:val="none"/>
                <w:lang w:val="en-US" w:eastAsia="zh-CN"/>
              </w:rPr>
            </w:pPr>
            <w:r>
              <w:rPr>
                <w:rFonts w:hint="eastAsia" w:eastAsia="宋体" w:cs="Times New Roman"/>
              </w:rPr>
              <w:t xml:space="preserve">由乙方自行办理并承担费用。</w:t>
            </w:r>
            <w:r>
              <w:rPr>
                <w:rFonts w:hint="eastAsia" w:ascii="Calibri" w:hAnsi="Calibri" w:eastAsia="宋体" w:cs="Times New Roman"/>
                <w:highlight w:val="none"/>
                <w:lang w:val="en-US" w:eastAsia="zh-CN"/>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1044"/>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hint="eastAsia" w:ascii="宋体" w:hAnsi="宋体" w:eastAsia="宋体" w:cs="Times New Roman"/>
                <w:szCs w:val="21"/>
              </w:rPr>
              <w:t xml:space="preserve">按照成交供应商承诺时间要求执行。</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1044"/>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697"/>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1044"/>
              <w:ind w:firstLine="420"/>
              <w:jc w:val="left"/>
              <w:spacing w:line="400" w:lineRule="exact"/>
              <w:rPr>
                <w:rFonts w:hint="eastAsia" w:ascii="宋体" w:hAnsi="宋体" w:eastAsia="宋体" w:cs="Times New Roman"/>
                <w:b/>
                <w:bCs/>
                <w:color w:val="000000"/>
                <w:szCs w:val="21"/>
                <w:highlight w:val="none"/>
                <w:lang w:eastAsia="zh-CN"/>
              </w:rPr>
            </w:pPr>
            <w:r>
              <w:rPr>
                <w:rFonts w:hint="eastAsia" w:ascii="宋体" w:hAnsi="宋体" w:eastAsia="宋体" w:cs="Times New Roman"/>
                <w:b/>
                <w:bCs/>
                <w:color w:val="000000"/>
                <w:szCs w:val="21"/>
                <w:highlight w:val="none"/>
                <w:lang w:eastAsia="zh-CN"/>
              </w:rPr>
              <w:t xml:space="preserve">货物安装调试建成运行、验收合格后30日内付至合同总金额的</w:t>
            </w:r>
            <w:r>
              <w:rPr>
                <w:rFonts w:hint="eastAsia" w:ascii="宋体" w:hAnsi="宋体" w:eastAsia="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lang w:eastAsia="zh-CN"/>
              </w:rPr>
              <w:t xml:space="preserve">0%；项目正式运行三个月后付至合同总金额的9</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t xml:space="preserve">%；项目质保期满付清结算价款。</w:t>
            </w:r>
            <w:r>
              <w:rPr>
                <w:rFonts w:hint="eastAsia" w:ascii="宋体" w:hAnsi="宋体" w:eastAsia="宋体" w:cs="Times New Roman"/>
                <w:b/>
                <w:bCs/>
                <w:color w:val="000000"/>
                <w:szCs w:val="21"/>
                <w:highlight w:val="none"/>
                <w:lang w:eastAsia="zh-CN"/>
              </w:rPr>
            </w:r>
            <w:r/>
          </w:p>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hint="eastAsia" w:ascii="宋体" w:hAnsi="宋体" w:eastAsia="宋体" w:cs="Times New Roman"/>
                <w:szCs w:val="21"/>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hint="eastAsia" w:ascii="宋体" w:hAnsi="宋体" w:eastAsia="Arial" w:cs="宋体"/>
                <w:iCs/>
                <w:szCs w:val="21"/>
                <w:highlight w:val="none"/>
                <w:lang w:val="en-US" w:eastAsia="zh-CN"/>
              </w:rPr>
              <w:t xml:space="preserve">乙方提供7*24小时电话咨询，如遇紧急情况，需在8小时内到达现场处理解决。</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1044"/>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1044"/>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仲裁委员会申请仲裁，仲裁地点为</w:t>
            </w:r>
            <w:r>
              <w:rPr>
                <w:rFonts w:hint="eastAsia" w:ascii="宋体" w:hAnsi="宋体" w:eastAsia="宋体" w:cs="宋体"/>
                <w:iCs/>
                <w:szCs w:val="21"/>
                <w:highlight w:val="none"/>
                <w:lang w:val="en-US" w:eastAsia="zh-CN"/>
              </w:rPr>
              <w:t xml:space="preserve">灌云</w:t>
            </w:r>
            <w:r>
              <w:rPr>
                <w:rFonts w:hint="eastAsia" w:ascii="宋体" w:hAnsi="宋体" w:eastAsia="Arial" w:cs="宋体"/>
                <w:iCs/>
                <w:szCs w:val="21"/>
                <w:highlight w:val="none"/>
              </w:rPr>
              <w:t xml:space="preserve">；</w:t>
            </w:r>
            <w:r>
              <w:rPr>
                <w:rFonts w:ascii="宋体" w:hAnsi="宋体" w:eastAsia="Arial" w:cs="宋体"/>
                <w:iCs/>
                <w:szCs w:val="21"/>
                <w:highlight w:val="none"/>
              </w:rPr>
            </w:r>
            <w:r/>
          </w:p>
          <w:p>
            <w:pPr>
              <w:pStyle w:val="1044"/>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1044"/>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1044"/>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1044"/>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1044"/>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2"/>
      <w:r>
        <w:rPr>
          <w:rFonts w:hint="eastAsia" w:ascii="黑体" w:hAnsi="Courier New" w:eastAsia="黑体" w:cs="Courier New"/>
          <w:bCs/>
          <w:color w:val="000000"/>
          <w:sz w:val="44"/>
          <w:szCs w:val="21"/>
        </w:rPr>
        <w:t xml:space="preserve">四章采购需求</w:t>
      </w:r>
      <w:bookmarkEnd w:id="163"/>
      <w:r/>
      <w:bookmarkEnd w:id="164"/>
      <w:r/>
      <w:bookmarkEnd w:id="165"/>
      <w:r>
        <w:rPr>
          <w:rFonts w:hint="eastAsia" w:ascii="宋体" w:hAnsi="宋体" w:cs="Courier New"/>
          <w:color w:val="000000"/>
          <w:sz w:val="24"/>
          <w:szCs w:val="24"/>
        </w:rPr>
      </w:r>
      <w:r/>
    </w:p>
    <w:p>
      <w:pPr>
        <w:pStyle w:val="1044"/>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1044"/>
        <w:pageBreakBefore w:val="0"/>
        <w:spacing w:before="120" w:after="120" w:line="500" w:lineRule="exact"/>
        <w:rPr>
          <w:rFonts w:ascii="宋体" w:hAnsi="宋体" w:eastAsia="宋体" w:cs="Courier New"/>
          <w:b/>
          <w:bCs/>
          <w:color w:val="000000"/>
          <w:sz w:val="24"/>
          <w:szCs w:val="24"/>
          <w:highlight w:val="yellow"/>
          <w:lang w:val="en-US" w:eastAsia="zh-CN"/>
        </w:rPr>
      </w:pPr>
      <w:r>
        <w:rPr>
          <w:rFonts w:hint="eastAsia" w:ascii="宋体" w:hAnsi="宋体" w:eastAsia="宋体" w:cs="Courier New"/>
          <w:b/>
          <w:bCs/>
          <w:color w:val="000000"/>
          <w:sz w:val="24"/>
          <w:szCs w:val="24"/>
          <w:highlight w:val="none"/>
        </w:rPr>
        <w:t xml:space="preserve">核心产品：</w:t>
      </w:r>
      <w:r>
        <w:rPr>
          <w:rFonts w:hint="eastAsia" w:ascii="Calibri" w:hAnsi="Calibri" w:eastAsia="宋体" w:cs="Times New Roman"/>
          <w:b/>
          <w:sz w:val="24"/>
          <w:szCs w:val="24"/>
          <w:highlight w:val="none"/>
          <w:lang w:val="en-US" w:eastAsia="zh-CN"/>
        </w:rPr>
        <w:t xml:space="preserve">零部件测绘综合实训平台、零部件测绘教师实训平台、</w:t>
      </w:r>
      <w:r>
        <w:rPr>
          <w:rFonts w:hint="eastAsia" w:ascii="Calibri" w:hAnsi="Calibri" w:eastAsia="宋体" w:cs="Times New Roman"/>
          <w:b/>
          <w:sz w:val="24"/>
          <w:szCs w:val="24"/>
          <w:highlight w:val="none"/>
          <w:lang w:eastAsia="zh-CN"/>
        </w:rPr>
        <w:t xml:space="preserve">机器人末端夹具</w:t>
      </w:r>
      <w:r>
        <w:rPr>
          <w:rFonts w:ascii="宋体" w:hAnsi="宋体" w:eastAsia="宋体" w:cs="Courier New"/>
          <w:b/>
          <w:bCs/>
          <w:color w:val="000000"/>
          <w:sz w:val="24"/>
          <w:szCs w:val="24"/>
          <w:highlight w:val="yellow"/>
          <w:lang w:val="en-US" w:eastAsia="zh-CN"/>
        </w:rPr>
      </w:r>
      <w:r/>
    </w:p>
    <w:p>
      <w:pPr>
        <w:pStyle w:val="1044"/>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，投标人须逐条明确作出满足实质性要求和条件的响应并按要求提供相关证明，否则将按无效投标处理。</w:t>
      </w:r>
      <w:r>
        <w:rPr>
          <w:rFonts w:hint="eastAsia" w:ascii="Calibri" w:hAnsi="Calibri" w:eastAsia="Arial" w:cs="Times New Roman"/>
          <w:sz w:val="24"/>
          <w:szCs w:val="24"/>
        </w:rPr>
      </w:r>
      <w:r/>
    </w:p>
    <w:p>
      <w:pPr>
        <w:pStyle w:val="1044"/>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1044"/>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1044"/>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1044"/>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1044"/>
        <w:jc w:val="left"/>
        <w:spacing w:line="560" w:lineRule="exact"/>
        <w:rPr>
          <w:rFonts w:hint="eastAsia" w:ascii="仿宋_GB2312" w:hAnsi="仿宋" w:eastAsia="仿宋_GB2312" w:cs="Times New Roman"/>
          <w:sz w:val="32"/>
          <w:szCs w:val="32"/>
          <w:lang w:eastAsia="zh-CN"/>
        </w:rPr>
      </w:pPr>
      <w:r>
        <w:rPr>
          <w:rFonts w:hint="eastAsia" w:ascii="仿宋_GB2312" w:hAnsi="仿宋" w:eastAsia="仿宋_GB2312" w:cs="Times New Roman"/>
          <w:sz w:val="32"/>
          <w:szCs w:val="32"/>
        </w:rPr>
        <w:t xml:space="preserve">（1）</w:t>
      </w:r>
      <w:r>
        <w:rPr>
          <w:rFonts w:hint="eastAsia" w:ascii="仿宋_GB2312" w:hAnsi="仿宋" w:eastAsia="仿宋_GB2312" w:cs="Times New Roman"/>
          <w:sz w:val="32"/>
          <w:szCs w:val="32"/>
          <w:lang w:val="en-US" w:eastAsia="zh-CN"/>
        </w:rPr>
        <w:t xml:space="preserve">采购清单及技术参数要求</w:t>
      </w:r>
      <w:r>
        <w:rPr>
          <w:rFonts w:hint="eastAsia" w:ascii="仿宋_GB2312" w:hAnsi="仿宋" w:eastAsia="仿宋_GB2312" w:cs="Times New Roman"/>
          <w:sz w:val="32"/>
          <w:szCs w:val="32"/>
          <w:lang w:eastAsia="zh-CN"/>
        </w:rPr>
        <w:t xml:space="preserve">（机械设计与制造创新综合应用实训室建设）</w:t>
      </w:r>
      <w:r>
        <w:rPr>
          <w:rFonts w:hint="eastAsia" w:ascii="仿宋_GB2312" w:hAnsi="仿宋" w:eastAsia="仿宋_GB2312" w:cs="Times New Roman"/>
          <w:sz w:val="32"/>
          <w:szCs w:val="32"/>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105"/>
        <w:gridCol w:w="660"/>
        <w:gridCol w:w="611"/>
      </w:tblGrid>
      <w:tr>
        <w:trPr>
          <w:trHeight w:val="476"/>
        </w:trPr>
        <w:tc>
          <w:tcPr>
            <w:tcW w:w="45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设备名称</w:t>
            </w:r>
            <w:r>
              <w:rPr>
                <w:rFonts w:hint="eastAsia" w:ascii="宋体" w:hAnsi="宋体" w:eastAsia="宋体" w:cs="宋体"/>
                <w:color w:val="000000"/>
                <w:sz w:val="24"/>
                <w:szCs w:val="24"/>
              </w:rPr>
            </w:r>
            <w:r/>
          </w:p>
        </w:tc>
        <w:tc>
          <w:tcPr>
            <w:tcW w:w="6105"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具体技术（参数）要求</w:t>
            </w:r>
            <w:r>
              <w:rPr>
                <w:rFonts w:hint="eastAsia" w:ascii="宋体" w:hAnsi="宋体" w:eastAsia="宋体" w:cs="宋体"/>
                <w:color w:val="000000"/>
                <w:sz w:val="24"/>
                <w:szCs w:val="24"/>
              </w:rPr>
            </w:r>
            <w:r/>
          </w:p>
        </w:tc>
        <w:tc>
          <w:tcPr>
            <w:tcW w:w="660"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零部件测绘综合实训平台</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双工位零件测绘实训平台</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一种高端改进型零部件测绘与CAD成图技术教学、实训、竞赛和技能高考的综合实训装置，集课堂教学、计算机制图、手工绘图和零部件测量与测绘于一体的“四合一”实训室</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（1）测绘桌整体参考尺寸为1750x680x780mm（长宽高）。每套测绘桌分两个学生工位和一个公共测量工位（含方凳），单工位参考尺寸为685x680x780mm（长宽</w:t>
            </w:r>
            <w:r>
              <w:rPr>
                <w:rFonts w:hint="eastAsia" w:ascii="宋体" w:hAnsi="宋体" w:eastAsia="宋体" w:cs="宋体"/>
                <w:color w:val="000000"/>
                <w:sz w:val="24"/>
                <w:szCs w:val="24"/>
                <w:lang w:val="en-US" w:eastAsia="zh-CN"/>
              </w:rPr>
              <w:t xml:space="preserve">高）；大理石参考尺寸为300*680*30mm（长宽厚），大理石下部定制抽屉支架：四边钢板围成凹槽，把大理石平板放在其中，起到固定大理石平板的作用，有效防止大理石平板移动；在大理石放置架下方开有孔，可以用手或工具作为支撑，便于大理石平板取出，方便更换；大理石抽屉支架通过轴承导轨拉出参考尺寸200mm，方便零件测绘；学生工位台面为实木面板（厚度大约为30mm），耐弱酸弱碱、耐磨、耐油、抗冲击，台面表面不易变形，平整度高，圆边桌角处理，特别设计的圆弧桌角，有效避免受撞击而损坏，测绘桌整体颜色深灰色，桌面原木色。</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（2）每个工位配套透明pvc胶垫，防止在零部件测绘过程中零件跌落，或者是工量具等划伤实木桌面，起到保护和防止磨损的作用。</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（3）公共测量桌采用中间一层抽屉、立柜带中控锁配置，精密安全，坚固耐用，下部立柜可放两台电脑主机箱，柜门框内尺</w:t>
            </w:r>
            <w:r>
              <w:rPr>
                <w:rFonts w:hint="eastAsia" w:ascii="宋体" w:hAnsi="宋体" w:eastAsia="宋体" w:cs="宋体"/>
                <w:color w:val="000000"/>
                <w:sz w:val="24"/>
                <w:szCs w:val="24"/>
                <w:highlight w:val="none"/>
                <w:lang w:val="en-US" w:eastAsia="zh-CN"/>
              </w:rPr>
              <w:t xml:space="preserve">寸不小于412x650x468mm，柜门框不小于452x650x518（长宽高）；抽屉外尺寸不小于452x580x150mm  ，抽屉面板框内尺寸不小于412x580x110mm（长宽高），采用优质钢制三节滚珠静音滑轨，每付承重约55KG,推拉</w:t>
            </w:r>
            <w:r>
              <w:rPr>
                <w:rFonts w:hint="eastAsia" w:ascii="宋体" w:hAnsi="宋体" w:eastAsia="宋体" w:cs="宋体"/>
                <w:color w:val="000000"/>
                <w:sz w:val="24"/>
                <w:szCs w:val="24"/>
                <w:lang w:val="en-US" w:eastAsia="zh-CN"/>
              </w:rPr>
              <w:t xml:space="preserve">轻松自如，抽屉自带固定互锁，抽屉配塑料拉手(全宽铝合金把手并附有标识牌框),柜门上部冲有开机按键槽，下部冲有圆形约9mm散热孔（四角冲有圆形约10mm散热孔），柜内底部并预留穿线孔、槽。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（4）紧固的工作台框架，采用优质一级冷轧钢板，钢板厚度达到约1.2mm，承重部分约1.5-2.0mm冷轧钢板，可使工作台整体承重约800KG,经酸洗、磷化仿静电喷塑处理，整体深灰色，桌面板前部下方预留有穿线孔、槽。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shd w:val="clear" w:color="auto" w:fill="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（5）零部件测绘实训台左右两侧由冲床预留置物孔洞，通过安装不锈钢挂架方便放置常用工具、可折叠手工绘图板和量具等，承载量可达约20KG。</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shd w:val="clear" w:color="auto" w:fill="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测绘桌左右两侧学生工位桌面前部安装可升降器（自动翻板升降，可升、降、停并有防夹手功能）为钢制电动升降器，便于整个工作台在课堂教学、CAD制图、零部件测量与测绘和手工绘图等新课堂教学环节间切换；每工位采用中间一层抽屉 。</w:t>
            </w:r>
            <w:r>
              <w:rPr>
                <w:rFonts w:hint="eastAsia" w:ascii="宋体" w:hAnsi="宋体" w:eastAsia="宋体" w:cs="宋体"/>
                <w:color w:val="000000"/>
                <w:sz w:val="24"/>
                <w:szCs w:val="24"/>
                <w:lang w:val="en-US" w:eastAsia="zh-CN"/>
              </w:rPr>
            </w:r>
            <w:r/>
          </w:p>
          <w:p>
            <w:pPr>
              <w:pStyle w:val="1044"/>
              <w:jc w:val="left"/>
              <w:keepLines w:val="0"/>
              <w:keepNext w:val="0"/>
              <w:pageBreakBefore w:val="0"/>
              <w:shd w:val="clear" w:color="auto" w:fill="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（7）精密大理石平板规格型号参考尺寸：300*680*30mm。</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jc w:val="left"/>
              <w:keepLines w:val="0"/>
              <w:keepNext w:val="0"/>
              <w:pageBreakBefore w:val="0"/>
              <w:shd w:val="clear" w:color="auto" w:fill="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jc w:val="left"/>
              <w:keepLines w:val="0"/>
              <w:keepNext w:val="0"/>
              <w:pageBreakBefore w:val="0"/>
              <w:shd w:val="clear" w:color="auto" w:fill="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零部件测绘教师实训平台</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规格型号参考尺寸：2100×750×800mm</w:t>
            </w:r>
            <w:r>
              <w:rPr>
                <w:rFonts w:hint="eastAsia" w:ascii="宋体" w:hAnsi="宋体" w:eastAsia="宋体" w:cs="宋体"/>
                <w:color w:val="000000"/>
                <w:sz w:val="24"/>
                <w:szCs w:val="24"/>
                <w:highlight w:val="none"/>
                <w:lang w:val="en-US" w:eastAsia="zh-CN"/>
              </w:rPr>
              <w:t xml:space="preserve">实木桌面</w:t>
            </w:r>
            <w:r>
              <w:rPr>
                <w:rFonts w:hint="eastAsia" w:ascii="宋体" w:hAnsi="宋体" w:eastAsia="宋体" w:cs="宋体"/>
                <w:color w:val="000000"/>
                <w:sz w:val="24"/>
                <w:szCs w:val="24"/>
                <w:highlight w:val="none"/>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工作台整体台面为实木台面板（厚度约50mm），表面高分子油漆材料喷涂，耐弱酸弱碱、耐磨、耐油、抗冲击，台面表面不易变形，平整度高，圆边桌角处理，特别设计的圆弧桌角，有效避免受撞击而损坏，桌面原木色。</w:t>
            </w:r>
            <w:r>
              <w:rPr>
                <w:rFonts w:hint="eastAsia" w:ascii="宋体" w:hAnsi="宋体" w:eastAsia="宋体" w:cs="宋体"/>
                <w:color w:val="000000"/>
                <w:sz w:val="24"/>
                <w:szCs w:val="24"/>
                <w:highlight w:val="none"/>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B:工作台右部采用五抽屉吊柜带中控锁，吊柜尺寸约566×700×750mm（长宽高），三个抽屉为尺寸约566×700×100mm（长宽高），一个抽屉为尺寸约566×700×150mm（长宽高），一个抽屉为尺寸约566×700×175mm（长宽高），精密安全，坚固耐用，采用优质钢制三节滚珠静音滑轨</w:t>
            </w:r>
            <w:r>
              <w:rPr>
                <w:rFonts w:hint="eastAsia" w:ascii="宋体" w:hAnsi="宋体" w:eastAsia="宋体" w:cs="宋体"/>
                <w:color w:val="000000"/>
                <w:sz w:val="24"/>
                <w:szCs w:val="24"/>
                <w:lang w:val="en-US" w:eastAsia="zh-CN"/>
              </w:rPr>
              <w:t xml:space="preserve">，每付承重约50KG,推拉轻松自如，两抽屉自带固定互锁，抽屉为全宽铝合金把手并附有标识牌框，左部吊柜可放电脑主机箱，尺寸约为566×700×750mm（长宽高），前侧门四角有圆形约10mm散热孔，立柜后侧铁板封闭，并预留穿线孔、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C:紧固的工作台框架，采用优质一级冷轧钢板，钢板厚度约达到1.2mm，冷轧钢板，可使工作台整体承重约1000KG,经酸洗、磷化后进行静电喷塑处理，整体外观平整光亮，整体灰褐色，桌腿上预留插座安装孔。</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《典型机械零件》测绘装置</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铝合金件;</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（1）测绘箱子尺寸不小于：485*355*155mm;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基础零件测绘装置：基础零件测绘装置主要包含南机轴、轴套、端盖、法兰盘、连杆、支架、阀体、箱体等机构。了解机械机构中常用的四大类零件，认识基础零件的误差和配合精度，为机械专业零部件测量与测绘提供测规范化测量对象；</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t xml:space="preserve">配套高等教育出版社出版的</w:t>
            </w:r>
            <w:r>
              <w:rPr>
                <w:rFonts w:hint="eastAsia" w:ascii="宋体" w:hAnsi="宋体" w:eastAsia="宋体" w:cs="宋体"/>
                <w:color w:val="000000"/>
                <w:sz w:val="24"/>
                <w:szCs w:val="24"/>
                <w:lang w:val="en-US" w:eastAsia="zh-CN"/>
              </w:rPr>
              <w:t xml:space="preserve">《零部件测绘实训手册》教材；</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t xml:space="preserve">）采用铝镁压铸工艺，经喷砂处理，产品精度高，质量好；</w:t>
            </w:r>
            <w:r>
              <w:rPr>
                <w:rFonts w:hint="eastAsia" w:ascii="宋体" w:hAnsi="宋体" w:eastAsia="宋体" w:cs="宋体"/>
                <w:color w:val="000000"/>
                <w:sz w:val="24"/>
                <w:szCs w:val="24"/>
                <w:highlight w:val="none"/>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（5）零部件主要部位进行数控加工，加工面精度高和表面粗糙度合理；</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对于每个单体零件进行三维数字化设计，组成立体化三维零件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（7）终端可以查看模型的爆炸视图，完美继承本地服务端的爆炸图设置，提供滑动条供用户选择爆炸的距离。</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（8）终端支持查看模型的装配树，装配树显示当前模型的所有装配零件，可显示与隐藏任意零件，便于查看装配关系等信息。</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《零部件测量》实测装置</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产品适用于基础零件、千斤顶、偏心机构、平口钳、凸轮机构、齿轮泵、减速器、蜗轮减速器标准件、典型零件、联接与配合、台虎钳、阀体、联轴器、注塑模具、尾座顶尖等零部件的折装与测量。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拆装与测量工具整箱装置，箱体尺寸≥360mm*260mm*120mm，箱子内置泡沫模子，模子根据不同的拆装工具和测量工具形状大小进行挖槽设计，将工具嵌合其中，方便取用；</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拆卸工具：活络扳手、内卡簧钳、外卡簧钳、橡胶锤、十字螺丝刀、紫铜棒、尖嘴钳、内六角扳手。</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测量工具：</w:t>
            </w:r>
            <w:r>
              <w:rPr>
                <w:rFonts w:hint="eastAsia" w:ascii="宋体" w:hAnsi="宋体" w:eastAsia="宋体" w:cs="宋体"/>
                <w:color w:val="000000"/>
                <w:sz w:val="24"/>
                <w:szCs w:val="24"/>
                <w:highlight w:val="none"/>
                <w:lang w:val="en-US" w:eastAsia="zh-CN"/>
              </w:rPr>
              <w:t xml:space="preserve">游标卡尺、钢直尺、螺纹样板公制60°、螺纹样板英制55°、R1-R7半径规，R7.5-15mm半径规，R15.5-R25半径规、角度尺、0-25mm外径千分尺，25-50mm外径千分尺。</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《基础零件》测绘装置</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铝合金件;</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测绘箱子尺寸不小于：365*265*100mm;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包含:箱体、输出轴、输入轴、端盖、槽轮旋盘、连杆、支座、密封盖</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基础零件》测绘装置主要包含轴箱体、输出轴、输入轴、端盖、槽轮旋盘、连杆、支座、密封盖等典型零件。了解机械机构中常用的四大类零件，认识基础零件的误差和配合精度，为机械专业零部件测量与测绘提供测规范化测量对象；</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6</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《千斤顶&amp;偏心机构》测绘装置</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铝合金加工件；</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测绘箱子尺寸不小于：365*265*100mm；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千斤顶测绘装置由顶碗、调整螺杆、底座、螺纹套、摇杆等零件组成。了解千斤顶零部件的装配方式，认识千斤顶零件的误差和配合精度，为机械专业零部件测量与测绘提供规范化测量产品；偏心机构测绘装置由顶杆、螺纹端盖、凸轮轴、箱体等零件组成。了解偏心机构零部件的装配方式，认识千斤顶零件的误差和配合精度，为机械专业零部件测量与测绘提供规范化测量产品。</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7</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《平口钳&amp;凸轮机构》测绘装置</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铝合金加工件；</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测绘箱子尺寸不小于：365*265*100mm；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平口钳测绘装置由顶碗、调整螺杆、底座、螺纹套、摇杆等零件组成。了解平口钳的装配方式，认识平口钳的误差和配合精度，为机械专业零部件测量与测绘提供规范化测量产品；凸轮机构测绘装置由底座、端盖、偏心轴、上盖、升降杆等零件组成。了解凸轮机构的装配方式，认识凸轮机构零件的误差和配合精度，为机械专业零部件测量与测绘提供规范化测量产品。</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8</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偏心滑块机构</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底座、活塞支撑座、活塞杆、缸体、连杆机构、齿轮支撑座、输入轴、输出轴、齿轮、端盖、螺纹轴套</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9</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齿轮螺旋传动机构</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输入齿轮轴、输出齿轮轴、机座、机盖、支撑座、移动滑块、导柱、端盖</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10</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锥齿轮转向器</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锥齿轮，主动轴，从动轴，连杆，活塞杆，轴承支座，上压盖，轴承通盖，密封端盖，支架。</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11</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测绘装置存放柜</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仓库仓储货架承重不小于200Kg。</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参考尺寸：高2000*宽1500*深500mm四层</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台</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12</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零部件展示存放柜</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展示柜尺寸：不低于1000*500*800mm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材质：UV板、镜面玻璃</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台</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13</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钢制方凳</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钢木方凳，凳面为三聚氰胺外饰面板厚度不少于18mm，做工细，表面光滑，美观大方，凳腿部件材质为喷塑钢架，厚度不大于1.0mm，配尼龙管塞，坚固耐用。</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把</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14</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多模形态扫描检测设备</w:t>
            </w:r>
            <w:r>
              <w:rPr>
                <w:rFonts w:ascii="宋体" w:hAnsi="宋体" w:eastAsia="宋体" w:cs="宋体"/>
                <w:color w:val="000000"/>
                <w:sz w:val="24"/>
                <w:szCs w:val="24"/>
                <w:lang w:val="en-US" w:eastAsia="zh-CN"/>
              </w:rPr>
            </w:r>
            <w:r/>
          </w:p>
        </w:tc>
        <w:tc>
          <w:tcPr>
            <w:tcW w:w="6105" w:type="dxa"/>
            <w:vAlign w:val="center"/>
            <w:textDirection w:val="lrTb"/>
            <w:noWrap w:val="false"/>
          </w:tcPr>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（一）设备本体参数：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1.扫描模式≥4种：通过交叉线扫描，平行多线扫描，转台自动扫描，全场高速扫描四种扫描模式无缝切换，适应不同类型扫描对象及工况</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（2）平行多线扫描（手持扫描模式下，该模式可投射出≥7条高功率蓝色激光平行线，适用于表面复杂且边缘结构多样的物体扫描，有效减少噪点干扰，大幅提升扫描数据的精度）</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2.光源形式：</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（1）交叉线扫描≥14束蓝色激光交叉线；</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（2）平行多线扫描≥7束平行蓝色激光线；</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（3）全场高速扫描≥62线全场蓝光结构光。</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5.扫描对象：可以扫描人体，雕塑，工业构件，金属件等。</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▲6.扫描精度：≤0.02mm。</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7.体积精度：≤0.015mm+0.05mm×L(m)。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8.最小点距：≤0.05mm。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▲9.工作距离：≥195-405mm。</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10.单帧扫描范围：≥330×220mm。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▲11.扫描帧率：≥激光扫描：820,000点/秒；≥蓝光扫描：7,200,000点/秒。</w:t>
            </w:r>
            <w:r>
              <w:rPr>
                <w:rFonts w:hint="eastAsia" w:ascii="Times New Roman" w:hAnsi="Times New Roman" w:eastAsia="宋体" w:cs="宋体"/>
                <w:b/>
                <w:bCs/>
                <w:sz w:val="24"/>
                <w:szCs w:val="20"/>
                <w:highlight w:val="none"/>
                <w:lang w:val="en-US" w:eastAsia="zh-CN"/>
              </w:rPr>
              <w:t xml:space="preserve">（投标时需提供第三方检测机构出具的检测报告并加盖供应商公章）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12.相机分辨率：≥200万像素。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13.彩色扫描：转台自动扫描模式支持高清全彩扫描，可以捕捉扫描物体表面纹理色彩。</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14.拼接方式：特征拼接、标记点拼接、全局标记点拼接。</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15.系统兼容性：Windows10/11（64位）,macOS11.0及以上。</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16.输出格式：PLY、OBJ、STL、ASC、3MF、GLTF、FBX、FLY。</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17.电源：DC12V，3A。</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18.扫描仪机身重量：≤500g。</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19.尺寸：≤210×90×45mm。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20.配套扫描软件，可以直观、便捷的控制扫描并编辑数据，兼容Windows、macOS设备。</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▲21.扫描软件功能：具有一键处理功能，能够连续完成点云融合、构网及构图，具备批量处理功能，能够同时对多个扫描数据进行数据处理。</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b/>
                <w:bCs/>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b/>
                <w:bCs/>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▲24.扫描软件功能：具有纹理贴图功能：能够对处理完成的网格模型贴上彩色纹理图片，使得模型色彩更加真实还原。</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▲25.扫描软件功能：具有显示包围盒、轨迹球、地平面网格功能。</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▲26.扫描软件功能：具有光照设定功能，能够指定光源的空间坐标，完成对模型细节的观察。</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b/>
                <w:bCs/>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▲27.扫描软件功能：具有材质设定功能，能够设定模型的外观材质，设定颜色≥4种，设定材质≥3种。</w:t>
            </w:r>
            <w:r>
              <w:rPr>
                <w:rFonts w:hint="eastAsia" w:ascii="Times New Roman" w:hAnsi="Times New Roman" w:eastAsia="宋体" w:cs="宋体"/>
                <w:b/>
                <w:bCs/>
                <w:sz w:val="24"/>
                <w:szCs w:val="20"/>
                <w:highlight w:val="none"/>
                <w:lang w:val="en-US" w:eastAsia="zh-CN"/>
              </w:rPr>
              <w:t xml:space="preserve">（投标时需提供功能截图并加盖供应商公章）</w:t>
            </w:r>
            <w:r>
              <w:rPr>
                <w:rFonts w:hint="eastAsia" w:ascii="Times New Roman" w:hAnsi="Times New Roman" w:eastAsia="宋体" w:cs="宋体"/>
                <w:b/>
                <w:bCs/>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（二）配套资源平台：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▲1.素材支持：配备一个3d素材库，素材库数量不低于1.5万个，涵盖不少于10种类别，素材拥有20个以上特色专题。素材库包含网站及APP，APP同步支持安卓及IOS下载。</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▲2.配套数字化三维扫描采集平台软件。</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b/>
                <w:bCs/>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rPr>
                <w:rFonts w:hint="eastAsia" w:ascii="Times New Roman" w:hAnsi="Times New Roman" w:eastAsia="宋体" w:cs="宋体"/>
                <w:b/>
                <w:bCs/>
                <w:sz w:val="24"/>
                <w:szCs w:val="20"/>
                <w:highlight w:val="none"/>
                <w:lang w:val="en-US" w:eastAsia="zh-CN"/>
              </w:rPr>
              <w:t xml:space="preserve">（需提供相关《计算机软件著作权登记证书》复印件并加盖投标人公章。）</w:t>
            </w:r>
            <w:r>
              <w:rPr>
                <w:rFonts w:hint="eastAsia" w:ascii="Times New Roman" w:hAnsi="Times New Roman" w:eastAsia="宋体" w:cs="宋体"/>
                <w:b/>
                <w:bCs/>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4.配套专业产品外观实物载体模型及软资源：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 包含实物扫描视频、软件操作视频；</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4.1.1 设备安装视频</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4.1.2 软件安装视频</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4.1.3 表面处理视频</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4.1.4 塑料零件-电动扳手外壳扫描视频及配套扫描数据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4.1.5 装配体-柴油机缸头总成扫描视频及配套扫描数据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4.1.6 铸件-汽缸盖扫描视频及配套扫描数据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4.1.7 铸件-角磨机头壳扫描视频及配套扫描数据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4.1.8 铸件-立式箱盖扫描视频及配套扫描数据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4.1.9 铸件-圆锯头壳扫描视频及配套扫描数据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4.1.10 装配体-齿轮箱壳体扫描视频及配套扫描数据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 包含实物模型标配试题资源：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4.2.1 变速箱配套试题资源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4.2.2 桌面吸尘器配套试题资源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4.2.3 玩具枪配套试题资源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4.2.4 塑料零件-电动扳手外壳配套试题资源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4.2.5 装配体-柴油机缸头总成配套试题资源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4.2.6 铸件-汽缸盖配套试题资源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4.2.7 铸件-角磨机头壳配套试题资源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4.2.8 铸件-立式箱盖配套试题资源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4.2.9 铸件-圆锯头壳配套试题资源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4.2.10 装配体-齿轮箱壳体配套试题资源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4.3.1 喷壶配套资源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4.3.2 颈部按摩仪配套资源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4.3.3 人像雕塑配套资源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4.3.4 化油器配套资源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4.3.5 电风扇配套资源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 床头灯配套试题资源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4.4.2 大机械手配套试题资源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4.4.3 电吹风配套试题资源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4.4.4 电话机配套试题资源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4.4.5 订书机配套试题资源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4.4.6 对讲机配套试题资源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4.4.7 共享单车配套试题资源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4.4.8 航拍器配套试题资源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4.4.9 监控摄像头配套试题资源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4.4.10 小机械手配套试题资源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4.4.11 空气净化器配套试题资源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4.4.12 无人机配套试题资源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4.4.13 吸尘器配套试题资源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4.4.14 智能单车配套试题资源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4.4.15 智能机器人配套试题资源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5.配套数字孪生多模全功能三维扫描仪仿真系统：</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5.1真实感场景与模型构建：创建虚拟场景；建立与真实三维扫描仪完全一致的精细化3D模型</w:t>
            </w:r>
            <w:r>
              <w:rPr>
                <w:rFonts w:hint="eastAsia" w:ascii="Times New Roman" w:hAnsi="Times New Roman" w:eastAsia="宋体" w:cs="宋体"/>
                <w:sz w:val="24"/>
                <w:szCs w:val="20"/>
                <w:highlight w:val="none"/>
                <w:lang w:val="en-US" w:eastAsia="zh-CN"/>
              </w:rPr>
            </w:r>
            <w:r/>
          </w:p>
          <w:p>
            <w:pPr>
              <w:pStyle w:val="1044"/>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▲5.2实时一比一扫描仿真：虚拟扫描仪的运动（移动、旋转、角度变化）与真实操作手感一致。模拟扫描仪的有效测距、视场角(FOV)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w:t>
            </w:r>
            <w:r>
              <w:rPr>
                <w:rFonts w:hint="eastAsia" w:ascii="宋体" w:hAnsi="宋体" w:eastAsia="宋体" w:cs="宋体"/>
                <w:b/>
                <w:bCs/>
                <w:sz w:val="24"/>
                <w:szCs w:val="24"/>
                <w:highlight w:val="none"/>
              </w:rPr>
              <w:t xml:space="preserve">（投标时需提供功能截图并加盖供应商公章）</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5.3交互式操作与控制：支持通过鼠标键盘进行控制。</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5.4设备核心功能模拟： 虚拟扫描仪的开机、校准、开始/结束扫描、重置等核心功能应可交互操作。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（三）设备配件清单：</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扫描仪机身1台、数据线3米（带转接头）1个、电源适配器1根、三脚架1根、扫描样件1个、高反光标志点（500）2套、双轴转台1个、便携式收纳箱2个、标定板1个、扫描仪支撑台1个、数字化三维扫描采集平台软件1套、高定标记块1套。</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（四）专业资质：</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w:t>
            </w:r>
            <w:r>
              <w:rPr>
                <w:rFonts w:hint="eastAsia" w:ascii="Times New Roman" w:hAnsi="Times New Roman" w:eastAsia="宋体" w:cs="宋体"/>
                <w:color w:val="000000"/>
                <w:sz w:val="24"/>
                <w:szCs w:val="20"/>
                <w:highlight w:val="none"/>
                <w:lang w:val="en-US" w:eastAsia="zh-CN"/>
              </w:rPr>
              <w:t xml:space="preserve">.满足 2025 年江苏省职业院校技能大赛</w:t>
            </w:r>
            <w:r>
              <w:rPr>
                <w:rFonts w:hint="eastAsia" w:ascii="Times New Roman" w:hAnsi="Times New Roman" w:eastAsia="宋体" w:cs="宋体"/>
                <w:strike w:val="0"/>
                <w:color w:val="000000"/>
                <w:sz w:val="24"/>
                <w:szCs w:val="20"/>
                <w:highlight w:val="none"/>
                <w:lang w:val="en-US" w:eastAsia="zh-CN"/>
              </w:rPr>
              <w:t xml:space="preserve">中职组“新材料智能生产与产品检验”</w:t>
            </w:r>
            <w:r>
              <w:rPr>
                <w:rFonts w:hint="eastAsia" w:ascii="Times New Roman" w:hAnsi="Times New Roman" w:eastAsia="宋体" w:cs="宋体"/>
                <w:color w:val="000000"/>
                <w:sz w:val="24"/>
                <w:szCs w:val="20"/>
                <w:highlight w:val="none"/>
                <w:lang w:val="en-US" w:eastAsia="zh-CN"/>
              </w:rPr>
              <w:t xml:space="preserve">赛项技术文件要求，满足技能大赛集训要求。 （投标文件中提供加盖投标人公章的承诺函，格式自拟）</w:t>
            </w:r>
            <w:r>
              <w:rPr>
                <w:rFonts w:hint="eastAsia" w:ascii="Times New Roman" w:hAnsi="Times New Roman" w:eastAsia="宋体" w:cs="宋体"/>
                <w:color w:val="000000"/>
                <w:sz w:val="24"/>
                <w:szCs w:val="20"/>
                <w:highlight w:val="none"/>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Times New Roman" w:hAnsi="Times New Roman" w:eastAsia="宋体" w:cs="宋体"/>
                <w:sz w:val="24"/>
                <w:szCs w:val="20"/>
                <w:highlight w:val="none"/>
                <w:lang w:val="en-US" w:eastAsia="zh-CN"/>
              </w:rPr>
              <w:t xml:space="preserve">▲2.满足江苏省“增材制造设备操作员”职业等级考核平台技术要求。（投标文件中提供加盖投标人公章的承诺函，格式自拟）</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w:t>
            </w:r>
            <w:r>
              <w:rPr>
                <w:rFonts w:ascii="Times New Roman" w:hAnsi="Times New Roman" w:eastAsia="宋体" w:cs="宋体"/>
                <w:sz w:val="24"/>
                <w:szCs w:val="20"/>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台</w:t>
            </w:r>
            <w:r>
              <w:rPr>
                <w:rFonts w:ascii="Times New Roman" w:hAnsi="Times New Roman" w:eastAsia="宋体" w:cs="宋体"/>
                <w:sz w:val="24"/>
                <w:szCs w:val="20"/>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15</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FDM增材制造设备</w:t>
            </w:r>
            <w:r>
              <w:rPr>
                <w:rFonts w:ascii="宋体" w:hAnsi="宋体" w:eastAsia="宋体" w:cs="宋体"/>
                <w:color w:val="000000"/>
                <w:sz w:val="24"/>
                <w:szCs w:val="24"/>
                <w:lang w:val="en-US" w:eastAsia="zh-CN"/>
              </w:rPr>
            </w:r>
            <w:r/>
          </w:p>
        </w:tc>
        <w:tc>
          <w:tcPr>
            <w:tcW w:w="6105" w:type="dxa"/>
            <w:vAlign w:val="center"/>
            <w:textDirection w:val="lrTb"/>
            <w:noWrap w:val="false"/>
          </w:tcPr>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1、切片软件支持15种语言包含中文和英文操作。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2、切片软件支持.stl，obj，3mf，bmp，x3d，jpg，png等文件输入。</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3、切片软件支持在Windows 7及以上， Mac10.11系统以上平稳运行。</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4、采用</w:t>
            </w:r>
            <w:r>
              <w:rPr>
                <w:rFonts w:hint="eastAsia" w:ascii="Times New Roman" w:hAnsi="Times New Roman" w:eastAsia="宋体" w:cs="宋体"/>
                <w:color w:val="000000"/>
                <w:sz w:val="24"/>
                <w:szCs w:val="20"/>
                <w:highlight w:val="none"/>
                <w:lang w:val="en-US" w:eastAsia="zh-CN"/>
              </w:rPr>
              <w:t xml:space="preserve">FDM熔融沉积式成型技术。</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5、机器打印尺寸≥280*280*270mm。</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6、支持6国语言包含中文英文操作界面。</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7、支持≥5英寸的显示屏触摸操作，分辨率≥800*480。</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8、自带≥1GB DDR3存储空间。</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9、具备高速打印功能，速度≥600mm/s，加速度≥20000mm/s2，喷头流量≥35mm3/s。</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10、具备独立腔室加温控制系统，腔室最高可加热温度≥60℃，具有腔室循环风机系统。</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11、具备断电续打功能和WIFI连接发送模型并打印。</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12、打印层厚0.05mm-0.4 mm。</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13、可以使用PLA、ABS、AS</w:t>
            </w:r>
            <w:r>
              <w:rPr>
                <w:rFonts w:hint="eastAsia" w:ascii="Times New Roman" w:hAnsi="Times New Roman" w:eastAsia="宋体" w:cs="宋体"/>
                <w:sz w:val="24"/>
                <w:szCs w:val="20"/>
                <w:highlight w:val="none"/>
                <w:lang w:val="en-US" w:eastAsia="zh-CN"/>
              </w:rPr>
              <w:t xml:space="preserve">A、PETG、TPU、PC、UltraPA、尼龙等常规或高温材料，随机送1盘PLA。</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14、具有加热底板，最高可加热温度≥120℃，双面柔性磁性高频板及密封结构。</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15、为单喷头，喷嘴直径0.4mm（可自选0.2、0.6、0.8mm），耗材直径1.75mm。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16、具备Cor</w:t>
            </w:r>
            <w:r>
              <w:rPr>
                <w:rFonts w:hint="eastAsia" w:ascii="Times New Roman" w:hAnsi="Times New Roman" w:eastAsia="宋体" w:cs="宋体"/>
                <w:color w:val="000000"/>
                <w:sz w:val="24"/>
                <w:szCs w:val="20"/>
                <w:highlight w:val="none"/>
                <w:lang w:val="en-US" w:eastAsia="zh-CN"/>
              </w:rPr>
              <w:t xml:space="preserve">eXY结构与钢直线空心光轴，X、Y向定位误差≤0.0125mm；Z向定位误差≤0.00125mm。</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17、打印速度需可在30~600mm/s区间内简便设置。</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18、机器支持标准gcode文件打印。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19、支持打印完成自动关机。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20、床层支持自动调平功能。</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21、内置空气循环过滤风扇。</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22、喷头具备热端冷却系统，随机配备两套热端：铜金属喷嘴及钢金属喷嘴，最高温度均≥350℃，适用普通材料及高硬度材料。</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23、底部结构与框架结构为全金属，机器尺寸≤550*550*550mm，重量≤25kg</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color w:val="000000"/>
                <w:sz w:val="24"/>
                <w:szCs w:val="20"/>
                <w:highlight w:val="none"/>
                <w:lang w:val="en-US" w:eastAsia="zh-CN"/>
              </w:rPr>
            </w:pPr>
            <w:r>
              <w:rPr>
                <w:rFonts w:hint="eastAsia" w:ascii="Times New Roman" w:hAnsi="Times New Roman" w:eastAsia="宋体" w:cs="宋体"/>
                <w:color w:val="000000"/>
                <w:sz w:val="24"/>
                <w:szCs w:val="20"/>
                <w:highlight w:val="none"/>
                <w:lang w:val="en-US" w:eastAsia="zh-CN"/>
              </w:rPr>
              <w:t xml:space="preserve">24、具有双Z轴上下结构，使得打印大尺寸误差降低，设备耐用。</w:t>
            </w:r>
            <w:r>
              <w:rPr>
                <w:rFonts w:hint="eastAsia" w:ascii="Times New Roman" w:hAnsi="Times New Roman" w:eastAsia="宋体" w:cs="宋体"/>
                <w:color w:val="000000"/>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25、配套增材制造考工虚拟仿真实训平台：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（1）功能概述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核心功能：本系统基于虚实融合控制架构，构建面向熔融沉积成型（FDM）与光固化成型（LCD）增材制造工艺的全流程高保真虚拟仿真环境，涵盖基础设置、预处理、加工及后处理等环节。系统通过三维可视化与沉浸式交互机制，支持自主学习、实验训练及操作考核等多种教学模式，精准复现增材制造实训中心及其实际工作场景，适用于教学培训、工艺研发、生产流程模拟与操作能力评估。</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2）支持工艺：当前兼容 FDM 与 LCD 工艺，系统具备可扩展架构，支持后续升级至立体光固化（SLA）及选择性激光熔化（SLM）等先进增材制造工艺。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3）仿真层级：实现设备操作级仿真，包括模拟设备人机界面、物料装载、工件取出等实际操作流程。</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4）操作方式：采用图形用户界面（GUI），符合工业软件操作逻辑，兼顾直观性与易用性。</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5）场景渲染质量；具备高质量实时渲染能力，精确呈现设备结构、材料特性及加工过程，强化沉浸式体验。</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6）部署方式：采用局域网网络版架构，便于多终端协同与集中管理。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7）核心模块：系统集成三大功能模块：设备拆解、模拟实操与故障处理，各模块均配备独立练习与考核模式。</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8）语言与环境：软件界面为中文，具备良好的环境兼容性。</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9）用户端配置：系统分为监考端与考生端，监考端为单节点部署。</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10）软件加密机制：采用硬件加密狗进行授权验证，监考端需接入加密狗方可运行系统。</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（2）系统权限管理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监考端权限：启动及配置考试模式，设定考试批次与时间参数；设定考核模块（设备拆解、模拟实操、故障处理）；强制终止考试并统一收卷；查看各批次考试详情；支持故障处理题库的导入、导出及随机组卷；成绩打印、统计分析及成绩汇总表生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2）考生端权限：须与监考端保持联机状态，脱机无法运行；每终端分配唯一工位标识；可使用各模块练习功能，考试模式下按步骤自动评分；支持考生自主提交答卷。</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3）成绩导出：导出为 Excel 格式，包括序号、机位号、登录名、考核起止时间及各模块得分。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（3）设备建模与展示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1）元器件建模：系统内置高精度三维模型，支持360°自由旋转观察，展示各元器件名称与结构信息，便于考生端学习与考核。</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（4）设备拆解模块</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1）安装流程模拟：练习模式下，系统按标准顺序演示零件安装过程；考核模式下，零件随机分布，考生需自主调整位置并完成装配；系统基于预设容差阈值判断装配正确性，最终完成光固化打印机组装。</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2）考核与评分：考核模式下，系统自动检测操作错误并依据评分规则评定成绩。</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（5）虚拟仿真模块</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第一人称实操仿真：用户可在虚拟实训场景中以第一人称视角自由移动，对设备进行打印流程仿真。系统基于数字孪生技术，在图形界面中提供步骤提示、工具选择及项目切换功能，支持操作过程录屏存档，便于回放与比对训练。操作时间记录可反映考生熟练度。</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2）三维流程仿真：采用三维仿真技术，完整复现增材制造设备在实际生产中的全流程操作。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工艺环节覆盖；涵盖增材制造原理结构、前处理、加工实操及后处理等环节的仿真教学。</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考核与自动评分；系统记录操作过程，依据规范性、效率及完成度等维度自动评分。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3）操作引导机制：提供操作大纲与步骤提示，辅助用户按流程执行操作。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4）用户与成绩管理：具备登录界面，支持多用户信息及考核成绩的记录与管理。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5）多工艺学习接口：支持 FDM、LCD 等多种工艺的学习与考核，具备扩展接口以兼容未来增材制造工艺。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（6）切片处理模块</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1）兼容工艺：支持 FDM、LCD，具备扩展能力以兼容 SLA、SLM 等工艺。</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2）模型格式支持：兼容 STEP、IGES、STL、OBJ、3MF、AMF 等主流三维数据格式。</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模型调整功能</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3）支持模型的缩放、旋转、平移等基础定位操作。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4）工艺参数设置：FDM：层厚、打印速度、填充密度、支撑结构参数、预热与腔室温度等；LCD：层厚、加工速度、支撑结构参数、曝光参数等。</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5）切片引擎：可视化切片过程，实时显示层轮廓、填充路径及支撑结构生成。</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6）支撑结构编辑：支持自动生成（多算法可选）与手动编辑支撑。</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7）路径规划可视化；清晰展示 FDM 喷头轨迹与 LCD 逐层加工图像及顺序。</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（7）考核评价模块</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1）标准操作流程演练：引导用户依次完成设备启动、物料装载、模型准备、切片设置、打印启动、过程监控、工件取出、设备关机及清理等操作。</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2）故障模拟与处理训练：模拟常见设备故障（如堵头、平台不平、材料缺料等），培养用户故障排查与解决能力。</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3）安全规程考核：在虚拟环境中考核用户对个人防护装备使用、紧急停机及材料安全数据表的遵守情况。</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4）自动评分体系：基于操作规范性、效率、故障处理能力及安全意识等维度实现自动评分。</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考核执行机制</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5）教师下发任务后，考生登录进入考核模式，可自由切换视角并选择操作对象；系统记录操作时间并返回评分结果（练习模式包含视角引导）。</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（8）安全与合规性</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1）用户认证机制：支持用户名及域认证登录。</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2）数据安全：对敏感数据实施加密存储与传输。</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3）审计与日志：记录关键操作与用户行为，支持考核自动评分与系统异常反馈。</w:t>
            </w:r>
            <w:r>
              <w:rPr>
                <w:rFonts w:hint="eastAsia" w:ascii="Times New Roman" w:hAnsi="Times New Roman" w:eastAsia="宋体" w:cs="宋体"/>
                <w:sz w:val="24"/>
                <w:szCs w:val="20"/>
                <w:highlight w:val="none"/>
                <w:lang w:val="en-US" w:eastAsia="zh-CN"/>
              </w:rPr>
            </w:r>
            <w:r/>
          </w:p>
          <w:p>
            <w:pPr>
              <w:pStyle w:val="1044"/>
              <w:ind w:firstLine="0"/>
              <w:jc w:val="left"/>
              <w:keepLines w:val="0"/>
              <w:keepNext w:val="0"/>
              <w:pageBreakBefore w:val="0"/>
              <w:spacing w:line="240" w:lineRule="auto"/>
              <w:widowControl w:val="off"/>
              <w:rPr>
                <w:rFonts w:hint="eastAsia" w:ascii="Times New Roman" w:hAnsi="Times New Roman" w:eastAsia="宋体" w:cs="Times New Roman"/>
                <w:szCs w:val="21"/>
                <w:lang w:val="en-US" w:eastAsia="zh-CN"/>
              </w:rPr>
            </w:pPr>
            <w:r>
              <w:rPr>
                <w:rFonts w:hint="eastAsia" w:ascii="Times New Roman" w:hAnsi="Times New Roman" w:eastAsia="宋体" w:cs="宋体"/>
                <w:sz w:val="24"/>
                <w:szCs w:val="20"/>
                <w:highlight w:val="none"/>
                <w:lang w:val="en-US" w:eastAsia="zh-CN"/>
              </w:rPr>
              <w:t xml:space="preserve">4）满足江苏省“增材制造设备操作员”职业等级考核平台技术要求。</w:t>
            </w:r>
            <w:r>
              <w:rPr>
                <w:rFonts w:hint="eastAsia" w:ascii="Times New Roman" w:hAnsi="Times New Roman" w:eastAsia="宋体" w:cs="Times New Roman"/>
                <w:szCs w:val="21"/>
                <w:lang w:val="en-US" w:eastAsia="zh-CN"/>
              </w:rPr>
            </w:r>
            <w:r/>
          </w:p>
        </w:tc>
        <w:tc>
          <w:tcPr>
            <w:tcW w:w="660" w:type="dxa"/>
            <w:vAlign w:val="center"/>
            <w:textDirection w:val="lrTb"/>
            <w:noWrap w:val="false"/>
          </w:tcPr>
          <w:p>
            <w:pPr>
              <w:pStyle w:val="1044"/>
              <w:ind w:firstLine="0"/>
              <w:jc w:val="left"/>
              <w:keepLines w:val="0"/>
              <w:keepNext w:val="0"/>
              <w:pageBreakBefore w:val="0"/>
              <w:spacing w:line="240" w:lineRule="auto"/>
              <w:widowControl w:val="off"/>
              <w:rPr>
                <w:rFonts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10</w:t>
            </w:r>
            <w:r>
              <w:rPr>
                <w:rFonts w:ascii="Times New Roman" w:hAnsi="Times New Roman" w:eastAsia="宋体" w:cs="宋体"/>
                <w:sz w:val="24"/>
                <w:szCs w:val="20"/>
                <w:highlight w:val="none"/>
                <w:lang w:val="en-US" w:eastAsia="zh-CN"/>
              </w:rPr>
            </w:r>
            <w:r/>
          </w:p>
        </w:tc>
        <w:tc>
          <w:tcPr>
            <w:tcW w:w="611" w:type="dxa"/>
            <w:vAlign w:val="center"/>
            <w:textDirection w:val="lrTb"/>
            <w:noWrap w:val="false"/>
          </w:tcPr>
          <w:p>
            <w:pPr>
              <w:pStyle w:val="1044"/>
              <w:ind w:firstLine="0"/>
              <w:jc w:val="left"/>
              <w:keepLines w:val="0"/>
              <w:keepNext w:val="0"/>
              <w:pageBreakBefore w:val="0"/>
              <w:spacing w:line="240" w:lineRule="auto"/>
              <w:widowControl w:val="off"/>
              <w:rPr>
                <w:rFonts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台</w:t>
            </w:r>
            <w:r>
              <w:rPr>
                <w:rFonts w:ascii="Times New Roman" w:hAnsi="Times New Roman" w:eastAsia="宋体" w:cs="宋体"/>
                <w:sz w:val="24"/>
                <w:szCs w:val="20"/>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16</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小型光固化增材制造设备</w:t>
            </w:r>
            <w:r>
              <w:rPr>
                <w:rFonts w:ascii="宋体" w:hAnsi="宋体" w:eastAsia="宋体" w:cs="宋体"/>
                <w:color w:val="000000"/>
                <w:sz w:val="24"/>
                <w:szCs w:val="24"/>
                <w:lang w:val="en-US" w:eastAsia="zh-CN"/>
              </w:rPr>
            </w:r>
            <w:r/>
          </w:p>
        </w:tc>
        <w:tc>
          <w:tcPr>
            <w:tcW w:w="6105" w:type="dxa"/>
            <w:vAlign w:val="center"/>
            <w:textDirection w:val="lrTb"/>
            <w:noWrap w:val="false"/>
          </w:tcPr>
          <w:p>
            <w:pPr>
              <w:pStyle w:val="1044"/>
              <w:jc w:val="left"/>
              <w:keepLines w:val="0"/>
              <w:keepNext w:val="0"/>
              <w:pageBreakBefore w:val="0"/>
              <w:widowControl w:val="off"/>
              <w:rPr>
                <w:rFonts w:ascii="宋体" w:hAnsi="宋体" w:eastAsia="宋体" w:cs="宋体"/>
                <w:b/>
                <w:bCs w:val="0"/>
                <w:sz w:val="24"/>
                <w:szCs w:val="24"/>
                <w:highlight w:val="none"/>
                <w:lang w:bidi="ar"/>
              </w:rPr>
            </w:pPr>
            <w:r>
              <w:rPr>
                <w:rFonts w:hint="eastAsia" w:ascii="宋体" w:hAnsi="宋体" w:eastAsia="宋体" w:cs="宋体"/>
                <w:b/>
                <w:bCs w:val="0"/>
                <w:sz w:val="24"/>
                <w:szCs w:val="24"/>
                <w:highlight w:val="none"/>
                <w:lang w:val="en-US" w:eastAsia="zh-CN" w:bidi="ar"/>
              </w:rPr>
              <w:t xml:space="preserve">一、</w:t>
            </w:r>
            <w:r>
              <w:rPr>
                <w:rFonts w:hint="eastAsia" w:ascii="宋体" w:hAnsi="宋体" w:eastAsia="宋体" w:cs="宋体"/>
                <w:b/>
                <w:bCs w:val="0"/>
                <w:sz w:val="24"/>
                <w:szCs w:val="24"/>
                <w:highlight w:val="none"/>
                <w:lang w:bidi="ar"/>
              </w:rPr>
              <w:t xml:space="preserve">主要参数：</w:t>
            </w:r>
            <w:r>
              <w:rPr>
                <w:rFonts w:ascii="宋体" w:hAnsi="宋体" w:eastAsia="宋体" w:cs="宋体"/>
                <w:b/>
                <w:bCs w:val="0"/>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w:t>
            </w: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 成型范围：300mm*160mm*350mm</w:t>
            </w:r>
            <w:r>
              <w:rPr>
                <w:rFonts w:hint="eastAsia" w:ascii="宋体" w:hAnsi="宋体" w:eastAsia="宋体" w:cs="宋体"/>
                <w:b/>
                <w:bCs w:val="0"/>
                <w:sz w:val="24"/>
                <w:szCs w:val="24"/>
                <w:highlight w:val="none"/>
                <w:lang w:bidi="ar"/>
              </w:rPr>
              <w:t xml:space="preserve">（需提供宣传彩页或功能截图等佐证材料）</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2</w:t>
            </w:r>
            <w:r>
              <w:rPr>
                <w:rFonts w:hint="eastAsia" w:ascii="宋体" w:hAnsi="宋体" w:eastAsia="宋体" w:cs="宋体"/>
                <w:bCs/>
                <w:sz w:val="24"/>
                <w:szCs w:val="24"/>
                <w:highlight w:val="none"/>
                <w:lang w:bidi="ar"/>
              </w:rPr>
              <w:t xml:space="preserve">. 成型速度：2～3S/层（0.05mm）</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3</w:t>
            </w:r>
            <w:r>
              <w:rPr>
                <w:rFonts w:hint="eastAsia" w:ascii="宋体" w:hAnsi="宋体" w:eastAsia="宋体" w:cs="宋体"/>
                <w:bCs/>
                <w:sz w:val="24"/>
                <w:szCs w:val="24"/>
                <w:highlight w:val="none"/>
                <w:lang w:bidi="ar"/>
              </w:rPr>
              <w:t xml:space="preserve">. 成型方式：光固化成型</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4</w:t>
            </w:r>
            <w:r>
              <w:rPr>
                <w:rFonts w:hint="eastAsia" w:ascii="宋体" w:hAnsi="宋体" w:eastAsia="宋体" w:cs="宋体"/>
                <w:bCs/>
                <w:sz w:val="24"/>
                <w:szCs w:val="24"/>
                <w:highlight w:val="none"/>
                <w:lang w:bidi="ar"/>
              </w:rPr>
              <w:t xml:space="preserve">. 加工层厚：0.025mm～0.1mm</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5</w:t>
            </w:r>
            <w:r>
              <w:rPr>
                <w:rFonts w:hint="eastAsia" w:ascii="宋体" w:hAnsi="宋体" w:eastAsia="宋体" w:cs="宋体"/>
                <w:bCs/>
                <w:sz w:val="24"/>
                <w:szCs w:val="24"/>
                <w:highlight w:val="none"/>
                <w:lang w:bidi="ar"/>
              </w:rPr>
              <w:t xml:space="preserve">. 操作系统：Linux</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6</w:t>
            </w:r>
            <w:r>
              <w:rPr>
                <w:rFonts w:hint="eastAsia" w:ascii="宋体" w:hAnsi="宋体" w:eastAsia="宋体" w:cs="宋体"/>
                <w:bCs/>
                <w:sz w:val="24"/>
                <w:szCs w:val="24"/>
                <w:highlight w:val="none"/>
                <w:lang w:bidi="ar"/>
              </w:rPr>
              <w:t xml:space="preserve">. 设备支持：windows7及以上（64位）</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7</w:t>
            </w:r>
            <w:r>
              <w:rPr>
                <w:rFonts w:hint="eastAsia" w:ascii="宋体" w:hAnsi="宋体" w:eastAsia="宋体" w:cs="宋体"/>
                <w:bCs/>
                <w:sz w:val="24"/>
                <w:szCs w:val="24"/>
                <w:highlight w:val="none"/>
                <w:lang w:bidi="ar"/>
              </w:rPr>
              <w:t xml:space="preserve">. 操作方式：触屏操作</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8</w:t>
            </w:r>
            <w:r>
              <w:rPr>
                <w:rFonts w:hint="eastAsia" w:ascii="宋体" w:hAnsi="宋体" w:eastAsia="宋体" w:cs="宋体"/>
                <w:bCs/>
                <w:sz w:val="24"/>
                <w:szCs w:val="24"/>
                <w:highlight w:val="none"/>
                <w:lang w:bidi="ar"/>
              </w:rPr>
              <w:t xml:space="preserve">. 数据格式：STL</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9</w:t>
            </w:r>
            <w:r>
              <w:rPr>
                <w:rFonts w:hint="eastAsia" w:ascii="宋体" w:hAnsi="宋体" w:eastAsia="宋体" w:cs="宋体"/>
                <w:bCs/>
                <w:sz w:val="24"/>
                <w:szCs w:val="24"/>
                <w:highlight w:val="none"/>
                <w:lang w:bidi="ar"/>
              </w:rPr>
              <w:t xml:space="preserve">. 成型材料：刚性树脂（黑、白、灰、透、橙红）ABS树脂（黑、白、灰、透明、透蓝）弹性树脂（黑、白）耐高温树脂（橙红）</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Times New Roman" w:hAnsi="Times New Roman" w:eastAsia="宋体" w:cs="宋体"/>
                <w:color w:val="000000"/>
                <w:sz w:val="24"/>
                <w:szCs w:val="24"/>
                <w:highlight w:val="none"/>
              </w:rPr>
              <w:t xml:space="preserve">▲</w:t>
            </w:r>
            <w:r>
              <w:rPr>
                <w:rFonts w:hint="eastAsia" w:ascii="宋体" w:hAnsi="宋体" w:eastAsia="宋体" w:cs="宋体"/>
                <w:bCs/>
                <w:sz w:val="24"/>
                <w:szCs w:val="24"/>
                <w:highlight w:val="none"/>
                <w:lang w:val="en-US" w:eastAsia="zh-CN" w:bidi="ar"/>
              </w:rPr>
              <w:t xml:space="preserve">10</w:t>
            </w:r>
            <w:r>
              <w:rPr>
                <w:rFonts w:hint="eastAsia" w:ascii="宋体" w:hAnsi="宋体" w:eastAsia="宋体" w:cs="宋体"/>
                <w:bCs/>
                <w:sz w:val="24"/>
                <w:szCs w:val="24"/>
                <w:highlight w:val="none"/>
                <w:lang w:bidi="ar"/>
              </w:rPr>
              <w:t xml:space="preserve">. 成型精度：±0.1mm（L≤100mm）或±0.1% xL（L&gt;100mm）</w:t>
            </w:r>
            <w:r>
              <w:rPr>
                <w:rFonts w:hint="eastAsia" w:ascii="宋体" w:hAnsi="宋体" w:eastAsia="宋体" w:cs="宋体"/>
                <w:b/>
                <w:bCs w:val="0"/>
                <w:sz w:val="24"/>
                <w:szCs w:val="24"/>
                <w:highlight w:val="none"/>
                <w:lang w:bidi="ar"/>
              </w:rPr>
              <w:t xml:space="preserve">（需提供宣传彩页或功能截图等佐证材料）</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11</w:t>
            </w:r>
            <w:r>
              <w:rPr>
                <w:rFonts w:hint="eastAsia" w:ascii="宋体" w:hAnsi="宋体" w:eastAsia="宋体" w:cs="宋体"/>
                <w:bCs/>
                <w:sz w:val="24"/>
                <w:szCs w:val="24"/>
                <w:highlight w:val="none"/>
                <w:lang w:bidi="ar"/>
              </w:rPr>
              <w:t xml:space="preserve">. 分层厚度：0.03mm、 0.05mm、0.1mm</w:t>
            </w:r>
            <w:r>
              <w:rPr>
                <w:rFonts w:ascii="宋体" w:hAnsi="宋体" w:eastAsia="宋体" w:cs="宋体"/>
                <w:bCs/>
                <w:sz w:val="24"/>
                <w:szCs w:val="24"/>
                <w:highlight w:val="none"/>
                <w:lang w:bidi="ar"/>
              </w:rPr>
            </w:r>
            <w:r/>
          </w:p>
          <w:p>
            <w:pPr>
              <w:pStyle w:val="1044"/>
              <w:jc w:val="left"/>
              <w:keepLines w:val="0"/>
              <w:keepNext w:val="0"/>
              <w:pageBreakBefore w:val="0"/>
              <w:widowControl w:val="off"/>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12</w:t>
            </w:r>
            <w:r>
              <w:rPr>
                <w:rFonts w:hint="eastAsia" w:ascii="宋体" w:hAnsi="宋体" w:eastAsia="宋体" w:cs="宋体"/>
                <w:bCs/>
                <w:sz w:val="24"/>
                <w:szCs w:val="24"/>
                <w:highlight w:val="none"/>
                <w:lang w:bidi="ar"/>
              </w:rPr>
              <w:t xml:space="preserve">. 工作面特点： 快拆、防倒流工作台，方便、干净。</w:t>
            </w:r>
            <w:r>
              <w:rPr>
                <w:rFonts w:hint="eastAsia" w:ascii="宋体" w:hAnsi="宋体" w:eastAsia="宋体" w:cs="宋体"/>
                <w:bCs/>
                <w:sz w:val="24"/>
                <w:szCs w:val="24"/>
                <w:highlight w:val="none"/>
                <w:lang w:bidi="ar"/>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Times New Roman" w:hAnsi="Times New Roman" w:eastAsia="宋体" w:cs="宋体"/>
                <w:sz w:val="24"/>
                <w:szCs w:val="20"/>
                <w:highlight w:val="none"/>
                <w:lang w:val="en-US" w:eastAsia="zh-CN"/>
              </w:rPr>
              <w:t xml:space="preserve">▲13.满足江苏省“增材制造设备操作员”职业等级考核平台技术要求。</w:t>
            </w:r>
            <w:r>
              <w:rPr>
                <w:rFonts w:hint="eastAsia" w:ascii="Times New Roman" w:hAnsi="Times New Roman" w:eastAsia="宋体" w:cs="宋体"/>
                <w:b/>
                <w:bCs/>
                <w:sz w:val="24"/>
                <w:szCs w:val="20"/>
                <w:highlight w:val="none"/>
                <w:lang w:val="en-US" w:eastAsia="zh-CN"/>
              </w:rPr>
              <w:t xml:space="preserve">（投标文件中提供加盖投标人公章的承诺函，格式自拟）</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5</w:t>
            </w:r>
            <w:r>
              <w:rPr>
                <w:rFonts w:ascii="Times New Roman" w:hAnsi="Times New Roman" w:eastAsia="宋体" w:cs="宋体"/>
                <w:sz w:val="24"/>
                <w:szCs w:val="20"/>
                <w:highlight w:val="none"/>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台</w:t>
            </w:r>
            <w:r>
              <w:rPr>
                <w:rFonts w:hint="eastAsia" w:ascii="Times New Roman" w:hAnsi="Times New Roman" w:eastAsia="宋体" w:cs="宋体"/>
                <w:sz w:val="24"/>
                <w:szCs w:val="20"/>
                <w:highlight w:val="none"/>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17</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GB" w:eastAsia="zh-CN"/>
              </w:rPr>
            </w:pPr>
            <w:r>
              <w:rPr>
                <w:rFonts w:hint="eastAsia" w:ascii="宋体" w:hAnsi="宋体" w:eastAsia="宋体" w:cs="宋体"/>
                <w:color w:val="000000"/>
                <w:sz w:val="24"/>
                <w:szCs w:val="24"/>
                <w:lang w:val="en-US" w:eastAsia="zh-CN"/>
              </w:rPr>
              <w:t xml:space="preserve">移动智能多媒体实训系统</w:t>
            </w:r>
            <w:r>
              <w:rPr>
                <w:rFonts w:hint="eastAsia" w:ascii="宋体" w:hAnsi="宋体" w:eastAsia="宋体" w:cs="宋体"/>
                <w:color w:val="000000"/>
                <w:sz w:val="24"/>
                <w:szCs w:val="24"/>
                <w:lang w:val="en-GB"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1.整机设计</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（1）整体采用包边设计，表面钢化玻璃在合金边框内，四角圆弧，双重保护，安全抗冲击。</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（2）产品具有两个笔槽设计，分别在底部两端，支持触控笔吸附；具有前置挡板设计,保护前置接口及接入的设备。</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（3）屏幕尺寸≥86英寸，分辨率≥3840×2160，表面采用耐磨、防眩光、防划伤、高安全系数钢化玻璃。</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（4）产品内置摄像头、拾音设备及喇叭，采用防尘设计，功率不低于2x15W。</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（5）具有不少于8个前置物理按键，至少包含电源键、菜单、主页、信号源、音量、OPS，按键具备明显标识；支持电源按键三合一功能，可选择关闭产品、内置电脑、节能等，具有供电保护功能。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（6）产品采用红外多点触控技术，需支持手指轻触式多点（不少于20点触控）互动体验，触摸免驱动，即插即用。</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（7）具有触摸防遮挡功能，触摸屏具有防遮挡功能，触摸接收器在单点或单边遮挡后仍能正常触控书写和操作；触控连续响应无间断，有效识别≤2毫米，触控精准度32768x32768。</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（8）内置无线网络模块，采用全向信号接发设计，支持无线网络连接。</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（9）具有五指熄屏功能，支持五指智能手势识别开关产品背光，操作者可在显示区域任意位置，任意信号下，通过五指按压屏幕实现对屏幕的开关，五指触控实现产品背光的关闭与开启。</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采用智能电子产品一键式设计：同一物理按键完成Android、Windows系统的节能熄屏操作，通过按键实现节能熄屏/唤醒，并可与触摸菜单节能熄屏、遥控器熄屏、五指触控熄屏功能互通互用；产品在任意通道下，支持手势识别调出板擦工具擦除批注内容，支持调整板擦工具的大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（11）产品处于关机通电状态，外接电脑显示信号通过传输线连接至产品时，产品可智能识别外接电脑设备信号输入并自动开机；产品外接信号源时，支持自动跳转到外接信号源通道。</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（12）需支持锁定屏幕触摸，可通过软件菜单（调试菜单）锁定屏幕触摸，锁定应用、锁定USB。</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内置触摸中控菜单，需支持信号源通道切换、背光、声音等，无须实体按键，在任意显示通道下均可通过手势在屏幕上调取触摸菜单，方便快捷；触摸中控菜单上的通道信号源名称需支持自定义，需支持中文、英文、数字、符号命名修改，方便识别。</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（14）产品需支持环境感光功能，能感应并自动调节屏幕亮度来达到在不同光照环境下的最佳显示效果；需支持开启护眼模式。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（15）需支持安卓系统启动后可自动启动内置ops系统，需支持无信号接收状态时能够自动熄屏，自动熄屏的时间间隔可选，支持定时开关机。</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具有触摸悬浮菜单功能，需支持三指罗盘跟随，可通过三指调用此悬浮菜单到屏幕任意位置，悬浮菜单中需支持输入源选择、截屏、下拉等功能，并可自定义功能菜单，需支持任意通道下无需点击物理按键，可随时调用计算器、日历等小工具，支持拖拽及关闭。</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18</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展示柜及增材制造设备摆放桌</w:t>
            </w:r>
            <w:r>
              <w:rPr>
                <w:rFonts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展示柜不少于1台：尺寸不低于1500*300*800mm，结构稳固且具备防尘功能，适应不同尺寸展品。</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增材制造设备摆放桌不少于5台：尺寸不小于1000*500*600mm需选用耐磨、稳固的材料，保证设备稳定运行与布线整洁。整体设计应符合人体工学，便于操作与维护，适用于教学及展览环境使用。</w:t>
            </w:r>
            <w:r>
              <w:rPr>
                <w:rFonts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批</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19</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金相智能检测一体化实训平台</w:t>
            </w:r>
            <w:r>
              <w:rPr>
                <w:rFonts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1.倒置金相显微镜</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1.1观察方式：明场、偏光，视野范围大，分辨率高。</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1.2照明系统：反射科勒照明光学系统。</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1.3光学系统：LIOS无限远消色差校正光学系统。</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▲1.4倍数：50×、100×、200×、500×</w:t>
            </w:r>
            <w:r>
              <w:rPr>
                <w:rFonts w:hint="eastAsia" w:ascii="宋体" w:hAnsi="宋体" w:eastAsia="宋体" w:cs="宋体"/>
                <w:b/>
                <w:bCs w:val="0"/>
                <w:sz w:val="24"/>
                <w:szCs w:val="24"/>
                <w:highlight w:val="none"/>
                <w:lang w:bidi="ar"/>
              </w:rPr>
              <w:t xml:space="preserve">（需提供宣传彩页或功能截图等佐证材料）</w:t>
            </w:r>
            <w:r>
              <w:rPr>
                <w:rFonts w:hint="eastAsia" w:ascii="宋体" w:hAnsi="宋体" w:eastAsia="宋体" w:cs="宋体"/>
                <w:b/>
                <w:bCs w:val="0"/>
                <w:sz w:val="24"/>
                <w:szCs w:val="24"/>
                <w:highlight w:val="none"/>
                <w:lang w:eastAsia="zh-CN" w:bidi="ar"/>
              </w:rPr>
              <w:t xml:space="preserve">。</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1.5配件：数码工业相机。</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▲1.6观察筒类型：三目式，45°倾斜，瞳距调节49-77mm；70%观察，同时30%摄影</w:t>
            </w:r>
            <w:r>
              <w:rPr>
                <w:rFonts w:hint="eastAsia" w:ascii="宋体" w:hAnsi="宋体" w:eastAsia="宋体" w:cs="宋体"/>
                <w:b/>
                <w:bCs w:val="0"/>
                <w:sz w:val="24"/>
                <w:szCs w:val="24"/>
                <w:highlight w:val="none"/>
                <w:lang w:bidi="ar"/>
              </w:rPr>
              <w:t xml:space="preserve">（需提供宣传彩页或功能截图等佐证材料）</w:t>
            </w:r>
            <w:r>
              <w:rPr>
                <w:rFonts w:hint="eastAsia" w:ascii="宋体" w:hAnsi="宋体" w:eastAsia="宋体" w:cs="宋体"/>
                <w:b/>
                <w:bCs w:val="0"/>
                <w:sz w:val="24"/>
                <w:szCs w:val="24"/>
                <w:highlight w:val="none"/>
                <w:lang w:eastAsia="zh-CN" w:bidi="ar"/>
              </w:rPr>
              <w:t xml:space="preserve">。</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▲1.7目镜：10X平场目镜，视场数Φ18mm。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▲1.8物镜：无限远平场消色差金相物镜：5×/10×/20×/50×</w:t>
            </w:r>
            <w:r>
              <w:rPr>
                <w:rFonts w:hint="eastAsia" w:ascii="宋体" w:hAnsi="宋体" w:eastAsia="宋体" w:cs="宋体"/>
                <w:b/>
                <w:bCs w:val="0"/>
                <w:sz w:val="24"/>
                <w:szCs w:val="24"/>
                <w:highlight w:val="none"/>
                <w:lang w:bidi="ar"/>
              </w:rPr>
              <w:t xml:space="preserve">（需提供宣传彩页或功能截图等佐证材料）</w:t>
            </w:r>
            <w:r>
              <w:rPr>
                <w:rFonts w:hint="eastAsia" w:ascii="宋体" w:hAnsi="宋体" w:eastAsia="宋体" w:cs="宋体"/>
                <w:b/>
                <w:bCs w:val="0"/>
                <w:sz w:val="24"/>
                <w:szCs w:val="24"/>
                <w:highlight w:val="none"/>
                <w:lang w:eastAsia="zh-CN" w:bidi="ar"/>
              </w:rPr>
              <w:t xml:space="preserve">。</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1.9物镜转换器：四孔转换器。</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1.10粗微调焦装置：粗微同轴调焦，粗调行程12mm，微调每圈0.2mm，格值2µm，粗调带松紧调节。</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1.11载物台：三层机械移动载物台，面积不小于180*155mm，移动范围不小于75*40mm，游标刻度0.1mm。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1.12光源电气：5W LED，主机安全低压直流输入：5V～12V，≥2A，适配器宽电压输入：100V～240V。</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1.13摄像接口：1×/0.75×/0.5×C-Mount接口。</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2.抛光机</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▲2.1抛盘直径：不小于200mm</w:t>
            </w:r>
            <w:r>
              <w:rPr>
                <w:rFonts w:hint="eastAsia" w:ascii="宋体" w:hAnsi="宋体" w:eastAsia="宋体" w:cs="宋体"/>
                <w:b/>
                <w:bCs w:val="0"/>
                <w:sz w:val="24"/>
                <w:szCs w:val="24"/>
                <w:highlight w:val="none"/>
                <w:lang w:bidi="ar"/>
              </w:rPr>
              <w:t xml:space="preserve">（需提供宣传彩页或功能截图等佐证材料）</w:t>
            </w:r>
            <w:r>
              <w:rPr>
                <w:rFonts w:hint="eastAsia" w:ascii="宋体" w:hAnsi="宋体" w:eastAsia="宋体" w:cs="宋体"/>
                <w:b/>
                <w:bCs w:val="0"/>
                <w:sz w:val="24"/>
                <w:szCs w:val="24"/>
                <w:highlight w:val="none"/>
                <w:lang w:eastAsia="zh-CN" w:bidi="ar"/>
              </w:rPr>
              <w:t xml:space="preserve">。</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2.2转速：无级变速范围350~1400rpm。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2.3电动机：不大于370W。</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2.4功率：不大于0.75kw、220V、50HZ。</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2.5电机可以实现正转和反转切换，自带变频器实现档位调节。</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2.6抛盘平面跳动量不大于0.2mm。</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2.7变频器可以设置频率，运行频率电位器调节频率。</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2.8在运行状态下或者故障可以一键停止或者清除故障功能。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2.9变频器面板可以解锁或者锁定。</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3.金相分析功能</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3.1主要功能：包含图像采集，图像存储、影像增强，图像叠加、图像测量等功能；输出方式包含数据表格方式输出，直方图输出，图像打印输出。</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3.2软件内置专用评级方法及国标标准：</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（1）晶粒度测量评级（晶界提取，晶界重建、单相、双相、晶粒度测量、评级）；</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（2）非金属夹杂物测量、评级（其中包括硫化物、氧化物、硅酸盐等）；</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（3）珠光体、铁素含量测量、评级；球墨铸铁石墨球化率测量评级；</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（4）脱碳层、渗碳层测量，表面涂层厚度测量；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（5）焊缝熔深度测量；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（6）铁素体、奥氏体型不锈钢中相-面积测量；</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（7）高硅铝合金初晶硅与共晶硅分析；</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（8）钛合金材料分析等；</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（9）包含进行比对的近470种常用金属材料的金相图谱，适应绝大多数单位金相分析和检验的要求；</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（10）鉴于新材料和进口牌号材料的不断增加，对于软件中尚未录入的材料及评定标准，可以度身定制和录入；</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（11）示例图谱：（应包含470多种常用金属材料的金相图谱）；</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（12）G18Cr4V淬火后晶粒度、贝氏体含量测定、低碳变形钢珠光体组织、灰铸铁金相-珠光体、灰铸铁金相-石墨分布；</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（13）铸造碳钢金相-显微组织铸造铝硅合金磷变质、灰铸铁过冷石墨含量、铸造铝硅合金过烧、碳钢石墨化评级；</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（14）平均晶粒度测定、渗氮层深度测定疏松检验、马氏体针叶长度评级、石墨球化率评级、工具钢大块碳化物评级；</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4.显微数字图像采集金相分析系统</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图像采集装置：330万有效像素，不小于1/1.8英寸大尺寸低噪声CCD芯片（非CMOS芯片），采用高还原数字多道采集技术以保证拍摄照片的高色彩还原。1394高速数据传输，高速预览，全幅分辨率预览速度不低于30帧/每秒。</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新材料金相检测与分析设备专用工作台：工作台材质为钢木复合，台面防静电板，桌身钢板喷塑；配置不少于9个三相五孔插座，自带开关及过载保护，可满足合计不低于2000W电器运行；工作台自带机箱放置位及储物柜，可通过滚轮移动，滚轮带自锁机构，配置抛磨机槽。</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台</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20</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实训室布线</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室内布线满足设计及使用要求，满足所有硬件设备正常使用；采用国标电线；综合布线满足现场及网络设备需求；采用超5类国标网线。设计方案施工时，充分考虑线路负荷及原结构的保护。</w:t>
            </w:r>
            <w:r>
              <w:rPr>
                <w:rFonts w:hint="eastAsia" w:ascii="宋体" w:hAnsi="宋体" w:eastAsia="宋体" w:cs="宋体"/>
                <w:color w:val="000000"/>
                <w:sz w:val="24"/>
                <w:szCs w:val="24"/>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批</w:t>
            </w:r>
            <w:r>
              <w:rPr>
                <w:rFonts w:ascii="宋体" w:hAnsi="宋体" w:eastAsia="宋体" w:cs="宋体"/>
                <w:color w:val="000000"/>
                <w:sz w:val="24"/>
                <w:szCs w:val="24"/>
                <w:lang w:val="en-US" w:eastAsia="zh-CN"/>
              </w:rPr>
            </w:r>
            <w:r/>
          </w:p>
        </w:tc>
      </w:tr>
      <w:tr>
        <w:trPr>
          <w:trHeight w:val="476"/>
        </w:trPr>
        <w:tc>
          <w:tcPr>
            <w:tcW w:w="456" w:type="dxa"/>
            <w:vAlign w:val="center"/>
            <w:textDirection w:val="lrTb"/>
            <w:noWrap w:val="false"/>
          </w:tcPr>
          <w:p>
            <w:pPr>
              <w:pStyle w:val="1044"/>
              <w:numPr>
                <w:ilvl w:val="0"/>
                <w:numId w:val="0"/>
              </w:numPr>
              <w:ind w:right="0"/>
              <w:jc w:val="center"/>
              <w:keepLines w:val="0"/>
              <w:keepNext w:val="0"/>
              <w:pageBreakBefore w:val="0"/>
              <w:spacing w:line="240" w:lineRule="auto"/>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21</w:t>
            </w:r>
            <w:r>
              <w:rPr>
                <w:rFonts w:ascii="宋体" w:hAnsi="宋体" w:eastAsia="宋体" w:cs="宋体"/>
                <w:i w:val="0"/>
                <w:color w:val="000000"/>
                <w:sz w:val="24"/>
                <w:szCs w:val="24"/>
                <w:u w:val="none"/>
                <w:lang w:val="en-US" w:eastAsia="zh-CN" w:bidi="ar"/>
              </w:rPr>
            </w:r>
            <w:r/>
          </w:p>
        </w:tc>
        <w:tc>
          <w:tcPr>
            <w:tcW w:w="696"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实训室文化</w:t>
            </w:r>
            <w:r>
              <w:rPr>
                <w:rFonts w:hint="eastAsia" w:ascii="宋体" w:hAnsi="宋体" w:eastAsia="宋体" w:cs="宋体"/>
                <w:color w:val="000000"/>
                <w:sz w:val="24"/>
                <w:szCs w:val="24"/>
                <w:lang w:val="en-US" w:eastAsia="zh-CN"/>
              </w:rPr>
            </w:r>
            <w:r/>
          </w:p>
        </w:tc>
        <w:tc>
          <w:tcPr>
            <w:tcW w:w="6105"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专业文化建设</w:t>
            </w:r>
            <w:r>
              <w:rPr>
                <w:rFonts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1.工作量：文化墙制作，采用亚克力或KT板制作。</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2.内容：文案撰写、平面及3D设计均须体现技能大赛、增材制造、零部件测绘、创客实践、实训课程等主题，按照室内墙面设计。</w:t>
            </w:r>
            <w:r>
              <w:rPr>
                <w:rFonts w:hint="eastAsia" w:ascii="宋体" w:hAnsi="宋体" w:eastAsia="宋体" w:cs="宋体"/>
                <w:color w:val="000000"/>
                <w:sz w:val="24"/>
                <w:szCs w:val="24"/>
                <w:lang w:val="en-US" w:eastAsia="zh-CN"/>
              </w:rPr>
            </w:r>
            <w:r/>
          </w:p>
          <w:p>
            <w:pPr>
              <w:pStyle w:val="1044"/>
              <w:ind w:left="0" w:right="0"/>
              <w:jc w:val="left"/>
              <w:keepLines w:val="0"/>
              <w:keepNext w:val="0"/>
              <w:pageBreakBefore w:val="0"/>
              <w:spacing w:line="240" w:lineRule="auto"/>
              <w:widowControl w:val="off"/>
              <w:rPr>
                <w:rFonts w:ascii="Times New Roman" w:hAnsi="Times New Roman" w:eastAsia="宋体" w:cs="Times New Roman"/>
                <w:szCs w:val="21"/>
                <w:lang w:val="en-US" w:eastAsia="zh-CN"/>
              </w:rPr>
            </w:pPr>
            <w:r>
              <w:rPr>
                <w:rFonts w:hint="eastAsia" w:ascii="宋体" w:hAnsi="宋体" w:eastAsia="宋体" w:cs="宋体"/>
                <w:color w:val="000000"/>
                <w:sz w:val="24"/>
                <w:szCs w:val="24"/>
                <w:lang w:val="en-US" w:eastAsia="zh-CN"/>
              </w:rPr>
              <w:t xml:space="preserve">3.工艺：工艺需环保、绿色，</w:t>
            </w:r>
            <w:r>
              <w:rPr>
                <w:rFonts w:hint="eastAsia" w:ascii="宋体" w:hAnsi="宋体" w:eastAsia="宋体" w:cs="宋体"/>
                <w:color w:val="000000"/>
                <w:sz w:val="24"/>
                <w:szCs w:val="24"/>
                <w:highlight w:val="none"/>
                <w:lang w:val="en-US" w:eastAsia="zh-CN"/>
              </w:rPr>
              <w:t xml:space="preserve">文案须经招标人审定。</w:t>
            </w:r>
            <w:r>
              <w:rPr>
                <w:rFonts w:ascii="Times New Roman" w:hAnsi="Times New Roman" w:eastAsia="宋体" w:cs="Times New Roman"/>
                <w:szCs w:val="21"/>
                <w:lang w:val="en-US" w:eastAsia="zh-CN"/>
              </w:rPr>
            </w:r>
            <w:r/>
          </w:p>
        </w:tc>
        <w:tc>
          <w:tcPr>
            <w:tcW w:w="660"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611" w:type="dxa"/>
            <w:vAlign w:val="center"/>
            <w:textDirection w:val="lrTb"/>
            <w:noWrap w:val="false"/>
          </w:tcPr>
          <w:p>
            <w:pPr>
              <w:pStyle w:val="1044"/>
              <w:ind w:left="0" w:right="0"/>
              <w:jc w:val="left"/>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批</w:t>
            </w:r>
            <w:r>
              <w:rPr>
                <w:rFonts w:ascii="宋体" w:hAnsi="宋体" w:eastAsia="宋体" w:cs="宋体"/>
                <w:color w:val="000000"/>
                <w:sz w:val="24"/>
                <w:szCs w:val="24"/>
                <w:lang w:val="en-US" w:eastAsia="zh-CN"/>
              </w:rPr>
            </w:r>
            <w:r/>
          </w:p>
        </w:tc>
      </w:tr>
    </w:tbl>
    <w:p>
      <w:pPr>
        <w:pStyle w:val="1044"/>
        <w:jc w:val="left"/>
        <w:spacing w:line="560" w:lineRule="exact"/>
        <w:rPr>
          <w:rFonts w:hint="eastAsia" w:ascii="仿宋_GB2312" w:hAnsi="仿宋" w:eastAsia="仿宋_GB2312" w:cs="Times New Roman"/>
          <w:sz w:val="32"/>
          <w:szCs w:val="32"/>
          <w:lang w:val="en-US" w:eastAsia="zh-CN"/>
        </w:rPr>
      </w:pPr>
      <w:r>
        <w:rPr>
          <w:rFonts w:hint="eastAsia" w:ascii="仿宋_GB2312" w:hAnsi="仿宋" w:eastAsia="仿宋_GB2312" w:cs="Times New Roman"/>
          <w:sz w:val="32"/>
          <w:szCs w:val="32"/>
          <w:lang w:val="en-US" w:eastAsia="zh-CN"/>
        </w:rPr>
        <w:t xml:space="preserve">（2）采购清单及技术参数要求(</w:t>
      </w:r>
      <w:r>
        <w:rPr>
          <w:rFonts w:hint="eastAsia" w:ascii="仿宋_GB2312" w:hAnsi="仿宋" w:eastAsia="仿宋_GB2312" w:cs="Times New Roman"/>
          <w:sz w:val="32"/>
          <w:szCs w:val="32"/>
        </w:rPr>
        <w:t xml:space="preserve">智能制造实训基地采购</w:t>
      </w:r>
      <w:r>
        <w:rPr>
          <w:rFonts w:hint="eastAsia" w:ascii="仿宋_GB2312" w:hAnsi="仿宋" w:eastAsia="仿宋_GB2312" w:cs="Times New Roman"/>
          <w:sz w:val="32"/>
          <w:szCs w:val="32"/>
          <w:lang w:val="en-US" w:eastAsia="zh-CN"/>
        </w:rPr>
        <w:t xml:space="preserve">)</w:t>
      </w:r>
      <w:r>
        <w:rPr>
          <w:rFonts w:hint="eastAsia" w:ascii="仿宋_GB2312" w:hAnsi="仿宋" w:eastAsia="仿宋_GB2312" w:cs="Times New Roman"/>
          <w:sz w:val="32"/>
          <w:szCs w:val="32"/>
          <w:lang w:val="en-US" w:eastAsia="zh-CN"/>
        </w:rPr>
      </w:r>
      <w:r/>
    </w:p>
    <w:tbl>
      <w:tblPr>
        <w:tblW w:w="0" w:type="auto"/>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1" w:type="dxa"/>
          <w:top w:w="15" w:type="dxa"/>
          <w:right w:w="101" w:type="dxa"/>
          <w:bottom w:w="0" w:type="dxa"/>
        </w:tblCellMar>
        <w:tblLook w:val="04A0" w:firstRow="1" w:lastRow="0" w:firstColumn="1" w:lastColumn="0" w:noHBand="0" w:noVBand="1"/>
      </w:tblPr>
      <w:tblGrid>
        <w:gridCol w:w="443"/>
        <w:gridCol w:w="682"/>
        <w:gridCol w:w="6155"/>
        <w:gridCol w:w="615"/>
        <w:gridCol w:w="619"/>
      </w:tblGrid>
      <w:tr>
        <w:trPr>
          <w:trHeight w:val="358"/>
        </w:trPr>
        <w:tc>
          <w:tcPr>
            <w:tcMar>
              <w:left w:w="101" w:type="dxa"/>
              <w:top w:w="15" w:type="dxa"/>
              <w:right w:w="101" w:type="dxa"/>
              <w:bottom w:w="0" w:type="dxa"/>
            </w:tcMar>
            <w:tcW w:w="443"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b/>
                <w:bCs/>
                <w:color w:val="000000"/>
                <w:sz w:val="24"/>
                <w:szCs w:val="24"/>
              </w:rPr>
            </w:r>
            <w:r/>
          </w:p>
        </w:tc>
        <w:tc>
          <w:tcPr>
            <w:tcMar>
              <w:left w:w="101" w:type="dxa"/>
              <w:top w:w="15" w:type="dxa"/>
              <w:right w:w="101" w:type="dxa"/>
              <w:bottom w:w="0" w:type="dxa"/>
            </w:tcMar>
            <w:tcW w:w="682" w:type="dxa"/>
            <w:vAlign w:val="center"/>
            <w:textDirection w:val="lrTb"/>
            <w:noWrap w:val="false"/>
          </w:tcPr>
          <w:p>
            <w:pPr>
              <w:pStyle w:val="1044"/>
              <w:ind w:left="0" w:right="0"/>
              <w:jc w:val="center"/>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设备名称</w:t>
            </w:r>
            <w:r>
              <w:rPr>
                <w:rFonts w:hint="eastAsia" w:ascii="宋体" w:hAnsi="宋体" w:eastAsia="宋体" w:cs="宋体"/>
                <w:b/>
                <w:bCs/>
                <w:color w:val="000000"/>
                <w:sz w:val="24"/>
                <w:szCs w:val="24"/>
              </w:rPr>
            </w:r>
            <w:r/>
          </w:p>
        </w:tc>
        <w:tc>
          <w:tcPr>
            <w:tcMar>
              <w:left w:w="101" w:type="dxa"/>
              <w:top w:w="15" w:type="dxa"/>
              <w:right w:w="101" w:type="dxa"/>
              <w:bottom w:w="0" w:type="dxa"/>
            </w:tcMar>
            <w:tcW w:w="6155"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具体技术（参数）要求</w:t>
            </w:r>
            <w:r>
              <w:rPr>
                <w:rFonts w:hint="eastAsia" w:ascii="宋体" w:hAnsi="宋体" w:eastAsia="宋体" w:cs="宋体"/>
                <w:b/>
                <w:bCs/>
                <w:color w:val="000000"/>
                <w:sz w:val="24"/>
                <w:szCs w:val="24"/>
              </w:rPr>
            </w:r>
            <w:r/>
          </w:p>
        </w:tc>
        <w:tc>
          <w:tcPr>
            <w:tcMar>
              <w:left w:w="101" w:type="dxa"/>
              <w:top w:w="15" w:type="dxa"/>
              <w:right w:w="101" w:type="dxa"/>
              <w:bottom w:w="0" w:type="dxa"/>
            </w:tcMar>
            <w:tcW w:w="615"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b/>
                <w:bCs/>
                <w:color w:val="000000"/>
                <w:sz w:val="24"/>
                <w:szCs w:val="24"/>
              </w:rPr>
            </w:r>
            <w:r/>
          </w:p>
        </w:tc>
        <w:tc>
          <w:tcPr>
            <w:tcMar>
              <w:left w:w="101" w:type="dxa"/>
              <w:top w:w="15" w:type="dxa"/>
              <w:right w:w="101" w:type="dxa"/>
              <w:bottom w:w="0" w:type="dxa"/>
            </w:tcMar>
            <w:tcW w:w="619" w:type="dxa"/>
            <w:vAlign w:val="center"/>
            <w:textDirection w:val="lrTb"/>
            <w:noWrap w:val="false"/>
          </w:tcPr>
          <w:p>
            <w:pPr>
              <w:pStyle w:val="1044"/>
              <w:ind w:left="0" w:right="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b/>
                <w:bCs/>
                <w:color w:val="000000"/>
                <w:sz w:val="24"/>
                <w:szCs w:val="24"/>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智能仓储系统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智能仓储系统由立体仓库货架、巷道式堆垛机、工装板及</w:t>
            </w:r>
            <w:r>
              <w:rPr>
                <w:rFonts w:hint="eastAsia" w:ascii="宋体" w:hAnsi="宋体" w:eastAsia="宋体" w:cs="宋体"/>
                <w:i w:val="0"/>
                <w:iCs w:val="0"/>
                <w:caps w:val="0"/>
                <w:color w:val="0f1115"/>
                <w:spacing w:val="0"/>
                <w:sz w:val="24"/>
                <w:szCs w:val="24"/>
                <w:shd w:val="clear" w:color="auto" w:fill="ffffff"/>
                <w:lang w:val="en-US" w:eastAsia="zh-CN"/>
              </w:rPr>
              <w:t xml:space="preserve">WMS</w:t>
            </w:r>
            <w:r>
              <w:rPr>
                <w:rFonts w:hint="eastAsia" w:ascii="宋体" w:hAnsi="宋体" w:eastAsia="宋体" w:cs="宋体"/>
                <w:i w:val="0"/>
                <w:iCs w:val="0"/>
                <w:caps w:val="0"/>
                <w:color w:val="0f1115"/>
                <w:spacing w:val="0"/>
                <w:sz w:val="24"/>
                <w:szCs w:val="24"/>
                <w:shd w:val="clear" w:color="auto" w:fill="ffffff"/>
              </w:rPr>
              <w:t xml:space="preserve">智能仓储管理系统构成，配备精密堆垛机与全功能WMS软件，实现仓储状态可视化、托盘与货物分类管理、设备监控调试及数据本地存储，支持远程网络控制与外部系统无缝对接。</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1.立体仓库货架</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单排多层，中间配置巷道式堆垛机货架；</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全铝合金型材框架，烤漆工艺；</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设置仓位：5列，每列4层，共计20个货架宫格；</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仓位负载：≥20kg；</w:t>
            </w:r>
            <w:r>
              <w:rPr>
                <w:rFonts w:hint="eastAsia" w:ascii="宋体" w:hAnsi="宋体" w:eastAsia="宋体" w:cs="宋体"/>
                <w:sz w:val="24"/>
                <w:szCs w:val="24"/>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配套20个工件毛坯。</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5"/>
                <w:sz w:val="24"/>
                <w:szCs w:val="24"/>
              </w:rPr>
              <w:t xml:space="preserve">巷道式堆垛机</w:t>
            </w:r>
            <w:r>
              <w:rPr>
                <w:rFonts w:hint="eastAsia" w:ascii="宋体" w:hAnsi="宋体" w:eastAsia="宋体" w:cs="宋体"/>
                <w:sz w:val="24"/>
                <w:szCs w:val="24"/>
                <w:lang w:val="en-US" w:eastAsia="zh-CN"/>
              </w:rPr>
            </w:r>
            <w:r/>
          </w:p>
          <w:p>
            <w:pPr>
              <w:pStyle w:val="1044"/>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配置天轨以及地轨，稳定性铝合金框架，XYZ堆垛机结构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伺服电机驱动，配置运动控制系统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托盘尺寸（长宽）：≤400mmX400mm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可调节的三级货叉结构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堆垛机精度：≤0.1mm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定位传感器，并配置正反限位开关。</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3.工装板</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工装板尺寸：≥400*400*20mm（根据现场定制）</w:t>
            </w:r>
            <w:r>
              <w:rPr>
                <w:rFonts w:hint="eastAsia" w:ascii="宋体" w:hAnsi="宋体" w:eastAsia="宋体" w:cs="宋体"/>
                <w:sz w:val="24"/>
                <w:szCs w:val="24"/>
                <w:lang w:val="en-US" w:eastAsia="zh-CN"/>
              </w:rPr>
            </w:r>
            <w:r/>
          </w:p>
          <w:p>
            <w:pPr>
              <w:pStyle w:val="1044"/>
              <w:numPr>
                <w:ilvl w:val="0"/>
                <w:numId w:val="0"/>
              </w:num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4.WMS</w:t>
            </w:r>
            <w:r>
              <w:rPr>
                <w:rFonts w:hint="eastAsia" w:ascii="宋体" w:hAnsi="宋体" w:eastAsia="宋体" w:cs="宋体"/>
                <w:sz w:val="24"/>
                <w:szCs w:val="24"/>
              </w:rPr>
              <w:t xml:space="preserve">智能仓储</w:t>
            </w:r>
            <w:r>
              <w:rPr>
                <w:rFonts w:hint="eastAsia" w:ascii="宋体" w:hAnsi="宋体" w:eastAsia="宋体" w:cs="宋体"/>
                <w:sz w:val="24"/>
                <w:szCs w:val="24"/>
                <w:lang w:val="en-US" w:eastAsia="zh-CN"/>
              </w:rPr>
              <w:t xml:space="preserve">管理</w:t>
            </w:r>
            <w:r>
              <w:rPr>
                <w:rFonts w:hint="eastAsia" w:ascii="宋体" w:hAnsi="宋体" w:eastAsia="宋体" w:cs="宋体"/>
                <w:sz w:val="24"/>
                <w:szCs w:val="24"/>
              </w:rPr>
              <w:t xml:space="preserve">系统</w:t>
            </w:r>
            <w:r>
              <w:rPr>
                <w:rFonts w:hint="eastAsia" w:ascii="宋体" w:hAnsi="宋体" w:eastAsia="宋体" w:cs="宋体"/>
                <w:sz w:val="24"/>
                <w:szCs w:val="24"/>
                <w:lang w:val="en-US" w:eastAsia="zh-CN"/>
              </w:rPr>
            </w:r>
            <w:r/>
          </w:p>
          <w:p>
            <w:pPr>
              <w:pStyle w:val="1044"/>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WMS 软件采用前后端分离技术，前端采用V</w:t>
            </w:r>
            <w:r>
              <w:rPr>
                <w:rFonts w:hint="eastAsia" w:ascii="宋体" w:hAnsi="宋体" w:eastAsia="宋体" w:cs="宋体"/>
                <w:sz w:val="24"/>
                <w:szCs w:val="24"/>
                <w:highlight w:val="none"/>
                <w:lang w:val="en-US" w:eastAsia="zh-CN"/>
              </w:rPr>
              <w:t xml:space="preserve">ue</w:t>
            </w:r>
            <w:r>
              <w:rPr>
                <w:rFonts w:hint="eastAsia" w:ascii="宋体" w:hAnsi="宋体" w:eastAsia="宋体" w:cs="宋体"/>
                <w:sz w:val="24"/>
                <w:szCs w:val="24"/>
                <w:highlight w:val="none"/>
              </w:rPr>
              <w:t xml:space="preserve"> + Element UI架构，实现界面的美观和交互性，后端采用Spring Boot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Spring Data JPA Boot，稳定支持业务逻辑和数据交互。</w:t>
            </w:r>
            <w:r>
              <w:rPr>
                <w:rFonts w:hint="eastAsia" w:ascii="宋体" w:hAnsi="宋体" w:eastAsia="宋体" w:cs="宋体"/>
                <w:sz w:val="24"/>
                <w:szCs w:val="24"/>
                <w:highlight w:val="none"/>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通过网页登录，登录时候需要输入用户名和密码。</w:t>
            </w:r>
            <w:r>
              <w:rPr>
                <w:rFonts w:hint="eastAsia" w:ascii="宋体" w:hAnsi="宋体" w:eastAsia="宋体" w:cs="宋体"/>
                <w:sz w:val="24"/>
                <w:szCs w:val="24"/>
              </w:rPr>
            </w:r>
            <w:r/>
          </w:p>
          <w:p>
            <w:pPr>
              <w:pStyle w:val="1044"/>
              <w:jc w:val="both"/>
              <w:spacing w:line="360" w:lineRule="auto"/>
              <w:widowControl/>
              <w:rPr>
                <w:rFonts w:hint="eastAsia" w:ascii="宋体" w:hAnsi="宋体" w:eastAsia="宋体" w:cs="宋体"/>
                <w:bCs/>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仓库状态功能：宫格化管理每一个库位，通过颜色不同显示是否有料，点击对应库位，显示具体信息，数据包括：位置、仓库、行、列、托盘状态、托盘编码、物料编码、物料状态、备注；可手动入库操作、自动记录仓储数据。</w:t>
            </w:r>
            <w:r>
              <w:rPr>
                <w:rFonts w:hint="eastAsia" w:ascii="宋体" w:hAnsi="宋体" w:eastAsia="宋体" w:cs="宋体"/>
                <w:bCs/>
                <w:sz w:val="24"/>
                <w:szCs w:val="24"/>
              </w:rPr>
              <w:t xml:space="preserve">（投标文件中提供软件功能截图）</w:t>
            </w:r>
            <w:r>
              <w:rPr>
                <w:rFonts w:hint="eastAsia" w:ascii="宋体" w:hAnsi="宋体" w:eastAsia="宋体" w:cs="宋体"/>
                <w:bCs/>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托盘分类功能：显示托盘信息，具体包括：序号、托盘编码、托盘名称、二维码、行、列、编辑和删除；可以新加托盘。</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货物分类功能：显示货物信息，具体包括：序号、货物编号、货物名称、二维码、物料状态、数量、位置分布、编辑和删除；可以新加货物。</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设备状态功能：显示当前设备状态信息，具体包括：设备状态、操作的行列、仓库、工作模式。</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设备调试功能：手动选择行列，进行出入库处理，线体调试。</w:t>
            </w:r>
            <w:r>
              <w:rPr>
                <w:rFonts w:hint="eastAsia" w:ascii="宋体" w:hAnsi="宋体" w:eastAsia="宋体" w:cs="宋体"/>
                <w:sz w:val="24"/>
                <w:szCs w:val="24"/>
                <w:lang w:val="en-US" w:eastAsia="zh-CN"/>
              </w:rPr>
            </w:r>
            <w:r/>
          </w:p>
          <w:p>
            <w:pPr>
              <w:pStyle w:val="1044"/>
              <w:jc w:val="both"/>
              <w:spacing w:line="360" w:lineRule="auto"/>
              <w:widowControl/>
              <w:rPr>
                <w:rFonts w:hint="eastAsia" w:ascii="宋体" w:hAnsi="宋体" w:eastAsia="宋体" w:cs="宋体"/>
                <w:bCs/>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系统日志显示功能：显示系统出入库操作，数据包括：时间、出入库是否成功、出入库位置，托盘编码、物料编码等信息。</w:t>
            </w:r>
            <w:r>
              <w:rPr>
                <w:rFonts w:hint="eastAsia" w:ascii="宋体" w:hAnsi="宋体" w:eastAsia="宋体" w:cs="宋体"/>
                <w:bCs/>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网络设置功能：设置MES、堆垛机IP地址，通过MODBUS TCP通讯。</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仓库数据本地存储，支持外部访问，支持MES、堆垛机无缝对接。</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支持本地控制模式及远程控制模式，支持网络控制和本地端自主控制。</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jc w:val="both"/>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jc w:val="both"/>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ascii="宋体" w:hAnsi="宋体" w:eastAsia="宋体" w:cs="宋体"/>
                <w:sz w:val="24"/>
                <w:szCs w:val="24"/>
                <w:lang w:val="en-US"/>
              </w:rPr>
            </w:pPr>
            <w:r>
              <w:rPr>
                <w:rFonts w:hint="eastAsia" w:ascii="宋体" w:hAnsi="宋体" w:eastAsia="宋体" w:cs="宋体"/>
                <w:color w:val="000000"/>
                <w:sz w:val="24"/>
                <w:szCs w:val="24"/>
              </w:rPr>
              <w:t xml:space="preserve">数控铣</w:t>
            </w:r>
            <w:r>
              <w:rPr>
                <w:rFonts w:hint="eastAsia" w:ascii="宋体" w:hAnsi="宋体" w:eastAsia="宋体" w:cs="宋体"/>
                <w:color w:val="000000"/>
                <w:sz w:val="24"/>
                <w:szCs w:val="24"/>
                <w:lang w:val="en-US" w:eastAsia="zh-CN"/>
              </w:rPr>
              <w:t xml:space="preserve">床单元</w:t>
            </w:r>
            <w:r>
              <w:rPr>
                <w:rFonts w:ascii="宋体" w:hAnsi="宋体" w:eastAsia="宋体" w:cs="宋体"/>
                <w:sz w:val="24"/>
                <w:szCs w:val="24"/>
                <w:lang w:val="en-US"/>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1.数控</w:t>
            </w:r>
            <w:r>
              <w:rPr>
                <w:rFonts w:hint="eastAsia" w:ascii="宋体" w:hAnsi="宋体" w:eastAsia="宋体" w:cs="宋体"/>
                <w:sz w:val="24"/>
                <w:szCs w:val="24"/>
                <w:lang w:val="en-US" w:eastAsia="zh-CN"/>
              </w:rPr>
              <w:t xml:space="preserve">铣床</w:t>
            </w:r>
            <w:r>
              <w:rPr>
                <w:rFonts w:hint="eastAsia" w:ascii="宋体" w:hAnsi="宋体" w:eastAsia="宋体" w:cs="宋体"/>
                <w:sz w:val="24"/>
                <w:szCs w:val="24"/>
                <w:lang w:val="en-US" w:eastAsia="zh-CN"/>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（1）X轴行程（工作台左右移动）：≥620mm；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（2）Y轴行程（工作台前后移动）：≥520mm；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（3）Z轴行程（主轴箱上下移动）：≥520mm；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（4）主轴鼻端至工作台面距离：120～640mm；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（5）主轴中心至立柱滑轨面距离：≥540mm；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（6）工作台尺寸：≥800×500mm；</w:t>
            </w:r>
            <w:r>
              <w:rPr>
                <w:rFonts w:hint="eastAsia" w:ascii="宋体" w:hAnsi="宋体" w:eastAsia="宋体" w:cs="宋体"/>
                <w:sz w:val="24"/>
                <w:szCs w:val="24"/>
              </w:rPr>
            </w:r>
            <w:r/>
          </w:p>
          <w:p>
            <w:pPr>
              <w:pStyle w:val="1044"/>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数控系统：FANUC、西门子、法格或同等级别及以上的数控系统</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）工作台最大载重：≥500kg；</w:t>
            </w:r>
            <w:r>
              <w:rPr>
                <w:rFonts w:hint="eastAsia" w:ascii="宋体" w:hAnsi="宋体" w:eastAsia="宋体" w:cs="宋体"/>
                <w:sz w:val="24"/>
                <w:szCs w:val="24"/>
              </w:rPr>
            </w:r>
            <w:r/>
          </w:p>
          <w:p>
            <w:pPr>
              <w:pStyle w:val="1044"/>
              <w:jc w:val="left"/>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）T型槽尺寸（槽宽×槽距×槽数）：18×130×3mm</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）主轴转速：100～10000rpm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）主轴锥度：ISO 40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）快速进给速度（X/Y/Z）m/min：≥ 30 / 30 /30；</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）切削进给速度（X/Y/Z）mm/min：1～15000；</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）刀柄形式：BT 40</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）主电机功率：≥7.5/11kw</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）X/Y/Z轴进给电机功率：≥2.1/2.4/2.2kw</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）切削冷却液电机功率：≥1.03kw</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）气压需求：≥6kg/cm2</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）所需电源容量：≥20kva</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）机床尺寸：≥2320×2310×2700mm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）机床重量：≥4200kg</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）定位精度（ISO 230-2）：≤0.01/全长mm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）重复定位精度（ISO230-2）：≤0.008mm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2.数控</w:t>
            </w:r>
            <w:r>
              <w:rPr>
                <w:rFonts w:hint="eastAsia" w:ascii="宋体" w:hAnsi="宋体" w:eastAsia="宋体" w:cs="宋体"/>
                <w:sz w:val="24"/>
                <w:szCs w:val="24"/>
                <w:lang w:val="en-US" w:eastAsia="zh-CN"/>
              </w:rPr>
              <w:t xml:space="preserve">铣</w:t>
            </w:r>
            <w:r>
              <w:rPr>
                <w:rFonts w:hint="eastAsia" w:ascii="宋体" w:hAnsi="宋体" w:eastAsia="宋体" w:cs="宋体"/>
                <w:sz w:val="24"/>
                <w:szCs w:val="24"/>
              </w:rPr>
              <w:t xml:space="preserve">自动化改造</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（1）对数控</w:t>
            </w:r>
            <w:r>
              <w:rPr>
                <w:rFonts w:hint="eastAsia" w:ascii="宋体" w:hAnsi="宋体" w:eastAsia="宋体" w:cs="宋体"/>
                <w:sz w:val="24"/>
                <w:szCs w:val="24"/>
                <w:lang w:val="en-US" w:eastAsia="zh-CN"/>
              </w:rPr>
              <w:t xml:space="preserve">铣</w:t>
            </w:r>
            <w:r>
              <w:rPr>
                <w:rFonts w:hint="eastAsia" w:ascii="宋体" w:hAnsi="宋体" w:eastAsia="宋体" w:cs="宋体"/>
                <w:sz w:val="24"/>
                <w:szCs w:val="24"/>
              </w:rPr>
              <w:t xml:space="preserve">进行改造，改造后可以正常使用；</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（2）增加数控</w:t>
            </w:r>
            <w:r>
              <w:rPr>
                <w:rFonts w:hint="eastAsia" w:ascii="宋体" w:hAnsi="宋体" w:eastAsia="宋体" w:cs="宋体"/>
                <w:sz w:val="24"/>
                <w:szCs w:val="24"/>
                <w:lang w:val="en-US" w:eastAsia="zh-CN"/>
              </w:rPr>
              <w:t xml:space="preserve">铣</w:t>
            </w:r>
            <w:r>
              <w:rPr>
                <w:rFonts w:hint="eastAsia" w:ascii="宋体" w:hAnsi="宋体" w:eastAsia="宋体" w:cs="宋体"/>
                <w:sz w:val="24"/>
                <w:szCs w:val="24"/>
              </w:rPr>
              <w:t xml:space="preserve">自动开关门，可以配合机器人上下料使用；</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（3）对数控</w:t>
            </w:r>
            <w:r>
              <w:rPr>
                <w:rFonts w:hint="eastAsia" w:ascii="宋体" w:hAnsi="宋体" w:eastAsia="宋体" w:cs="宋体"/>
                <w:sz w:val="24"/>
                <w:szCs w:val="24"/>
                <w:lang w:val="en-US" w:eastAsia="zh-CN"/>
              </w:rPr>
              <w:t xml:space="preserve">铣</w:t>
            </w:r>
            <w:r>
              <w:rPr>
                <w:rFonts w:hint="eastAsia" w:ascii="宋体" w:hAnsi="宋体" w:eastAsia="宋体" w:cs="宋体"/>
                <w:sz w:val="24"/>
                <w:szCs w:val="24"/>
              </w:rPr>
              <w:t xml:space="preserve">控制系统进行改造，改造后MES系统可以读取数控加工中心数据；</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（4）开放相关通讯接口，包括但不仅限于机床循环启动、报警、急停、暂停等信号的输入与输出接口</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（5）对数控铣床进行夹具设计，要求具有以下功能：</w:t>
            </w:r>
            <w:r>
              <w:rPr>
                <w:rFonts w:hint="eastAsia" w:ascii="宋体" w:hAnsi="宋体" w:eastAsia="宋体" w:cs="宋体"/>
                <w:sz w:val="24"/>
                <w:szCs w:val="24"/>
              </w:rPr>
            </w:r>
            <w:r/>
          </w:p>
          <w:p>
            <w:pPr>
              <w:pStyle w:val="1044"/>
              <w:numPr>
                <w:ilvl w:val="0"/>
                <w:numId w:val="12"/>
              </w:numPr>
              <w:ind w:left="0" w:firstLine="40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具有自动夹紧加工件的</w:t>
            </w:r>
            <w:r>
              <w:rPr>
                <w:rFonts w:hint="eastAsia" w:ascii="宋体" w:hAnsi="宋体" w:eastAsia="宋体" w:cs="宋体"/>
                <w:color w:val="000000"/>
                <w:sz w:val="24"/>
                <w:szCs w:val="24"/>
              </w:rPr>
              <w:t xml:space="preserve">功能，夹紧牢固可靠；</w:t>
            </w:r>
            <w:r>
              <w:rPr>
                <w:rFonts w:hint="eastAsia" w:ascii="宋体" w:hAnsi="宋体" w:eastAsia="宋体" w:cs="宋体"/>
                <w:color w:val="000000"/>
                <w:sz w:val="24"/>
                <w:szCs w:val="24"/>
              </w:rPr>
            </w:r>
            <w:r/>
          </w:p>
          <w:p>
            <w:pPr>
              <w:pStyle w:val="1044"/>
              <w:numPr>
                <w:ilvl w:val="0"/>
                <w:numId w:val="12"/>
              </w:numPr>
              <w:ind w:left="0" w:firstLine="4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具有物料传感器，是否夹紧物</w:t>
            </w:r>
            <w:r>
              <w:rPr>
                <w:rFonts w:hint="eastAsia" w:ascii="宋体" w:hAnsi="宋体" w:eastAsia="宋体" w:cs="宋体"/>
                <w:sz w:val="24"/>
                <w:szCs w:val="24"/>
              </w:rPr>
              <w:t xml:space="preserve">料信号输出；</w:t>
            </w:r>
            <w:r>
              <w:rPr>
                <w:rFonts w:hint="eastAsia" w:ascii="宋体" w:hAnsi="宋体" w:eastAsia="宋体" w:cs="宋体"/>
                <w:sz w:val="24"/>
                <w:szCs w:val="24"/>
              </w:rPr>
            </w:r>
            <w:r/>
          </w:p>
          <w:p>
            <w:pPr>
              <w:pStyle w:val="1044"/>
              <w:numPr>
                <w:ilvl w:val="0"/>
                <w:numId w:val="12"/>
              </w:numPr>
              <w:ind w:left="0"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根据现场情况定制，满足现场安装要求；</w:t>
            </w:r>
            <w:r>
              <w:rPr>
                <w:rFonts w:hint="eastAsia" w:ascii="宋体" w:hAnsi="宋体" w:eastAsia="宋体" w:cs="宋体"/>
                <w:sz w:val="24"/>
                <w:szCs w:val="24"/>
              </w:rPr>
            </w:r>
            <w:r/>
          </w:p>
          <w:p>
            <w:pPr>
              <w:pStyle w:val="1044"/>
              <w:numPr>
                <w:ilvl w:val="0"/>
                <w:numId w:val="12"/>
              </w:numPr>
              <w:ind w:left="0" w:firstLine="4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具有物料传感器。</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（6）配套加工产品所需刀柄刀具。</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341"/>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ascii="宋体" w:hAnsi="宋体" w:eastAsia="宋体" w:cs="宋体"/>
                <w:sz w:val="24"/>
                <w:szCs w:val="24"/>
                <w:lang w:val="en-US"/>
              </w:rPr>
            </w:pPr>
            <w:r>
              <w:rPr>
                <w:rFonts w:hint="eastAsia" w:ascii="宋体" w:hAnsi="宋体" w:eastAsia="宋体" w:cs="宋体"/>
                <w:color w:val="000000"/>
                <w:sz w:val="24"/>
                <w:szCs w:val="24"/>
                <w:highlight w:val="none"/>
              </w:rPr>
              <w:t xml:space="preserve">数控车</w:t>
            </w:r>
            <w:r>
              <w:rPr>
                <w:rFonts w:hint="eastAsia" w:ascii="宋体" w:hAnsi="宋体" w:eastAsia="宋体" w:cs="宋体"/>
                <w:color w:val="000000"/>
                <w:sz w:val="24"/>
                <w:szCs w:val="24"/>
                <w:highlight w:val="none"/>
                <w:lang w:val="en-US" w:eastAsia="zh-CN"/>
              </w:rPr>
              <w:t xml:space="preserve">床单元</w:t>
            </w:r>
            <w:r>
              <w:rPr>
                <w:rFonts w:ascii="宋体" w:hAnsi="宋体" w:eastAsia="宋体" w:cs="宋体"/>
                <w:sz w:val="24"/>
                <w:szCs w:val="24"/>
                <w:lang w:val="en-US"/>
              </w:rPr>
            </w:r>
            <w:r/>
          </w:p>
        </w:tc>
        <w:tc>
          <w:tcPr>
            <w:tcMar>
              <w:left w:w="101" w:type="dxa"/>
              <w:top w:w="15" w:type="dxa"/>
              <w:right w:w="101" w:type="dxa"/>
              <w:bottom w:w="0" w:type="dxa"/>
            </w:tcMar>
            <w:tcW w:w="6155" w:type="dxa"/>
            <w:vAlign w:val="center"/>
            <w:textDirection w:val="lrTb"/>
            <w:noWrap w:val="false"/>
          </w:tcPr>
          <w:p>
            <w:pPr>
              <w:pStyle w:val="1044"/>
              <w:jc w:val="left"/>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1.数控车床</w:t>
            </w:r>
            <w:r>
              <w:rPr>
                <w:rFonts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（1）床身上最大回转直径：≥400 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（2）刀架上最大回转直径：≥Φ200mm；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（3）床身导轨宽度：≥360mm；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（4）主轴通孔直径：≥52mm；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数控系统：FANUC、西门子、法格或同等级别及以上的数控系统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）主轴转速范围：25r/min-2200r/min；</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）主轴端部型号：ISO(GB) A2-6；</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）主轴电机功率：≥5.5kw；</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）主轴电机形式：变频；</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）数控刀架：立式四工位刀架；</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）刀柄尺寸：≥20×20mm；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）刀架重复定位精度：≤±3.2″；</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）X轴行程：≥220mm；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）Z轴行程：≥750mm；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）快移速度：X：4000mm/min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Z：6000 mm/min；</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）进给速度范围：X：1～2000 mm/min Z：1～2000 mm/min；</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）最小设定单位：≤0.001mm；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）尾座套筒直径：≥60mm；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）尾座套筒行程：≥100mm；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）尾座套筒锥孔锥度：莫氏4号；</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）冷却电机功率：≥90W；</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）冷却水泵扬程：≥5m；</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）冷却水泵流量：≥25 L/min；</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）电源：380V±10%，50Hz±1%，三相交流电；</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）环境温度：0℃～40℃；</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）相对湿度：≤92%。</w:t>
            </w:r>
            <w:r>
              <w:rPr>
                <w:rFonts w:hint="eastAsia" w:ascii="宋体" w:hAnsi="宋体" w:eastAsia="宋体" w:cs="宋体"/>
                <w:color w:val="000000"/>
                <w:sz w:val="24"/>
                <w:szCs w:val="24"/>
              </w:rPr>
            </w:r>
            <w:r/>
          </w:p>
          <w:p>
            <w:pPr>
              <w:pStyle w:val="104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2.数控车床自动化改造</w:t>
            </w:r>
            <w:r>
              <w:rPr>
                <w:rFonts w:hint="eastAsia" w:ascii="宋体" w:hAnsi="宋体" w:eastAsia="宋体" w:cs="宋体"/>
                <w:sz w:val="24"/>
                <w:szCs w:val="24"/>
                <w:highlight w:val="none"/>
              </w:rPr>
            </w:r>
            <w:r/>
          </w:p>
          <w:p>
            <w:pPr>
              <w:pStyle w:val="104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（1）对现有数控车床进行改造，改造后可以正常使用；</w:t>
            </w:r>
            <w:r>
              <w:rPr>
                <w:rFonts w:hint="eastAsia" w:ascii="宋体" w:hAnsi="宋体" w:eastAsia="宋体" w:cs="宋体"/>
                <w:sz w:val="24"/>
                <w:szCs w:val="24"/>
                <w:highlight w:val="none"/>
              </w:rPr>
            </w:r>
            <w:r/>
          </w:p>
          <w:p>
            <w:pPr>
              <w:pStyle w:val="104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（2）增加车床自动开关门，可以配合机器人上下料使用；</w:t>
            </w:r>
            <w:r>
              <w:rPr>
                <w:rFonts w:hint="eastAsia" w:ascii="宋体" w:hAnsi="宋体" w:eastAsia="宋体" w:cs="宋体"/>
                <w:sz w:val="24"/>
                <w:szCs w:val="24"/>
                <w:highlight w:val="none"/>
              </w:rPr>
            </w:r>
            <w:r/>
          </w:p>
          <w:p>
            <w:pPr>
              <w:pStyle w:val="1044"/>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（3）对现有数控车床系统进行升级改造，改造后MES系统可以读取数控车床数据；</w:t>
            </w:r>
            <w:r>
              <w:rPr>
                <w:rFonts w:hint="eastAsia" w:ascii="宋体" w:hAnsi="宋体" w:eastAsia="宋体" w:cs="宋体"/>
                <w:sz w:val="24"/>
                <w:szCs w:val="24"/>
                <w:highlight w:val="none"/>
              </w:rPr>
            </w:r>
            <w:r/>
          </w:p>
          <w:p>
            <w:pPr>
              <w:pStyle w:val="1044"/>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（4）开放相关通讯接口，包括但不仅限于机床循环启动、报警、急停、暂停等信号的输入与输出接口</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（5）对数控车床进行夹具设计，要求具有以下功能：</w:t>
            </w:r>
            <w:r>
              <w:rPr>
                <w:rFonts w:hint="eastAsia" w:ascii="宋体" w:hAnsi="宋体" w:eastAsia="宋体" w:cs="宋体"/>
                <w:sz w:val="24"/>
                <w:szCs w:val="24"/>
              </w:rPr>
            </w:r>
            <w:r/>
          </w:p>
          <w:p>
            <w:pPr>
              <w:pStyle w:val="1044"/>
              <w:numPr>
                <w:ilvl w:val="0"/>
                <w:numId w:val="13"/>
              </w:numPr>
              <w:ind w:left="0" w:firstLine="40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具有自动夹紧加工件的功能，夹紧牢固可靠；</w:t>
            </w:r>
            <w:r>
              <w:rPr>
                <w:rFonts w:hint="eastAsia" w:ascii="宋体" w:hAnsi="宋体" w:eastAsia="宋体" w:cs="宋体"/>
                <w:sz w:val="24"/>
                <w:szCs w:val="24"/>
              </w:rPr>
            </w:r>
            <w:r/>
          </w:p>
          <w:p>
            <w:pPr>
              <w:pStyle w:val="1044"/>
              <w:numPr>
                <w:ilvl w:val="0"/>
                <w:numId w:val="13"/>
              </w:numPr>
              <w:ind w:left="0" w:firstLine="40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具有物料传感器，是否夹紧物料信号输出；</w:t>
            </w:r>
            <w:r>
              <w:rPr>
                <w:rFonts w:hint="eastAsia" w:ascii="宋体" w:hAnsi="宋体" w:eastAsia="宋体" w:cs="宋体"/>
                <w:sz w:val="24"/>
                <w:szCs w:val="24"/>
              </w:rPr>
            </w:r>
            <w:r/>
          </w:p>
          <w:p>
            <w:pPr>
              <w:pStyle w:val="1044"/>
              <w:numPr>
                <w:ilvl w:val="0"/>
                <w:numId w:val="13"/>
              </w:numPr>
              <w:ind w:left="0" w:firstLine="40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根据现场情况定制，满足现场安装要求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配置</w:t>
            </w:r>
            <w:r>
              <w:rPr>
                <w:rFonts w:hint="eastAsia" w:ascii="宋体" w:hAnsi="宋体" w:eastAsia="宋体" w:cs="宋体"/>
                <w:sz w:val="24"/>
                <w:szCs w:val="24"/>
                <w:lang w:val="en-US" w:eastAsia="zh-CN"/>
              </w:rPr>
              <w:t xml:space="preserve">3D机床电气综合实训系统：</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（1）要求软件共有三种界面，分别为主界面、功能选择界面、仿真界面，其中选择界面可以选择10种不同的机床来进行实训，仿真界面可以进行设备的模拟仿真。</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（2）要求登录界面采用传统的账号密码形式，但不会存储用户的明文密码，采用单项加密存储的形式来确保软件安全。</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软件包含的机床的实训项目要求，分别是1.X62W万能铣床培训、2.M7130平面磨床培训、3.C650-2普通车床培训、4.C6140普通车床培训、5.PDH电动葫芦培训、6.T68卧式镗床培训、7.Z3040B摇臂钻床培训、8.Z37摇臂钻床培训、9.M7120平面磨床培训、10.Z3050摇臂钻床培训。</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（4）要求在选择了实训项目以后，具有原理介绍、仿真实训、操作演示功能模块，可以更加直观的看到机床的外形结构，可以选择查看机床的原理介绍或者进行仿真实训、操作演示。</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仿真实训界面可以根据使用者的需求自由的切换视角、包括上视、左视、右视与主视，通过不同的视角来观察实训的过程。设故区可以进行多种故障的设置，让使用者更加直观的看到各种故障会产生的不同现象，包含自由设定故障、固定三种故障、随机多种故障等设置方式。自由设故界面可以自行选择故障内容，不限故障数量，可以多次随机故障来提示难度。</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（6）具有人工智能提示按钮，可以显示故障图，使用者可以根据故障图提供的信息更加方便的排除故障。</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▲（7）具有虚拟仪表功能，排除故障时需要使用者用虚拟数字万用表、虚拟电笔等测量工具测量各元器件的通断情况，来找出故障位置。（投标文件中提供软件功能截图）</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（8）万用表采用高级逻辑算法，使万用表具有真实的物理现象，使用者可以自由的用万用表测量任何地方，配有一键收回表笔按钮，以及单独收回表笔按钮。</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（9）万用表配有三个档位，蜂鸣档，200V交流电压档，600V交流电压档，足以设备的检测与排故。</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▲（10）具有一键示教复位功能，可以让设备回到最初的状态，方便使用者快速重新进行新一轮的实训。（投标文件中提供软件功能截图）</w:t>
            </w:r>
            <w:r>
              <w:rPr>
                <w:rFonts w:hint="eastAsia" w:ascii="宋体" w:hAnsi="宋体" w:eastAsia="宋体" w:cs="宋体"/>
                <w:sz w:val="24"/>
                <w:szCs w:val="24"/>
                <w:lang w:val="en-US" w:eastAsia="zh-CN"/>
              </w:rPr>
            </w:r>
            <w:r/>
          </w:p>
          <w:p>
            <w:pPr>
              <w:pStyle w:val="1044"/>
              <w:jc w:val="left"/>
              <w:keepLines w:val="0"/>
              <w:keepNext w:val="0"/>
              <w:pageBreakBefore w:val="0"/>
              <w:spacing w:line="360" w:lineRule="auto"/>
              <w:widowControl w:val="off"/>
              <w:rPr>
                <w:rFonts w:hint="eastAsia" w:ascii="Times New Roman" w:hAnsi="Times New Roman" w:eastAsia="宋体" w:cs="Times New Roman"/>
                <w:szCs w:val="21"/>
              </w:rPr>
            </w:pPr>
            <w:r>
              <w:rPr>
                <w:rFonts w:hint="eastAsia" w:ascii="宋体" w:hAnsi="宋体" w:eastAsia="宋体" w:cs="宋体"/>
                <w:sz w:val="24"/>
                <w:szCs w:val="24"/>
                <w:lang w:val="en-US" w:eastAsia="zh-CN"/>
              </w:rPr>
              <w:t xml:space="preserve">（11）操作演示界面可以进行一个正常操作流程的示范，引导使用者根据实际使用方法来操作设备，操作演示时还提供文字提示与解说，让使用者更加清楚的了解设备运转的各种情况。在操作演示的同时，可以查看此时电路的通电情况，更加直观的了解设备的具体情况。在操作演示界面也可以直接切换到仿真实训界面，可以让使用者更快捷的切换界面，同时也贴心的设置了重新演示功能，让未了解设备的使用者重新观看演示。</w:t>
            </w:r>
            <w:r>
              <w:rPr>
                <w:rFonts w:hint="eastAsia" w:ascii="Times New Roman" w:hAnsi="Times New Roman" w:eastAsia="宋体" w:cs="Times New Roman"/>
                <w:szCs w:val="21"/>
              </w:rPr>
            </w:r>
            <w:r/>
          </w:p>
        </w:tc>
        <w:tc>
          <w:tcPr>
            <w:tcMar>
              <w:left w:w="101" w:type="dxa"/>
              <w:top w:w="15" w:type="dxa"/>
              <w:right w:w="101" w:type="dxa"/>
              <w:bottom w:w="0" w:type="dxa"/>
            </w:tcMar>
            <w:tcW w:w="615" w:type="dxa"/>
            <w:vAlign w:val="center"/>
            <w:textDirection w:val="lrTb"/>
            <w:noWrap w:val="false"/>
          </w:tcPr>
          <w:p>
            <w:pPr>
              <w:pStyle w:val="1044"/>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机器人末端夹具</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1.快换系统负载：≥10kg；气路数量：≥6路，信号数量：≥9路</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2.每套快换公头1个，快换母头≥2个，配合机器人夹具使用；</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（1）可进行数控车床、数控加工中心、激光打标单元的上下料；</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（2）末端夹具为硬铝，表面喷砂氧化处理；</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）具有物料传感器，是否夹紧物料信号输出；</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3.配套快换定位支架，整体钢板与型材焊接成型，地脚螺丝固定，表面喷塑处理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1023"/>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缓存架</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1"/>
                <w:lang w:eastAsia="zh-CN"/>
              </w:rPr>
            </w:pPr>
            <w:r>
              <w:rPr>
                <w:rFonts w:hint="eastAsia" w:ascii="宋体" w:hAnsi="宋体" w:eastAsia="宋体" w:cs="宋体"/>
                <w:sz w:val="24"/>
                <w:szCs w:val="21"/>
              </w:rPr>
              <w:t xml:space="preserve">1.整体型材搭建，不少于9个仓位</w:t>
            </w:r>
            <w:r>
              <w:rPr>
                <w:rFonts w:hint="eastAsia" w:ascii="宋体" w:hAnsi="宋体" w:eastAsia="宋体" w:cs="宋体"/>
                <w:sz w:val="24"/>
                <w:szCs w:val="21"/>
                <w:lang w:eastAsia="zh-CN"/>
              </w:rPr>
              <w:t xml:space="preserve">。</w:t>
            </w:r>
            <w:r>
              <w:rPr>
                <w:rFonts w:hint="eastAsia" w:ascii="宋体" w:hAnsi="宋体" w:eastAsia="宋体" w:cs="宋体"/>
                <w:sz w:val="24"/>
                <w:szCs w:val="21"/>
                <w:lang w:eastAsia="zh-CN"/>
              </w:rPr>
            </w:r>
            <w:r/>
          </w:p>
          <w:p>
            <w:pPr>
              <w:pStyle w:val="1044"/>
              <w:jc w:val="left"/>
              <w:spacing w:line="360" w:lineRule="auto"/>
              <w:rPr>
                <w:rFonts w:hint="eastAsia" w:ascii="宋体" w:hAnsi="宋体" w:eastAsia="宋体" w:cs="宋体"/>
                <w:sz w:val="24"/>
                <w:szCs w:val="21"/>
                <w:lang w:eastAsia="zh-CN"/>
              </w:rPr>
            </w:pPr>
            <w:r>
              <w:rPr>
                <w:rFonts w:hint="eastAsia" w:ascii="宋体" w:hAnsi="宋体" w:eastAsia="宋体" w:cs="宋体"/>
                <w:sz w:val="24"/>
                <w:szCs w:val="21"/>
              </w:rPr>
              <w:t xml:space="preserve">2.每个仓位根据工件开槽，配套检测智能传感器</w:t>
            </w:r>
            <w:r>
              <w:rPr>
                <w:rFonts w:hint="eastAsia" w:ascii="宋体" w:hAnsi="宋体" w:eastAsia="宋体" w:cs="宋体"/>
                <w:sz w:val="24"/>
                <w:szCs w:val="21"/>
                <w:lang w:eastAsia="zh-CN"/>
              </w:rPr>
              <w:t xml:space="preserve">。</w:t>
            </w:r>
            <w:r>
              <w:rPr>
                <w:rFonts w:hint="eastAsia" w:ascii="宋体" w:hAnsi="宋体" w:eastAsia="宋体" w:cs="宋体"/>
                <w:sz w:val="24"/>
                <w:szCs w:val="21"/>
                <w:lang w:eastAsia="zh-CN"/>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3.根据产品与机器人协作完成智能出入库和缓存程序；</w:t>
            </w:r>
            <w:r>
              <w:rPr>
                <w:rFonts w:hint="eastAsia" w:ascii="宋体" w:hAnsi="宋体" w:eastAsia="宋体" w:cs="宋体"/>
                <w:sz w:val="24"/>
                <w:szCs w:val="21"/>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1"/>
              </w:rPr>
              <w:t xml:space="preserve">4.配套6件半成品毛坯。</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2</w:t>
            </w:r>
            <w:r>
              <w:rPr>
                <w:rFonts w:hint="eastAsia" w:ascii="宋体" w:hAnsi="宋体" w:eastAsia="宋体" w:cs="宋体"/>
                <w:sz w:val="24"/>
                <w:szCs w:val="21"/>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套</w:t>
            </w:r>
            <w:r>
              <w:rPr>
                <w:rFonts w:hint="eastAsia" w:ascii="宋体" w:hAnsi="宋体" w:eastAsia="宋体" w:cs="宋体"/>
                <w:sz w:val="24"/>
                <w:szCs w:val="21"/>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外部轴</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1．驱动伺服电机编码器位为17/20/23位，并配套驱动+7M高柔线缆；</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2．速度0.5m/s，重复定位精度≤0.08mm，整体行走轴平行度和直线度：≤0.1mm，行走轴长度：≥3.5米；</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3.尺寸齿条传动，采用半封闭防护系统；</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4.机器人底座底座长宽≥350×350mm；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5.拖链内含隔板，两端有双限位保护，质量可靠、安装平整；</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6.行走轴根据现场需求现场安装；</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7.行走轴由机器人示教器第七轴按键进行前进/后退操作。</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激光打标系统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1.工作幅面（X/Y）：≥175mm*175mm；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2.激光波长：≤1064nm；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3.激光输出功率：≤30w；</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4.重复精度：≤0.003mm；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5.操作软件：专用正版打标软件； </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6.冷却方式：风冷；</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7.控制系统：状态栏可显示当前文件的尺寸，可快速在面板上预览内存中保存的文件图形；</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8.软件/雕刻软件：兼容多种操作系统，提供多种语言界面；</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9.导入/导出多种文件格式：包括DXF、AI、PLT等通用CAD文件；bmp、jpg等格式图片文件；</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10.保存和打开自定义的文件：打标软件格式中包含图形数据及用户设置的加工工艺和参数；</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11.其他功能：常用加工图库，参数库；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12.打印驱动：支持32位或者64位的Windows XP、Windows 7等系统；</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13.接口方式：USB接口，支持脱机、联机使用；</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14.工作电源：</w:t>
            </w:r>
            <w:r>
              <w:rPr>
                <w:rFonts w:hint="eastAsia" w:ascii="宋体" w:hAnsi="宋体" w:eastAsia="宋体" w:cs="宋体"/>
                <w:bCs/>
                <w:sz w:val="24"/>
                <w:szCs w:val="24"/>
              </w:rPr>
              <w:t xml:space="preserve">220V±10%/50Hz。</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1540"/>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MES生产管理系统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▲智能制造MES生产管理系统界面美观整洁、规范、可操作性强。在整个生产环节中对生产线各设备进行订单管理和生产监控，配合PLC控制整个生产流程安全有序进行。智能制造MES生产管理系统具有如下功能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投标文件中提供</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 MES 制造执行系统相关软件著作权证书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1.产品管理：工件模板管理、产品BOM管理。</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2.订单管理：订单的增删改查、订单执行、状态查询、历史查看。</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3.设备看板：可根据需要配置设备看板，如立体仓库、工业机器人和其它常见的数控系统看板，支持工业设备中常用的通信方式，如MODBUS、TCP、HTTP、OPC UA、MQTT等通用协议，同时，也支持S7、FOCAS等专用协议。</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4.系统具备对整条生产线进行一键启动、一键停止和一键复位操作。</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5.生产看板：MES 系统具有设备使用效率监控、产品完成状态等统计看板。</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6.系统管理：系统具有拓扑结构自定义与网络测试、设备基础信息配置、系统参数配置、数据备份恢复、运行日志管理。</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7.任务管理：系统具有任务下发与任务上传的功能，可在局域网内在任意两台电脑之间实现文件的共享和互传。</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8.视频监控：通过设置相机参数、可实现MES系统在线实时预览多路实时视频。</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具备生产工单功能，满足以下功能：可对生产工单进行新增、修改、删除、导出等操作，添加生产工单时，可填写工单编号（支持自动生成），工单名称，选择来源类型（包含客户订单、库存备货），当来源类型选择库存备货时，可选择工单类型（包含自产、外协、外购）、产品编号、工单数量、需求日期、批次号等信息，当工单类型选择外协时，还可填写供应商编码、供应商名称信息；当来源类型选择客户订单时，还可以再填写订单编号，客户编码，客户名称等信息。</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具备工艺流程功能，满足以下功能：支持展示工艺路线数据，工艺路线由工序组成，支持对工序的新增、修改、删除操作；可以设置平台的组成工序，工序包括以下步骤：原料出库、输送、底盘座椅装配、传输、机器人抓取、车身车壳装配、检测、入库。添加工艺组成时，填写序号，选择工序，与下一道工序关系，甘特图显示颜色，是否关键工序，是否要质检确认，准备时间，等待时间等信息；工艺路线可关联产品，并支持对关联的产品新增、修改、删除、导出等操作。（投标文件中提供软件功能截图）</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具备生产排产界面，满足以下功能：可通过甘特图方式查看生产工单的名称及完成比例，支持排产、工单下发功能；排产时支持展示产品配套工艺流程中的所有工序；通过选择工序，可以新增、修改、删除生产任务，并可支持导出生产任务；添加生产任务时，可以选择工作站，甘特图显示颜色，排产数量，开始时间，生产时长等信息。（投标文件中提供软件功能截图）</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具备生产状态监控界面，满足以下功能：可通过生产状态监控看板查看工单编码、工单状态、产品名称、工作站，排产、已生产、当前工序等信息，通过环形图展示生产状态信息，折线图展示近7日产品生产情况，以及展示设备在线率、设备利用率、设备故障率等信息。</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14.安全管理</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安全系统数据准备后，支持跳转安全浏览器，设备内嵌软件，满足以下技术要求:</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基础功能，支持通用标签栏、地址栏、收藏栏等常用基础功能，支持鼠标手势快捷操作、超级拖拽快速搜索、地址栏智能快速自动补全、定制化设置等多样化便捷功能；开发者工具:支持网页调试能力，包括:网页元素查看和修改，控制台输入输出，源代码查看和调试，网络请求分析，性能分析等；</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本地数据安全防护，支持用户数据(历史，收藏，缓存，Cookie 等)的加密存储； </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▲3）兼容性检测工具，内置兼容性问题检测和修复工具，并支持将修复资源通过管理后台统一策略下发至终端，起到网页兼容性问题批量修复、达到正常的页面浏览效果；(投标文件中提供软件界面截图)</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4）访问控制策略，支持访问控制策略，可设置允许在企业浏览器上访问的网站的白名单；</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▲5）国密网关管理，支持国密网关的管理配置，通过网关、应用系统的配置绑定，实现业务应用只能在企业浏览器上访问的功能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(投标文件中提供软件界面截图)</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6）可信应用调用，支持对可信应用(如</w:t>
            </w:r>
            <w:r>
              <w:rPr>
                <w:rFonts w:hint="eastAsia" w:ascii="宋体" w:hAnsi="宋体" w:eastAsia="宋体" w:cs="宋体"/>
                <w:sz w:val="24"/>
                <w:szCs w:val="24"/>
                <w:lang w:val="en-US" w:eastAsia="zh-CN"/>
              </w:rPr>
              <w:t xml:space="preserve">WPS</w:t>
            </w:r>
            <w:r>
              <w:rPr>
                <w:rFonts w:hint="eastAsia" w:ascii="宋体" w:hAnsi="宋体" w:eastAsia="宋体" w:cs="宋体"/>
                <w:sz w:val="24"/>
                <w:szCs w:val="24"/>
              </w:rPr>
              <w:t xml:space="preserve">文档、表格、幻灯片等)的白名单信任预处理，实现在直接调用可信应用的便捷性操作；</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▲7）资质具备工信部测评机构出具的产品测试报告；软件具备国家密码管理局颁发的商用密码软件认证证书；(投标文件中提供证书扫描件、产品测试报告扫描件)</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控制终端：</w:t>
            </w:r>
            <w:r>
              <w:rPr>
                <w:rFonts w:hint="eastAsia" w:ascii="宋体" w:hAnsi="宋体" w:eastAsia="宋体" w:cs="宋体"/>
                <w:sz w:val="24"/>
                <w:szCs w:val="24"/>
              </w:rPr>
              <w:t xml:space="preserve">2台</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配置不低于：参照或相当于12代i7处理器，16G内存，4G独立显卡，1T 固态硬盘容量，显示设备≥23英寸，匹配1套拓展显示设备≥23英寸。</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16.SCADA看板系统</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（1）建立实际设备1:1的3D虚拟化场景。</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（2）实现虚实1:1互动，具有3D在线游览，数据监控功能；</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（3）能够实现对各个设备的3D数据化监控。</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（4）与MES系统集成，形成3D数字化看板。</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（5）3D可视化功能：1:1数字孪生，能够将设备的3D模型形成1:1 数字可视化，可切换视角，放大缩小等功能；</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（6）统计图表可视化：能够通过3D数据看板，显示订单数据、设备状态和利用率等相关数据的可视化。</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数字化将实体设备与三维模型建立一对一的孪生映射关系，将三维模型导入构建的数字孪生系统中，将实体设备的运行状态映射到对应的孪生模型上，构建实体设备与数字模型的实时协同的孪生关系，通过孪生模型实时展示实体设备的运行状态。</w:t>
            </w:r>
            <w:r>
              <w:rPr>
                <w:rFonts w:hint="eastAsia"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en-US"/>
              </w:rPr>
              <w:t xml:space="preserve">总控制台</w:t>
            </w:r>
            <w:r>
              <w:rPr>
                <w:rFonts w:hint="eastAsia" w:ascii="宋体" w:hAnsi="宋体" w:eastAsia="宋体" w:cs="宋体"/>
                <w:sz w:val="24"/>
                <w:szCs w:val="24"/>
                <w:lang w:val="en-US" w:eastAsia="en-US"/>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面材：采用阻燃、耐磨、防水、硬度高，板材抗弯强度符合DIN测试标准，表面抗炽度经烟头测试后板材表面光泽度略减，色彩不变，可长期保持自然高光色面效果。产品等级为E1级。</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基材：采用符合 E1 级标准的优质环保型人造板，经防潮、防虫、防腐处理，强度高、刚性好、不变形，各种物理、化学性能指标均 达到相关标准。封边：采用与板件颜色、纹理配套的 2mm 厚优质PVC 封边全自动热压封边工艺。</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尺寸（长*宽*高）：≥3000mm*500mm*850mm，配套2套座椅。</w:t>
            </w:r>
            <w:r>
              <w:rPr>
                <w:rFonts w:hint="eastAsia" w:ascii="宋体" w:hAnsi="宋体" w:eastAsia="宋体" w:cs="宋体"/>
                <w:sz w:val="24"/>
                <w:szCs w:val="24"/>
                <w:lang w:val="en-US" w:eastAsia="zh-CN"/>
              </w:rPr>
            </w:r>
            <w:r/>
          </w:p>
        </w:tc>
        <w:tc>
          <w:tcPr>
            <w:tcMar>
              <w:left w:w="101" w:type="dxa"/>
              <w:top w:w="15" w:type="dxa"/>
              <w:right w:w="101" w:type="dxa"/>
              <w:bottom w:w="0" w:type="dxa"/>
            </w:tcMar>
            <w:tcW w:w="615" w:type="dxa"/>
            <w:vAlign w:val="center"/>
            <w:textDirection w:val="lrTb"/>
            <w:noWrap w:val="false"/>
          </w:tcPr>
          <w:p>
            <w:pPr>
              <w:pStyle w:val="1044"/>
              <w:ind w:left="0" w:firstLine="0"/>
              <w:jc w:val="both"/>
              <w:keepLines w:val="0"/>
              <w:keepNext w:val="0"/>
              <w:pageBreakBefore w:val="0"/>
              <w:spacing w:line="360" w:lineRule="auto"/>
              <w:widowControl w:val="off"/>
              <w:rPr>
                <w:rFonts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1</w:t>
            </w:r>
            <w:r>
              <w:rPr>
                <w:rFonts w:ascii="宋体" w:hAnsi="宋体" w:eastAsia="宋体" w:cs="宋体"/>
                <w:sz w:val="24"/>
                <w:szCs w:val="21"/>
                <w:lang w:val="en-US" w:eastAsia="zh-CN" w:bidi="ar-SA"/>
              </w:rPr>
            </w:r>
            <w:r/>
          </w:p>
        </w:tc>
        <w:tc>
          <w:tcPr>
            <w:tcMar>
              <w:left w:w="101" w:type="dxa"/>
              <w:top w:w="15" w:type="dxa"/>
              <w:right w:w="101" w:type="dxa"/>
              <w:bottom w:w="0" w:type="dxa"/>
            </w:tcMar>
            <w:tcW w:w="619" w:type="dxa"/>
            <w:vAlign w:val="center"/>
            <w:textDirection w:val="lrTb"/>
            <w:noWrap w:val="false"/>
          </w:tcPr>
          <w:p>
            <w:pPr>
              <w:pStyle w:val="1044"/>
              <w:ind w:left="0" w:firstLine="0"/>
              <w:jc w:val="both"/>
              <w:keepLines w:val="0"/>
              <w:keepNext w:val="0"/>
              <w:pageBreakBefore w:val="0"/>
              <w:spacing w:line="360" w:lineRule="auto"/>
              <w:widowControl w:val="off"/>
              <w:rPr>
                <w:rFonts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套</w:t>
            </w:r>
            <w:r>
              <w:rPr>
                <w:rFonts w:ascii="宋体" w:hAnsi="宋体" w:eastAsia="宋体" w:cs="宋体"/>
                <w:sz w:val="24"/>
                <w:szCs w:val="21"/>
                <w:lang w:val="en-US" w:eastAsia="zh-CN" w:bidi="ar-SA"/>
              </w:rPr>
            </w:r>
            <w:r/>
          </w:p>
        </w:tc>
      </w:tr>
      <w:tr>
        <w:trPr>
          <w:trHeight w:val="614"/>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AGV调度系统</w:t>
            </w:r>
            <w:r>
              <w:rPr>
                <w:rFonts w:hint="eastAsia" w:ascii="宋体" w:hAnsi="宋体" w:eastAsia="宋体" w:cs="宋体"/>
                <w:sz w:val="24"/>
                <w:szCs w:val="24"/>
                <w:highlight w:val="none"/>
              </w:rPr>
            </w:r>
            <w:r/>
          </w:p>
        </w:tc>
        <w:tc>
          <w:tcPr>
            <w:tcMar>
              <w:left w:w="101" w:type="dxa"/>
              <w:top w:w="15" w:type="dxa"/>
              <w:right w:w="101" w:type="dxa"/>
              <w:bottom w:w="0" w:type="dxa"/>
            </w:tcMar>
            <w:tcW w:w="6155"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调度系统须实现与自动充电系统、上层管理系统（如MES/WMS）的数据通信与任务协同。</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系统应采用模块化设计，支持任务类型和路径的动态扩展与配置。</w:t>
            </w:r>
            <w:r>
              <w:rPr>
                <w:rFonts w:hint="eastAsia" w:ascii="宋体" w:hAnsi="宋体" w:eastAsia="宋体" w:cs="宋体"/>
                <w:sz w:val="24"/>
                <w:szCs w:val="24"/>
                <w:lang w:val="en-US" w:eastAsia="zh-CN"/>
              </w:rPr>
            </w:r>
            <w:r/>
          </w:p>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具备高可用性与容错机制，支持7×24小时不间断运行。</w:t>
            </w:r>
            <w:r>
              <w:rPr>
                <w:rFonts w:hint="eastAsia" w:ascii="宋体" w:hAnsi="宋体" w:eastAsia="宋体" w:cs="宋体"/>
                <w:sz w:val="24"/>
                <w:szCs w:val="24"/>
                <w:lang w:val="en-US" w:eastAsia="zh-CN"/>
              </w:rPr>
              <w:t xml:space="preserve">二、核心功能要求</w:t>
            </w:r>
            <w:r>
              <w:rPr>
                <w:rFonts w:hint="eastAsia" w:ascii="宋体" w:hAnsi="宋体" w:eastAsia="宋体" w:cs="宋体"/>
                <w:sz w:val="24"/>
                <w:szCs w:val="24"/>
                <w:lang w:val="en-US" w:eastAsia="zh-CN"/>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地图与路径管理</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支持导入激光SLAM构建的全局地图，并能在图形化界面中进行路径、站点、作业区、充电点等元素的编辑与管理。</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支持基于“激光导航+二维码导航”的混合导航模式校正与路径优化。</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任务管理</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支持手动任务指派、基于事件/条件的自动任务触发、以及来自上层系统的订单任务解析与执行。</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任务类型需兼容AGV的“背负单滚筒式”移载动作指令。</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车辆状态监控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实时监控所有AGV的位置、速度、电量、负载状态、运行模式（自动/手动）、故障报警等信息。</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自动充电调度</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与自动充电系统通信，根据AGV电量（阈值可设）</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智能调度AGV前往充电桩充电。</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监控充电状态，充满后自动将AGV恢复至待命状态。</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数据接口与集成</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提供标准API与上层系统对接，接收任务指令并反馈状态。</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支持与常见数据库进行数据交互。</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具备设备通信接口，支持与AGV及充电桩的稳定通信。</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ascii="宋体" w:hAnsi="宋体" w:eastAsia="宋体" w:cs="宋体"/>
                <w:sz w:val="24"/>
                <w:szCs w:val="24"/>
                <w:lang w:val="en-US" w:eastAsia="zh-CN"/>
              </w:rPr>
            </w:r>
            <w:r/>
          </w:p>
        </w:tc>
      </w:tr>
      <w:tr>
        <w:trPr>
          <w:trHeight w:val="1304"/>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PLC外部总控系统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1.内置电源以及输入输出信号接口：完成智能仓储系统、数控车床、数控加工中心、激光打标等单元的信号交互；</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2.钣金烤漆工艺外壳；</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3.丝印操控面板，集成急停按钮、电源管理、运行控制按钮、指示灯等；</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4.PLC控制系统</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（1）输入点数：≥14点；输出点数：≥10点；</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（2）具有以太网接口；</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（3）配有7寸人机交互触摸屏；</w:t>
            </w:r>
            <w:r>
              <w:rPr>
                <w:rFonts w:hint="eastAsia" w:ascii="宋体" w:hAnsi="宋体" w:eastAsia="宋体" w:cs="宋体"/>
                <w:sz w:val="24"/>
                <w:szCs w:val="21"/>
              </w:rPr>
            </w:r>
            <w:r/>
          </w:p>
          <w:p>
            <w:pPr>
              <w:pStyle w:val="1044"/>
              <w:spacing w:line="360" w:lineRule="auto"/>
              <w:rPr>
                <w:rFonts w:hint="eastAsia" w:ascii="宋体" w:hAnsi="宋体" w:eastAsia="宋体" w:cs="宋体"/>
                <w:sz w:val="24"/>
                <w:szCs w:val="21"/>
              </w:rPr>
            </w:pPr>
            <w:r>
              <w:rPr>
                <w:rFonts w:hint="eastAsia" w:ascii="宋体" w:hAnsi="宋体" w:eastAsia="宋体" w:cs="宋体"/>
                <w:sz w:val="24"/>
                <w:szCs w:val="21"/>
              </w:rPr>
              <w:t xml:space="preserve">（4）使用OPC协议，与上位MES进行实时通讯，并受上位系统控制。</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5</w:t>
            </w:r>
            <w:r>
              <w:rPr>
                <w:rFonts w:ascii="宋体" w:hAnsi="宋体" w:eastAsia="宋体" w:cs="宋体"/>
                <w:sz w:val="24"/>
                <w:szCs w:val="21"/>
                <w:lang w:val="en-US" w:eastAsia="zh-CN"/>
              </w:rPr>
              <w:t xml:space="preserve">.</w:t>
            </w:r>
            <w:r>
              <w:rPr>
                <w:rFonts w:hint="eastAsia" w:ascii="宋体" w:hAnsi="宋体" w:eastAsia="宋体" w:cs="宋体"/>
                <w:sz w:val="24"/>
                <w:szCs w:val="21"/>
                <w:lang w:val="en-US" w:eastAsia="zh-CN"/>
              </w:rPr>
              <w:t xml:space="preserve">配置一体化数字孪生仿真软件：</w:t>
            </w:r>
            <w:r>
              <w:rPr>
                <w:rFonts w:hint="eastAsia" w:ascii="宋体" w:hAnsi="宋体" w:eastAsia="宋体" w:cs="宋体"/>
                <w:sz w:val="24"/>
                <w:szCs w:val="21"/>
                <w:lang w:val="en-US" w:eastAsia="zh-CN"/>
              </w:rPr>
            </w:r>
            <w:r/>
          </w:p>
          <w:p>
            <w:pPr>
              <w:pStyle w:val="1044"/>
              <w:jc w:val="left"/>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要求实物对象采用虚拟平台，与实物1:1的应用场景，基于3D界面制作，可根据控制方式进行虚实结合的运行。仿真平台可以适用于PC客户端，或者云端等进行虚拟操作，软件为中文界面，适用的软件环境广。</w:t>
            </w:r>
            <w:r>
              <w:rPr>
                <w:rFonts w:hint="eastAsia" w:ascii="宋体" w:hAnsi="宋体" w:eastAsia="宋体" w:cs="宋体"/>
                <w:sz w:val="24"/>
                <w:szCs w:val="21"/>
                <w:lang w:val="en-US" w:eastAsia="zh-CN"/>
              </w:rPr>
            </w:r>
            <w:r/>
          </w:p>
          <w:p>
            <w:pPr>
              <w:pStyle w:val="1044"/>
              <w:jc w:val="left"/>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▲支持通过内置通讯驱动与外部真实PLC连接，实现通讯，主要包含型号（满足不少于5种PLC型号，且均能通讯，</w:t>
            </w:r>
            <w:r>
              <w:rPr>
                <w:rFonts w:hint="eastAsia" w:ascii="宋体" w:hAnsi="宋体" w:eastAsia="宋体" w:cs="宋体"/>
                <w:sz w:val="24"/>
                <w:szCs w:val="24"/>
              </w:rPr>
              <w:t xml:space="preserve">投标文件中提供软件功能截图</w:t>
            </w:r>
            <w:r>
              <w:rPr>
                <w:rFonts w:hint="eastAsia" w:ascii="宋体" w:hAnsi="宋体" w:eastAsia="宋体" w:cs="宋体"/>
                <w:sz w:val="24"/>
                <w:szCs w:val="21"/>
                <w:lang w:val="en-US" w:eastAsia="zh-CN"/>
              </w:rPr>
              <w:t xml:space="preserve">），支持与虚拟PLC连接与通讯。</w:t>
            </w:r>
            <w:r>
              <w:rPr>
                <w:rFonts w:hint="eastAsia" w:ascii="宋体" w:hAnsi="宋体" w:eastAsia="宋体" w:cs="宋体"/>
                <w:sz w:val="24"/>
                <w:szCs w:val="21"/>
                <w:lang w:val="en-US" w:eastAsia="zh-CN"/>
              </w:rPr>
            </w:r>
            <w:r/>
          </w:p>
          <w:p>
            <w:pPr>
              <w:pStyle w:val="1044"/>
              <w:jc w:val="left"/>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支持I/O点自由分配，非固I/O定形式，要求采用拖拽式的IO匹配功能，要求实现设备信号自由匹配到PLC的任意端口，包含数字量、模拟量等；同时可实现默认IO分配及清楚原有IO分配点。真正的做到PLC自由编程，虚拟界面自由动作。（投标文件中提供软件功能截图）</w:t>
            </w:r>
            <w:r>
              <w:rPr>
                <w:rFonts w:hint="eastAsia" w:ascii="宋体" w:hAnsi="宋体" w:eastAsia="宋体" w:cs="宋体"/>
                <w:sz w:val="24"/>
                <w:szCs w:val="21"/>
                <w:lang w:val="en-US" w:eastAsia="zh-CN"/>
              </w:rPr>
            </w:r>
            <w:r/>
          </w:p>
          <w:p>
            <w:pPr>
              <w:pStyle w:val="1044"/>
              <w:jc w:val="left"/>
              <w:spacing w:line="360" w:lineRule="auto"/>
              <w:rPr>
                <w:rFonts w:ascii="Times New Roman" w:hAnsi="Times New Roman" w:eastAsia="宋体" w:cs="Times New Roman"/>
                <w:szCs w:val="21"/>
                <w:lang w:val="en-US" w:eastAsia="zh-CN"/>
              </w:rPr>
            </w:pPr>
            <w:r>
              <w:rPr>
                <w:rFonts w:hint="eastAsia" w:ascii="宋体" w:hAnsi="宋体" w:eastAsia="宋体" w:cs="宋体"/>
                <w:sz w:val="24"/>
                <w:szCs w:val="21"/>
                <w:lang w:val="en-US" w:eastAsia="zh-CN"/>
              </w:rPr>
              <w:t xml:space="preserve">内部场景由现实实训1：1搭建，贴合实际课程，所有实训设备均为实物模拟操作方式</w:t>
            </w:r>
            <w:r>
              <w:rPr>
                <w:rFonts w:hint="eastAsia" w:ascii="宋体" w:hAnsi="宋体" w:eastAsia="宋体" w:cs="宋体"/>
                <w:sz w:val="24"/>
                <w:szCs w:val="21"/>
                <w:lang w:val="en-US" w:eastAsia="zh-CN"/>
              </w:rPr>
              <w:t xml:space="preserve">与现实器件相对应，并设置“实物PLC控制方式”、“虚拟PLC控制方式”与“查看状态监控”“查看IO分配图”满足学生的需要。所有模块包含数字孪生仿真系统，包含的功能模块有虚拟PLC控制虚拟对象，真实PLC控制虚拟对象、真实PLC控制实物对象、虚拟PLC控制实物对象。包含：抢答器、音乐喷泉、装配流水线、十字路口交通、水塔水位、天塔之光、自控轧钢机、机械手、自控成型机、自动洗衣机、分拣线、输送线等数字孪生仿真资源等。虚实结合仿真至少具备6个PLC电气场景与20个PLC应用场景（支持场景定制）用于由浅入深虚拟控制。</w:t>
            </w:r>
            <w:r>
              <w:rPr>
                <w:rFonts w:ascii="Times New Roman" w:hAnsi="Times New Roman" w:eastAsia="宋体" w:cs="Times New Roman"/>
                <w:szCs w:val="21"/>
                <w:lang w:val="en-US" w:eastAsia="zh-CN"/>
              </w:rPr>
            </w:r>
            <w:r/>
          </w:p>
        </w:tc>
        <w:tc>
          <w:tcPr>
            <w:tcMar>
              <w:left w:w="101" w:type="dxa"/>
              <w:top w:w="15" w:type="dxa"/>
              <w:right w:w="101" w:type="dxa"/>
              <w:bottom w:w="0" w:type="dxa"/>
            </w:tcMar>
            <w:tcW w:w="615" w:type="dxa"/>
            <w:vAlign w:val="center"/>
            <w:textDirection w:val="lrTb"/>
            <w:noWrap w:val="false"/>
          </w:tcPr>
          <w:p>
            <w:pPr>
              <w:pStyle w:val="1044"/>
              <w:jc w:val="left"/>
              <w:spacing w:line="360" w:lineRule="auto"/>
              <w:rPr>
                <w:rFonts w:ascii="宋体" w:hAnsi="宋体" w:eastAsia="宋体" w:cs="宋体"/>
                <w:sz w:val="24"/>
                <w:szCs w:val="21"/>
                <w:lang w:val="en-US" w:eastAsia="zh-CN"/>
              </w:rPr>
            </w:pPr>
            <w:r>
              <w:rPr>
                <w:rFonts w:hint="eastAsia" w:ascii="宋体" w:hAnsi="宋体" w:eastAsia="宋体" w:cs="宋体"/>
                <w:sz w:val="24"/>
                <w:szCs w:val="21"/>
                <w:lang w:val="en-US" w:eastAsia="zh-CN"/>
              </w:rPr>
              <w:t xml:space="preserve">1</w:t>
            </w:r>
            <w:r>
              <w:rPr>
                <w:rFonts w:ascii="宋体" w:hAnsi="宋体" w:eastAsia="宋体" w:cs="宋体"/>
                <w:sz w:val="24"/>
                <w:szCs w:val="21"/>
                <w:lang w:val="en-US" w:eastAsia="zh-CN"/>
              </w:rPr>
            </w:r>
            <w:r/>
          </w:p>
        </w:tc>
        <w:tc>
          <w:tcPr>
            <w:tcMar>
              <w:left w:w="101" w:type="dxa"/>
              <w:top w:w="15" w:type="dxa"/>
              <w:right w:w="101" w:type="dxa"/>
              <w:bottom w:w="0" w:type="dxa"/>
            </w:tcMar>
            <w:tcW w:w="619" w:type="dxa"/>
            <w:vAlign w:val="center"/>
            <w:textDirection w:val="lrTb"/>
            <w:noWrap w:val="false"/>
          </w:tcPr>
          <w:p>
            <w:pPr>
              <w:pStyle w:val="1044"/>
              <w:jc w:val="left"/>
              <w:spacing w:line="360" w:lineRule="auto"/>
              <w:rPr>
                <w:rFonts w:ascii="宋体" w:hAnsi="宋体" w:eastAsia="宋体" w:cs="宋体"/>
                <w:sz w:val="24"/>
                <w:szCs w:val="21"/>
                <w:lang w:val="en-US" w:eastAsia="zh-CN"/>
              </w:rPr>
            </w:pPr>
            <w:r>
              <w:rPr>
                <w:rFonts w:hint="eastAsia" w:ascii="宋体" w:hAnsi="宋体" w:eastAsia="宋体" w:cs="宋体"/>
                <w:sz w:val="24"/>
                <w:szCs w:val="21"/>
                <w:lang w:val="en-US" w:eastAsia="zh-CN"/>
              </w:rPr>
              <w:t xml:space="preserve">套</w:t>
            </w:r>
            <w:r>
              <w:rPr>
                <w:rFonts w:ascii="宋体" w:hAnsi="宋体" w:eastAsia="宋体" w:cs="宋体"/>
                <w:sz w:val="24"/>
                <w:szCs w:val="21"/>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AGV对接系统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1.整体型材搭建，地脚螺丝固定，整体尺寸≥1m×0.4m×1m，双皮带输送；</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2.最大单位承载能力不低于 10Kg/m，传输最大运行速度不小于6m/min；</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3.输入电源：单相二线（220±5%,50Hz）；</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4.配套光电传感器检测托盘到位信号，开放信号接口，由现场PLC统一控制；</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5.配套机械限位结构，对输送托盘进行Y向限位。</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快换工装系统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1.快换系统负载：≥10kg；气路数量：≥6路，信号数量：≥9路；</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2.每套快换公头1个，快换母头≥2个，配合机器人夹具使用；</w:t>
            </w:r>
            <w:r>
              <w:rPr>
                <w:rFonts w:hint="eastAsia" w:ascii="宋体" w:hAnsi="宋体" w:eastAsia="宋体" w:cs="宋体"/>
                <w:sz w:val="24"/>
                <w:szCs w:val="24"/>
              </w:rPr>
            </w:r>
            <w:r/>
          </w:p>
          <w:p>
            <w:pPr>
              <w:pStyle w:val="104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（1）可进行数控车床、数控加工中心、激光打标单元的上下料；</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（2）末端夹具为硬铝，表面喷砂氧化处理；</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（3）根据现场情况定制，满足现场安装要求；</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（4）具有物料传感器，是否夹紧物料信号输出；</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3.配套快换定位支架，整体钢板与型材焊接成型，地脚螺丝固定，表面喷塑处理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1291"/>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安全防护系统</w:t>
            </w:r>
            <w:r>
              <w:rPr>
                <w:rFonts w:hint="eastAsia" w:ascii="宋体" w:hAnsi="宋体" w:eastAsia="宋体" w:cs="宋体"/>
                <w:sz w:val="24"/>
                <w:szCs w:val="24"/>
                <w:highlight w:val="none"/>
              </w:rPr>
            </w:r>
            <w:r/>
          </w:p>
        </w:tc>
        <w:tc>
          <w:tcPr>
            <w:tcMar>
              <w:left w:w="101" w:type="dxa"/>
              <w:top w:w="15" w:type="dxa"/>
              <w:right w:w="101" w:type="dxa"/>
              <w:bottom w:w="0" w:type="dxa"/>
            </w:tcMar>
            <w:tcW w:w="6155" w:type="dxa"/>
            <w:vAlign w:val="center"/>
            <w:textDirection w:val="lrTb"/>
            <w:noWrap w:val="false"/>
          </w:tcPr>
          <w:p>
            <w:pPr>
              <w:pStyle w:val="1044"/>
              <w:numPr>
                <w:ilvl w:val="0"/>
                <w:numId w:val="0"/>
              </w:numPr>
              <w:ind w:left="480" w:hanging="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lang w:val="en-US" w:eastAsia="zh-CN" w:bidi="ar-SA"/>
              </w:rPr>
              <w:t xml:space="preserve">单片围栏尺寸（高度*宽度）：≥1200mm*1500mm；</w:t>
            </w:r>
            <w:r>
              <w:rPr>
                <w:rFonts w:hint="eastAsia" w:ascii="宋体" w:hAnsi="宋体" w:eastAsia="宋体" w:cs="宋体"/>
                <w:sz w:val="24"/>
                <w:szCs w:val="24"/>
                <w:lang w:val="en-US" w:eastAsia="zh-CN" w:bidi="ar-SA"/>
              </w:rPr>
            </w:r>
            <w:r/>
          </w:p>
          <w:p>
            <w:pPr>
              <w:pStyle w:val="1044"/>
              <w:numPr>
                <w:ilvl w:val="0"/>
                <w:numId w:val="0"/>
              </w:numPr>
              <w:ind w:left="480" w:hanging="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2.总长度：≥20m；</w:t>
            </w:r>
            <w:r>
              <w:rPr>
                <w:rFonts w:hint="eastAsia" w:ascii="宋体" w:hAnsi="宋体" w:eastAsia="宋体" w:cs="宋体"/>
                <w:sz w:val="24"/>
                <w:szCs w:val="24"/>
                <w:lang w:val="en-US" w:eastAsia="zh-CN" w:bidi="ar-SA"/>
              </w:rPr>
            </w:r>
            <w:r/>
          </w:p>
          <w:p>
            <w:pPr>
              <w:pStyle w:val="1044"/>
              <w:numPr>
                <w:ilvl w:val="0"/>
                <w:numId w:val="0"/>
              </w:numPr>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3.可移动仓库隔离网，免打孔，移动方便，美观实用；</w:t>
            </w:r>
            <w:r>
              <w:rPr>
                <w:rFonts w:hint="eastAsia" w:ascii="宋体" w:hAnsi="宋体" w:eastAsia="宋体" w:cs="宋体"/>
                <w:sz w:val="24"/>
                <w:szCs w:val="24"/>
                <w:lang w:val="en-US" w:eastAsia="zh-CN" w:bidi="ar-SA"/>
              </w:rPr>
            </w:r>
            <w:r/>
          </w:p>
          <w:p>
            <w:pPr>
              <w:pStyle w:val="1044"/>
              <w:numPr>
                <w:ilvl w:val="0"/>
                <w:numId w:val="0"/>
              </w:numPr>
              <w:ind w:left="480" w:hanging="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4.网面精选优质低碳钢丝，精密焊接成网状，温度强韧，耐热性高，经久耐用；</w:t>
            </w:r>
            <w:r>
              <w:rPr>
                <w:rFonts w:hint="eastAsia" w:ascii="宋体" w:hAnsi="宋体" w:eastAsia="宋体" w:cs="宋体"/>
                <w:sz w:val="24"/>
                <w:szCs w:val="24"/>
                <w:lang w:val="en-US" w:eastAsia="zh-CN" w:bidi="ar-SA"/>
              </w:rPr>
            </w:r>
            <w:r/>
          </w:p>
          <w:p>
            <w:pPr>
              <w:pStyle w:val="1044"/>
              <w:numPr>
                <w:ilvl w:val="0"/>
                <w:numId w:val="0"/>
              </w:numPr>
              <w:ind w:left="480" w:hanging="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5.静电喷涂工艺，围栏具有良好的自洁性能，雨水冲刷可光洁如新；</w:t>
            </w:r>
            <w:r>
              <w:rPr>
                <w:rFonts w:hint="eastAsia" w:ascii="宋体" w:hAnsi="宋体" w:eastAsia="宋体" w:cs="宋体"/>
                <w:sz w:val="24"/>
                <w:szCs w:val="24"/>
                <w:lang w:val="en-US" w:eastAsia="zh-CN" w:bidi="ar-SA"/>
              </w:rPr>
            </w:r>
            <w:r/>
          </w:p>
          <w:p>
            <w:pPr>
              <w:pStyle w:val="1044"/>
              <w:numPr>
                <w:ilvl w:val="0"/>
                <w:numId w:val="0"/>
              </w:numPr>
              <w:ind w:left="480" w:hanging="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6.加筋加固结构，立柱加筋结构设计，底部加厚设计，称重更强，稳固不易晃动更稳固；</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7.根据产线整体安全防护要求安装防护装置（可按现场效果安装</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8.配置电工电气实训系统：</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电工及仪表照明的虚拟仿真软件，是在3D开发软件下制作，可根据控制方式进行虚实结合的运行。仿真平台可以适用于PC客户端、VR客户端、云端等进行虚拟操作，软件为中文界面，适用的软件环境广。仿真界面包含有：实训项目选择菜单、模型选择区、线材工具选择区、智能评分显示区、人工智能错误提示对话等。</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虚拟仿真实训项目</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本软件要求至少包含24个实训项目。用户根据不同实训项目的原理图选择相对于的模型和正确的接线方式，达到虚拟仿真训练。</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虚拟模型选择</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虚拟模型选择对话框中包含设备所用到的虚拟模型，模型选择区共计包含有等二十多种器件（响应时列出器件模型清单），用户根据不同的实训项目需要选择模型，具有智能扣分系统，可一键取消选型或删除功能。</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线材及工具选择</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中配置了常用的线材、工具，用户可以根据原理图进行接线，线材工具区包含有黄、绿、红、蓝、黑5种颜色导线，可以避免在线路复杂时分不清线材导通电路。用户需要严格按照原理图进行接线，具有智能扣分系统，可一键取消选型或删除功能。</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智能评分系统</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智能评分系统中默认得分为100，模型或导线选择错误时会智能扣分，用户进行实验中切换到另一个实训项目时得分会恢复并清空之前实验的模型和线材。</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一键示教实训功能</w:t>
            </w:r>
            <w:r>
              <w:rPr>
                <w:rFonts w:hint="eastAsia" w:ascii="宋体" w:hAnsi="宋体" w:eastAsia="宋体" w:cs="宋体"/>
                <w:sz w:val="24"/>
                <w:szCs w:val="24"/>
                <w:lang w:val="en-US" w:eastAsia="zh-CN" w:bidi="ar-SA"/>
              </w:rPr>
            </w:r>
            <w:r/>
          </w:p>
          <w:p>
            <w:pPr>
              <w:pStyle w:val="1044"/>
              <w:ind w:left="0" w:firstLine="0"/>
              <w:jc w:val="left"/>
              <w:keepLines w:val="0"/>
              <w:keepNext w:val="0"/>
              <w:pageBreakBefore w:val="0"/>
              <w:spacing w:after="0" w:line="360" w:lineRule="auto"/>
              <w:widowControl w:val="off"/>
              <w:rPr>
                <w:rFonts w:hint="eastAsia" w:ascii="Times New Roman" w:hAnsi="Times New Roman" w:eastAsia="宋体" w:cs="Times New Roman"/>
                <w:sz w:val="21"/>
                <w:szCs w:val="21"/>
                <w:lang w:val="en-US" w:eastAsia="zh-CN" w:bidi="ar-SA"/>
              </w:rPr>
            </w:pPr>
            <w:r>
              <w:rPr>
                <w:rFonts w:hint="eastAsia" w:ascii="宋体" w:hAnsi="宋体" w:eastAsia="宋体" w:cs="宋体"/>
                <w:sz w:val="24"/>
                <w:szCs w:val="24"/>
                <w:lang w:val="en-US" w:eastAsia="zh-CN" w:bidi="ar-SA"/>
              </w:rPr>
              <w:t xml:space="preserve">每一个实训项目对应一个自动接线功能，用户可以点击启用自动接线按钮，软件系统会自动生成该实训的模型和线材，用户可以在自动接线中进行仿真，能让用户更直观的观察实验现象。</w:t>
            </w:r>
            <w:r>
              <w:rPr>
                <w:rFonts w:hint="eastAsia" w:ascii="Times New Roman" w:hAnsi="Times New Roman" w:eastAsia="宋体" w:cs="Times New Roman"/>
                <w:sz w:val="21"/>
                <w:szCs w:val="21"/>
                <w:lang w:val="en-US" w:eastAsia="zh-CN" w:bidi="ar-SA"/>
              </w:rPr>
            </w:r>
            <w:r/>
          </w:p>
        </w:tc>
        <w:tc>
          <w:tcPr>
            <w:tcMar>
              <w:left w:w="101" w:type="dxa"/>
              <w:top w:w="15" w:type="dxa"/>
              <w:right w:w="101" w:type="dxa"/>
              <w:bottom w:w="0" w:type="dxa"/>
            </w:tcMar>
            <w:tcW w:w="615" w:type="dxa"/>
            <w:vAlign w:val="center"/>
            <w:textDirection w:val="lrTb"/>
            <w:noWrap w:val="false"/>
          </w:tcPr>
          <w:p>
            <w:pPr>
              <w:pStyle w:val="1044"/>
              <w:ind w:left="0" w:firstLine="0"/>
              <w:jc w:val="left"/>
              <w:keepLines w:val="0"/>
              <w:keepNext w:val="0"/>
              <w:pageBreakBefore w:val="0"/>
              <w:spacing w:after="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Mar>
              <w:left w:w="101" w:type="dxa"/>
              <w:top w:w="15" w:type="dxa"/>
              <w:right w:w="101" w:type="dxa"/>
              <w:bottom w:w="0" w:type="dxa"/>
            </w:tcMar>
            <w:tcW w:w="619" w:type="dxa"/>
            <w:vAlign w:val="center"/>
            <w:textDirection w:val="lrTb"/>
            <w:noWrap w:val="false"/>
          </w:tcPr>
          <w:p>
            <w:pPr>
              <w:pStyle w:val="1044"/>
              <w:ind w:left="0" w:firstLine="0"/>
              <w:jc w:val="left"/>
              <w:keepLines w:val="0"/>
              <w:keepNext w:val="0"/>
              <w:pageBreakBefore w:val="0"/>
              <w:spacing w:after="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ascii="宋体" w:hAnsi="宋体" w:eastAsia="宋体" w:cs="宋体"/>
                <w:sz w:val="24"/>
                <w:szCs w:val="24"/>
                <w:lang w:val="en-US" w:eastAsia="zh-CN" w:bidi="ar-SA"/>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仿真教学系统（数字孪生）</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1.系统界面</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（1）软件界面具备模型搜索功能，可通过输⼊关键字快速搜索所需数模，通过点击模型来导⼊场景中；</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（2）模型/方案收藏功能，支持一键收藏用户在软件中规划的方案场景，支持单个 模型、单站、产线级场景的一键收藏，便于用户对方案的完善和修改；</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▲（3）软件系统具备场景树功能，虚拟场景中产线构成的所有模块，可在场景数中按照模块展开进行分类，同时可以一键生成B</w:t>
            </w:r>
            <w:r>
              <w:rPr>
                <w:rFonts w:hint="eastAsia" w:ascii="宋体" w:hAnsi="宋体" w:eastAsia="宋体" w:cs="宋体"/>
                <w:sz w:val="24"/>
                <w:szCs w:val="24"/>
                <w:lang w:val="en-US" w:eastAsia="zh-CN"/>
              </w:rPr>
              <w:t xml:space="preserve">OM</w:t>
            </w:r>
            <w:r>
              <w:rPr>
                <w:rFonts w:hint="eastAsia" w:ascii="宋体" w:hAnsi="宋体" w:eastAsia="宋体" w:cs="宋体"/>
                <w:sz w:val="24"/>
                <w:szCs w:val="24"/>
              </w:rPr>
              <w:t xml:space="preserve">清单并导出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BOM清单内容包括 但不限于设备名称、设备型号、设备数量、设备编码等信息（投标文件中提供软件功能截图）；</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（4）软件系统界面包含案例库模块，至少包含光伏、3C、电机、锂电、汽车等四大场景的成熟案例应用。</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2.场景支持及渲染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（1）支持200+设备大场景同时加载运行，支持大产线级别应用，包容更大场景；机理模型外形尺寸与现实等比例一致，外观高度还原现实场景，包括颗粒感，金属感等物理属性感观呈现；</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（2）支持高清渲染管线，实现场景AAA级画面渲染；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3.模型库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（1）模型库中的总数模量不少于5000种，可参数化模型不少于1000种，按照不同的功能可分为9大类，包含机器人、供料装置、移料装置、工艺装置、辅助装置、基础几何体等；</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（2）具备仿真人模型模块，仿真人可完成操作、行走、坐下、搬运以及站立等5种演示指令。</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4.模型编辑功能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（1）含机理模型导入功能，支持 GLB\STEP\FBX\PLY等7种格式的模型导入；</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（2）含模型轻量化处理功能，支持大场景系统运行；</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（3）可参数化功能，不仅支持模型长宽高的变化，也可支持模型结构形式的变化。</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5.模型导入</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（1）用户可通过模型编辑器自行导⼊模型并编辑，实现模型的仿真建模。支持FBX,STP,STEP,GLB,GLTF,OBJ,STL等七种常规格式；</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（2）导出模型及配置：导出模型可直接在FSM 软件内进行使用，并通过OPC UA等通信协议进行节点绑定后，通过外部控制器进行控制。</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6.软件示教模块</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（1）可连接外部真实/虚拟示教器对软件场景中的机器人模型进行示教；</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（2）搭配的实体示教器可一示教器配多机器人，在一个示教器上进行示教；</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（3）机器⼈点位的位置和姿态，以及各运动关节的关节值可实时在软件相应面板上进行观测。</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7.方案搭建功能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（1）线性阵列和环形阵列功能，能快速阵列多个物体在指定位置。方便用户快速复 用已有模型组合；</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（2）软件具备点线面测量功能，可保证模型与模型间的组合精度测量。</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8.仿真调试</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（1）软件具备低代码编程，包含常用的PTP/LIN/IF/WHILE/WAIT/ASSIGN/SETLO等九种指令模式；</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▲（2）具备至少5种工艺包类型，其中包括3+2立体式涂胶的典型工艺应用（投标文件中提供软件功能截图）；</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）机器人仿真控制：支持ABB、KUKA、FANUC、YASKAWA、三菱、埃夫特、史陶比尔等</w:t>
            </w:r>
            <w:r>
              <w:rPr>
                <w:rFonts w:hint="eastAsia" w:ascii="宋体" w:hAnsi="宋体" w:eastAsia="宋体" w:cs="宋体"/>
                <w:sz w:val="24"/>
                <w:szCs w:val="24"/>
                <w:highlight w:val="none"/>
                <w:lang w:val="en-US" w:eastAsia="zh-CN"/>
              </w:rPr>
              <w:t xml:space="preserve">相同或略高于</w:t>
            </w:r>
            <w:r>
              <w:rPr>
                <w:rFonts w:hint="eastAsia" w:ascii="宋体" w:hAnsi="宋体" w:eastAsia="宋体" w:cs="宋体"/>
                <w:sz w:val="24"/>
                <w:szCs w:val="24"/>
                <w:highlight w:val="none"/>
              </w:rPr>
              <w:t xml:space="preserve">工业六轴机器人产品，同时也支持，UR、越疆、法奥等</w:t>
            </w:r>
            <w:r>
              <w:rPr>
                <w:rFonts w:hint="eastAsia" w:ascii="宋体" w:hAnsi="宋体" w:eastAsia="宋体" w:cs="宋体"/>
                <w:sz w:val="24"/>
                <w:szCs w:val="24"/>
                <w:highlight w:val="none"/>
                <w:lang w:val="en-US" w:eastAsia="zh-CN"/>
              </w:rPr>
              <w:t xml:space="preserve">相同或略高于</w:t>
            </w:r>
            <w:r>
              <w:rPr>
                <w:rFonts w:hint="eastAsia" w:ascii="宋体" w:hAnsi="宋体" w:eastAsia="宋体" w:cs="宋体"/>
                <w:sz w:val="24"/>
                <w:szCs w:val="24"/>
                <w:highlight w:val="none"/>
              </w:rPr>
              <w:t xml:space="preserve">协作机器人品牌；</w:t>
            </w:r>
            <w:r>
              <w:rPr>
                <w:rFonts w:hint="eastAsia" w:ascii="宋体" w:hAnsi="宋体" w:eastAsia="宋体" w:cs="宋体"/>
                <w:sz w:val="24"/>
                <w:szCs w:val="24"/>
                <w:highlight w:val="none"/>
              </w:rPr>
            </w:r>
            <w:r/>
          </w:p>
          <w:p>
            <w:pPr>
              <w:pStyle w:val="104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（4）软件还支持多类型的通信协议，可实现与主流品牌PLC信号交互，包含西门子、三菱、汇川等，支持MODBUS、TCP、OPC UA、S7等总线通讯协议；</w:t>
            </w:r>
            <w:r>
              <w:rPr>
                <w:rFonts w:hint="eastAsia" w:ascii="宋体" w:hAnsi="宋体" w:eastAsia="宋体" w:cs="宋体"/>
                <w:sz w:val="24"/>
                <w:szCs w:val="24"/>
                <w:highlight w:val="none"/>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9.程序导出</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软件调试完成的程序框架，可通过虚实校准，编程，软件程序可导出品牌机器人的程序文本，也可以导入芯控控制器，实现现场快速部署；</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10.3D模型参数化功能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（1）包含可通过手动输入或滑动阈值范围的方式来对尺寸，类型，方向等参数进行 模型参数化设置主要是输送线、提升机、堆垛机、货架、立体仓库；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（2）包含参数化模型可阵列，复制功能。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11.机理模型配置功能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包含对机理模型主要是机器人、堆垛机、提升机等设备机构、关节、连杆运动学关系设置的功能。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12.云端模型库功能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（1）包含机理模型图片显示以及收藏、详情及参数化等关键信息的图标；</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（2）包含分类标签筛选机理模型，包括但不限于AGV、RGV、堆垛机、输送线、托盘、穿梭车、货架等模型。</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13.布局基础功能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（1）位姿编辑：设置机理模型或组合体相对于不同参考坐标系下位置和姿态；</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（2）将机理模型或组合体进行排布成线性或环形阵列；</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（3）实现不同机理模型两个面的对齐。</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14.机理模型右键功能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（1）参数修改功能主要用于改变机理模型的长宽高尺寸信息；</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（2）添加坐标系功能在机理模型上新建坐标系并辅助用户搭建。可对模型的顶点、边、面、圆心、原点、包围框进行新建坐标。并通过法向对齐和捕捉模式辅助坐标系建立。</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15.常规渲染功能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保留基本材质效果，支持2000+设备大场景同时加载运行。</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16.特效渲染功能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（1）将3D场景中的材质、真实光影、镜面反射、间接光照、描边、抗锯齿等进行优 化计算，支持1000+设备大场景同时加载运行；</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（2）机理模型细致入微，外形尺寸与现实世界的设备一一对应，实现了等比例的精 准复现。</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17.设备看板功能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（1）含设备名称显示功能；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（2）含产品类型和数量显示功能；</w:t>
            </w:r>
            <w:r>
              <w:rPr>
                <w:rFonts w:hint="eastAsia" w:ascii="宋体" w:hAnsi="宋体" w:eastAsia="宋体" w:cs="宋体"/>
                <w:sz w:val="24"/>
                <w:szCs w:val="24"/>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（3）含实时查看仿真过程中设备运行的状态的功能包括但不限于设备的运行值、临界值、设备状态等信息。</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6关节机器人</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1.机器人本体</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（1）串联六轴工业机器人，支持任意角度安装方式；</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（2）重复定位精度：≤±0.05mm（额定负载）；</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（3）手腕部可搬运质量≥20Kg；</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（4）最大工作半径：≥1800mm；</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（5）机器人本体重量：≤210Kg；</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（6）机器人各轴动作范围（最高速度）</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a）轴1：≥360 °（≥200°/s）；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b）轴2：≥250 °（≥200°/s）；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c）轴3：≥240 °（≥280°/s）；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d）轴4：≥380 °（≥360°/s）；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e）轴5：≥270 °（≥400°/s）；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f）轴6：≥720 °（≥600°/s）；</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（7）环境温度：0~45℃；</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（8）环境湿度：通常20～80%RH（无结露现象）；</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（9）振动加速度：4.9m/s²（0.5G 以下），海拔1000m以下。</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2.机器人本体-控制柜连接线缆1套</w:t>
            </w:r>
            <w:r>
              <w:rPr>
                <w:rFonts w:hint="eastAsia" w:ascii="宋体" w:hAnsi="宋体" w:eastAsia="宋体" w:cs="宋体"/>
                <w:sz w:val="24"/>
                <w:szCs w:val="24"/>
              </w:rPr>
            </w:r>
            <w:r/>
          </w:p>
          <w:p>
            <w:pPr>
              <w:pStyle w:val="1044"/>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3.机器人底座</w:t>
            </w:r>
            <w:r>
              <w:rPr>
                <w:rFonts w:ascii="宋体" w:hAnsi="宋体" w:eastAsia="宋体" w:cs="宋体"/>
                <w:color w:val="000000"/>
                <w:sz w:val="24"/>
                <w:szCs w:val="24"/>
                <w:lang w:val="en-US" w:eastAsia="zh-CN"/>
              </w:rPr>
            </w:r>
            <w:r/>
          </w:p>
          <w:p>
            <w:pPr>
              <w:pStyle w:val="104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采用碳钢材质；</w:t>
            </w:r>
            <w:r>
              <w:rPr>
                <w:rFonts w:hint="eastAsia" w:ascii="宋体" w:hAnsi="宋体" w:eastAsia="宋体" w:cs="宋体"/>
                <w:sz w:val="24"/>
                <w:szCs w:val="24"/>
                <w:highlight w:val="none"/>
              </w:rPr>
            </w:r>
            <w:r/>
          </w:p>
          <w:p>
            <w:pPr>
              <w:pStyle w:val="104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表面防锈处理；</w:t>
            </w:r>
            <w:r>
              <w:rPr>
                <w:rFonts w:hint="eastAsia" w:ascii="宋体" w:hAnsi="宋体" w:eastAsia="宋体" w:cs="宋体"/>
                <w:sz w:val="24"/>
                <w:szCs w:val="24"/>
                <w:highlight w:val="none"/>
              </w:rPr>
            </w:r>
            <w:r/>
          </w:p>
          <w:p>
            <w:pPr>
              <w:pStyle w:val="104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机器人安装面尺寸≥350×350mm；</w:t>
            </w:r>
            <w:r>
              <w:rPr>
                <w:rFonts w:hint="eastAsia" w:ascii="宋体" w:hAnsi="宋体" w:eastAsia="宋体" w:cs="宋体"/>
                <w:sz w:val="24"/>
                <w:szCs w:val="24"/>
                <w:highlight w:val="none"/>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要求预留螺栓安装孔。</w:t>
            </w:r>
            <w:r>
              <w:rPr>
                <w:rFonts w:hint="eastAsia" w:ascii="宋体" w:hAnsi="宋体" w:eastAsia="宋体" w:cs="宋体"/>
                <w:sz w:val="24"/>
                <w:szCs w:val="24"/>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4.</w:t>
            </w:r>
            <w:r>
              <w:rPr>
                <w:rFonts w:hint="eastAsia" w:ascii="宋体" w:hAnsi="宋体" w:eastAsia="宋体" w:cs="宋体"/>
                <w:sz w:val="24"/>
                <w:szCs w:val="21"/>
              </w:rPr>
              <w:t xml:space="preserve">机器人控制系统</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（1）机器人控制电柜采用驱控一体形式，运动控制器、机器人控制系统和六轴伺服驱动控制采用PCB板卡形式集成于一体，整体尺寸：≤580×260×400mm；</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w:t>
            </w:r>
            <w:r>
              <w:rPr>
                <w:rFonts w:hint="eastAsia" w:ascii="宋体" w:hAnsi="宋体" w:eastAsia="宋体" w:cs="宋体"/>
                <w:sz w:val="24"/>
                <w:szCs w:val="21"/>
              </w:rPr>
              <w:t xml:space="preserve">（2）采用多自由度和非线性控制算法，实现高动态响应、高精度的电流、速度及位置控制；（投标文件中提供功能截图或产品彩页扫描件）</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（3）支持32路光耦隔离数字量输入与32路光耦隔离数字量输出，4路-10V~+10V，分辨率14bit模拟量输入，4路-10V~+10V，10mA，分辨率14bit模拟量输出；</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（4）支持gLink-I和gLink-II千兆网络协议；</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（5）支持编码器反馈信号和抱闸信号的网络控制与传输；</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（6）支持手持盒热拔插；</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（7）集成辅助编码器、C A N 总线协议、机器视觉和串，RS232 接 口，共有 Ethernet*2 (10/100/1000MBps 自适应），RS-232*1，CAN*1，gLink-I*1，gLink-II*1 等接口；</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（8）运动控制计算与伺服驱动环路计算完全同步，具有软件开发平台，实时观测曲线，轻松调试，可实现固件和软件在线升级；</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（9）电控系统主机性能：CPU</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1.66GHz，内存2GB，硬盘4GB，操作系统Wince 6.0。</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示教器</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（1）屏幕尺寸≥7.0寸；</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（2）按键：全屏触控、急停按钮、示教启动（带灯）、暂停键（带灯）、模式旋钮（示教/回放/再现）、54个操作按键（包括全数字键）、HMI接口；</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（3）功能：手动控制机器人运动、机器人程序示教编程、机器人程 序自动运行、机器人运行状态监视、机器人控制参数设置；</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6</w:t>
            </w:r>
            <w:r>
              <w:rPr>
                <w:rFonts w:hint="eastAsia" w:ascii="宋体" w:hAnsi="宋体" w:eastAsia="宋体" w:cs="宋体"/>
                <w:sz w:val="24"/>
                <w:szCs w:val="21"/>
              </w:rPr>
              <w:t xml:space="preserve">.控制器组态软件</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（1）应用程序的开发、人机界面的设计、运动规划、逻辑管理及网络数据交互等；</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（2）</w:t>
            </w:r>
            <w:r>
              <w:rPr>
                <w:rFonts w:hint="eastAsia" w:ascii="宋体" w:hAnsi="宋体" w:eastAsia="宋体" w:cs="宋体"/>
                <w:sz w:val="24"/>
                <w:szCs w:val="21"/>
              </w:rPr>
              <w:t xml:space="preserve">实现运动控制、逻辑控制及图像实时处理功能；</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▲（3）</w:t>
            </w:r>
            <w:r>
              <w:rPr>
                <w:rFonts w:hint="eastAsia" w:ascii="宋体" w:hAnsi="宋体" w:eastAsia="宋体" w:cs="宋体"/>
                <w:sz w:val="24"/>
                <w:szCs w:val="21"/>
              </w:rPr>
              <w:t xml:space="preserve">具有源代码打开加密、源代码修改加密、库文件加密、回款加密、硬件绑定加密等多重加密；（投标文件中提供软件功能截图）</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▲（4）</w:t>
            </w:r>
            <w:r>
              <w:rPr>
                <w:rFonts w:hint="eastAsia" w:ascii="宋体" w:hAnsi="宋体" w:eastAsia="宋体" w:cs="宋体"/>
                <w:sz w:val="24"/>
                <w:szCs w:val="21"/>
              </w:rPr>
              <w:t xml:space="preserve">可设置每个从站模块中断停止功能，可设置每个模拟量输入输出模块诊断功能；（投标文件中提供软件功能截图）</w:t>
            </w:r>
            <w:r>
              <w:rPr>
                <w:rFonts w:hint="eastAsia" w:ascii="宋体" w:hAnsi="宋体" w:eastAsia="宋体" w:cs="宋体"/>
                <w:sz w:val="24"/>
                <w:szCs w:val="21"/>
              </w:rPr>
            </w:r>
            <w:r/>
          </w:p>
          <w:p>
            <w:pPr>
              <w:pStyle w:val="104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lang w:val="en-US" w:eastAsia="zh-CN"/>
              </w:rPr>
              <w:t xml:space="preserve">5</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rPr>
              <w:t xml:space="preserve">目标系统设置：控制器、存储器、网络功能、可视化（设置宽度、高度、字体选择、是否使用报警处理和存储趋势数据）设置</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rPr>
            </w:r>
            <w:r/>
          </w:p>
          <w:p>
            <w:pPr>
              <w:pStyle w:val="1044"/>
              <w:jc w:val="left"/>
              <w:spacing w:line="360" w:lineRule="auto"/>
              <w:rPr>
                <w:rFonts w:hint="eastAsia" w:ascii="宋体" w:hAnsi="宋体" w:eastAsia="宋体" w:cs="宋体"/>
                <w:color w:val="000000"/>
                <w:szCs w:val="21"/>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lang w:val="en-US" w:eastAsia="zh-CN"/>
              </w:rPr>
              <w:t xml:space="preserve">6</w:t>
            </w:r>
            <w:r>
              <w:rPr>
                <w:rFonts w:hint="eastAsia" w:ascii="宋体" w:hAnsi="宋体" w:eastAsia="宋体" w:cs="宋体"/>
                <w:color w:val="000000"/>
                <w:sz w:val="24"/>
                <w:szCs w:val="21"/>
                <w:lang w:eastAsia="zh-CN"/>
              </w:rPr>
              <w:t xml:space="preserve">）</w:t>
            </w:r>
            <w:r>
              <w:rPr>
                <w:rFonts w:hint="eastAsia" w:ascii="宋体" w:hAnsi="宋体" w:eastAsia="宋体" w:cs="宋体"/>
                <w:color w:val="000000"/>
                <w:sz w:val="24"/>
                <w:szCs w:val="21"/>
              </w:rPr>
              <w:t xml:space="preserve">任务配置：添加、删除、启用、禁用任务，设置优先级、看门狗时间、类型（周期、自由循环、事件触发、外部事件触发、时间间隔）</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32"/>
                <w:highlight w:val="none"/>
                <w:lang w:val="en-US" w:eastAsia="zh-CN"/>
              </w:rPr>
              <w:t xml:space="preserve">投标文件中提供功能演示视频）</w:t>
            </w:r>
            <w:r>
              <w:rPr>
                <w:rFonts w:hint="eastAsia" w:ascii="宋体" w:hAnsi="宋体" w:eastAsia="宋体" w:cs="宋体"/>
                <w:color w:val="000000"/>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.伺服调试软件</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highlight w:val="red"/>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sz w:val="24"/>
                <w:szCs w:val="21"/>
              </w:rPr>
              <w:t xml:space="preserve">（1）可选多种调试方式：</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32"/>
                <w:highlight w:val="none"/>
                <w:lang w:val="en-US" w:eastAsia="zh-CN"/>
              </w:rPr>
              <w:t xml:space="preserve">投标文件中提供功能演示视频）</w:t>
            </w:r>
            <w:r>
              <w:rPr>
                <w:rFonts w:hint="eastAsia" w:ascii="宋体" w:hAnsi="宋体" w:eastAsia="宋体" w:cs="宋体"/>
                <w:sz w:val="24"/>
                <w:szCs w:val="21"/>
                <w:highlight w:val="red"/>
              </w:rPr>
            </w:r>
            <w:r/>
          </w:p>
          <w:p>
            <w:pPr>
              <w:pStyle w:val="1044"/>
              <w:numPr>
                <w:ilvl w:val="0"/>
                <w:numId w:val="14"/>
              </w:numPr>
              <w:ind w:left="425" w:hanging="425"/>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参数自动化整定；</w:t>
            </w:r>
            <w:r>
              <w:rPr>
                <w:rFonts w:hint="eastAsia" w:ascii="宋体" w:hAnsi="宋体" w:eastAsia="宋体" w:cs="宋体"/>
                <w:sz w:val="24"/>
                <w:szCs w:val="21"/>
              </w:rPr>
            </w:r>
            <w:r/>
          </w:p>
          <w:p>
            <w:pPr>
              <w:pStyle w:val="1044"/>
              <w:numPr>
                <w:ilvl w:val="0"/>
                <w:numId w:val="14"/>
              </w:numPr>
              <w:ind w:left="425" w:hanging="425"/>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快速向导模式快速调试；</w:t>
            </w:r>
            <w:r>
              <w:rPr>
                <w:rFonts w:hint="eastAsia" w:ascii="宋体" w:hAnsi="宋体" w:eastAsia="宋体" w:cs="宋体"/>
                <w:sz w:val="24"/>
                <w:szCs w:val="21"/>
              </w:rPr>
            </w:r>
            <w:r/>
          </w:p>
          <w:p>
            <w:pPr>
              <w:pStyle w:val="1044"/>
              <w:numPr>
                <w:ilvl w:val="0"/>
                <w:numId w:val="14"/>
              </w:numPr>
              <w:ind w:left="425" w:hanging="425"/>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机电系统自定义参数调试可支持设定400多个调试参数和变量；</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（2）IO配置提供25种类型输入功能和25种类型输出功能，可以定义输入为脚本触发；</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（3）</w:t>
            </w:r>
            <w:r>
              <w:rPr>
                <w:rFonts w:hint="eastAsia" w:ascii="宋体" w:hAnsi="宋体" w:eastAsia="宋体" w:cs="宋体"/>
                <w:sz w:val="24"/>
                <w:szCs w:val="21"/>
              </w:rPr>
              <w:t xml:space="preserve">具有示波图和脚本运行功能，可直接观测波形，让调试更加便捷；</w:t>
            </w:r>
            <w:r>
              <w:rPr>
                <w:rFonts w:hint="eastAsia" w:ascii="宋体" w:hAnsi="宋体" w:eastAsia="宋体" w:cs="宋体"/>
                <w:sz w:val="24"/>
                <w:szCs w:val="21"/>
              </w:rPr>
            </w:r>
            <w:r/>
          </w:p>
          <w:p>
            <w:pPr>
              <w:pStyle w:val="1044"/>
              <w:jc w:val="left"/>
              <w:spacing w:line="360" w:lineRule="auto"/>
              <w:rPr>
                <w:rFonts w:hint="eastAsia" w:ascii="宋体" w:hAnsi="宋体" w:eastAsia="宋体" w:cs="宋体"/>
                <w:sz w:val="24"/>
                <w:szCs w:val="21"/>
              </w:rPr>
            </w:pPr>
            <w:r>
              <w:rPr>
                <w:rFonts w:hint="eastAsia" w:ascii="宋体" w:hAnsi="宋体" w:eastAsia="宋体" w:cs="宋体"/>
                <w:sz w:val="24"/>
                <w:szCs w:val="21"/>
              </w:rPr>
              <w:t xml:space="preserve">（4）调试界面使用原理示意图，更易于用户设置参数；</w:t>
            </w:r>
            <w:r>
              <w:rPr>
                <w:rFonts w:hint="eastAsia" w:ascii="宋体" w:hAnsi="宋体" w:eastAsia="宋体" w:cs="宋体"/>
                <w:sz w:val="24"/>
                <w:szCs w:val="21"/>
              </w:rPr>
            </w:r>
            <w:r/>
          </w:p>
          <w:p>
            <w:pPr>
              <w:pStyle w:val="1044"/>
              <w:spacing w:line="360" w:lineRule="auto"/>
              <w:rPr>
                <w:rFonts w:hint="eastAsia" w:ascii="宋体" w:hAnsi="宋体" w:eastAsia="宋体" w:cs="宋体"/>
                <w:sz w:val="24"/>
                <w:szCs w:val="21"/>
              </w:rPr>
            </w:pPr>
            <w:r>
              <w:rPr>
                <w:rFonts w:hint="eastAsia" w:ascii="宋体" w:hAnsi="宋体" w:eastAsia="宋体" w:cs="宋体"/>
                <w:color w:val="000000"/>
                <w:sz w:val="24"/>
                <w:szCs w:val="21"/>
              </w:rPr>
              <w:t xml:space="preserve">▲</w:t>
            </w:r>
            <w:r>
              <w:rPr>
                <w:rFonts w:hint="eastAsia" w:ascii="宋体" w:hAnsi="宋体" w:eastAsia="宋体" w:cs="宋体"/>
                <w:sz w:val="24"/>
                <w:szCs w:val="21"/>
              </w:rPr>
              <w:t xml:space="preserve">（5）具有专家模式，可以指令输入调试，具有运动、电流环、速度环、位置环等调试功能模块。(投标文件中提供软件功能截图)</w:t>
            </w:r>
            <w:r>
              <w:rPr>
                <w:rFonts w:hint="eastAsia" w:ascii="宋体" w:hAnsi="宋体" w:eastAsia="宋体" w:cs="宋体"/>
                <w:sz w:val="24"/>
                <w:szCs w:val="21"/>
              </w:rPr>
            </w:r>
            <w:r/>
          </w:p>
          <w:p>
            <w:pPr>
              <w:pStyle w:val="1044"/>
              <w:ind w:left="0" w:firstLine="0"/>
              <w:jc w:val="both"/>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8.控制器助手</w:t>
            </w:r>
            <w:r>
              <w:rPr>
                <w:rFonts w:hint="eastAsia" w:ascii="宋体" w:hAnsi="宋体" w:eastAsia="宋体" w:cs="宋体"/>
                <w:sz w:val="24"/>
                <w:szCs w:val="24"/>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（1）控制器配置功能：轴号、驱动器报警、正限位、负限位、平滑停止、急停、规划期当量、编码器当量、脉冲输出模式、脉冲计数源、home捕获触发沿、index捕获触发沿、跟随误差、输入、输出配置；</w:t>
            </w:r>
            <w:r>
              <w:rPr>
                <w:rFonts w:hint="eastAsia" w:ascii="宋体" w:hAnsi="宋体" w:eastAsia="宋体" w:cs="宋体"/>
                <w:sz w:val="24"/>
                <w:szCs w:val="32"/>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（2）程序烧录功能：进行固件升级，有选择文件、数据状态、烧录、校验、获取序列号功能；</w:t>
            </w:r>
            <w:r>
              <w:rPr>
                <w:rFonts w:hint="eastAsia" w:ascii="宋体" w:hAnsi="宋体" w:eastAsia="宋体" w:cs="宋体"/>
                <w:sz w:val="24"/>
                <w:szCs w:val="32"/>
                <w:lang w:val="en-US" w:eastAsia="zh-CN" w:bidi="ar-SA"/>
              </w:rPr>
            </w:r>
            <w:r/>
          </w:p>
          <w:p>
            <w:pPr>
              <w:pStyle w:val="1044"/>
              <w:jc w:val="left"/>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32"/>
                <w:lang w:val="en-US" w:eastAsia="zh-CN" w:bidi="ar-SA"/>
              </w:rPr>
              <w:t xml:space="preserve">（3）轴状态查看：查看轴的实际位置、规划位置、实际速度、规划速度、规划加速度、运动模式、驱动器报警、负向限位、正向限位、运动出错、伺服使能、运动状态、IO平滑停止、IO紧急停止，有清除状态、伺服使能、位置清零、平滑停止、紧急停止功能按钮（</w:t>
            </w:r>
            <w:r>
              <w:rPr>
                <w:rFonts w:hint="eastAsia" w:ascii="宋体" w:hAnsi="宋体" w:eastAsia="宋体" w:cs="宋体"/>
                <w:color w:val="000000"/>
                <w:sz w:val="24"/>
                <w:szCs w:val="32"/>
                <w:highlight w:val="none"/>
                <w:lang w:val="en-US" w:eastAsia="zh-CN" w:bidi="ar-SA"/>
              </w:rPr>
              <w:t xml:space="preserve">投标文件中提供功能演示视频）</w:t>
            </w:r>
            <w:r>
              <w:rPr>
                <w:rFonts w:hint="eastAsia" w:ascii="宋体" w:hAnsi="宋体" w:eastAsia="宋体" w:cs="宋体"/>
                <w:color w:val="000000"/>
                <w:sz w:val="24"/>
                <w:szCs w:val="32"/>
                <w:highlight w:val="none"/>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（4）点位运动功能：选择轴号，设置速度、步长、加速度、减速度、平滑时间、循环次数、到位延时参数，启动运动功能按钮；</w:t>
            </w:r>
            <w:r>
              <w:rPr>
                <w:rFonts w:hint="eastAsia" w:ascii="宋体" w:hAnsi="宋体" w:eastAsia="宋体" w:cs="宋体"/>
                <w:color w:val="000000"/>
                <w:sz w:val="24"/>
                <w:szCs w:val="32"/>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（5）JOG运动功能：选择轴号，设置速度、加速度、减速度；</w:t>
            </w:r>
            <w:r>
              <w:rPr>
                <w:rFonts w:hint="eastAsia" w:ascii="宋体" w:hAnsi="宋体" w:eastAsia="宋体" w:cs="宋体"/>
                <w:color w:val="000000"/>
                <w:sz w:val="24"/>
                <w:szCs w:val="32"/>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（6）PT运动：选择轴号，设置位置、时间、速度、类型参数，有增加普通段、增加匀速段、增加停止段、清除数据、打开文件、保存文件、作图、运动等功能按钮；</w:t>
            </w:r>
            <w:r>
              <w:rPr>
                <w:rFonts w:hint="eastAsia" w:ascii="宋体" w:hAnsi="宋体" w:eastAsia="宋体" w:cs="宋体"/>
                <w:color w:val="000000"/>
                <w:sz w:val="24"/>
                <w:szCs w:val="32"/>
                <w:lang w:val="en-US" w:eastAsia="zh-CN" w:bidi="ar-SA"/>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color w:val="000000"/>
                <w:sz w:val="24"/>
                <w:szCs w:val="32"/>
                <w:lang w:val="en-US" w:eastAsia="zh-CN" w:bidi="ar-SA"/>
              </w:rPr>
            </w:pPr>
            <w:r>
              <w:rPr>
                <w:rFonts w:hint="eastAsia" w:ascii="宋体" w:hAnsi="宋体" w:eastAsia="宋体" w:cs="宋体"/>
                <w:color w:val="000000"/>
                <w:sz w:val="24"/>
                <w:szCs w:val="32"/>
                <w:lang w:val="en-US" w:eastAsia="zh-CN" w:bidi="ar-SA"/>
              </w:rPr>
              <w:t xml:space="preserve">（7）Follow运动功能：设置主轴位移、从轴位移、段类型、运动从轴、运动主轴、主轴类型、重复次数，有增加普通段、增加匀速段、增加停止段、清除数据、保存文件、打开文件、运动等功能按钮；</w:t>
            </w:r>
            <w:r>
              <w:rPr>
                <w:rFonts w:hint="eastAsia" w:ascii="宋体" w:hAnsi="宋体" w:eastAsia="宋体" w:cs="宋体"/>
                <w:color w:val="000000"/>
                <w:sz w:val="24"/>
                <w:szCs w:val="32"/>
                <w:lang w:val="en-US" w:eastAsia="zh-CN" w:bidi="ar-SA"/>
              </w:rPr>
            </w:r>
            <w:r/>
          </w:p>
          <w:p>
            <w:pPr>
              <w:pStyle w:val="1044"/>
              <w:jc w:val="left"/>
              <w:spacing w:line="360" w:lineRule="auto"/>
              <w:rPr>
                <w:rFonts w:hint="eastAsia" w:ascii="宋体" w:hAnsi="宋体" w:eastAsia="宋体" w:cs="宋体"/>
                <w:color w:val="000000"/>
                <w:szCs w:val="21"/>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32"/>
                <w:lang w:val="en-US" w:eastAsia="zh-CN" w:bidi="ar-SA"/>
              </w:rPr>
              <w:t xml:space="preserve">（8）插补运动功能：选择坐标系、缓冲区、X轴、Y轴、Z轴、A轴、插补段类型、IO设置、延时设置、减速到零、缓存区DA输出、圆弧逆时针方向，设置最大速度、最大加速度、平滑时间、终点速度、圆弧半径等参数，有建立坐标系、增加数据、清除数据、打开文件、启动运动、清空缓冲区、暂停及重启、更新倍率等功能按钮；</w:t>
            </w:r>
            <w:r>
              <w:rPr>
                <w:rFonts w:hint="eastAsia" w:ascii="宋体" w:hAnsi="宋体" w:eastAsia="宋体" w:cs="宋体"/>
                <w:color w:val="000000"/>
                <w:sz w:val="24"/>
                <w:szCs w:val="32"/>
                <w:highlight w:val="none"/>
                <w:lang w:val="en-US" w:eastAsia="zh-CN" w:bidi="ar-SA"/>
              </w:rPr>
              <w:t xml:space="preserve">（投标文件中提供功能演示视频）</w:t>
            </w:r>
            <w:r>
              <w:rPr>
                <w:rFonts w:hint="eastAsia" w:ascii="宋体" w:hAnsi="宋体" w:eastAsia="宋体" w:cs="宋体"/>
                <w:color w:val="000000"/>
                <w:szCs w:val="21"/>
              </w:rPr>
            </w:r>
            <w:r/>
          </w:p>
          <w:p>
            <w:pPr>
              <w:pStyle w:val="1044"/>
              <w:numPr>
                <w:ilvl w:val="0"/>
                <w:numId w:val="0"/>
              </w:numPr>
              <w:ind w:left="420" w:firstLine="480"/>
              <w:jc w:val="both"/>
              <w:keepLines w:val="0"/>
              <w:keepNext w:val="0"/>
              <w:pageBreakBefore w:val="0"/>
              <w:spacing w:after="0"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 xml:space="preserve">（9）状态查看功能：查看编码器、模拟量输入、Home捕获、index捕获、probe捕获、正限位信号、负限位信号、驱动器报警、原点信号、通用输入、电机到位、手轮信号，设置DO输出、电压输出。</w:t>
            </w:r>
            <w:r>
              <w:rPr>
                <w:rFonts w:hint="eastAsia" w:ascii="宋体" w:hAnsi="宋体" w:eastAsia="宋体" w:cs="宋体"/>
                <w:sz w:val="24"/>
                <w:szCs w:val="32"/>
                <w:lang w:val="en-US" w:eastAsia="zh-CN" w:bidi="ar-SA"/>
              </w:rPr>
            </w:r>
            <w:r/>
          </w:p>
          <w:p>
            <w:pPr>
              <w:pStyle w:val="1044"/>
              <w:ind w:left="0" w:firstLine="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9.</w:t>
            </w:r>
            <w:r>
              <w:rPr>
                <w:rFonts w:hint="eastAsia" w:ascii="Times New Roman" w:hAnsi="Times New Roman" w:eastAsia="宋体" w:cs="Times New Roman"/>
                <w:sz w:val="24"/>
                <w:szCs w:val="24"/>
                <w:lang w:val="en-US" w:eastAsia="zh-CN" w:bidi="ar-SA"/>
              </w:rPr>
              <w:t xml:space="preserve">机器人拆装实训软件</w:t>
            </w:r>
            <w:r>
              <w:rPr>
                <w:rFonts w:hint="eastAsia" w:ascii="Times New Roman" w:hAnsi="Times New Roman" w:eastAsia="宋体" w:cs="Times New Roman"/>
                <w:sz w:val="24"/>
                <w:szCs w:val="24"/>
                <w:lang w:val="en-US" w:eastAsia="zh-CN" w:bidi="ar-SA"/>
              </w:rPr>
            </w:r>
            <w:r/>
          </w:p>
          <w:p>
            <w:pPr>
              <w:pStyle w:val="1044"/>
              <w:ind w:left="0" w:firstLine="0"/>
              <w:jc w:val="both"/>
              <w:keepLines w:val="0"/>
              <w:keepNext w:val="0"/>
              <w:pageBreakBefore w:val="0"/>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（1）模拟实际操作环境，在虚拟场景下进行工业机器人本体拆装过程与工艺学习。支持练习和考核两种模式。工业机器人本体拆解操作步骤不少130步。软件包含工艺说明、语音播报、聚焦、拆、装等功能。</w:t>
            </w:r>
            <w:r>
              <w:rPr>
                <w:rFonts w:ascii="Times New Roman" w:hAnsi="Times New Roman" w:eastAsia="宋体" w:cs="Times New Roman"/>
                <w:sz w:val="24"/>
                <w:szCs w:val="24"/>
                <w:lang w:val="en-US" w:eastAsia="zh-CN" w:bidi="ar-SA"/>
              </w:rPr>
            </w:r>
            <w:r/>
          </w:p>
          <w:p>
            <w:pPr>
              <w:pStyle w:val="1044"/>
              <w:ind w:left="0" w:firstLine="0"/>
              <w:jc w:val="both"/>
              <w:keepLines w:val="0"/>
              <w:keepNext w:val="0"/>
              <w:pageBreakBefore w:val="0"/>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（2）智能考核</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带有登陆系统，对学生的每一步操作的正确性、规范性、安全性进行自动记录、评估、计分，并输出和提交详细的考核记录单。防作弊功能</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自动输出考核记录表，自动加密。系统配置</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可以对软件参数进行配置，例如可通过系统配置功能开关语音提示。</w:t>
            </w:r>
            <w:r>
              <w:rPr>
                <w:rFonts w:ascii="Times New Roman" w:hAnsi="Times New Roman" w:eastAsia="宋体" w:cs="Times New Roman"/>
                <w:sz w:val="24"/>
                <w:szCs w:val="24"/>
                <w:lang w:val="en-US" w:eastAsia="zh-CN" w:bidi="ar-SA"/>
              </w:rPr>
            </w:r>
            <w:r/>
          </w:p>
          <w:p>
            <w:pPr>
              <w:pStyle w:val="1044"/>
              <w:spacing w:after="0" w:line="360" w:lineRule="auto"/>
              <w:rPr>
                <w:rFonts w:ascii="Times New Roman" w:hAnsi="Times New Roman" w:eastAsia="宋体" w:cs="Times New Roman"/>
                <w:sz w:val="24"/>
                <w:szCs w:val="24"/>
                <w:lang w:val="en-US" w:eastAsia="zh-CN"/>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Times New Roman" w:hAnsi="Times New Roman" w:eastAsia="宋体" w:cs="Times New Roman"/>
                <w:sz w:val="24"/>
                <w:szCs w:val="24"/>
                <w:lang w:val="en-US" w:eastAsia="zh-CN" w:bidi="ar-SA"/>
              </w:rPr>
              <w:t xml:space="preserve">10.为确保所提供软件的真实性，同时证明其能满足客户需求，要求投标人在中标后由采购人通知3日</w:t>
            </w:r>
            <w:r>
              <w:rPr>
                <w:rFonts w:hint="eastAsia" w:ascii="Times New Roman" w:hAnsi="Times New Roman" w:eastAsia="宋体" w:cs="Times New Roman"/>
                <w:sz w:val="24"/>
                <w:szCs w:val="24"/>
                <w:highlight w:val="none"/>
                <w:lang w:val="en-US" w:eastAsia="zh-CN" w:bidi="ar-SA"/>
              </w:rPr>
              <w:t xml:space="preserve">内进行现场或远程软件功能演示，若演示结果不能完全满足</w:t>
            </w:r>
            <w:r>
              <w:rPr>
                <w:rFonts w:hint="eastAsia" w:ascii="Times New Roman" w:hAnsi="Times New Roman" w:eastAsia="宋体" w:cs="Times New Roman"/>
                <w:sz w:val="24"/>
                <w:szCs w:val="24"/>
                <w:lang w:val="en-US" w:eastAsia="zh-CN" w:bidi="ar-SA"/>
              </w:rPr>
              <w:t xml:space="preserve">招标文件中响应部分的技术要求，将作废标处理</w:t>
            </w:r>
            <w:r>
              <w:rPr>
                <w:rFonts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rPr>
            </w:r>
            <w:r/>
          </w:p>
        </w:tc>
        <w:tc>
          <w:tcPr>
            <w:tcMar>
              <w:left w:w="101" w:type="dxa"/>
              <w:top w:w="15" w:type="dxa"/>
              <w:right w:w="101" w:type="dxa"/>
              <w:bottom w:w="0" w:type="dxa"/>
            </w:tcMar>
            <w:tcW w:w="615" w:type="dxa"/>
            <w:vAlign w:val="center"/>
            <w:textDirection w:val="lrTb"/>
            <w:noWrap w:val="false"/>
          </w:tcPr>
          <w:p>
            <w:pPr>
              <w:pStyle w:val="1044"/>
              <w:spacing w:after="0"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ascii="宋体" w:hAnsi="宋体" w:eastAsia="宋体" w:cs="宋体"/>
                <w:b w:val="0"/>
                <w:bCs w:val="0"/>
                <w:color w:val="000000"/>
                <w:sz w:val="24"/>
                <w:szCs w:val="24"/>
                <w:highlight w:val="none"/>
                <w:lang w:val="en-US" w:eastAsia="zh-CN" w:bidi="ar-SA"/>
              </w:rPr>
            </w:r>
            <w:r/>
          </w:p>
        </w:tc>
        <w:tc>
          <w:tcPr>
            <w:tcMar>
              <w:left w:w="101" w:type="dxa"/>
              <w:top w:w="15" w:type="dxa"/>
              <w:right w:w="101" w:type="dxa"/>
              <w:bottom w:w="0" w:type="dxa"/>
            </w:tcMar>
            <w:tcW w:w="619" w:type="dxa"/>
            <w:vAlign w:val="center"/>
            <w:textDirection w:val="lrTb"/>
            <w:noWrap w:val="false"/>
          </w:tcPr>
          <w:p>
            <w:pPr>
              <w:pStyle w:val="1044"/>
              <w:spacing w:after="0"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套</w:t>
            </w:r>
            <w:r>
              <w:rPr>
                <w:rFonts w:ascii="宋体" w:hAnsi="宋体" w:eastAsia="宋体" w:cs="宋体"/>
                <w:b w:val="0"/>
                <w:bCs w:val="0"/>
                <w:color w:val="000000"/>
                <w:sz w:val="24"/>
                <w:szCs w:val="24"/>
                <w:highlight w:val="none"/>
                <w:lang w:val="en-US" w:eastAsia="zh-CN" w:bidi="ar-SA"/>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AGV</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1.AGV小车</w:t>
            </w:r>
            <w:r>
              <w:rPr>
                <w:rFonts w:hint="eastAsia" w:ascii="宋体" w:hAnsi="宋体" w:eastAsia="宋体" w:cs="宋体"/>
                <w:sz w:val="24"/>
                <w:szCs w:val="24"/>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车载类型：背负单滚筒式车型；</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移载方式：背负式；</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导航方式：激光导航+二维码导航；</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车体外形：≥2200mm*1350mm*500mm（长*宽*高）</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驱动方式及专项方式：舵轮驱动；</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制动方式：电磁制动；</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负载能力：100kg；</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空载速度</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0~1.2m/s可调；</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满载速度</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0~1.0m/s可调；</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二次定位精度：≤±5mm；</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导航精度：≤±10mm；</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停止精度：≤±10mm；</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朝向精度：≤±0.5°；</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重复检测精度：≤±5mm；</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设备噪音：≤65dB；</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续航能力：6-8h；</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电池：磷酸铁锂电池；</w:t>
            </w:r>
            <w:r>
              <w:rPr>
                <w:rFonts w:hint="eastAsia" w:ascii="宋体" w:hAnsi="宋体" w:eastAsia="宋体" w:cs="宋体"/>
                <w:color w:val="000000"/>
                <w:sz w:val="24"/>
                <w:szCs w:val="24"/>
                <w:lang w:val="en-US" w:eastAsia="zh-CN" w:bidi="ar-SA"/>
              </w:rPr>
            </w:r>
            <w:r/>
          </w:p>
          <w:p>
            <w:pPr>
              <w:pStyle w:val="1044"/>
              <w:numPr>
                <w:ilvl w:val="0"/>
                <w:numId w:val="15"/>
              </w:numPr>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电池容量：≥48V/48AH。</w:t>
            </w:r>
            <w:r>
              <w:rPr>
                <w:rFonts w:hint="eastAsia" w:ascii="宋体" w:hAnsi="宋体" w:eastAsia="宋体" w:cs="宋体"/>
                <w:color w:val="000000"/>
                <w:sz w:val="24"/>
                <w:szCs w:val="24"/>
                <w:lang w:val="en-US" w:eastAsia="zh-CN" w:bidi="ar-SA"/>
              </w:rPr>
            </w:r>
            <w:r/>
          </w:p>
          <w:p>
            <w:pPr>
              <w:pStyle w:val="1044"/>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2.AGV小车自动充电系统</w:t>
            </w:r>
            <w:r>
              <w:rPr>
                <w:rFonts w:hint="eastAsia" w:ascii="宋体" w:hAnsi="宋体" w:eastAsia="宋体" w:cs="宋体"/>
                <w:sz w:val="24"/>
                <w:szCs w:val="24"/>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（1）尺寸（L*W*H）：≥650mm*450mm*415mm；</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（2）充电口中心离地高度：120~220mm；</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（3）交流输入电压：220 VAC，频率：50&amp;60Hz；</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（4）输出直流电压：48~58.4V；</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（5）输出过压告警：具备；</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（6）输出过压保护：具备；</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（7）最大输出电流：≥30A；</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（8）输出过流保护：具备；</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（9）工作环境湿度：10%~90%；</w:t>
            </w:r>
            <w:r>
              <w:rPr>
                <w:rFonts w:hint="eastAsia" w:ascii="宋体" w:hAnsi="宋体" w:eastAsia="宋体" w:cs="宋体"/>
                <w:color w:val="000000"/>
                <w:sz w:val="24"/>
                <w:szCs w:val="24"/>
                <w:lang w:val="en-US" w:eastAsia="zh-CN" w:bidi="ar-SA"/>
              </w:rPr>
            </w:r>
            <w:r/>
          </w:p>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（10）工作温度：-5℃~45℃。</w:t>
            </w:r>
            <w:r>
              <w:rPr>
                <w:rFonts w:hint="eastAsia" w:ascii="宋体" w:hAnsi="宋体" w:eastAsia="宋体" w:cs="宋体"/>
                <w:sz w:val="24"/>
                <w:szCs w:val="24"/>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教学资源包</w:t>
            </w:r>
            <w:r>
              <w:rPr>
                <w:rFonts w:hint="eastAsia" w:ascii="宋体" w:hAnsi="宋体" w:eastAsia="宋体" w:cs="宋体"/>
                <w:sz w:val="24"/>
                <w:szCs w:val="24"/>
              </w:rPr>
            </w:r>
            <w:r/>
          </w:p>
        </w:tc>
        <w:tc>
          <w:tcPr>
            <w:tcMar>
              <w:left w:w="101" w:type="dxa"/>
              <w:top w:w="15" w:type="dxa"/>
              <w:right w:w="101" w:type="dxa"/>
              <w:bottom w:w="0" w:type="dxa"/>
            </w:tcMar>
            <w:tcW w:w="6155" w:type="dxa"/>
            <w:vAlign w:val="center"/>
            <w:textDirection w:val="lrTb"/>
            <w:noWrap w:val="false"/>
          </w:tcPr>
          <w:p>
            <w:pPr>
              <w:pStyle w:val="1044"/>
              <w:numPr>
                <w:ilvl w:val="0"/>
                <w:numId w:val="0"/>
              </w:numPr>
              <w:jc w:val="both"/>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针对智能制造综合实训平台，配套完整的教学资源包：</w:t>
            </w:r>
            <w:r>
              <w:rPr>
                <w:rFonts w:hint="eastAsia" w:ascii="宋体" w:hAnsi="宋体" w:eastAsia="宋体" w:cs="宋体"/>
                <w:b w:val="0"/>
                <w:bCs w:val="0"/>
                <w:color w:val="000000"/>
                <w:sz w:val="24"/>
                <w:szCs w:val="24"/>
                <w:highlight w:val="none"/>
                <w:lang w:val="en-US" w:eastAsia="zh-CN" w:bidi="ar-SA"/>
              </w:rPr>
            </w:r>
            <w:r/>
          </w:p>
          <w:p>
            <w:pPr>
              <w:pStyle w:val="1044"/>
              <w:numPr>
                <w:ilvl w:val="0"/>
                <w:numId w:val="0"/>
              </w:numPr>
              <w:jc w:val="both"/>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1.完整的技术与教学资料：提供详尽的平台用户手册、实训指导书、全套电气图纸、教学PPT及操作视频等，内容丰富、实用，涵盖设备操作、维护、故障排除等关键环节，助力教学与实训顺利开展。</w:t>
            </w:r>
            <w:r>
              <w:rPr>
                <w:rFonts w:hint="eastAsia" w:ascii="宋体" w:hAnsi="宋体" w:eastAsia="宋体" w:cs="宋体"/>
                <w:b w:val="0"/>
                <w:bCs w:val="0"/>
                <w:color w:val="000000"/>
                <w:sz w:val="24"/>
                <w:szCs w:val="24"/>
                <w:highlight w:val="none"/>
                <w:lang w:val="en-US" w:eastAsia="zh-CN" w:bidi="ar-SA"/>
              </w:rPr>
            </w:r>
            <w:r/>
          </w:p>
          <w:p>
            <w:pPr>
              <w:pStyle w:val="1044"/>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2.配套相应的虚拟仿真实训资源包：在虚拟仿真平台上，以1:1精准复刻整个教学实训模块及实训任务，实现仿真实训等实训目标，拓展学习空间，提升学习效果。</w:t>
            </w:r>
            <w:r>
              <w:rPr>
                <w:rFonts w:hint="eastAsia" w:ascii="宋体" w:hAnsi="宋体" w:eastAsia="宋体" w:cs="宋体"/>
                <w:b w:val="0"/>
                <w:bCs w:val="0"/>
                <w:color w:val="000000"/>
                <w:sz w:val="24"/>
                <w:szCs w:val="24"/>
                <w:highlight w:val="none"/>
                <w:lang w:val="en-US" w:eastAsia="zh-CN"/>
              </w:rPr>
            </w:r>
            <w:r/>
          </w:p>
          <w:p>
            <w:pPr>
              <w:pStyle w:val="1044"/>
              <w:spacing w:line="360" w:lineRule="auto"/>
              <w:rPr>
                <w:rFonts w:hint="eastAsia" w:ascii="宋体" w:hAnsi="宋体" w:eastAsia="宋体" w:cs="宋体"/>
                <w:sz w:val="24"/>
                <w:szCs w:val="24"/>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sz w:val="24"/>
                <w:szCs w:val="24"/>
              </w:rPr>
              <w:t xml:space="preserve">资源开发平台</w:t>
            </w:r>
            <w:r>
              <w:rPr>
                <w:rFonts w:hint="eastAsia" w:ascii="宋体" w:hAnsi="宋体" w:eastAsia="宋体" w:cs="宋体"/>
                <w:sz w:val="24"/>
                <w:szCs w:val="24"/>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t xml:space="preserve">本平台须与unity3d无缝对接使用，共用unity3d的软件界面。</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持3ds Max ，UG，SolidWorks，catia等模型导入。</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用户使用本平台进行互动内容开发及设计完全不用编程，不用写代码，不须具备编程基础，完全的可视化设计制作，所做即所得。</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t xml:space="preserve">本平台不采用蓝图形式，不采用连线形式，不用考虑数据结构等编程术语，完全模块参数化制作。</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t xml:space="preserve">本系统可完成场景漫游、设备展示、交互实验等多种功能的开发设计，包括场景管理、导入资源、菜单内容、模型相关、功能设置、菜单绑定、运行场景、发布等功能模块。</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t xml:space="preserve">支持场景管理：可以自由创建、增删场景，支持多场景项目开发及链接。</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t xml:space="preserve">支持导入资源：支持导入模型资源、视频资源、音频资源、图片资源，支持模型分类导入（单独模型、场景模型、工具模型），便于管理使用。</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t xml:space="preserve">支持菜单内容管理：支持系统标题编辑、系统菜单编辑，支持多级菜单增删改查，支持字体大小、种类、样式修改。</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t xml:space="preserve">支持模型设置：可以管理已导入的模型资源，支持调整模型参数、调整模型材质、模型减面、调整物体子父关系、更新模型、删除模型。为了便于模型修改，可以将遮挡模型移开，系统支持重置复原，包括位置角度大小。</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t xml:space="preserve">支持调整场景灯光：可以创建光源，包括点光源、聚光灯，可以设置光源的灯光强度和距离，可以删除光源，可以调整场景的整体亮度值。</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t xml:space="preserve">支持调整背景图片：支持自主导入图片作为背景，可自主选择背景图片显隐。</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t xml:space="preserve">支持调整天空样式：系统自带多种天空样式可供选用。</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t xml:space="preserve">支持画布功能：画布功能主要是自定义要展示的文字图片音频视频，用来制作首界面或者文字性的介绍场景，此功能单独使用一个场景。</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t xml:space="preserve">支持模型展示功能：针对模型，设置旋转、缩放、移动功能。</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t xml:space="preserve">支持场景漫游功能：针对模型场景，可以自由漫游行走。</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t xml:space="preserve">支持文本标签功能：针对模型，设置文本标签，设置标签引出线的起点位置。</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t xml:space="preserve">支持高亮效果设置：针对模型零件，设置高亮效果，包括发光色、提示热点文字内容，鼠标移动到零件上，自动显示热点文字，零件轮廓高亮显示。</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t xml:space="preserve">支持自由拖拽功能：针对模型，设置自由拖拽功能，运行时可以随意拆分拖拽零件到任意位置。</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rPr>
                <w:rFonts w:ascii="宋体" w:hAnsi="宋体" w:eastAsia="宋体" w:cs="宋体"/>
                <w:sz w:val="24"/>
                <w:szCs w:val="24"/>
                <w:highlight w:val="none"/>
                <w:lang w:val="en-US" w:eastAsia="zh-CN"/>
              </w:rPr>
              <w:t xml:space="preserve">支持动画制作功能：针对模型，可编辑单一动作，包括位移、旋转、缩放不同的类型，根据需要可加载工具动作；可编辑动作集，根据业务流程，是把创建好的动作连在一起。</w:t>
            </w:r>
            <w:r>
              <w:rPr>
                <w:rFonts w:ascii="宋体" w:hAnsi="宋体" w:eastAsia="宋体" w:cs="宋体"/>
                <w:sz w:val="24"/>
                <w:szCs w:val="24"/>
                <w:highlight w:val="none"/>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t xml:space="preserve">动画演示：可实现动作集自动播放演示，点击启动模型倒放功能可使动画播放完成后会再倒放一遍。</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t xml:space="preserve">实验过程：通过人机交互，控制动作集的播放过程，实现交互实验，可模拟点击或者拖拽模型进行触发，可模拟使用工具进行触发。</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t xml:space="preserve">支持实验考核功能：系统可设置考核时间、题干、选项、分数、正确答案；运行时，系统自动判断评分。</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t xml:space="preserve">支持模型爆炸功能：可设置模型炸开视图。</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t xml:space="preserve">支持模型剖切功能：可针对模型设置X、Y、Z三个方向的剖切视图。</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t xml:space="preserve">支持视频录制功能：可针对已做好的VR功能进行视频录制。</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t xml:space="preserve">支持路径移动功能：可针对目标模型进行多视角观察设置。</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t xml:space="preserve">支持步骤考核功能：用户制作完实验过程后可以启用步骤考核功能，此功能是没有提示且在右下角增加了错误次数和进度的UI展示。</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t xml:space="preserve">支持菜单绑定设置：系统具有菜单统一管理模块，可以对已完成的各级菜单进行统一绑定。</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ascii="Times New Roman" w:hAnsi="Times New Roman" w:eastAsia="宋体" w:cs="Times New Roman"/>
                <w:b w:val="0"/>
                <w:bCs w:val="0"/>
                <w:color w:val="000000"/>
                <w:sz w:val="24"/>
                <w:szCs w:val="24"/>
                <w:highlight w:val="none"/>
                <w:lang w:val="en-US" w:eastAsia="zh-CN"/>
              </w:rPr>
              <w:t xml:space="preserve">★</w:t>
            </w: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t xml:space="preserve">支持运行场景及发布管理：运行场景模块，用户可以对开发的内容进行运行测试。系统支持多平台发布，包括发布安卓手机版、PC网页版、PC单机版、桌面式VR一体机、VR立体触控设备、VR黑板普通触控/3D立体版。（投标文件中提供</w:t>
            </w:r>
            <w:r>
              <w:rPr>
                <w:rFonts w:hint="eastAsia" w:ascii="宋体" w:hAnsi="宋体" w:eastAsia="宋体" w:cs="宋体"/>
                <w:sz w:val="24"/>
                <w:szCs w:val="24"/>
                <w:lang w:val="en-US" w:eastAsia="zh-CN"/>
              </w:rPr>
              <w:t xml:space="preserve">功能演示视频</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t xml:space="preserve">支持发布VR黑板普通触控/3D立体版：发布后的程序运行在VR黑板上，可以通过触控交互操作，可以一键切换主动立体3d显示，用户佩戴3d眼镜可以看到悬浮于空中的立体效果。发布后的程序运行在桌面式VR一体机上运行，需支持六自由度交互笔操作，模型以重影显示，佩戴立体眼镜可以看到立体效果。</w:t>
            </w:r>
            <w:r>
              <w:rPr>
                <w:rFonts w:ascii="宋体" w:hAnsi="宋体" w:eastAsia="宋体" w:cs="宋体"/>
                <w:sz w:val="24"/>
                <w:szCs w:val="24"/>
                <w:lang w:val="en-US" w:eastAsia="zh-CN"/>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t xml:space="preserve">平台为设计开发工具，发布完成的作品可独立运行，不需要再安装平台环境，可完全脱离平台的限制。</w:t>
            </w:r>
            <w:r>
              <w:rPr>
                <w:rFonts w:ascii="宋体" w:hAnsi="宋体" w:eastAsia="宋体" w:cs="宋体"/>
                <w:sz w:val="24"/>
                <w:szCs w:val="24"/>
                <w:lang w:val="en-US" w:eastAsia="zh-CN"/>
              </w:rPr>
            </w:r>
            <w:r/>
          </w:p>
          <w:p>
            <w:pPr>
              <w:pStyle w:val="1044"/>
              <w:jc w:val="both"/>
              <w:spacing w:before="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（32）为确保所提供软件的真实性，同时证明其能满足客户需求，要求投标人在中标后3日内进行现场或远程软件功能演示，若演示结果不能完全满足招标文件中响应部分的技术要求，将作废标处理</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1044"/>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t xml:space="preserve">. 数字化资源</w:t>
            </w:r>
            <w:r>
              <w:rPr>
                <w:rFonts w:ascii="宋体" w:hAnsi="宋体" w:eastAsia="宋体" w:cs="宋体"/>
                <w:sz w:val="24"/>
                <w:szCs w:val="24"/>
                <w:lang w:val="en-US" w:eastAsia="zh-CN"/>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bidi="ar"/>
              </w:rPr>
              <w:t xml:space="preserve">4.1</w:t>
            </w:r>
            <w:r>
              <w:rPr>
                <w:rFonts w:hint="eastAsia" w:ascii="宋体" w:hAnsi="宋体" w:eastAsia="宋体" w:cs="宋体"/>
                <w:b w:val="0"/>
                <w:bCs w:val="0"/>
                <w:sz w:val="24"/>
                <w:szCs w:val="24"/>
                <w:lang w:bidi="ar"/>
              </w:rPr>
              <w:t xml:space="preserve">系统概述</w:t>
            </w:r>
            <w:r>
              <w:rPr>
                <w:rFonts w:hint="eastAsia" w:ascii="宋体" w:hAnsi="宋体" w:eastAsia="宋体" w:cs="宋体"/>
                <w:b w:val="0"/>
                <w:bCs w:val="0"/>
                <w:sz w:val="24"/>
                <w:szCs w:val="24"/>
                <w:lang w:eastAsia="zh-CN" w:bidi="ar"/>
              </w:rPr>
              <w:t xml:space="preserve">：</w:t>
            </w:r>
            <w:r>
              <w:rPr>
                <w:rFonts w:hint="eastAsia" w:ascii="宋体" w:hAnsi="宋体" w:eastAsia="宋体" w:cs="宋体"/>
                <w:color w:val="000000"/>
                <w:sz w:val="24"/>
                <w:szCs w:val="24"/>
                <w:lang w:eastAsia="zh-CN" w:bidi="ar"/>
              </w:rPr>
              <w:t xml:space="preserve">Web 3D仿真工具平台</w:t>
            </w:r>
            <w:r>
              <w:rPr>
                <w:rFonts w:hint="eastAsia" w:ascii="宋体" w:hAnsi="宋体" w:eastAsia="宋体" w:cs="宋体"/>
                <w:color w:val="000000"/>
                <w:sz w:val="24"/>
                <w:szCs w:val="24"/>
                <w:lang w:val="en-US" w:eastAsia="zh-CN" w:bidi="ar"/>
              </w:rPr>
              <w:t xml:space="preserve">基于B/S架构，</w:t>
            </w:r>
            <w:r>
              <w:rPr>
                <w:rFonts w:hint="eastAsia" w:ascii="宋体" w:hAnsi="宋体" w:eastAsia="宋体" w:cs="宋体"/>
                <w:sz w:val="24"/>
                <w:szCs w:val="24"/>
                <w:lang w:val="en-US" w:eastAsia="zh-CN"/>
              </w:rPr>
              <w:t xml:space="preserve">在网页上运行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平台</w:t>
            </w:r>
            <w:r>
              <w:rPr>
                <w:rFonts w:hint="eastAsia" w:ascii="宋体" w:hAnsi="宋体" w:eastAsia="宋体" w:cs="宋体"/>
                <w:sz w:val="24"/>
                <w:szCs w:val="24"/>
              </w:rPr>
              <w:t xml:space="preserve">提供常用工业设备的模型库，模型库包括但不限于：机器人、工装夹具、加工设备、产品物料、输送设备、检测设备、外围设备、其他设施设备及环境等类型。同时支持自定义模型导入，并提供将导入的模型制作成运动机构的能力，能够通过拖拽搭建三维仿真场景，可快速定义工艺流程，支持机器人的离线编程，支持与硬件PLC的通讯，实现虚拟仿真及数字孪生三维场景的快速开发。</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4.2</w:t>
            </w:r>
            <w:r>
              <w:rPr>
                <w:rFonts w:hint="eastAsia" w:ascii="宋体" w:hAnsi="宋体" w:eastAsia="宋体" w:cs="宋体"/>
                <w:b w:val="0"/>
                <w:bCs w:val="0"/>
                <w:sz w:val="24"/>
                <w:szCs w:val="24"/>
              </w:rPr>
              <w:t xml:space="preserve">总体功能及技术要求</w:t>
            </w:r>
            <w:r>
              <w:rPr>
                <w:rFonts w:hint="eastAsia" w:ascii="宋体" w:hAnsi="宋体" w:eastAsia="宋体" w:cs="宋体"/>
                <w:b w:val="0"/>
                <w:bCs w:val="0"/>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74" w:name="_Toc145064465"/>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实现及运营方式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于网页的三维场景搭建与仿真交互运行。用浏览器访问场景开发平台网址，输入用户名、密码登录，平台提供模型库，通过拖拽三维模型即可进行场景搭建，运行一个由立库、AGV、输送线、数控机床、工业机器人、机器视觉、成品库等设备构成的机械臂智能制造的工业场景，在网页上仿真交互调试运行，并能够通过调整仿真运行</w:t>
            </w:r>
            <w:r>
              <w:rPr>
                <w:rFonts w:hint="eastAsia" w:ascii="宋体" w:hAnsi="宋体" w:eastAsia="宋体" w:cs="宋体"/>
                <w:sz w:val="24"/>
                <w:szCs w:val="24"/>
                <w:lang w:val="en-US" w:eastAsia="zh-CN"/>
              </w:rPr>
              <w:t xml:space="preserve">倍速</w:t>
            </w:r>
            <w:r>
              <w:rPr>
                <w:rFonts w:hint="eastAsia" w:ascii="宋体" w:hAnsi="宋体" w:eastAsia="宋体" w:cs="宋体"/>
                <w:sz w:val="24"/>
                <w:szCs w:val="24"/>
              </w:rPr>
              <w:t xml:space="preserve">，实现工业场景生产线对应的仿真运行速度。</w:t>
            </w:r>
            <w:r>
              <w:rPr>
                <w:rFonts w:hint="eastAsia" w:ascii="宋体" w:hAnsi="宋体" w:eastAsia="宋体" w:cs="宋体"/>
                <w:sz w:val="24"/>
                <w:szCs w:val="24"/>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（2）模型库</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1）总体要求</w:t>
            </w:r>
            <w:r>
              <w:rPr>
                <w:rFonts w:hint="eastAsia" w:ascii="宋体" w:hAnsi="宋体" w:eastAsia="宋体" w:cs="宋体"/>
                <w:sz w:val="24"/>
                <w:szCs w:val="24"/>
                <w:lang w:val="en-US" w:eastAsia="zh-CN" w:bidi="ar-SA"/>
              </w:rPr>
            </w:r>
            <w:r/>
          </w:p>
          <w:p>
            <w:pPr>
              <w:pStyle w:val="1044"/>
              <w:numPr>
                <w:ilvl w:val="0"/>
                <w:numId w:val="1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型库范围：提供包含但不限于机器人类、工装夹具类、加工设备类、产品物料类、输送设备类、检测设备类、外围设备类、环境类模型的综合性模型库，模型总数不少于500个，且覆盖当前工业离散行业的主流技术和设备。</w:t>
            </w:r>
            <w:r>
              <w:rPr>
                <w:rFonts w:hint="eastAsia" w:ascii="宋体" w:hAnsi="宋体" w:eastAsia="宋体" w:cs="宋体"/>
                <w:sz w:val="24"/>
                <w:szCs w:val="24"/>
                <w:lang w:val="en-US" w:eastAsia="zh-CN" w:bidi="ar-SA"/>
              </w:rPr>
            </w:r>
            <w:r/>
          </w:p>
          <w:p>
            <w:pPr>
              <w:pStyle w:val="1044"/>
              <w:numPr>
                <w:ilvl w:val="0"/>
                <w:numId w:val="1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模型外观与处理：模型外观设计与实际工业设备保持一致，同时经过轻量化处理技术，以保证模型在维持视觉真实感的同时，能够流畅操作。</w:t>
            </w:r>
            <w:r>
              <w:rPr>
                <w:rFonts w:hint="eastAsia" w:ascii="宋体" w:hAnsi="宋体" w:eastAsia="宋体" w:cs="宋体"/>
                <w:sz w:val="24"/>
                <w:szCs w:val="24"/>
                <w:lang w:val="en-US" w:eastAsia="zh-CN" w:bidi="ar-SA"/>
              </w:rPr>
            </w:r>
            <w:r/>
          </w:p>
          <w:p>
            <w:pPr>
              <w:pStyle w:val="1044"/>
              <w:numPr>
                <w:ilvl w:val="0"/>
                <w:numId w:val="16"/>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动态与交互性：包含动态模型，能够模拟设备在实际工作状态下的动态运动及交互逻辑。</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2）分类要求</w:t>
            </w:r>
            <w:r>
              <w:rPr>
                <w:rFonts w:hint="eastAsia" w:ascii="宋体" w:hAnsi="宋体" w:eastAsia="宋体" w:cs="宋体"/>
                <w:sz w:val="24"/>
                <w:szCs w:val="24"/>
                <w:lang w:val="en-US" w:eastAsia="zh-CN" w:bidi="ar-SA"/>
              </w:rPr>
            </w:r>
            <w:r/>
          </w:p>
          <w:p>
            <w:pPr>
              <w:pStyle w:val="1044"/>
              <w:numPr>
                <w:ilvl w:val="0"/>
                <w:numId w:val="1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机器人类：提供国内外知名品牌的机器人模型，如ABB、KUKA、FANUC、YASKAWA、埃夫特、新松等，覆盖SCARA、六轴、协作机器人等多种类型，以适应不同作业场景。</w:t>
            </w:r>
            <w:r>
              <w:rPr>
                <w:rFonts w:hint="eastAsia" w:ascii="宋体" w:hAnsi="宋体" w:eastAsia="宋体" w:cs="宋体"/>
                <w:sz w:val="24"/>
                <w:szCs w:val="24"/>
                <w:highlight w:val="none"/>
                <w:lang w:val="en-US" w:eastAsia="zh-CN" w:bidi="ar-SA"/>
              </w:rPr>
            </w:r>
            <w:r/>
          </w:p>
          <w:p>
            <w:pPr>
              <w:pStyle w:val="1044"/>
              <w:numPr>
                <w:ilvl w:val="0"/>
                <w:numId w:val="1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工装夹具类：涵盖广泛的工装夹具模型，如各类定位装置、气动/电动夹具、真空吸盘夹具等，确保满足不同加工需求的多样化选择。</w:t>
            </w:r>
            <w:r>
              <w:rPr>
                <w:rFonts w:hint="eastAsia" w:ascii="宋体" w:hAnsi="宋体" w:eastAsia="宋体" w:cs="宋体"/>
                <w:sz w:val="24"/>
                <w:szCs w:val="24"/>
                <w:lang w:val="en-US" w:eastAsia="zh-CN" w:bidi="ar-SA"/>
              </w:rPr>
            </w:r>
            <w:r/>
          </w:p>
          <w:p>
            <w:pPr>
              <w:pStyle w:val="1044"/>
              <w:numPr>
                <w:ilvl w:val="0"/>
                <w:numId w:val="1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加工设备类：包含各类车床、铣床、CNC加工中心等常见加工设备模型。</w:t>
            </w:r>
            <w:r>
              <w:rPr>
                <w:rFonts w:hint="eastAsia" w:ascii="宋体" w:hAnsi="宋体" w:eastAsia="宋体" w:cs="宋体"/>
                <w:sz w:val="24"/>
                <w:szCs w:val="24"/>
                <w:lang w:val="en-US" w:eastAsia="zh-CN" w:bidi="ar-SA"/>
              </w:rPr>
            </w:r>
            <w:r/>
          </w:p>
          <w:p>
            <w:pPr>
              <w:pStyle w:val="1044"/>
              <w:numPr>
                <w:ilvl w:val="0"/>
                <w:numId w:val="1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产品物料类：提供丰富的产品、原材料、托盘模型。</w:t>
            </w:r>
            <w:r>
              <w:rPr>
                <w:rFonts w:hint="eastAsia" w:ascii="宋体" w:hAnsi="宋体" w:eastAsia="宋体" w:cs="宋体"/>
                <w:sz w:val="24"/>
                <w:szCs w:val="24"/>
                <w:lang w:val="en-US" w:eastAsia="zh-CN" w:bidi="ar-SA"/>
              </w:rPr>
            </w:r>
            <w:r/>
          </w:p>
          <w:p>
            <w:pPr>
              <w:pStyle w:val="1044"/>
              <w:numPr>
                <w:ilvl w:val="0"/>
                <w:numId w:val="17"/>
              </w:numPr>
              <w:ind w:left="0" w:firstLine="4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输送设备类：包括但不限于AGV、传送带系统、升降机、堆垛机等，支持物流系统设计。</w:t>
            </w:r>
            <w:r>
              <w:rPr>
                <w:rFonts w:hint="eastAsia" w:ascii="宋体" w:hAnsi="宋体" w:eastAsia="宋体" w:cs="宋体"/>
                <w:sz w:val="24"/>
                <w:szCs w:val="24"/>
                <w:lang w:val="en-US" w:eastAsia="zh-CN" w:bidi="ar-SA"/>
              </w:rPr>
            </w:r>
            <w:r/>
          </w:p>
          <w:p>
            <w:pPr>
              <w:pStyle w:val="1044"/>
              <w:numPr>
                <w:ilvl w:val="0"/>
                <w:numId w:val="17"/>
              </w:numPr>
              <w:ind w:left="0" w:firstLine="4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检测设备类：涵盖视觉检测系统、各类传感器等。</w:t>
            </w:r>
            <w:r>
              <w:rPr>
                <w:rFonts w:hint="eastAsia" w:ascii="宋体" w:hAnsi="宋体" w:eastAsia="宋体" w:cs="宋体"/>
                <w:sz w:val="24"/>
                <w:szCs w:val="24"/>
                <w:lang w:val="en-US" w:eastAsia="zh-CN" w:bidi="ar-SA"/>
              </w:rPr>
            </w:r>
            <w:r/>
          </w:p>
          <w:p>
            <w:pPr>
              <w:pStyle w:val="1044"/>
              <w:numPr>
                <w:ilvl w:val="0"/>
                <w:numId w:val="17"/>
              </w:numPr>
              <w:ind w:left="0" w:firstLine="4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外围设备类：包括安全围栏、指示灯、工作台、操作屏、控制柜等辅助设备模型，以构建完整的工作环境。</w:t>
            </w:r>
            <w:r>
              <w:rPr>
                <w:rFonts w:hint="eastAsia" w:ascii="宋体" w:hAnsi="宋体" w:eastAsia="宋体" w:cs="宋体"/>
                <w:sz w:val="24"/>
                <w:szCs w:val="24"/>
                <w:lang w:val="en-US" w:eastAsia="zh-CN" w:bidi="ar-SA"/>
              </w:rPr>
            </w:r>
            <w:r/>
          </w:p>
          <w:p>
            <w:pPr>
              <w:pStyle w:val="1044"/>
              <w:numPr>
                <w:ilvl w:val="0"/>
                <w:numId w:val="17"/>
              </w:numPr>
              <w:ind w:left="0" w:firstLine="40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环境类：提供多样化的工厂环境、实验室环境模型。</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3）自建模导入与定制化</w:t>
            </w:r>
            <w:r>
              <w:rPr>
                <w:rFonts w:hint="eastAsia" w:ascii="宋体" w:hAnsi="宋体" w:eastAsia="宋体" w:cs="宋体"/>
                <w:sz w:val="24"/>
                <w:szCs w:val="24"/>
                <w:lang w:val="en-US" w:eastAsia="zh-CN" w:bidi="ar-SA"/>
              </w:rPr>
            </w:r>
            <w:r/>
          </w:p>
          <w:p>
            <w:pPr>
              <w:pStyle w:val="1044"/>
              <w:numPr>
                <w:ilvl w:val="0"/>
                <w:numId w:val="18"/>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模型导入兼容性：支持用户使用主流3D建模软件创建的模型，通过第三方软件的格式转换与处理后，顺利导入模型库中，拓宽模型库的个性化内容来源。</w:t>
            </w:r>
            <w:r>
              <w:rPr>
                <w:rFonts w:hint="eastAsia" w:ascii="宋体" w:hAnsi="宋体" w:eastAsia="宋体" w:cs="宋体"/>
                <w:sz w:val="24"/>
                <w:szCs w:val="24"/>
                <w:lang w:val="en-US" w:eastAsia="zh-CN" w:bidi="ar-SA"/>
              </w:rPr>
            </w:r>
            <w:r/>
          </w:p>
          <w:p>
            <w:pPr>
              <w:pStyle w:val="1044"/>
              <w:numPr>
                <w:ilvl w:val="0"/>
                <w:numId w:val="18"/>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模型动态化定制：导入的模型可在系统中进行参数配置与数据设定，转化为具有动态功能的三维模型，使用户能够根据特定需求定制专属的动态设备或环境模型，进一步提升模型库的适用性。</w:t>
            </w:r>
            <w:r>
              <w:rPr>
                <w:rFonts w:hint="eastAsia" w:ascii="宋体" w:hAnsi="宋体" w:eastAsia="宋体" w:cs="宋体"/>
                <w:sz w:val="24"/>
                <w:szCs w:val="24"/>
                <w:lang w:val="en-US" w:eastAsia="zh-CN" w:bidi="ar-SA"/>
              </w:rPr>
            </w:r>
            <w:r/>
          </w:p>
          <w:p>
            <w:pPr>
              <w:pStyle w:val="1044"/>
              <w:numPr>
                <w:ilvl w:val="0"/>
                <w:numId w:val="19"/>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场景的自由搭建</w:t>
            </w:r>
            <w:bookmarkEnd w:id="174"/>
            <w:r>
              <w:rPr>
                <w:rFonts w:hint="eastAsia" w:ascii="宋体" w:hAnsi="宋体" w:eastAsia="宋体" w:cs="宋体"/>
                <w:sz w:val="24"/>
                <w:szCs w:val="24"/>
              </w:rPr>
            </w:r>
            <w:r/>
          </w:p>
          <w:p>
            <w:pPr>
              <w:pStyle w:val="1044"/>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备数字孪生场景、教学实验（实训）虚拟场景及3D数字化工厂等的仿真构建能力，为用户提供快速、便捷搭建各种三维场景的解决方案，支持拖拉拽的方式完成场地、设备布局，支持设备坐标设置、设备旋转、平移等位置调整功能。</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75" w:name="_Toc145064466"/>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工艺流程编辑</w:t>
            </w:r>
            <w:bookmarkEnd w:id="175"/>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网页版的三维仿真场景，系统提供工艺流程设计等能力，让用户可以根据需要使用节点连线或添加指令的方式快速设计工艺流程。系统支持流程节点间搬运机构的运动规划能力，包括拖动定位机器人的运行轨迹、AGV行走轨迹等。</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76" w:name="_Toc145064467"/>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创建新组件</w:t>
            </w:r>
            <w:bookmarkEnd w:id="176"/>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支持导入CAD模型，并能为模型以可视化的方法创建属性、行为、控制算法以及运动结构，构建成新的组件，使组件具备物理设备的工作机理和处理问题的逻辑能力，并可以将组件在场景搭建中应用。</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77" w:name="_Toc145064468"/>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JavaScript脚本编程</w:t>
            </w:r>
            <w:bookmarkEnd w:id="177"/>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提供js代码编辑器以及编译执行器，用户可以通过js访问仿真环境的上下文以及对应API，可以实现仿真场景内容完整逻辑控制。</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78" w:name="_Toc145064469"/>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机器人离线编程</w:t>
            </w:r>
            <w:bookmarkEnd w:id="178"/>
            <w:r>
              <w:rPr>
                <w:rFonts w:hint="eastAsia" w:ascii="宋体" w:hAnsi="宋体" w:eastAsia="宋体" w:cs="宋体"/>
                <w:sz w:val="24"/>
                <w:szCs w:val="24"/>
              </w:rPr>
            </w:r>
            <w:r/>
          </w:p>
          <w:p>
            <w:pPr>
              <w:pStyle w:val="1044"/>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网页版的三维仿真场景，系统提供机器人离线编程编辑器，通过在程序编辑器面板中创建编程语句，拖动机器人的末端执行器即可示教机器人的运动轨迹，并可通过添加信号及程序指令的方式实现机器人与末端执行器以及物料产品之间的信号控制，并允许仿真中其他元素进行调用并得到机器人的执行响应。</w:t>
            </w:r>
            <w:bookmarkStart w:id="179" w:name="_Toc145064470"/>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设备数据仿真及采集</w:t>
            </w:r>
            <w:bookmarkEnd w:id="179"/>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搭建的仿真场景具备运行数据的生成能力，场景内设备运行的数据类型包括但不限于int、boolean等。场景中涉及的设备具备动态实时生成运行数据的能力。系统为每一种类型设备提供精确的数据变量描述，系统要能够允许用户自定义数据生成的规则。</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80" w:name="_Toc145064471"/>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多协议支持</w:t>
            </w:r>
            <w:bookmarkEnd w:id="180"/>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应具备多种数据协议转换能力，支持ModBusTCP、S7、MQTT等主流协议数据的接收与发送。可实现与多种不同品牌的数据网关连接通信，允许网关对仿真内的运行数据进行采集，并支持网关选用不同类型的协议类型进行数据交换。系统可以使用MQTT协议，可以将仿真运行数据提交至任何支持MQTT协议的工业互联网数据平台。</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sz w:val="24"/>
                <w:szCs w:val="24"/>
              </w:rPr>
            </w:pPr>
            <w:r/>
            <w:bookmarkStart w:id="181" w:name="_Toc145064472"/>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数据连通性</w:t>
            </w:r>
            <w:bookmarkEnd w:id="181"/>
            <w:r>
              <w:rPr>
                <w:rFonts w:hint="eastAsia" w:ascii="宋体" w:hAnsi="宋体" w:eastAsia="宋体" w:cs="宋体"/>
                <w:sz w:val="24"/>
                <w:szCs w:val="24"/>
              </w:rPr>
            </w:r>
            <w:r/>
          </w:p>
          <w:p>
            <w:pPr>
              <w:pStyle w:val="1044"/>
              <w:ind w:left="0"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系统支持与PLC信号的双向更新，通过信号（变量）配对的方式实现数据绑定，并可通过数据接口通信的方式映射到数字孪生中，实现通过PLC程序逻辑来驱动场景设备的运行。</w:t>
            </w:r>
            <w:r>
              <w:rPr>
                <w:rFonts w:hint="eastAsia" w:ascii="宋体" w:hAnsi="宋体" w:eastAsia="宋体" w:cs="宋体"/>
                <w:sz w:val="24"/>
                <w:szCs w:val="24"/>
              </w:rPr>
            </w:r>
            <w:r/>
          </w:p>
          <w:p>
            <w:pPr>
              <w:pStyle w:val="1044"/>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4.3</w:t>
            </w:r>
            <w:r>
              <w:rPr>
                <w:rFonts w:hint="eastAsia" w:ascii="宋体" w:hAnsi="宋体" w:eastAsia="宋体" w:cs="宋体"/>
                <w:b w:val="0"/>
                <w:bCs w:val="0"/>
                <w:sz w:val="24"/>
                <w:szCs w:val="24"/>
              </w:rPr>
              <w:t xml:space="preserve">具体功能及技术要求</w:t>
            </w:r>
            <w:r>
              <w:rPr>
                <w:rFonts w:hint="eastAsia" w:ascii="宋体" w:hAnsi="宋体" w:eastAsia="宋体" w:cs="宋体"/>
                <w:b w:val="0"/>
                <w:bCs w:val="0"/>
                <w:sz w:val="24"/>
                <w:szCs w:val="24"/>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（1）“基本功能”要求包括但不限于：</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1）模型操作功能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要求具备模型的移动、调整、对齐、捕捉等功能，快速实现模型的空间位置定义。具体功能技术要求包括但不限于：</w:t>
            </w:r>
            <w:r>
              <w:rPr>
                <w:rFonts w:hint="eastAsia" w:ascii="宋体" w:hAnsi="宋体" w:eastAsia="宋体" w:cs="宋体"/>
                <w:sz w:val="24"/>
                <w:szCs w:val="24"/>
                <w:lang w:val="en-US" w:eastAsia="zh-CN" w:bidi="ar-SA"/>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平移：沿坐标系轴或面的正负方向拖动，定义组件在仿真场景中的坐标值（x、y、z）；</w:t>
            </w:r>
            <w:r>
              <w:rPr>
                <w:rFonts w:hint="eastAsia" w:ascii="宋体" w:hAnsi="宋体" w:eastAsia="宋体" w:cs="宋体"/>
                <w:sz w:val="24"/>
                <w:szCs w:val="24"/>
                <w:lang w:val="en-US" w:eastAsia="zh-CN" w:bidi="ar-SA"/>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旋转：围绕坐标系的一根轴，以顺时针或者逆时针方向旋转，定义组件在仿真场景中的旋转角度（Rx、Ry、Rz）；</w:t>
            </w:r>
            <w:r>
              <w:rPr>
                <w:rFonts w:hint="eastAsia" w:ascii="宋体" w:hAnsi="宋体" w:eastAsia="宋体" w:cs="宋体"/>
                <w:sz w:val="24"/>
                <w:szCs w:val="24"/>
                <w:lang w:val="en-US" w:eastAsia="zh-CN" w:bidi="ar-SA"/>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交互：可根据各个部件的自由度（DOF）和限位在仿真场景中移动组件的交互部件；</w:t>
            </w:r>
            <w:r>
              <w:rPr>
                <w:rFonts w:hint="eastAsia" w:ascii="宋体" w:hAnsi="宋体" w:eastAsia="宋体" w:cs="宋体"/>
                <w:sz w:val="24"/>
                <w:szCs w:val="24"/>
                <w:lang w:val="en-US" w:eastAsia="zh-CN" w:bidi="ar-SA"/>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pnp：移动组件以及将组件与其它组件相连接，如：末端执行器安装至机器人法兰盘上、阻挡装置安装在输送线上等；</w:t>
            </w:r>
            <w:r>
              <w:rPr>
                <w:rFonts w:hint="eastAsia" w:ascii="宋体" w:hAnsi="宋体" w:eastAsia="宋体" w:cs="宋体"/>
                <w:sz w:val="24"/>
                <w:szCs w:val="24"/>
                <w:lang w:val="en-US" w:eastAsia="zh-CN" w:bidi="ar-SA"/>
              </w:rPr>
            </w:r>
            <w:r/>
          </w:p>
          <w:p>
            <w:pPr>
              <w:pStyle w:val="1044"/>
              <w:numPr>
                <w:ilvl w:val="0"/>
                <w:numId w:val="2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测量：基于网页版的三维仿真场景，测量仿真场景中组件的点、</w:t>
            </w:r>
            <w:r>
              <w:rPr>
                <w:rFonts w:hint="eastAsia" w:ascii="宋体" w:hAnsi="宋体" w:eastAsia="宋体" w:cs="宋体"/>
                <w:sz w:val="24"/>
                <w:szCs w:val="24"/>
                <w:lang w:val="en-US" w:eastAsia="zh-CN"/>
              </w:rPr>
              <w:t xml:space="preserve">边</w:t>
            </w:r>
            <w:r>
              <w:rPr>
                <w:rFonts w:hint="eastAsia" w:ascii="宋体" w:hAnsi="宋体" w:eastAsia="宋体" w:cs="宋体"/>
                <w:sz w:val="24"/>
                <w:szCs w:val="24"/>
              </w:rPr>
              <w:t xml:space="preserve">、面之间的距离、角度。在三维场景中测量出滚筒线上台面到地面及皮带的距离，根据测得的数据值，来设置阻挡气缸的坐标位置，从而实现阻挡气缸的合理安装。</w:t>
            </w:r>
            <w:r>
              <w:rPr>
                <w:rFonts w:hint="eastAsia" w:ascii="宋体" w:hAnsi="宋体" w:eastAsia="宋体" w:cs="宋体"/>
                <w:sz w:val="24"/>
                <w:szCs w:val="24"/>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捕捉：捕捉仿真场景中组件的点、线、面；</w:t>
            </w:r>
            <w:r>
              <w:rPr>
                <w:rFonts w:hint="eastAsia" w:ascii="宋体" w:hAnsi="宋体" w:eastAsia="宋体" w:cs="宋体"/>
                <w:sz w:val="24"/>
                <w:szCs w:val="24"/>
                <w:lang w:val="en-US" w:eastAsia="zh-CN" w:bidi="ar-SA"/>
              </w:rPr>
            </w:r>
            <w:r/>
          </w:p>
          <w:p>
            <w:pPr>
              <w:pStyle w:val="1044"/>
              <w:numPr>
                <w:ilvl w:val="0"/>
                <w:numId w:val="2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对齐：将模型与其他模型或参考物体进行对齐，使它们在空间中具有相同的位置或方向；</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2）场景视图操作功能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要求提供平移、旋转、缩放、视图选择器等交互，控制场景中三维模型的查看。具体功能技术要求包括但不限于：</w:t>
            </w:r>
            <w:r>
              <w:rPr>
                <w:rFonts w:hint="eastAsia" w:ascii="宋体" w:hAnsi="宋体" w:eastAsia="宋体" w:cs="宋体"/>
                <w:sz w:val="24"/>
                <w:szCs w:val="24"/>
                <w:lang w:val="en-US" w:eastAsia="zh-CN" w:bidi="ar-SA"/>
              </w:rPr>
            </w:r>
            <w:r/>
          </w:p>
          <w:p>
            <w:pPr>
              <w:pStyle w:val="1044"/>
              <w:numPr>
                <w:ilvl w:val="0"/>
                <w:numId w:val="2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平移：按住鼠标右键，平移场景；</w:t>
            </w:r>
            <w:r>
              <w:rPr>
                <w:rFonts w:hint="eastAsia" w:ascii="宋体" w:hAnsi="宋体" w:eastAsia="宋体" w:cs="宋体"/>
                <w:sz w:val="24"/>
                <w:szCs w:val="24"/>
                <w:lang w:val="en-US" w:eastAsia="zh-CN" w:bidi="ar-SA"/>
              </w:rPr>
            </w:r>
            <w:r/>
          </w:p>
          <w:p>
            <w:pPr>
              <w:pStyle w:val="1044"/>
              <w:numPr>
                <w:ilvl w:val="0"/>
                <w:numId w:val="2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旋转：按住鼠标中键，旋转场景；</w:t>
            </w:r>
            <w:r>
              <w:rPr>
                <w:rFonts w:hint="eastAsia" w:ascii="宋体" w:hAnsi="宋体" w:eastAsia="宋体" w:cs="宋体"/>
                <w:sz w:val="24"/>
                <w:szCs w:val="24"/>
                <w:lang w:val="en-US" w:eastAsia="zh-CN" w:bidi="ar-SA"/>
              </w:rPr>
            </w:r>
            <w:r/>
          </w:p>
          <w:p>
            <w:pPr>
              <w:pStyle w:val="1044"/>
              <w:numPr>
                <w:ilvl w:val="0"/>
                <w:numId w:val="2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缩放：滚动鼠标滚轮，放大缩小场景；</w:t>
            </w:r>
            <w:r>
              <w:rPr>
                <w:rFonts w:hint="eastAsia" w:ascii="宋体" w:hAnsi="宋体" w:eastAsia="宋体" w:cs="宋体"/>
                <w:sz w:val="24"/>
                <w:szCs w:val="24"/>
                <w:lang w:val="en-US" w:eastAsia="zh-CN" w:bidi="ar-SA"/>
              </w:rPr>
            </w:r>
            <w:r/>
          </w:p>
          <w:p>
            <w:pPr>
              <w:pStyle w:val="1044"/>
              <w:numPr>
                <w:ilvl w:val="0"/>
                <w:numId w:val="2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视图选择器：提供前后左右上视5个视角模式，快速切换到所需视角；</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3）场景文件管理功能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要求能够实现场景文件的新建、保存、打开、查找等操作，场景文件包含所有组件的数据，包括其位置、连接，以及属性值等。具体功能技术要求包括但不限于：</w:t>
            </w:r>
            <w:r>
              <w:rPr>
                <w:rFonts w:hint="eastAsia" w:ascii="宋体" w:hAnsi="宋体" w:eastAsia="宋体" w:cs="宋体"/>
                <w:sz w:val="24"/>
                <w:szCs w:val="24"/>
                <w:lang w:val="en-US" w:eastAsia="zh-CN" w:bidi="ar-SA"/>
              </w:rPr>
            </w:r>
            <w:r/>
          </w:p>
          <w:p>
            <w:pPr>
              <w:pStyle w:val="1044"/>
              <w:numPr>
                <w:ilvl w:val="0"/>
                <w:numId w:val="2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打开场景：打开已有场景；</w:t>
            </w:r>
            <w:r>
              <w:rPr>
                <w:rFonts w:hint="eastAsia" w:ascii="宋体" w:hAnsi="宋体" w:eastAsia="宋体" w:cs="宋体"/>
                <w:sz w:val="24"/>
                <w:szCs w:val="24"/>
                <w:lang w:val="en-US" w:eastAsia="zh-CN" w:bidi="ar-SA"/>
              </w:rPr>
            </w:r>
            <w:r/>
          </w:p>
          <w:p>
            <w:pPr>
              <w:pStyle w:val="1044"/>
              <w:numPr>
                <w:ilvl w:val="0"/>
                <w:numId w:val="2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保存场景：将当前场景保存至场景库中；</w:t>
            </w:r>
            <w:r>
              <w:rPr>
                <w:rFonts w:hint="eastAsia" w:ascii="宋体" w:hAnsi="宋体" w:eastAsia="宋体" w:cs="宋体"/>
                <w:sz w:val="24"/>
                <w:szCs w:val="24"/>
                <w:lang w:val="en-US" w:eastAsia="zh-CN" w:bidi="ar-SA"/>
              </w:rPr>
            </w:r>
            <w:r/>
          </w:p>
          <w:p>
            <w:pPr>
              <w:pStyle w:val="1044"/>
              <w:numPr>
                <w:ilvl w:val="0"/>
                <w:numId w:val="2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另存为场景：将当前场景重命名后，保存至场景库中；</w:t>
            </w:r>
            <w:r>
              <w:rPr>
                <w:rFonts w:hint="eastAsia" w:ascii="宋体" w:hAnsi="宋体" w:eastAsia="宋体" w:cs="宋体"/>
                <w:sz w:val="24"/>
                <w:szCs w:val="24"/>
                <w:lang w:val="en-US" w:eastAsia="zh-CN" w:bidi="ar-SA"/>
              </w:rPr>
            </w:r>
            <w:r/>
          </w:p>
          <w:p>
            <w:pPr>
              <w:pStyle w:val="1044"/>
              <w:numPr>
                <w:ilvl w:val="0"/>
                <w:numId w:val="2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新建场景：清空当前场景，显示一个新的空场景；</w:t>
            </w:r>
            <w:r>
              <w:rPr>
                <w:rFonts w:hint="eastAsia" w:ascii="宋体" w:hAnsi="宋体" w:eastAsia="宋体" w:cs="宋体"/>
                <w:sz w:val="24"/>
                <w:szCs w:val="24"/>
                <w:lang w:val="en-US" w:eastAsia="zh-CN" w:bidi="ar-SA"/>
              </w:rPr>
            </w:r>
            <w:r/>
          </w:p>
          <w:p>
            <w:pPr>
              <w:pStyle w:val="1044"/>
              <w:numPr>
                <w:ilvl w:val="0"/>
                <w:numId w:val="2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查找场景：输入关键字快速筛选场景；</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4）信号管理功能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让组件的信号和机器人的输入/输出在仿真场景中能够互相连接。具体功能技术要求包括但不限于：</w:t>
            </w:r>
            <w:r>
              <w:rPr>
                <w:rFonts w:hint="eastAsia" w:ascii="宋体" w:hAnsi="宋体" w:eastAsia="宋体" w:cs="宋体"/>
                <w:sz w:val="24"/>
                <w:szCs w:val="24"/>
                <w:lang w:val="en-US" w:eastAsia="zh-CN" w:bidi="ar-SA"/>
              </w:rPr>
            </w:r>
            <w:r/>
          </w:p>
          <w:p>
            <w:pPr>
              <w:pStyle w:val="1044"/>
              <w:numPr>
                <w:ilvl w:val="0"/>
                <w:numId w:val="2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选择组件：选择具有布尔信号的组件；</w:t>
            </w:r>
            <w:r>
              <w:rPr>
                <w:rFonts w:hint="eastAsia" w:ascii="宋体" w:hAnsi="宋体" w:eastAsia="宋体" w:cs="宋体"/>
                <w:sz w:val="24"/>
                <w:szCs w:val="24"/>
                <w:lang w:val="en-US" w:eastAsia="zh-CN" w:bidi="ar-SA"/>
              </w:rPr>
            </w:r>
            <w:r/>
          </w:p>
          <w:p>
            <w:pPr>
              <w:pStyle w:val="1044"/>
              <w:numPr>
                <w:ilvl w:val="0"/>
                <w:numId w:val="2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选择信号：选择组件下所需连接的信号；</w:t>
            </w:r>
            <w:r>
              <w:rPr>
                <w:rFonts w:hint="eastAsia" w:ascii="宋体" w:hAnsi="宋体" w:eastAsia="宋体" w:cs="宋体"/>
                <w:sz w:val="24"/>
                <w:szCs w:val="24"/>
                <w:lang w:val="en-US" w:eastAsia="zh-CN" w:bidi="ar-SA"/>
              </w:rPr>
            </w:r>
            <w:r/>
          </w:p>
          <w:p>
            <w:pPr>
              <w:pStyle w:val="1044"/>
              <w:numPr>
                <w:ilvl w:val="0"/>
                <w:numId w:val="23"/>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定义连接：将2个组件的信号进行配对；</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5）仿真运行模拟功能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位于仿真场景上方的模拟控制面板可以控制场景进行工艺过程的运行模拟、暂停、重置等相关操作。具体功能技术要求包括但不限于：</w:t>
            </w:r>
            <w:r>
              <w:rPr>
                <w:rFonts w:hint="eastAsia" w:ascii="宋体" w:hAnsi="宋体" w:eastAsia="宋体" w:cs="宋体"/>
                <w:sz w:val="24"/>
                <w:szCs w:val="24"/>
                <w:lang w:val="en-US" w:eastAsia="zh-CN" w:bidi="ar-SA"/>
              </w:rPr>
            </w:r>
            <w:r/>
          </w:p>
          <w:p>
            <w:pPr>
              <w:pStyle w:val="1044"/>
              <w:numPr>
                <w:ilvl w:val="0"/>
                <w:numId w:val="2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仿真运行：仿真场景执行工艺过程的模拟运行；</w:t>
            </w:r>
            <w:r>
              <w:rPr>
                <w:rFonts w:hint="eastAsia" w:ascii="宋体" w:hAnsi="宋体" w:eastAsia="宋体" w:cs="宋体"/>
                <w:sz w:val="24"/>
                <w:szCs w:val="24"/>
                <w:lang w:val="en-US" w:eastAsia="zh-CN" w:bidi="ar-SA"/>
              </w:rPr>
            </w:r>
            <w:r/>
          </w:p>
          <w:p>
            <w:pPr>
              <w:pStyle w:val="1044"/>
              <w:numPr>
                <w:ilvl w:val="0"/>
                <w:numId w:val="2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仿真暂停：仿真场景停止运行，并保持当前状态；</w:t>
            </w:r>
            <w:r>
              <w:rPr>
                <w:rFonts w:hint="eastAsia" w:ascii="宋体" w:hAnsi="宋体" w:eastAsia="宋体" w:cs="宋体"/>
                <w:sz w:val="24"/>
                <w:szCs w:val="24"/>
                <w:lang w:val="en-US" w:eastAsia="zh-CN" w:bidi="ar-SA"/>
              </w:rPr>
            </w:r>
            <w:r/>
          </w:p>
          <w:p>
            <w:pPr>
              <w:pStyle w:val="1044"/>
              <w:numPr>
                <w:ilvl w:val="0"/>
                <w:numId w:val="2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仿真重置：仿真场景中的运行状态返回至初始状态；</w:t>
            </w:r>
            <w:r>
              <w:rPr>
                <w:rFonts w:hint="eastAsia" w:ascii="宋体" w:hAnsi="宋体" w:eastAsia="宋体" w:cs="宋体"/>
                <w:sz w:val="24"/>
                <w:szCs w:val="24"/>
                <w:lang w:val="en-US" w:eastAsia="zh-CN" w:bidi="ar-SA"/>
              </w:rPr>
            </w:r>
            <w:r/>
          </w:p>
          <w:p>
            <w:pPr>
              <w:pStyle w:val="1044"/>
              <w:numPr>
                <w:ilvl w:val="0"/>
                <w:numId w:val="2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仿真运行速度定义：定义模拟运行速度，可加速或减速运行过程；</w:t>
            </w:r>
            <w:r>
              <w:rPr>
                <w:rFonts w:hint="eastAsia" w:ascii="宋体" w:hAnsi="宋体" w:eastAsia="宋体" w:cs="宋体"/>
                <w:sz w:val="24"/>
                <w:szCs w:val="24"/>
                <w:lang w:val="en-US" w:eastAsia="zh-CN" w:bidi="ar-SA"/>
              </w:rPr>
            </w:r>
            <w:r/>
          </w:p>
          <w:p>
            <w:pPr>
              <w:pStyle w:val="1044"/>
              <w:numPr>
                <w:ilvl w:val="0"/>
                <w:numId w:val="24"/>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运行时间显示：显示模拟运行过程中的时间节拍；</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（2）“工艺”要求包括但不限于：</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1）产品编辑器功能</w:t>
            </w:r>
            <w:r>
              <w:rPr>
                <w:rFonts w:hint="eastAsia" w:ascii="宋体" w:hAnsi="宋体" w:eastAsia="宋体" w:cs="宋体"/>
                <w:sz w:val="24"/>
                <w:szCs w:val="24"/>
                <w:lang w:val="en-US" w:eastAsia="zh-CN" w:bidi="ar-SA"/>
              </w:rPr>
            </w:r>
            <w:r/>
          </w:p>
          <w:p>
            <w:pPr>
              <w:pStyle w:val="1044"/>
              <w:numPr>
                <w:ilvl w:val="0"/>
                <w:numId w:val="2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流动组管理</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能够实现定义工艺流程和产品流的分组，可通过多个流动组来管理不同的工艺流程。具体功能技术要求包括但不限于：添加流动组：添加一个新的流动组；删除流动组：删除当前选中的流动组；</w:t>
            </w:r>
            <w:r>
              <w:rPr>
                <w:rFonts w:hint="eastAsia" w:ascii="宋体" w:hAnsi="宋体" w:eastAsia="宋体" w:cs="宋体"/>
                <w:sz w:val="24"/>
                <w:szCs w:val="24"/>
                <w:lang w:val="en-US" w:eastAsia="zh-CN" w:bidi="ar-SA"/>
              </w:rPr>
            </w:r>
            <w:r/>
          </w:p>
          <w:p>
            <w:pPr>
              <w:pStyle w:val="1044"/>
              <w:numPr>
                <w:ilvl w:val="0"/>
                <w:numId w:val="2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模型管理器</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应用编辑产品类模型的增删及分类，配置产品/装配体时需关联产品模型。具体功能技术要求包括但不限于：</w:t>
            </w:r>
            <w:r>
              <w:rPr>
                <w:rFonts w:hint="eastAsia" w:ascii="宋体" w:hAnsi="宋体" w:eastAsia="宋体" w:cs="宋体"/>
                <w:sz w:val="24"/>
                <w:szCs w:val="24"/>
                <w:lang w:val="en-US" w:eastAsia="zh-CN" w:bidi="ar-SA"/>
              </w:rPr>
            </w:r>
            <w:r/>
          </w:p>
          <w:p>
            <w:pPr>
              <w:pStyle w:val="1044"/>
              <w:numPr>
                <w:ilvl w:val="0"/>
                <w:numId w:val="0"/>
              </w:numPr>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定义产品模型分组：用于管理产品模型的分类；</w:t>
            </w:r>
            <w:r>
              <w:rPr>
                <w:rFonts w:hint="eastAsia" w:ascii="宋体" w:hAnsi="宋体" w:eastAsia="宋体" w:cs="宋体"/>
                <w:sz w:val="24"/>
                <w:szCs w:val="24"/>
                <w:lang w:val="en-US" w:eastAsia="zh-CN" w:bidi="ar-SA"/>
              </w:rPr>
            </w:r>
            <w:r/>
          </w:p>
          <w:p>
            <w:pPr>
              <w:pStyle w:val="1044"/>
              <w:numPr>
                <w:ilvl w:val="0"/>
                <w:numId w:val="0"/>
              </w:numPr>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导入产品三维模型：从几何元面板中导入所需的产品模型源文件，右下角显示当前导入模型的三维视图；</w:t>
            </w:r>
            <w:r>
              <w:rPr>
                <w:rFonts w:hint="eastAsia" w:ascii="宋体" w:hAnsi="宋体" w:eastAsia="宋体" w:cs="宋体"/>
                <w:sz w:val="24"/>
                <w:szCs w:val="24"/>
                <w:lang w:val="en-US" w:eastAsia="zh-CN" w:bidi="ar-SA"/>
              </w:rPr>
            </w:r>
            <w:r/>
          </w:p>
          <w:p>
            <w:pPr>
              <w:pStyle w:val="1044"/>
              <w:numPr>
                <w:ilvl w:val="0"/>
                <w:numId w:val="0"/>
              </w:numPr>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删除产品三维模型：删除当前选中的产品三维模型；</w:t>
            </w:r>
            <w:r>
              <w:rPr>
                <w:rFonts w:hint="eastAsia" w:ascii="宋体" w:hAnsi="宋体" w:eastAsia="宋体" w:cs="宋体"/>
                <w:sz w:val="24"/>
                <w:szCs w:val="24"/>
                <w:lang w:val="en-US" w:eastAsia="zh-CN" w:bidi="ar-SA"/>
              </w:rPr>
            </w:r>
            <w:r/>
          </w:p>
          <w:p>
            <w:pPr>
              <w:pStyle w:val="1044"/>
              <w:numPr>
                <w:ilvl w:val="0"/>
                <w:numId w:val="2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产品/装配配置</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用于创建并管理仿真模拟过程中使用的产品或装配体。具体功能技术要求包括但不限于：</w:t>
            </w:r>
            <w:r>
              <w:rPr>
                <w:rFonts w:hint="eastAsia" w:ascii="宋体" w:hAnsi="宋体" w:eastAsia="宋体" w:cs="宋体"/>
                <w:sz w:val="24"/>
                <w:szCs w:val="24"/>
                <w:lang w:val="en-US" w:eastAsia="zh-CN" w:bidi="ar-SA"/>
              </w:rPr>
            </w:r>
            <w:r/>
          </w:p>
          <w:p>
            <w:pPr>
              <w:pStyle w:val="1044"/>
              <w:numPr>
                <w:ilvl w:val="0"/>
                <w:numId w:val="2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定义产品：编辑产品名称，关联产品模型，与模型管理器中的模型源文件做绑定；</w:t>
            </w:r>
            <w:r>
              <w:rPr>
                <w:rFonts w:hint="eastAsia" w:ascii="宋体" w:hAnsi="宋体" w:eastAsia="宋体" w:cs="宋体"/>
                <w:sz w:val="24"/>
                <w:szCs w:val="24"/>
                <w:lang w:val="en-US" w:eastAsia="zh-CN" w:bidi="ar-SA"/>
              </w:rPr>
            </w:r>
            <w:r/>
          </w:p>
          <w:p>
            <w:pPr>
              <w:pStyle w:val="1044"/>
              <w:numPr>
                <w:ilvl w:val="0"/>
                <w:numId w:val="2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定义装配：在产品中能够创建装配体，装配体由多个子件（装配步骤）构成，能够定义并调整各子件的装配逻辑顺序及位置关系，且装配体的三维模型能够实时呈现；</w:t>
            </w:r>
            <w:r>
              <w:rPr>
                <w:rFonts w:hint="eastAsia" w:ascii="宋体" w:hAnsi="宋体" w:eastAsia="宋体" w:cs="宋体"/>
                <w:sz w:val="24"/>
                <w:szCs w:val="24"/>
                <w:lang w:val="en-US" w:eastAsia="zh-CN" w:bidi="ar-SA"/>
              </w:rPr>
            </w:r>
            <w:r/>
          </w:p>
          <w:p>
            <w:pPr>
              <w:pStyle w:val="1044"/>
              <w:numPr>
                <w:ilvl w:val="0"/>
                <w:numId w:val="2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定义步骤：定义装配体的步骤，装配步骤代表装配层次结构中一个可以装配或拆卸的逻辑步骤；</w:t>
            </w:r>
            <w:r>
              <w:rPr>
                <w:rFonts w:hint="eastAsia" w:ascii="宋体" w:hAnsi="宋体" w:eastAsia="宋体" w:cs="宋体"/>
                <w:sz w:val="24"/>
                <w:szCs w:val="24"/>
                <w:lang w:val="en-US" w:eastAsia="zh-CN" w:bidi="ar-SA"/>
              </w:rPr>
            </w:r>
            <w:r/>
          </w:p>
          <w:p>
            <w:pPr>
              <w:pStyle w:val="1044"/>
              <w:numPr>
                <w:ilvl w:val="0"/>
                <w:numId w:val="2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定义槽位：每个装配步骤包含一个或多个装配槽位，槽位关联产品、定义产品的空间位置；</w:t>
            </w:r>
            <w:r>
              <w:rPr>
                <w:rFonts w:hint="eastAsia" w:ascii="宋体" w:hAnsi="宋体" w:eastAsia="宋体" w:cs="宋体"/>
                <w:sz w:val="24"/>
                <w:szCs w:val="24"/>
                <w:lang w:val="en-US" w:eastAsia="zh-CN" w:bidi="ar-SA"/>
              </w:rPr>
            </w:r>
            <w:r/>
          </w:p>
          <w:p>
            <w:pPr>
              <w:pStyle w:val="1044"/>
              <w:numPr>
                <w:ilvl w:val="0"/>
                <w:numId w:val="2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产品视图：显示当前选中的装配体中各步骤槽位摆放的产品及其空间位置；</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2）工艺编辑器功能</w:t>
            </w:r>
            <w:r>
              <w:rPr>
                <w:rFonts w:hint="eastAsia" w:ascii="宋体" w:hAnsi="宋体" w:eastAsia="宋体" w:cs="宋体"/>
                <w:sz w:val="24"/>
                <w:szCs w:val="24"/>
                <w:lang w:val="en-US" w:eastAsia="zh-CN" w:bidi="ar-SA"/>
              </w:rPr>
            </w:r>
            <w:r/>
          </w:p>
          <w:p>
            <w:pPr>
              <w:pStyle w:val="1044"/>
              <w:numPr>
                <w:ilvl w:val="0"/>
                <w:numId w:val="2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工艺程序管理</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工艺编辑器中可创建一个或多个工艺程序，定义工艺程序名称，在每个工艺程序下可通过编辑工艺指令来定义运行逻辑。具体功能技术要求包括但不限于：添加工艺程序：支持同一工艺点创建多个工艺程序；删除工艺程序：删除当前选中的工艺程序；</w:t>
            </w:r>
            <w:r>
              <w:rPr>
                <w:rFonts w:hint="eastAsia" w:ascii="宋体" w:hAnsi="宋体" w:eastAsia="宋体" w:cs="宋体"/>
                <w:sz w:val="24"/>
                <w:szCs w:val="24"/>
                <w:lang w:val="en-US" w:eastAsia="zh-CN" w:bidi="ar-SA"/>
              </w:rPr>
            </w:r>
            <w:r/>
          </w:p>
          <w:p>
            <w:pPr>
              <w:pStyle w:val="1044"/>
              <w:numPr>
                <w:ilvl w:val="0"/>
                <w:numId w:val="27"/>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工艺指令配置</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指令采用可视化的方式快速配置每个工艺程序的仿真运行逻辑，指令类型包括工艺流程指令、产品工艺指令、装配工艺指令、流程逻辑控制指令、运动工艺指令、信号工艺指令、程序工艺指令。具体功能技术要求包括但不限于：</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接收产品：等待产品流入；</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传输产品：等待产品流出，一般与接收产品指令成对应用于不同节点；</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创建产品：在该节点生成产品；</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删除产品：将该节点的产品删除；</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更换产品：更换节点当前产品类型；</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获取装配：获取装配体的某一步骤，一般与接收产品/传输产品成对应用在同一节点；</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开关语句、开关判断：配合使用处理多分支选择；</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如果语句、如果判断、否则判断：配合使用处理不同条件下的工艺运行；</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移动关节：适用于需要关节移动的设备；</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移动设备：空车调用，适用于AGV小车；</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产品吸附：将产品/装配固定到某个组件上；</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取消吸附：从某个组件上移除固定的产品/装配；</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组合：组件间的从属关系定义；</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分离：从已有的从属关系中拆出组件；</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发送信号：发送信号指令至其他组件；</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等待信号：等待其他组件的信号反馈；</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设置属性：改变组件的属性值；</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等待属性：等待组件的属性值发生变化；</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延迟：延迟工艺语句的执行；</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打印信息：输出信息，可在消息列表中查阅；</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机器人程序：执行机器人的路径程序；</w:t>
            </w:r>
            <w:r>
              <w:rPr>
                <w:rFonts w:hint="eastAsia" w:ascii="宋体" w:hAnsi="宋体" w:eastAsia="宋体" w:cs="宋体"/>
                <w:sz w:val="24"/>
                <w:szCs w:val="24"/>
                <w:lang w:val="en-US" w:eastAsia="zh-CN" w:bidi="ar-SA"/>
              </w:rPr>
            </w:r>
            <w:r/>
          </w:p>
          <w:p>
            <w:pPr>
              <w:pStyle w:val="1044"/>
              <w:numPr>
                <w:ilvl w:val="0"/>
                <w:numId w:val="2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机器人搬运：执行机器人的搬运程序；</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3）工艺流程编辑器</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定义产品在模拟运行过程中的流动顺序、方向、运输载体等。具体功能技术要求包括但不限于：</w:t>
            </w:r>
            <w:r>
              <w:rPr>
                <w:rFonts w:hint="eastAsia" w:ascii="宋体" w:hAnsi="宋体" w:eastAsia="宋体" w:cs="宋体"/>
                <w:sz w:val="24"/>
                <w:szCs w:val="24"/>
                <w:lang w:val="en-US" w:eastAsia="zh-CN" w:bidi="ar-SA"/>
              </w:rPr>
            </w:r>
            <w:r/>
          </w:p>
          <w:p>
            <w:pPr>
              <w:pStyle w:val="1044"/>
              <w:numPr>
                <w:ilvl w:val="0"/>
                <w:numId w:val="29"/>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连接工艺节点：先后点击工艺节点，形成流程指示线；</w:t>
            </w:r>
            <w:r>
              <w:rPr>
                <w:rFonts w:hint="eastAsia" w:ascii="宋体" w:hAnsi="宋体" w:eastAsia="宋体" w:cs="宋体"/>
                <w:sz w:val="24"/>
                <w:szCs w:val="24"/>
                <w:lang w:val="en-US" w:eastAsia="zh-CN" w:bidi="ar-SA"/>
              </w:rPr>
            </w:r>
            <w:r/>
          </w:p>
          <w:p>
            <w:pPr>
              <w:pStyle w:val="1044"/>
              <w:numPr>
                <w:ilvl w:val="0"/>
                <w:numId w:val="29"/>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选择运输器：支持选择不同类型的运输器实现物流运输；</w:t>
            </w:r>
            <w:r>
              <w:rPr>
                <w:rFonts w:hint="eastAsia" w:ascii="宋体" w:hAnsi="宋体" w:eastAsia="宋体" w:cs="宋体"/>
                <w:sz w:val="24"/>
                <w:szCs w:val="24"/>
                <w:lang w:val="en-US" w:eastAsia="zh-CN" w:bidi="ar-SA"/>
              </w:rPr>
            </w:r>
            <w:r/>
          </w:p>
          <w:p>
            <w:pPr>
              <w:pStyle w:val="1044"/>
              <w:numPr>
                <w:ilvl w:val="0"/>
                <w:numId w:val="29"/>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运输器属性配置：设置不同运输器的属性；</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（3）“组件建模”要求包括但不限于：</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1）建模操作功能</w:t>
            </w:r>
            <w:r>
              <w:rPr>
                <w:rFonts w:hint="eastAsia" w:ascii="宋体" w:hAnsi="宋体" w:eastAsia="宋体" w:cs="宋体"/>
                <w:sz w:val="24"/>
                <w:szCs w:val="24"/>
                <w:lang w:val="en-US" w:eastAsia="zh-CN" w:bidi="ar-SA"/>
              </w:rPr>
            </w:r>
            <w:r/>
          </w:p>
          <w:p>
            <w:pPr>
              <w:pStyle w:val="1044"/>
              <w:numPr>
                <w:ilvl w:val="0"/>
                <w:numId w:val="3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三维模型管理</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支持导入外部的三维模型，并保存至模型库中。具体功能技术要求包括但不限于：</w:t>
            </w:r>
            <w:r>
              <w:rPr>
                <w:rFonts w:hint="eastAsia" w:ascii="宋体" w:hAnsi="宋体" w:eastAsia="宋体" w:cs="宋体"/>
                <w:sz w:val="24"/>
                <w:szCs w:val="24"/>
                <w:lang w:val="en-US" w:eastAsia="zh-CN" w:bidi="ar-SA"/>
              </w:rPr>
            </w:r>
            <w:r/>
          </w:p>
          <w:p>
            <w:pPr>
              <w:pStyle w:val="1044"/>
              <w:numPr>
                <w:ilvl w:val="0"/>
                <w:numId w:val="31"/>
              </w:numPr>
              <w:ind w:left="425" w:hanging="42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导入新三维模型文件：支持导入babylon</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glb、gltf、obj等</w:t>
            </w:r>
            <w:r>
              <w:rPr>
                <w:rFonts w:hint="eastAsia" w:ascii="宋体" w:hAnsi="宋体" w:eastAsia="宋体" w:cs="宋体"/>
                <w:sz w:val="24"/>
                <w:szCs w:val="24"/>
              </w:rPr>
              <w:t xml:space="preserve">格式的模型至仿真场景中，成为新组件；</w:t>
            </w:r>
            <w:r>
              <w:rPr>
                <w:rFonts w:hint="eastAsia" w:ascii="宋体" w:hAnsi="宋体" w:eastAsia="宋体" w:cs="宋体"/>
                <w:sz w:val="24"/>
                <w:szCs w:val="24"/>
              </w:rPr>
            </w:r>
            <w:r/>
          </w:p>
          <w:p>
            <w:pPr>
              <w:pStyle w:val="1044"/>
              <w:numPr>
                <w:ilvl w:val="0"/>
                <w:numId w:val="31"/>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保存三维模型：将组件保存至模型库中；</w:t>
            </w:r>
            <w:r>
              <w:rPr>
                <w:rFonts w:hint="eastAsia" w:ascii="宋体" w:hAnsi="宋体" w:eastAsia="宋体" w:cs="宋体"/>
                <w:sz w:val="24"/>
                <w:szCs w:val="24"/>
                <w:lang w:val="en-US" w:eastAsia="zh-CN" w:bidi="ar-SA"/>
              </w:rPr>
            </w:r>
            <w:r/>
          </w:p>
          <w:p>
            <w:pPr>
              <w:pStyle w:val="1044"/>
              <w:numPr>
                <w:ilvl w:val="0"/>
                <w:numId w:val="3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关节设置</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当组件包含可移动部件或者运动结构时，通过配置关节定义其运动机制。每个关节都包含用于定义偏差、轴心点、关节类型以及自由度的属性。具体功能技术要求包括但不限于：</w:t>
            </w:r>
            <w:r>
              <w:rPr>
                <w:rFonts w:hint="eastAsia" w:ascii="宋体" w:hAnsi="宋体" w:eastAsia="宋体" w:cs="宋体"/>
                <w:sz w:val="24"/>
                <w:szCs w:val="24"/>
                <w:lang w:val="en-US" w:eastAsia="zh-CN" w:bidi="ar-SA"/>
              </w:rPr>
            </w:r>
            <w:r/>
          </w:p>
          <w:p>
            <w:pPr>
              <w:pStyle w:val="1044"/>
              <w:numPr>
                <w:ilvl w:val="0"/>
                <w:numId w:val="32"/>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创建关节：关节表示组件模型的容器，一般为不同运动方式的模型创建对应的关节；</w:t>
            </w:r>
            <w:r>
              <w:rPr>
                <w:rFonts w:hint="eastAsia" w:ascii="宋体" w:hAnsi="宋体" w:eastAsia="宋体" w:cs="宋体"/>
                <w:sz w:val="24"/>
                <w:szCs w:val="24"/>
                <w:lang w:val="en-US" w:eastAsia="zh-CN" w:bidi="ar-SA"/>
              </w:rPr>
            </w:r>
            <w:r/>
          </w:p>
          <w:p>
            <w:pPr>
              <w:pStyle w:val="1044"/>
              <w:numPr>
                <w:ilvl w:val="0"/>
                <w:numId w:val="32"/>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定义关节层级关系：当组件运动包含从属关系时（如：六轴机器人的J1会带动其余各关节移动），需定义关节间的父子关系；</w:t>
            </w:r>
            <w:r>
              <w:rPr>
                <w:rFonts w:hint="eastAsia" w:ascii="宋体" w:hAnsi="宋体" w:eastAsia="宋体" w:cs="宋体"/>
                <w:sz w:val="24"/>
                <w:szCs w:val="24"/>
                <w:lang w:val="en-US" w:eastAsia="zh-CN" w:bidi="ar-SA"/>
              </w:rPr>
            </w:r>
            <w:r/>
          </w:p>
          <w:p>
            <w:pPr>
              <w:pStyle w:val="1044"/>
              <w:numPr>
                <w:ilvl w:val="0"/>
                <w:numId w:val="32"/>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关联模型与关节：将不同运动方式的模型拖拽至对应关节下；</w:t>
            </w:r>
            <w:r>
              <w:rPr>
                <w:rFonts w:hint="eastAsia" w:ascii="宋体" w:hAnsi="宋体" w:eastAsia="宋体" w:cs="宋体"/>
                <w:sz w:val="24"/>
                <w:szCs w:val="24"/>
                <w:lang w:val="en-US" w:eastAsia="zh-CN" w:bidi="ar-SA"/>
              </w:rPr>
            </w:r>
            <w:r/>
          </w:p>
          <w:p>
            <w:pPr>
              <w:pStyle w:val="1044"/>
              <w:numPr>
                <w:ilvl w:val="0"/>
                <w:numId w:val="32"/>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定义关节类型：关节的运动类型包括：固定、平移、旋转、相对平移、相对旋转；</w:t>
            </w:r>
            <w:r>
              <w:rPr>
                <w:rFonts w:hint="eastAsia" w:ascii="宋体" w:hAnsi="宋体" w:eastAsia="宋体" w:cs="宋体"/>
                <w:sz w:val="24"/>
                <w:szCs w:val="24"/>
                <w:lang w:val="en-US" w:eastAsia="zh-CN" w:bidi="ar-SA"/>
              </w:rPr>
            </w:r>
            <w:r/>
          </w:p>
          <w:p>
            <w:pPr>
              <w:pStyle w:val="1044"/>
              <w:numPr>
                <w:ilvl w:val="0"/>
                <w:numId w:val="32"/>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定义关节参数：参数包括：运动轴、运动范围、初始值等；</w:t>
            </w:r>
            <w:r>
              <w:rPr>
                <w:rFonts w:hint="eastAsia" w:ascii="宋体" w:hAnsi="宋体" w:eastAsia="宋体" w:cs="宋体"/>
                <w:sz w:val="24"/>
                <w:szCs w:val="24"/>
                <w:lang w:val="en-US" w:eastAsia="zh-CN" w:bidi="ar-SA"/>
              </w:rPr>
            </w:r>
            <w:r/>
          </w:p>
          <w:p>
            <w:pPr>
              <w:pStyle w:val="1044"/>
              <w:numPr>
                <w:ilvl w:val="0"/>
                <w:numId w:val="3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坐标轴设置</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为组件定义坐标，坐标轴可用于pnp模式的安装点或工艺节点等位置的配置。具体功能技术要求包括但不限于：</w:t>
            </w:r>
            <w:r>
              <w:rPr>
                <w:rFonts w:hint="eastAsia" w:ascii="宋体" w:hAnsi="宋体" w:eastAsia="宋体" w:cs="宋体"/>
                <w:sz w:val="24"/>
                <w:szCs w:val="24"/>
                <w:lang w:val="en-US" w:eastAsia="zh-CN" w:bidi="ar-SA"/>
              </w:rPr>
            </w:r>
            <w:r/>
          </w:p>
          <w:p>
            <w:pPr>
              <w:pStyle w:val="1044"/>
              <w:numPr>
                <w:ilvl w:val="0"/>
                <w:numId w:val="33"/>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创建坐标轴：在关节下创建坐标轴；</w:t>
            </w:r>
            <w:r>
              <w:rPr>
                <w:rFonts w:hint="eastAsia" w:ascii="宋体" w:hAnsi="宋体" w:eastAsia="宋体" w:cs="宋体"/>
                <w:sz w:val="24"/>
                <w:szCs w:val="24"/>
                <w:lang w:val="en-US" w:eastAsia="zh-CN" w:bidi="ar-SA"/>
              </w:rPr>
            </w:r>
            <w:r/>
          </w:p>
          <w:p>
            <w:pPr>
              <w:pStyle w:val="1044"/>
              <w:numPr>
                <w:ilvl w:val="0"/>
                <w:numId w:val="33"/>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定义坐标轴位置：拖拽移动轴或在属性面板中输入空间位置数据，修改坐标轴的位置；</w:t>
            </w:r>
            <w:r>
              <w:rPr>
                <w:rFonts w:hint="eastAsia" w:ascii="宋体" w:hAnsi="宋体" w:eastAsia="宋体" w:cs="宋体"/>
                <w:sz w:val="24"/>
                <w:szCs w:val="24"/>
                <w:lang w:val="en-US" w:eastAsia="zh-CN" w:bidi="ar-SA"/>
              </w:rPr>
            </w:r>
            <w:r/>
          </w:p>
          <w:p>
            <w:pPr>
              <w:pStyle w:val="1044"/>
              <w:numPr>
                <w:ilvl w:val="0"/>
                <w:numId w:val="3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原点设置</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自定义组件的原点，即中心点。具体功能技术要求包括但不限于：</w:t>
            </w:r>
            <w:r>
              <w:rPr>
                <w:rFonts w:hint="eastAsia" w:ascii="宋体" w:hAnsi="宋体" w:eastAsia="宋体" w:cs="宋体"/>
                <w:sz w:val="24"/>
                <w:szCs w:val="24"/>
                <w:lang w:val="en-US" w:eastAsia="zh-CN" w:bidi="ar-SA"/>
              </w:rPr>
            </w:r>
            <w:r/>
          </w:p>
          <w:p>
            <w:pPr>
              <w:pStyle w:val="1044"/>
              <w:numPr>
                <w:ilvl w:val="0"/>
                <w:numId w:val="34"/>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捕捉原点：快速定位到当前组件的原点；</w:t>
            </w:r>
            <w:r>
              <w:rPr>
                <w:rFonts w:hint="eastAsia" w:ascii="宋体" w:hAnsi="宋体" w:eastAsia="宋体" w:cs="宋体"/>
                <w:sz w:val="24"/>
                <w:szCs w:val="24"/>
                <w:lang w:val="en-US" w:eastAsia="zh-CN" w:bidi="ar-SA"/>
              </w:rPr>
            </w:r>
            <w:r/>
          </w:p>
          <w:p>
            <w:pPr>
              <w:pStyle w:val="1044"/>
              <w:numPr>
                <w:ilvl w:val="0"/>
                <w:numId w:val="34"/>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修改模型原点位置：拖拽移动轴或在属性面板中输入空间位置数据，修改模型原点的位置；</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2）行为管理功能</w:t>
            </w:r>
            <w:r>
              <w:rPr>
                <w:rFonts w:hint="eastAsia" w:ascii="宋体" w:hAnsi="宋体" w:eastAsia="宋体" w:cs="宋体"/>
                <w:sz w:val="24"/>
                <w:szCs w:val="24"/>
                <w:lang w:val="en-US" w:eastAsia="zh-CN" w:bidi="ar-SA"/>
              </w:rPr>
            </w:r>
            <w:r/>
          </w:p>
          <w:p>
            <w:pPr>
              <w:pStyle w:val="1044"/>
              <w:numPr>
                <w:ilvl w:val="0"/>
                <w:numId w:val="3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接口</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将一个组件中的行为连接至其它组件中的行为。具体功能技术要求包括但不限于：</w:t>
            </w:r>
            <w:r>
              <w:rPr>
                <w:rFonts w:hint="eastAsia" w:ascii="宋体" w:hAnsi="宋体" w:eastAsia="宋体" w:cs="宋体"/>
                <w:sz w:val="24"/>
                <w:szCs w:val="24"/>
                <w:lang w:val="en-US" w:eastAsia="zh-CN" w:bidi="ar-SA"/>
              </w:rPr>
            </w:r>
            <w:r/>
          </w:p>
          <w:p>
            <w:pPr>
              <w:pStyle w:val="1044"/>
              <w:numPr>
                <w:ilvl w:val="0"/>
                <w:numId w:val="3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一对一：允许组件与另一个组件连接；</w:t>
            </w:r>
            <w:r>
              <w:rPr>
                <w:rFonts w:hint="eastAsia" w:ascii="宋体" w:hAnsi="宋体" w:eastAsia="宋体" w:cs="宋体"/>
                <w:sz w:val="24"/>
                <w:szCs w:val="24"/>
                <w:lang w:val="en-US" w:eastAsia="zh-CN" w:bidi="ar-SA"/>
              </w:rPr>
            </w:r>
            <w:r/>
          </w:p>
          <w:p>
            <w:pPr>
              <w:pStyle w:val="1044"/>
              <w:numPr>
                <w:ilvl w:val="0"/>
                <w:numId w:val="36"/>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一对多：允许组件连接一个或者多个组件；</w:t>
            </w:r>
            <w:r>
              <w:rPr>
                <w:rFonts w:hint="eastAsia" w:ascii="宋体" w:hAnsi="宋体" w:eastAsia="宋体" w:cs="宋体"/>
                <w:sz w:val="24"/>
                <w:szCs w:val="24"/>
                <w:lang w:val="en-US" w:eastAsia="zh-CN" w:bidi="ar-SA"/>
              </w:rPr>
            </w:r>
            <w:r/>
          </w:p>
          <w:p>
            <w:pPr>
              <w:pStyle w:val="1044"/>
              <w:numPr>
                <w:ilvl w:val="0"/>
                <w:numId w:val="3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信号</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发送和接收不同类型的信号。具体功能技术要求包括但不限于：</w:t>
            </w:r>
            <w:r>
              <w:rPr>
                <w:rFonts w:hint="eastAsia" w:ascii="宋体" w:hAnsi="宋体" w:eastAsia="宋体" w:cs="宋体"/>
                <w:sz w:val="24"/>
                <w:szCs w:val="24"/>
                <w:lang w:val="en-US" w:eastAsia="zh-CN" w:bidi="ar-SA"/>
              </w:rPr>
            </w:r>
            <w:r/>
          </w:p>
          <w:p>
            <w:pPr>
              <w:pStyle w:val="1044"/>
              <w:numPr>
                <w:ilvl w:val="0"/>
                <w:numId w:val="37"/>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布尔信号：发送/接收一个True或者False值；</w:t>
            </w:r>
            <w:r>
              <w:rPr>
                <w:rFonts w:hint="eastAsia" w:ascii="宋体" w:hAnsi="宋体" w:eastAsia="宋体" w:cs="宋体"/>
                <w:sz w:val="24"/>
                <w:szCs w:val="24"/>
                <w:lang w:val="en-US" w:eastAsia="zh-CN" w:bidi="ar-SA"/>
              </w:rPr>
            </w:r>
            <w:r/>
          </w:p>
          <w:p>
            <w:pPr>
              <w:pStyle w:val="1044"/>
              <w:numPr>
                <w:ilvl w:val="0"/>
                <w:numId w:val="37"/>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整数信号：发送/接收一个整数；</w:t>
            </w:r>
            <w:r>
              <w:rPr>
                <w:rFonts w:hint="eastAsia" w:ascii="宋体" w:hAnsi="宋体" w:eastAsia="宋体" w:cs="宋体"/>
                <w:sz w:val="24"/>
                <w:szCs w:val="24"/>
                <w:lang w:val="en-US" w:eastAsia="zh-CN" w:bidi="ar-SA"/>
              </w:rPr>
            </w:r>
            <w:r/>
          </w:p>
          <w:p>
            <w:pPr>
              <w:pStyle w:val="1044"/>
              <w:numPr>
                <w:ilvl w:val="0"/>
                <w:numId w:val="37"/>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布尔地图信号：提供一个I/O空间用于将信号映射至端口，可配置端口数、端口起始值；</w:t>
            </w:r>
            <w:r>
              <w:rPr>
                <w:rFonts w:hint="eastAsia" w:ascii="宋体" w:hAnsi="宋体" w:eastAsia="宋体" w:cs="宋体"/>
                <w:sz w:val="24"/>
                <w:szCs w:val="24"/>
                <w:lang w:val="en-US" w:eastAsia="zh-CN" w:bidi="ar-SA"/>
              </w:rPr>
            </w:r>
            <w:r/>
          </w:p>
          <w:p>
            <w:pPr>
              <w:pStyle w:val="1044"/>
              <w:numPr>
                <w:ilvl w:val="0"/>
                <w:numId w:val="37"/>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系统具备提供字符串信号、位置信号、角度信号、组件信号的能力；</w:t>
            </w:r>
            <w:r>
              <w:rPr>
                <w:rFonts w:hint="eastAsia" w:ascii="宋体" w:hAnsi="宋体" w:eastAsia="宋体" w:cs="宋体"/>
                <w:sz w:val="24"/>
                <w:szCs w:val="24"/>
                <w:lang w:val="en-US" w:eastAsia="zh-CN" w:bidi="ar-SA"/>
              </w:rPr>
            </w:r>
            <w:r/>
          </w:p>
          <w:p>
            <w:pPr>
              <w:pStyle w:val="1044"/>
              <w:numPr>
                <w:ilvl w:val="0"/>
                <w:numId w:val="3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运动</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具备赋予组件运动控制的能力，能够定义组件的运动属性。具体功能技术要求包括但不限于：</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关节控制器：定义一个运动机构及其配置，包括其驱动关节；</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平移控制器：即导轨控制器，定义一个导轨及其配置，包括其关节控制器、xyz对应的关节、法兰节点；</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机器人程序执行器：为机器人程序提供一个逻辑容器和执行器；</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六轴机器人控制器：定义一个六轴机器人及其配置，包括其运动、关节等；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六轴机器人运动学：编辑DH值，定义六轴关节型机器人的运动参数；</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Scara机器人控制器：定义一个Scara型机器人及其配置，包括其运动、关节等；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Scara机器人运动学：编辑DH值，定义Scara型机器人的运动参数；</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协作机器人控制器：定义一个协作机器人及其配置，包括其运动、关节等；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协作机器人运动学：编辑DH值，定义协作机器人的运动参数；</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三轴平移机器人控制器：定义一个三轴机器人及其配置，包括其运动、关节、速度等；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机器人工具：提供一个充当工具中心点（TCP）的逻辑容器用于添加和编辑用作工具坐标框的坐标框特征；</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运输控制器：定义一个移动小车及其配置，包括其所控制的小车、停靠点、路径线等；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运输设备：为移动小车赋予运输能力，可编辑运行速度、旋转速度，运输到位信号等；</w:t>
            </w:r>
            <w:r>
              <w:rPr>
                <w:rFonts w:hint="eastAsia" w:ascii="宋体" w:hAnsi="宋体" w:eastAsia="宋体" w:cs="宋体"/>
                <w:sz w:val="24"/>
                <w:szCs w:val="24"/>
                <w:lang w:val="en-US" w:eastAsia="zh-CN" w:bidi="ar-SA"/>
              </w:rPr>
            </w:r>
            <w:r/>
          </w:p>
          <w:p>
            <w:pPr>
              <w:pStyle w:val="1044"/>
              <w:numPr>
                <w:ilvl w:val="0"/>
                <w:numId w:val="38"/>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设备路径点：定义小车路径点，配置其控制器；</w:t>
            </w:r>
            <w:r>
              <w:rPr>
                <w:rFonts w:hint="eastAsia" w:ascii="宋体" w:hAnsi="宋体" w:eastAsia="宋体" w:cs="宋体"/>
                <w:sz w:val="24"/>
                <w:szCs w:val="24"/>
                <w:lang w:val="en-US" w:eastAsia="zh-CN" w:bidi="ar-SA"/>
              </w:rPr>
            </w:r>
            <w:r/>
          </w:p>
          <w:p>
            <w:pPr>
              <w:pStyle w:val="1044"/>
              <w:numPr>
                <w:ilvl w:val="0"/>
                <w:numId w:val="35"/>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能够实现工艺类行为包括但不限于：定义产品、工艺和流程。具体功能技术要求包括但不限于：</w:t>
            </w:r>
            <w:r>
              <w:rPr>
                <w:rFonts w:hint="eastAsia" w:ascii="宋体" w:hAnsi="宋体" w:eastAsia="宋体" w:cs="宋体"/>
                <w:sz w:val="24"/>
                <w:szCs w:val="24"/>
                <w:lang w:val="en-US" w:eastAsia="zh-CN" w:bidi="ar-SA"/>
              </w:rPr>
            </w:r>
            <w:r/>
          </w:p>
          <w:p>
            <w:pPr>
              <w:pStyle w:val="1044"/>
              <w:numPr>
                <w:ilvl w:val="0"/>
                <w:numId w:val="39"/>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工艺执行器：为工艺路径提供逻辑容器和执行器；</w:t>
            </w:r>
            <w:r>
              <w:rPr>
                <w:rFonts w:hint="eastAsia" w:ascii="宋体" w:hAnsi="宋体" w:eastAsia="宋体" w:cs="宋体"/>
                <w:sz w:val="24"/>
                <w:szCs w:val="24"/>
                <w:lang w:val="en-US" w:eastAsia="zh-CN" w:bidi="ar-SA"/>
              </w:rPr>
            </w:r>
            <w:r/>
          </w:p>
          <w:p>
            <w:pPr>
              <w:pStyle w:val="1044"/>
              <w:numPr>
                <w:ilvl w:val="0"/>
                <w:numId w:val="39"/>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工艺传输点：流程的经过点，可以在此将产品流入/流出；</w:t>
            </w:r>
            <w:r>
              <w:rPr>
                <w:rFonts w:hint="eastAsia" w:ascii="宋体" w:hAnsi="宋体" w:eastAsia="宋体" w:cs="宋体"/>
                <w:sz w:val="24"/>
                <w:szCs w:val="24"/>
                <w:lang w:val="en-US" w:eastAsia="zh-CN" w:bidi="ar-SA"/>
              </w:rPr>
            </w:r>
            <w:r/>
          </w:p>
          <w:p>
            <w:pPr>
              <w:pStyle w:val="1044"/>
              <w:numPr>
                <w:ilvl w:val="0"/>
                <w:numId w:val="39"/>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立库：为立库赋予存储能力，定义库位长宽高、行列、库位支持存放的产品；</w:t>
            </w:r>
            <w:r>
              <w:rPr>
                <w:rFonts w:hint="eastAsia" w:ascii="宋体" w:hAnsi="宋体" w:eastAsia="宋体" w:cs="宋体"/>
                <w:sz w:val="24"/>
                <w:szCs w:val="24"/>
                <w:lang w:val="en-US" w:eastAsia="zh-CN" w:bidi="ar-SA"/>
              </w:rPr>
            </w:r>
            <w:r/>
          </w:p>
          <w:p>
            <w:pPr>
              <w:pStyle w:val="1044"/>
              <w:numPr>
                <w:ilvl w:val="0"/>
                <w:numId w:val="39"/>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脚本：定义一个脚本用于操作组件、命令和应用；</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3）属性管理功能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属性是组件的全局变量，在组件的根节点中定义。属性类型包含字符串、整数、布尔量、小数等。具体功能技术要求包括但不限于：</w:t>
            </w:r>
            <w:r>
              <w:rPr>
                <w:rFonts w:hint="eastAsia" w:ascii="宋体" w:hAnsi="宋体" w:eastAsia="宋体" w:cs="宋体"/>
                <w:sz w:val="24"/>
                <w:szCs w:val="24"/>
                <w:lang w:val="en-US" w:eastAsia="zh-CN" w:bidi="ar-SA"/>
              </w:rPr>
            </w:r>
            <w:r/>
          </w:p>
          <w:p>
            <w:pPr>
              <w:pStyle w:val="1044"/>
              <w:numPr>
                <w:ilvl w:val="0"/>
                <w:numId w:val="4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字符串：字符字符串；</w:t>
            </w:r>
            <w:r>
              <w:rPr>
                <w:rFonts w:hint="eastAsia" w:ascii="宋体" w:hAnsi="宋体" w:eastAsia="宋体" w:cs="宋体"/>
                <w:sz w:val="24"/>
                <w:szCs w:val="24"/>
                <w:lang w:val="en-US" w:eastAsia="zh-CN" w:bidi="ar-SA"/>
              </w:rPr>
            </w:r>
            <w:r/>
          </w:p>
          <w:p>
            <w:pPr>
              <w:pStyle w:val="1044"/>
              <w:numPr>
                <w:ilvl w:val="0"/>
                <w:numId w:val="4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整数：整数值；</w:t>
            </w:r>
            <w:r>
              <w:rPr>
                <w:rFonts w:hint="eastAsia" w:ascii="宋体" w:hAnsi="宋体" w:eastAsia="宋体" w:cs="宋体"/>
                <w:sz w:val="24"/>
                <w:szCs w:val="24"/>
                <w:lang w:val="en-US" w:eastAsia="zh-CN" w:bidi="ar-SA"/>
              </w:rPr>
            </w:r>
            <w:r/>
          </w:p>
          <w:p>
            <w:pPr>
              <w:pStyle w:val="1044"/>
              <w:numPr>
                <w:ilvl w:val="0"/>
                <w:numId w:val="4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布尔：可使用1或者0表达的True或者False值；</w:t>
            </w:r>
            <w:r>
              <w:rPr>
                <w:rFonts w:hint="eastAsia" w:ascii="宋体" w:hAnsi="宋体" w:eastAsia="宋体" w:cs="宋体"/>
                <w:sz w:val="24"/>
                <w:szCs w:val="24"/>
                <w:lang w:val="en-US" w:eastAsia="zh-CN" w:bidi="ar-SA"/>
              </w:rPr>
            </w:r>
            <w:r/>
          </w:p>
          <w:p>
            <w:pPr>
              <w:pStyle w:val="1044"/>
              <w:numPr>
                <w:ilvl w:val="0"/>
                <w:numId w:val="4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小数：小数值；</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（4）“机器人编程”要求包括但不限于：</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1）点动示教功能</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在仿真场景中拖动机器人末端TCP来控制机器人的位姿。具体功能技术要求包括但不限于：</w:t>
            </w:r>
            <w:r>
              <w:rPr>
                <w:rFonts w:hint="eastAsia" w:ascii="宋体" w:hAnsi="宋体" w:eastAsia="宋体" w:cs="宋体"/>
                <w:sz w:val="24"/>
                <w:szCs w:val="24"/>
                <w:lang w:val="en-US" w:eastAsia="zh-CN" w:bidi="ar-SA"/>
              </w:rPr>
            </w:r>
            <w:r/>
          </w:p>
          <w:p>
            <w:pPr>
              <w:pStyle w:val="1044"/>
              <w:numPr>
                <w:ilvl w:val="0"/>
                <w:numId w:val="4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（1）选择工具TCP：选择工具坐标框充当一个工具中心点（TCP），用于示教机器人定位；</w:t>
            </w:r>
            <w:r>
              <w:rPr>
                <w:rFonts w:hint="eastAsia" w:ascii="宋体" w:hAnsi="宋体" w:eastAsia="宋体" w:cs="宋体"/>
                <w:sz w:val="24"/>
                <w:szCs w:val="24"/>
                <w:lang w:val="en-US" w:eastAsia="zh-CN" w:bidi="ar-SA"/>
              </w:rPr>
            </w:r>
            <w:r/>
          </w:p>
          <w:p>
            <w:pPr>
              <w:pStyle w:val="1044"/>
              <w:numPr>
                <w:ilvl w:val="0"/>
                <w:numId w:val="4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（2）显示关节坐标数据：在点动面板中，实时显示机器人不同姿态的关节数据；</w:t>
            </w:r>
            <w:r>
              <w:rPr>
                <w:rFonts w:hint="eastAsia" w:ascii="宋体" w:hAnsi="宋体" w:eastAsia="宋体" w:cs="宋体"/>
                <w:sz w:val="24"/>
                <w:szCs w:val="24"/>
                <w:lang w:val="en-US" w:eastAsia="zh-CN" w:bidi="ar-SA"/>
              </w:rPr>
            </w:r>
            <w:r/>
          </w:p>
          <w:p>
            <w:pPr>
              <w:pStyle w:val="1044"/>
              <w:numPr>
                <w:ilvl w:val="0"/>
                <w:numId w:val="41"/>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（3）TCP自动捕捉：启用捕捉功能可快速将末端执行器定位抓取位置；</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2）程序编辑器功能</w:t>
            </w:r>
            <w:r>
              <w:rPr>
                <w:rFonts w:hint="eastAsia" w:ascii="宋体" w:hAnsi="宋体" w:eastAsia="宋体" w:cs="宋体"/>
                <w:sz w:val="24"/>
                <w:szCs w:val="24"/>
                <w:lang w:val="en-US" w:eastAsia="zh-CN" w:bidi="ar-SA"/>
              </w:rPr>
            </w:r>
            <w:r/>
          </w:p>
          <w:p>
            <w:pPr>
              <w:pStyle w:val="1044"/>
              <w:numPr>
                <w:ilvl w:val="0"/>
                <w:numId w:val="4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机器人程序管理</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新增、查看和编辑机器人程序，预览其运行轨迹。具体功能技术要求包括但不限于：</w:t>
            </w:r>
            <w:r>
              <w:rPr>
                <w:rFonts w:hint="eastAsia" w:ascii="宋体" w:hAnsi="宋体" w:eastAsia="宋体" w:cs="宋体"/>
                <w:sz w:val="24"/>
                <w:szCs w:val="24"/>
                <w:lang w:val="en-US" w:eastAsia="zh-CN" w:bidi="ar-SA"/>
              </w:rPr>
            </w:r>
            <w:r/>
          </w:p>
          <w:p>
            <w:pPr>
              <w:pStyle w:val="1044"/>
              <w:numPr>
                <w:ilvl w:val="0"/>
                <w:numId w:val="43"/>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新增机器人程序：添加机器人程序，定义其名称；</w:t>
            </w:r>
            <w:r>
              <w:rPr>
                <w:rFonts w:hint="eastAsia" w:ascii="宋体" w:hAnsi="宋体" w:eastAsia="宋体" w:cs="宋体"/>
                <w:sz w:val="24"/>
                <w:szCs w:val="24"/>
                <w:lang w:val="en-US" w:eastAsia="zh-CN" w:bidi="ar-SA"/>
              </w:rPr>
            </w:r>
            <w:r/>
          </w:p>
          <w:p>
            <w:pPr>
              <w:pStyle w:val="1044"/>
              <w:numPr>
                <w:ilvl w:val="0"/>
                <w:numId w:val="43"/>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删除机器人程序：删除当前选中的机器人程序；</w:t>
            </w:r>
            <w:r>
              <w:rPr>
                <w:rFonts w:hint="eastAsia" w:ascii="宋体" w:hAnsi="宋体" w:eastAsia="宋体" w:cs="宋体"/>
                <w:sz w:val="24"/>
                <w:szCs w:val="24"/>
                <w:lang w:val="en-US" w:eastAsia="zh-CN" w:bidi="ar-SA"/>
              </w:rPr>
            </w:r>
            <w:r/>
          </w:p>
          <w:p>
            <w:pPr>
              <w:pStyle w:val="1044"/>
              <w:numPr>
                <w:ilvl w:val="0"/>
                <w:numId w:val="43"/>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预览机器人程序：预览当前选中的程序，查看其运行轨迹；</w:t>
            </w:r>
            <w:r>
              <w:rPr>
                <w:rFonts w:hint="eastAsia" w:ascii="宋体" w:hAnsi="宋体" w:eastAsia="宋体" w:cs="宋体"/>
                <w:sz w:val="24"/>
                <w:szCs w:val="24"/>
                <w:lang w:val="en-US" w:eastAsia="zh-CN" w:bidi="ar-SA"/>
              </w:rPr>
            </w:r>
            <w:r/>
          </w:p>
          <w:p>
            <w:pPr>
              <w:pStyle w:val="1044"/>
              <w:numPr>
                <w:ilvl w:val="0"/>
                <w:numId w:val="42"/>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程序指令</w:t>
            </w:r>
            <w:r>
              <w:rPr>
                <w:rFonts w:hint="eastAsia" w:ascii="宋体" w:hAnsi="宋体" w:eastAsia="宋体" w:cs="宋体"/>
                <w:sz w:val="24"/>
                <w:szCs w:val="24"/>
                <w:lang w:val="en-US" w:eastAsia="zh-CN" w:bidi="ar-SA"/>
              </w:rPr>
            </w:r>
            <w:r/>
          </w:p>
          <w:p>
            <w:pPr>
              <w:pStyle w:val="1044"/>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机器人程序指令用于控制机器人动作和行为，指令类型包括：运动指令、条件指令、逻辑指令、信号指令等。具体功能技术要求包括但不限于：</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a.</w:t>
            </w:r>
            <w:r>
              <w:rPr>
                <w:rFonts w:hint="eastAsia" w:ascii="宋体" w:hAnsi="宋体" w:eastAsia="宋体" w:cs="宋体"/>
                <w:sz w:val="24"/>
                <w:szCs w:val="24"/>
                <w:lang w:val="en-US" w:eastAsia="zh-CN" w:bidi="ar-SA"/>
              </w:rPr>
              <w:t xml:space="preserve">点对点运动：插入关节值执行至一个位置点对点运动；</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b.</w:t>
            </w:r>
            <w:r>
              <w:rPr>
                <w:rFonts w:hint="eastAsia" w:ascii="宋体" w:hAnsi="宋体" w:eastAsia="宋体" w:cs="宋体"/>
                <w:sz w:val="24"/>
                <w:szCs w:val="24"/>
                <w:lang w:val="en-US" w:eastAsia="zh-CN" w:bidi="ar-SA"/>
              </w:rPr>
              <w:t xml:space="preserve">线性运动：根据当前配置执行至一个位置的线性运动；</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c.</w:t>
            </w:r>
            <w:r>
              <w:rPr>
                <w:rFonts w:hint="eastAsia" w:ascii="宋体" w:hAnsi="宋体" w:eastAsia="宋体" w:cs="宋体"/>
                <w:sz w:val="24"/>
                <w:szCs w:val="24"/>
                <w:lang w:val="en-US" w:eastAsia="zh-CN" w:bidi="ar-SA"/>
              </w:rPr>
              <w:t xml:space="preserve">安装夹具：安装末端执行器至法兰节点；</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d.</w:t>
            </w:r>
            <w:r>
              <w:rPr>
                <w:rFonts w:hint="eastAsia" w:ascii="宋体" w:hAnsi="宋体" w:eastAsia="宋体" w:cs="宋体"/>
                <w:sz w:val="24"/>
                <w:szCs w:val="24"/>
                <w:lang w:val="en-US" w:eastAsia="zh-CN" w:bidi="ar-SA"/>
              </w:rPr>
              <w:t xml:space="preserve">卸载夹具：卸下末端执行器；</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e.</w:t>
            </w:r>
            <w:r>
              <w:rPr>
                <w:rFonts w:hint="eastAsia" w:ascii="宋体" w:hAnsi="宋体" w:eastAsia="宋体" w:cs="宋体"/>
                <w:sz w:val="24"/>
                <w:szCs w:val="24"/>
                <w:lang w:val="en-US" w:eastAsia="zh-CN" w:bidi="ar-SA"/>
              </w:rPr>
              <w:t xml:space="preserve">发送信号：机器人发送信号控制布尔地图信号端口；</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f.</w:t>
            </w:r>
            <w:r>
              <w:rPr>
                <w:rFonts w:hint="eastAsia" w:ascii="宋体" w:hAnsi="宋体" w:eastAsia="宋体" w:cs="宋体"/>
                <w:sz w:val="24"/>
                <w:szCs w:val="24"/>
                <w:lang w:val="en-US" w:eastAsia="zh-CN" w:bidi="ar-SA"/>
              </w:rPr>
              <w:t xml:space="preserve">等待信号：等待机器人信号反馈从而控制对应绑定的其他组件信号；</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g.</w:t>
            </w:r>
            <w:r>
              <w:rPr>
                <w:rFonts w:hint="eastAsia" w:ascii="宋体" w:hAnsi="宋体" w:eastAsia="宋体" w:cs="宋体"/>
                <w:sz w:val="24"/>
                <w:szCs w:val="24"/>
                <w:lang w:val="en-US" w:eastAsia="zh-CN" w:bidi="ar-SA"/>
              </w:rPr>
              <w:t xml:space="preserve">设置属性：设置变量类型，一般与转换语句配合使用；</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h.</w:t>
            </w:r>
            <w:r>
              <w:rPr>
                <w:rFonts w:hint="eastAsia" w:ascii="宋体" w:hAnsi="宋体" w:eastAsia="宋体" w:cs="宋体"/>
                <w:sz w:val="24"/>
                <w:szCs w:val="24"/>
                <w:lang w:val="en-US" w:eastAsia="zh-CN" w:bidi="ar-SA"/>
              </w:rPr>
              <w:t xml:space="preserve">开关语句、开关判断：应用switch case语句处理多分支选择；</w:t>
            </w:r>
            <w:r>
              <w:rPr>
                <w:rFonts w:hint="eastAsia" w:ascii="宋体" w:hAnsi="宋体" w:eastAsia="宋体" w:cs="宋体"/>
                <w:sz w:val="24"/>
                <w:szCs w:val="24"/>
                <w:lang w:val="en-US" w:eastAsia="zh-CN" w:bidi="ar-SA"/>
              </w:rPr>
            </w:r>
            <w:r/>
          </w:p>
          <w:p>
            <w:pPr>
              <w:pStyle w:val="1044"/>
              <w:numPr>
                <w:ilvl w:val="0"/>
                <w:numId w:val="0"/>
              </w:numPr>
              <w:ind w:left="425" w:hanging="425"/>
              <w:jc w:val="both"/>
              <w:keepLines w:val="0"/>
              <w:keepNext w:val="0"/>
              <w:pageBreakBefore w:val="0"/>
              <w:spacing w:before="0" w:beforeAutospacing="0" w:after="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i.</w:t>
            </w:r>
            <w:r>
              <w:rPr>
                <w:rFonts w:hint="eastAsia" w:ascii="宋体" w:hAnsi="宋体" w:eastAsia="宋体" w:cs="宋体"/>
                <w:sz w:val="24"/>
                <w:szCs w:val="24"/>
                <w:lang w:val="en-US" w:eastAsia="zh-CN" w:bidi="ar-SA"/>
              </w:rPr>
              <w:t xml:space="preserve">延迟：延迟下一条指令的执行；</w:t>
            </w:r>
            <w:r>
              <w:rPr>
                <w:rFonts w:ascii="宋体" w:hAnsi="宋体" w:eastAsia="宋体" w:cs="宋体"/>
                <w:sz w:val="24"/>
                <w:szCs w:val="24"/>
                <w:lang w:val="en-US" w:eastAsia="zh-CN" w:bidi="ar-SA"/>
              </w:rPr>
            </w:r>
            <w:r/>
          </w:p>
        </w:tc>
        <w:tc>
          <w:tcPr>
            <w:tcMar>
              <w:left w:w="101" w:type="dxa"/>
              <w:top w:w="15" w:type="dxa"/>
              <w:right w:w="101" w:type="dxa"/>
              <w:bottom w:w="0" w:type="dxa"/>
            </w:tcMar>
            <w:tcW w:w="615" w:type="dxa"/>
            <w:vAlign w:val="center"/>
            <w:textDirection w:val="lrTb"/>
            <w:noWrap w:val="false"/>
          </w:tcPr>
          <w:p>
            <w:pPr>
              <w:pStyle w:val="1044"/>
              <w:numPr>
                <w:ilvl w:val="0"/>
                <w:numId w:val="0"/>
              </w:numPr>
              <w:jc w:val="both"/>
              <w:keepLines w:val="0"/>
              <w:keepNext w:val="0"/>
              <w:pageBreakBefore w:val="0"/>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Mar>
              <w:left w:w="101" w:type="dxa"/>
              <w:top w:w="15" w:type="dxa"/>
              <w:right w:w="101" w:type="dxa"/>
              <w:bottom w:w="0" w:type="dxa"/>
            </w:tcMar>
            <w:tcW w:w="619" w:type="dxa"/>
            <w:vAlign w:val="center"/>
            <w:textDirection w:val="lrTb"/>
            <w:noWrap w:val="false"/>
          </w:tcPr>
          <w:p>
            <w:pPr>
              <w:pStyle w:val="1044"/>
              <w:numPr>
                <w:ilvl w:val="0"/>
                <w:numId w:val="0"/>
              </w:numPr>
              <w:jc w:val="both"/>
              <w:keepLines w:val="0"/>
              <w:keepNext w:val="0"/>
              <w:pageBreakBefore w:val="0"/>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套</w:t>
            </w:r>
            <w:r>
              <w:rPr>
                <w:rFonts w:ascii="宋体" w:hAnsi="宋体" w:eastAsia="宋体" w:cs="宋体"/>
                <w:sz w:val="24"/>
                <w:szCs w:val="24"/>
                <w:lang w:val="en-US" w:eastAsia="zh-CN" w:bidi="ar-SA"/>
              </w:rPr>
            </w:r>
            <w:r/>
          </w:p>
        </w:tc>
      </w:tr>
      <w:tr>
        <w:trPr>
          <w:trHeight w:val="358"/>
        </w:trPr>
        <w:tc>
          <w:tcPr>
            <w:tcMar>
              <w:left w:w="101" w:type="dxa"/>
              <w:top w:w="15" w:type="dxa"/>
              <w:right w:w="101" w:type="dxa"/>
              <w:bottom w:w="0" w:type="dxa"/>
            </w:tcMar>
            <w:tcW w:w="443" w:type="dxa"/>
            <w:vAlign w:val="center"/>
            <w:textDirection w:val="lrTb"/>
            <w:noWrap w:val="false"/>
          </w:tcPr>
          <w:p>
            <w:pPr>
              <w:pStyle w:val="1044"/>
              <w:rPr>
                <w:rFonts w:hint="eastAsia" w:ascii="宋体" w:hAnsi="宋体" w:eastAsia="宋体" w:cs="宋体"/>
                <w:sz w:val="24"/>
                <w:szCs w:val="28"/>
              </w:rPr>
            </w:pPr>
            <w:r>
              <w:rPr>
                <w:rFonts w:hint="eastAsia" w:ascii="宋体" w:hAnsi="宋体" w:eastAsia="宋体" w:cs="宋体"/>
                <w:sz w:val="24"/>
                <w:szCs w:val="28"/>
              </w:rPr>
              <w:t xml:space="preserve">19</w:t>
            </w:r>
            <w:r>
              <w:rPr>
                <w:rFonts w:hint="eastAsia" w:ascii="宋体" w:hAnsi="宋体" w:eastAsia="宋体" w:cs="宋体"/>
                <w:sz w:val="24"/>
                <w:szCs w:val="28"/>
              </w:rPr>
            </w:r>
            <w:r/>
          </w:p>
        </w:tc>
        <w:tc>
          <w:tcPr>
            <w:tcMar>
              <w:left w:w="101" w:type="dxa"/>
              <w:top w:w="15" w:type="dxa"/>
              <w:right w:w="101" w:type="dxa"/>
              <w:bottom w:w="0" w:type="dxa"/>
            </w:tcMar>
            <w:tcW w:w="682" w:type="dxa"/>
            <w:vAlign w:val="center"/>
            <w:textDirection w:val="lrTb"/>
            <w:noWrap w:val="false"/>
          </w:tcPr>
          <w:p>
            <w:pPr>
              <w:pStyle w:val="1044"/>
              <w:rPr>
                <w:rFonts w:hint="eastAsia" w:ascii="宋体" w:hAnsi="宋体" w:eastAsia="宋体" w:cs="宋体"/>
                <w:sz w:val="24"/>
                <w:szCs w:val="28"/>
              </w:rPr>
            </w:pPr>
            <w:r>
              <w:rPr>
                <w:rFonts w:hint="eastAsia" w:ascii="宋体" w:hAnsi="宋体" w:eastAsia="宋体" w:cs="宋体"/>
                <w:sz w:val="24"/>
                <w:szCs w:val="28"/>
              </w:rPr>
              <w:t xml:space="preserve">定位工装</w:t>
            </w:r>
            <w:r>
              <w:rPr>
                <w:rFonts w:hint="eastAsia" w:ascii="宋体" w:hAnsi="宋体" w:eastAsia="宋体" w:cs="宋体"/>
                <w:sz w:val="24"/>
                <w:szCs w:val="28"/>
              </w:rPr>
            </w:r>
            <w:r/>
          </w:p>
        </w:tc>
        <w:tc>
          <w:tcPr>
            <w:tcMar>
              <w:left w:w="101" w:type="dxa"/>
              <w:top w:w="15" w:type="dxa"/>
              <w:right w:w="101" w:type="dxa"/>
              <w:bottom w:w="0" w:type="dxa"/>
            </w:tcMar>
            <w:tcW w:w="6155" w:type="dxa"/>
            <w:vAlign w:val="center"/>
            <w:textDirection w:val="lrTb"/>
            <w:noWrap w:val="false"/>
          </w:tcPr>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1.配备有气动组件，这些组件包括气缸、气动电磁阀等。气动系统通过精确控制气压，实现对平台的精密调节和定位。</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2.配套光电传感器检测物料到位信号，开放信号接口，由现场PLC统一控制。</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3.配置液压气动的虚拟仿真软件：</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是在3D开发软件下制作，可根据控制方式进行虚实结合的运行。仿真平台可以适用于PC客户端、VR客户端、云端等进行虚拟操作，软件为中文界面，适用的软件环境广。</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1)液压仿真实训功能要求</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包含：实训项目选</w:t>
            </w:r>
            <w:r>
              <w:rPr>
                <w:rFonts w:hint="eastAsia" w:ascii="宋体" w:hAnsi="宋体" w:eastAsia="宋体" w:cs="宋体"/>
                <w:sz w:val="24"/>
                <w:szCs w:val="24"/>
                <w:lang w:val="en-US" w:eastAsia="zh-CN" w:bidi="ar-SA"/>
              </w:rPr>
              <w:t xml:space="preserve">择菜单、模型选择区、工具选择区、得分显示区、错误提示区、自动接线等。其中液压仿真总共包含了12个实训项目；用户根据不同实训项目的原理图选择相对于的模型和正确的接线方式。模型选择区包含19种器件，用户根据不同的实训项目需要选择模型，且可根据需要进行选型评分；模型菜单可以隐藏为用户提供清晰的实训视角，需要放置模型时可以点击显示出来。工具选择区包含导线和油管，线材和油管又分为不同的颜色能让用户更容易区分线路。用户需要按照原理图进行接线和气管。具有智能评分显示和错误提示功能，同时，为方便实训，提供一键自动示教功能。</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2)气动仿真实训功能要求</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包含：实训项</w:t>
            </w:r>
            <w:r>
              <w:rPr>
                <w:rFonts w:hint="eastAsia" w:ascii="宋体" w:hAnsi="宋体" w:eastAsia="宋体" w:cs="宋体"/>
                <w:sz w:val="24"/>
                <w:szCs w:val="24"/>
                <w:lang w:val="en-US" w:eastAsia="zh-CN" w:bidi="ar-SA"/>
              </w:rPr>
              <w:t xml:space="preserve">目选择菜单、模型选择区、工具选择区、得分显示区、错误提示区、自动接线等。其中气动仿真总共包含了13个实训项目；用户根据不同实训项目的原理图选择相对于的模型和正确的接线方式。模型选择区包含19种器件，用户根据不同的实训项目需要选择模型，且可根据需要进行选型评分；模型菜单可以隐藏为用户提供清晰的实训视角，需要放置模型时可以点击显示出来。工具选择区包含导线和气管，线材和气管又分为不同的颜色能让用户更容易区分线路。用户需要按照原理图进行接线和气管。具有得分显示和错误提示功能，同时，为方便实训，提供一键自动实训功能。</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3)阀块示教功能</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阀块示教中共计包含有30多种液压阀块和气动阀块，每个阀块又包含有：实物图、剖视图和文字介绍，用户可以旋转、放大缩小、平移阀块模型，每个阀块阀体都采用透明材质，用户可以直观清晰地了解内部结构。</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4)集成教学视频功能</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软件中集成教学视频功能，包含有液压和气动共计20多种经典实训项目的实际接线操作步骤，辅助实训及教学示教，能让用户更贴近现实地体验到液压气动的知识。</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4.配置气液一体化仿真软件：</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（1）软件有两个主界面，分别为主界面和实训界面，在主界面中包含有使用说明、联系我们子选项，用户可以查看教程以及联系方式。</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（2）要求本软件要求进入实训界面后用户可以实现PLC控制模型或者调试状态下手动控制模型。</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1）设置变频器</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用户可以点击设置变频器按钮打开变频器设置界面，用户可以根据提示中的电压、电流、功率、频率和转速要求进行设置。</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2）调试模型</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用户可以在调试模式下，手动控制电机、气缸、液压缸和警示灯的状态，直接点击名称右侧的开关按钮就能实现开关状态的快速切换。方便用户了解各个执行机构的运动方式。</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3）视图快速定位</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用户除了可以使用鼠标缩放、旋转、平移模型外，还可以点击右下方视图快捷方式来实现快速定位到某个指定的方向视图，方便用户更方便观察模型。</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4）PLC仿真</w:t>
            </w:r>
            <w:r>
              <w:rPr>
                <w:rFonts w:hint="eastAsia" w:ascii="宋体" w:hAnsi="宋体" w:eastAsia="宋体" w:cs="宋体"/>
                <w:sz w:val="24"/>
                <w:szCs w:val="24"/>
                <w:lang w:val="en-US" w:eastAsia="zh-CN" w:bidi="ar-SA"/>
              </w:rPr>
            </w:r>
            <w:r/>
          </w:p>
          <w:p>
            <w:pPr>
              <w:pStyle w:val="1044"/>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用户可以点击虚拟PLC按钮或者实物PLC按钮来连接虚拟PLC或实物PLC，然后就能通过PLC程序控制模型的运动，用户可以实时监控I/O状态和查看I/O分配图。</w:t>
            </w:r>
            <w:r>
              <w:rPr>
                <w:rFonts w:hint="eastAsia" w:ascii="宋体" w:hAnsi="宋体" w:eastAsia="宋体" w:cs="宋体"/>
                <w:sz w:val="24"/>
                <w:szCs w:val="24"/>
                <w:lang w:val="en-US" w:eastAsia="zh-CN" w:bidi="ar-SA"/>
              </w:rPr>
            </w:r>
            <w:r/>
          </w:p>
        </w:tc>
        <w:tc>
          <w:tcPr>
            <w:tcMar>
              <w:left w:w="101" w:type="dxa"/>
              <w:top w:w="15" w:type="dxa"/>
              <w:right w:w="101" w:type="dxa"/>
              <w:bottom w:w="0" w:type="dxa"/>
            </w:tcMar>
            <w:tcW w:w="615" w:type="dxa"/>
            <w:vAlign w:val="center"/>
            <w:textDirection w:val="lrTb"/>
            <w:noWrap w:val="false"/>
          </w:tcPr>
          <w:p>
            <w:pPr>
              <w:pStyle w:val="1044"/>
              <w:rPr>
                <w:rFonts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6</w:t>
            </w:r>
            <w:r>
              <w:rPr>
                <w:rFonts w:ascii="Times New Roman" w:hAnsi="Times New Roman" w:eastAsia="宋体" w:cs="Times New Roman"/>
                <w:sz w:val="24"/>
                <w:szCs w:val="28"/>
                <w:lang w:val="en-US" w:eastAsia="zh-CN"/>
              </w:rPr>
            </w:r>
            <w:r/>
          </w:p>
        </w:tc>
        <w:tc>
          <w:tcPr>
            <w:tcMar>
              <w:left w:w="101" w:type="dxa"/>
              <w:top w:w="15" w:type="dxa"/>
              <w:right w:w="101" w:type="dxa"/>
              <w:bottom w:w="0" w:type="dxa"/>
            </w:tcMar>
            <w:tcW w:w="619" w:type="dxa"/>
            <w:vAlign w:val="center"/>
            <w:textDirection w:val="lrTb"/>
            <w:noWrap w:val="false"/>
          </w:tcPr>
          <w:p>
            <w:pPr>
              <w:pStyle w:val="1044"/>
              <w:rPr>
                <w:rFonts w:ascii="Times New Roman" w:hAnsi="Times New Roman" w:eastAsia="宋体" w:cs="Times New Roman"/>
                <w:sz w:val="24"/>
                <w:szCs w:val="28"/>
                <w:lang w:val="en-US" w:eastAsia="zh-CN"/>
              </w:rPr>
            </w:pPr>
            <w:r>
              <w:rPr>
                <w:rFonts w:hint="eastAsia" w:ascii="Times New Roman" w:hAnsi="Times New Roman" w:eastAsia="宋体" w:cs="Times New Roman"/>
                <w:sz w:val="24"/>
                <w:szCs w:val="28"/>
                <w:lang w:val="en-US" w:eastAsia="zh-CN"/>
              </w:rPr>
              <w:t xml:space="preserve">套</w:t>
            </w:r>
            <w:r>
              <w:rPr>
                <w:rFonts w:ascii="Times New Roman" w:hAnsi="Times New Roman" w:eastAsia="宋体" w:cs="Times New Roman"/>
                <w:sz w:val="24"/>
                <w:szCs w:val="28"/>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悬吊大屏</w:t>
            </w:r>
            <w:r>
              <w:rPr>
                <w:rFonts w:hint="eastAsia" w:ascii="宋体" w:hAnsi="宋体" w:eastAsia="宋体" w:cs="宋体"/>
                <w:color w:val="000000"/>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1.看板显示器</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（1）屏幕尺寸：≥55英寸；</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（2）分辨率：超高清4K；</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（3）端口参数：</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HDMI2.1接口数：≥2个；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USB2.0接口数：≥1个；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RF天线输入：≥1个；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数字音频输出：≥1个；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（4）运行内存：≥3GB；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（5）存储内存：≥32GB。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2.安装方式：吊装/落地支架安装。</w:t>
            </w:r>
            <w:r>
              <w:rPr>
                <w:rFonts w:hint="eastAsia" w:ascii="宋体" w:hAnsi="宋体" w:eastAsia="宋体" w:cs="宋体"/>
                <w:color w:val="000000"/>
                <w:sz w:val="24"/>
                <w:szCs w:val="24"/>
                <w:lang w:val="en-US" w:eastAsia="zh-CN" w:bidi="ar-SA"/>
              </w:rPr>
            </w:r>
            <w:r/>
          </w:p>
          <w:p>
            <w:pPr>
              <w:pStyle w:val="1044"/>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辅材：包括不限于专用线缆、安装支架、HDMI线缆等辅材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44"/>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与MES系统相互关联、匹配，可以通过上位机软件自定义编辑界面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Mar>
              <w:left w:w="101" w:type="dxa"/>
              <w:top w:w="15" w:type="dxa"/>
              <w:right w:w="101" w:type="dxa"/>
              <w:bottom w:w="0" w:type="dxa"/>
            </w:tcMar>
            <w:tcW w:w="615" w:type="dxa"/>
            <w:vAlign w:val="center"/>
            <w:textDirection w:val="lrTb"/>
            <w:noWrap w:val="false"/>
          </w:tcPr>
          <w:p>
            <w:pPr>
              <w:pStyle w:val="1044"/>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落地大屏</w:t>
            </w:r>
            <w:r>
              <w:rPr>
                <w:rFonts w:hint="eastAsia" w:ascii="宋体" w:hAnsi="宋体" w:eastAsia="宋体" w:cs="宋体"/>
                <w:color w:val="000000"/>
                <w:sz w:val="24"/>
                <w:szCs w:val="24"/>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显示器</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（1）屏幕尺寸：≥55英寸；</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（2）分辨率：超高清4K；</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（3）端口参数：</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HDMI2.1接口数：≥2个；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USB2.0接口数：≥1个；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RF天线输入：≥1个；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数字音频输出：≥1个；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（4）运行内存：≥3GB；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（5）存储内存：≥32GB。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（6）安装方式：吊装/落地支架安装。</w:t>
            </w:r>
            <w:r>
              <w:rPr>
                <w:rFonts w:hint="eastAsia" w:ascii="宋体" w:hAnsi="宋体" w:eastAsia="宋体" w:cs="宋体"/>
                <w:color w:val="000000"/>
                <w:sz w:val="24"/>
                <w:szCs w:val="24"/>
                <w:lang w:val="en-US" w:eastAsia="zh-CN" w:bidi="ar-SA"/>
              </w:rPr>
            </w:r>
            <w:r/>
          </w:p>
          <w:p>
            <w:pPr>
              <w:pStyle w:val="1044"/>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辅材：包括不限于专用线缆、安装支架、HDMI线缆等辅材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c>
          <w:tcPr>
            <w:tcMar>
              <w:left w:w="101" w:type="dxa"/>
              <w:top w:w="15" w:type="dxa"/>
              <w:right w:w="101" w:type="dxa"/>
              <w:bottom w:w="0" w:type="dxa"/>
            </w:tcMar>
            <w:tcW w:w="615" w:type="dxa"/>
            <w:vAlign w:val="center"/>
            <w:textDirection w:val="lrTb"/>
            <w:noWrap w:val="false"/>
          </w:tcPr>
          <w:p>
            <w:pPr>
              <w:pStyle w:val="1044"/>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r>
        <w:trPr>
          <w:trHeight w:val="358"/>
        </w:trPr>
        <w:tc>
          <w:tcPr>
            <w:tcMar>
              <w:left w:w="101" w:type="dxa"/>
              <w:top w:w="15" w:type="dxa"/>
              <w:right w:w="101" w:type="dxa"/>
              <w:bottom w:w="0" w:type="dxa"/>
            </w:tcMar>
            <w:tcW w:w="443" w:type="dxa"/>
            <w:vAlign w:val="center"/>
            <w:textDirection w:val="lrTb"/>
            <w:noWrap w:val="false"/>
          </w:tcPr>
          <w:p>
            <w:pPr>
              <w:pStyle w:val="1044"/>
              <w:jc w:val="center"/>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bidi="ar-SA"/>
              </w:rPr>
            </w:r>
            <w:r/>
          </w:p>
        </w:tc>
        <w:tc>
          <w:tcPr>
            <w:tcMar>
              <w:left w:w="101" w:type="dxa"/>
              <w:top w:w="15" w:type="dxa"/>
              <w:right w:w="101" w:type="dxa"/>
              <w:bottom w:w="0" w:type="dxa"/>
            </w:tcMar>
            <w:tcW w:w="682" w:type="dxa"/>
            <w:vAlign w:val="center"/>
            <w:textDirection w:val="lrTb"/>
            <w:noWrap w:val="false"/>
          </w:tcPr>
          <w:p>
            <w:pPr>
              <w:pStyle w:val="1044"/>
              <w:jc w:val="center"/>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落地大屏</w:t>
            </w:r>
            <w:r>
              <w:rPr>
                <w:rFonts w:hint="eastAsia" w:ascii="宋体" w:hAnsi="宋体" w:eastAsia="宋体" w:cs="宋体"/>
                <w:color w:val="000000"/>
                <w:sz w:val="24"/>
                <w:szCs w:val="24"/>
                <w:lang w:val="en-US" w:eastAsia="zh-CN" w:bidi="ar-SA"/>
              </w:rPr>
            </w:r>
            <w:r/>
          </w:p>
        </w:tc>
        <w:tc>
          <w:tcPr>
            <w:tcMar>
              <w:left w:w="101" w:type="dxa"/>
              <w:top w:w="15" w:type="dxa"/>
              <w:right w:w="101" w:type="dxa"/>
              <w:bottom w:w="0" w:type="dxa"/>
            </w:tcMar>
            <w:tcW w:w="6155" w:type="dxa"/>
            <w:vAlign w:val="center"/>
            <w:textDirection w:val="lrTb"/>
            <w:noWrap w:val="false"/>
          </w:tcPr>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显示器</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（1）屏幕尺寸：≥85英寸；</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（2）显示器类型：LED显示；</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（3）分辨率：超高清4K；</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（4）端口参数：</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HDMI2.1接口数：≥2个；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USB2.0接口数：≥1个；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USB3.0接口数：≥1个。</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（5）运行内存：≥3GB；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（6）存储内存：≥64GB。</w:t>
            </w:r>
            <w:r>
              <w:rPr>
                <w:rFonts w:hint="eastAsia" w:ascii="宋体" w:hAnsi="宋体" w:eastAsia="宋体" w:cs="宋体"/>
                <w:color w:val="000000"/>
                <w:sz w:val="24"/>
                <w:szCs w:val="24"/>
                <w:lang w:val="en-US" w:eastAsia="zh-CN" w:bidi="ar-SA"/>
              </w:rPr>
            </w:r>
            <w:r/>
          </w:p>
          <w:p>
            <w:pPr>
              <w:pStyle w:val="1044"/>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2.安装方式：吊装/落地支架安装。</w:t>
            </w:r>
            <w:r>
              <w:rPr>
                <w:rFonts w:hint="eastAsia" w:ascii="宋体" w:hAnsi="宋体" w:eastAsia="宋体" w:cs="宋体"/>
                <w:color w:val="000000"/>
                <w:sz w:val="24"/>
                <w:szCs w:val="24"/>
                <w:lang w:val="en-US" w:eastAsia="zh-CN" w:bidi="ar-SA"/>
              </w:rPr>
            </w:r>
            <w:r/>
          </w:p>
          <w:p>
            <w:pPr>
              <w:pStyle w:val="1044"/>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辅材：包括不限于专用线缆、安装支架、HDMI线缆等辅材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44"/>
              <w:jc w:val="left"/>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与MES系统相互关联、匹配，可以通过上位机软件自定义编辑界面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c>
          <w:tcPr>
            <w:tcMar>
              <w:left w:w="101" w:type="dxa"/>
              <w:top w:w="15" w:type="dxa"/>
              <w:right w:w="101" w:type="dxa"/>
              <w:bottom w:w="0" w:type="dxa"/>
            </w:tcMar>
            <w:tcW w:w="615" w:type="dxa"/>
            <w:vAlign w:val="center"/>
            <w:textDirection w:val="lrTb"/>
            <w:noWrap w:val="false"/>
          </w:tcPr>
          <w:p>
            <w:pPr>
              <w:pStyle w:val="1044"/>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Mar>
              <w:left w:w="101" w:type="dxa"/>
              <w:top w:w="15" w:type="dxa"/>
              <w:right w:w="101" w:type="dxa"/>
              <w:bottom w:w="0" w:type="dxa"/>
            </w:tcMar>
            <w:tcW w:w="619" w:type="dxa"/>
            <w:vAlign w:val="center"/>
            <w:textDirection w:val="lrTb"/>
            <w:noWrap w:val="false"/>
          </w:tcPr>
          <w:p>
            <w:pPr>
              <w:pStyle w:val="1044"/>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rPr>
                <w:rFonts w:ascii="宋体" w:hAnsi="宋体" w:eastAsia="宋体" w:cs="宋体"/>
                <w:color w:val="000000"/>
                <w:sz w:val="24"/>
                <w:szCs w:val="24"/>
                <w:lang w:val="en-US" w:eastAsia="zh-CN"/>
              </w:rPr>
            </w:r>
            <w:r/>
          </w:p>
        </w:tc>
      </w:tr>
    </w:tbl>
    <w:p>
      <w:pPr>
        <w:pStyle w:val="1044"/>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1044"/>
        <w:spacing w:line="560" w:lineRule="exact"/>
        <w:rPr>
          <w:rFonts w:hint="eastAsia" w:ascii="宋体" w:hAnsi="宋体" w:eastAsia="宋体" w:cs="Times New Roman"/>
          <w:b/>
          <w:color w:val="000000"/>
          <w:highlight w:val="none"/>
        </w:rPr>
      </w:pPr>
      <w:r>
        <w:rPr>
          <w:rFonts w:hint="eastAsia" w:ascii="宋体" w:hAnsi="宋体" w:eastAsia="宋体" w:cs="Times New Roman"/>
          <w:b/>
          <w:color w:val="000000"/>
          <w:highlight w:val="none"/>
        </w:rPr>
      </w:r>
      <w:r/>
    </w:p>
    <w:p>
      <w:pPr>
        <w:pStyle w:val="1044"/>
        <w:spacing w:line="560" w:lineRule="exact"/>
        <w:rPr>
          <w:rFonts w:hint="eastAsia" w:ascii="宋体" w:hAnsi="宋体" w:eastAsia="宋体" w:cs="Times New Roman"/>
          <w:b/>
          <w:color w:val="000000"/>
          <w:highlight w:val="none"/>
          <w:lang w:eastAsia="zh-CN"/>
        </w:r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cs="Times New Roman"/>
          <w:b/>
          <w:color w:val="000000"/>
          <w:highlight w:val="none"/>
          <w:lang w:eastAsia="zh-CN"/>
        </w:rPr>
      </w:r>
      <w:r/>
    </w:p>
    <w:p>
      <w:pPr>
        <w:pStyle w:val="1044"/>
        <w:jc w:val="left"/>
        <w:keepLines w:val="0"/>
        <w:keepNext w:val="0"/>
        <w:pageBreakBefore w:val="0"/>
        <w:spacing w:line="360" w:lineRule="auto"/>
        <w:rPr>
          <w:rFonts w:hint="eastAsia" w:ascii="等线 Light" w:hAnsi="等线 Light" w:eastAsia="宋体" w:cs="Times New Roman"/>
          <w:b/>
          <w:bCs/>
          <w:color w:val="000000"/>
          <w:sz w:val="24"/>
          <w:szCs w:val="24"/>
          <w:highlight w:val="none"/>
          <w:lang w:val="en-US" w:eastAsia="zh-CN" w:bidi="ar-SA"/>
        </w:rPr>
      </w:pPr>
      <w:r>
        <w:rPr>
          <w:rFonts w:hint="eastAsia" w:ascii="宋体" w:hAnsi="宋体" w:eastAsia="宋体" w:cs="Times New Roman"/>
          <w:b/>
          <w:color w:val="000000"/>
          <w:highlight w:val="none"/>
          <w:lang w:eastAsia="zh-CN"/>
        </w:rPr>
        <w:t xml:space="preserve">（</w:t>
      </w:r>
      <w:r>
        <w:rPr>
          <w:rFonts w:hint="eastAsia" w:ascii="等线 Light" w:hAnsi="等线 Light" w:eastAsia="宋体" w:cs="Times New Roman"/>
          <w:b/>
          <w:bCs/>
          <w:color w:val="000000"/>
          <w:sz w:val="24"/>
          <w:szCs w:val="24"/>
          <w:highlight w:val="none"/>
          <w:lang w:val="en-US" w:eastAsia="zh-CN" w:bidi="ar-SA"/>
        </w:rPr>
        <w:t xml:space="preserve">安全与运维规范）</w:t>
      </w:r>
      <w:r>
        <w:rPr>
          <w:rFonts w:hint="eastAsia" w:ascii="等线 Light" w:hAnsi="等线 Light" w:eastAsia="宋体" w:cs="Times New Roman"/>
          <w:b/>
          <w:bCs/>
          <w:color w:val="000000"/>
          <w:sz w:val="24"/>
          <w:szCs w:val="24"/>
          <w:highlight w:val="none"/>
          <w:lang w:val="en-US" w:eastAsia="zh-CN" w:bidi="ar-SA"/>
        </w:rPr>
      </w:r>
      <w:r/>
    </w:p>
    <w:p>
      <w:pPr>
        <w:pStyle w:val="1044"/>
        <w:jc w:val="left"/>
        <w:keepLines w:val="0"/>
        <w:keepNext w:val="0"/>
        <w:pageBreakBefore w:val="0"/>
        <w:spacing w:line="360" w:lineRule="auto"/>
        <w:rPr>
          <w:rFonts w:hint="eastAsia" w:ascii="宋体" w:hAnsi="宋体" w:eastAsia="宋体" w:cs="21"/>
          <w:color w:val="000000"/>
          <w:sz w:val="22"/>
          <w:szCs w:val="22"/>
          <w:highlight w:val="none"/>
          <w:lang w:eastAsia="en-US"/>
        </w:rPr>
      </w:pPr>
      <w:r>
        <w:rPr>
          <w:rFonts w:hint="eastAsia" w:ascii="宋体" w:hAnsi="宋体" w:eastAsia="宋体" w:cs="21"/>
          <w:color w:val="000000"/>
          <w:sz w:val="22"/>
          <w:szCs w:val="22"/>
          <w:highlight w:val="none"/>
          <w:lang w:val="en-US" w:eastAsia="en-US" w:bidi="ar-SA"/>
        </w:rPr>
        <w:t xml:space="preserve">1.</w:t>
      </w:r>
      <w:r>
        <w:rPr>
          <w:rFonts w:hint="eastAsia" w:ascii="宋体" w:hAnsi="宋体" w:eastAsia="宋体" w:cs="21"/>
          <w:color w:val="000000"/>
          <w:sz w:val="24"/>
          <w:szCs w:val="22"/>
          <w:highlight w:val="none"/>
          <w:lang w:eastAsia="en-US"/>
        </w:rPr>
        <w:t xml:space="preserve">安全防护标准：</w:t>
      </w:r>
      <w:r>
        <w:rPr>
          <w:rFonts w:hint="eastAsia" w:ascii="宋体" w:hAnsi="宋体" w:eastAsia="宋体" w:cs="21"/>
          <w:color w:val="000000"/>
          <w:sz w:val="22"/>
          <w:szCs w:val="22"/>
          <w:highlight w:val="none"/>
          <w:lang w:eastAsia="en-US"/>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围栏高度：≥2.2m，材质为钢化玻璃，厚度≥8mm。</w:t>
      </w:r>
      <w:r>
        <w:rPr>
          <w:rFonts w:hint="eastAsia" w:ascii="宋体" w:hAnsi="宋体" w:eastAsia="宋体" w:cs="21"/>
          <w:color w:val="000000"/>
          <w:sz w:val="22"/>
          <w:szCs w:val="22"/>
          <w:highlight w:val="none"/>
          <w:lang w:eastAsia="zh-CN"/>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安全光栅：检测距离≥3m，响应时间≤30ms。</w:t>
      </w:r>
      <w:r>
        <w:rPr>
          <w:rFonts w:hint="eastAsia" w:ascii="宋体" w:hAnsi="宋体" w:eastAsia="宋体" w:cs="21"/>
          <w:color w:val="000000"/>
          <w:sz w:val="22"/>
          <w:szCs w:val="22"/>
          <w:highlight w:val="none"/>
          <w:lang w:eastAsia="zh-CN"/>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急停按钮：防护等级IP65，且在实训区域布置密度确保学生“三步可及”。</w:t>
      </w:r>
      <w:r>
        <w:rPr>
          <w:rFonts w:hint="eastAsia" w:ascii="宋体" w:hAnsi="宋体" w:eastAsia="宋体" w:cs="21"/>
          <w:color w:val="000000"/>
          <w:sz w:val="22"/>
          <w:szCs w:val="22"/>
          <w:highlight w:val="none"/>
          <w:lang w:eastAsia="zh-CN"/>
        </w:rPr>
      </w:r>
      <w:r/>
    </w:p>
    <w:p>
      <w:pPr>
        <w:pStyle w:val="1044"/>
        <w:numPr>
          <w:ilvl w:val="0"/>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en-US"/>
        </w:rPr>
      </w:pPr>
      <w:r>
        <w:rPr>
          <w:rFonts w:hint="eastAsia" w:ascii="宋体" w:hAnsi="宋体" w:eastAsia="宋体" w:cs="21"/>
          <w:color w:val="000000"/>
          <w:sz w:val="22"/>
          <w:szCs w:val="22"/>
          <w:highlight w:val="none"/>
          <w:lang w:val="en-US" w:eastAsia="en-US" w:bidi="ar-SA"/>
        </w:rPr>
        <w:t xml:space="preserve">2.</w:t>
      </w:r>
      <w:r>
        <w:rPr>
          <w:rFonts w:hint="eastAsia" w:ascii="宋体" w:hAnsi="宋体" w:eastAsia="宋体" w:cs="21"/>
          <w:color w:val="000000"/>
          <w:sz w:val="24"/>
          <w:szCs w:val="22"/>
          <w:highlight w:val="none"/>
          <w:lang w:eastAsia="en-US"/>
        </w:rPr>
        <w:t xml:space="preserve">运维制度：</w:t>
      </w:r>
      <w:r>
        <w:rPr>
          <w:rFonts w:hint="eastAsia" w:ascii="宋体" w:hAnsi="宋体" w:eastAsia="宋体" w:cs="21"/>
          <w:color w:val="000000"/>
          <w:sz w:val="22"/>
          <w:szCs w:val="22"/>
          <w:highlight w:val="none"/>
          <w:lang w:eastAsia="en-US"/>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建立《智能产线设备维护手册》。</w:t>
      </w:r>
      <w:r>
        <w:rPr>
          <w:rFonts w:hint="eastAsia" w:ascii="宋体" w:hAnsi="宋体" w:eastAsia="宋体" w:cs="21"/>
          <w:color w:val="000000"/>
          <w:sz w:val="22"/>
          <w:szCs w:val="22"/>
          <w:highlight w:val="none"/>
          <w:lang w:eastAsia="zh-CN"/>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每日：设备清洁、急停功能测试、气源压力检查。</w:t>
      </w:r>
      <w:r>
        <w:rPr>
          <w:rFonts w:hint="eastAsia" w:ascii="宋体" w:hAnsi="宋体" w:eastAsia="宋体" w:cs="21"/>
          <w:color w:val="000000"/>
          <w:sz w:val="22"/>
          <w:szCs w:val="22"/>
          <w:highlight w:val="none"/>
          <w:lang w:eastAsia="zh-CN"/>
        </w:rPr>
      </w:r>
      <w:r/>
    </w:p>
    <w:p>
      <w:pPr>
        <w:pStyle w:val="1044"/>
        <w:numPr>
          <w:ilvl w:val="1"/>
          <w:numId w:val="0"/>
        </w:numPr>
        <w:ind w:left="0" w:firstLine="0"/>
        <w:jc w:val="left"/>
        <w:keepLines w:val="0"/>
        <w:keepNext w:val="0"/>
        <w:pageBreakBefore w:val="0"/>
        <w:spacing w:beforeAutospacing="0" w:line="360" w:lineRule="auto"/>
        <w:widowControl/>
        <w:rPr>
          <w:rFonts w:hint="eastAsia" w:ascii="宋体" w:hAnsi="宋体" w:eastAsia="宋体" w:cs="21"/>
          <w:color w:val="000000"/>
          <w:sz w:val="22"/>
          <w:szCs w:val="22"/>
          <w:highlight w:val="none"/>
          <w:lang w:eastAsia="zh-CN"/>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每月：机器人减速机润滑检查、导轨清洁、数控系统备份。</w:t>
      </w:r>
      <w:r>
        <w:rPr>
          <w:rFonts w:hint="eastAsia" w:ascii="宋体" w:hAnsi="宋体" w:eastAsia="宋体" w:cs="21"/>
          <w:color w:val="000000"/>
          <w:sz w:val="22"/>
          <w:szCs w:val="22"/>
          <w:highlight w:val="none"/>
          <w:lang w:eastAsia="zh-CN"/>
        </w:rPr>
      </w:r>
      <w:r/>
    </w:p>
    <w:p>
      <w:pPr>
        <w:pStyle w:val="1044"/>
        <w:numPr>
          <w:ilvl w:val="1"/>
          <w:numId w:val="0"/>
        </w:numPr>
        <w:ind w:left="0" w:firstLine="0"/>
        <w:jc w:val="left"/>
        <w:keepLines w:val="0"/>
        <w:keepNext w:val="0"/>
        <w:pageBreakBefore w:val="0"/>
        <w:spacing w:beforeAutospacing="0" w:line="360" w:lineRule="auto"/>
        <w:widowControl/>
        <w:rPr>
          <w:rFonts w:hint="eastAsia" w:ascii="仿宋_GB2312" w:hAnsi="仿宋" w:eastAsia="仿宋_GB2312" w:cs="Times New Roman"/>
          <w:color w:val="000000"/>
          <w:sz w:val="32"/>
          <w:szCs w:val="32"/>
          <w:highlight w:val="none"/>
        </w:rPr>
      </w:pPr>
      <w:r>
        <w:rPr>
          <w:rFonts w:ascii="Wingdings" w:hAnsi="Wingdings" w:eastAsia="宋体" w:cs="21"/>
          <w:color w:val="000000"/>
          <w:sz w:val="22"/>
          <w:szCs w:val="22"/>
          <w:highlight w:val="none"/>
          <w:lang w:val="en-US" w:eastAsia="zh-CN" w:bidi="ar-SA"/>
        </w:rPr>
        <w:t xml:space="preserve"></w:t>
      </w:r>
      <w:r>
        <w:rPr>
          <w:rFonts w:hint="eastAsia" w:ascii="宋体" w:hAnsi="宋体" w:eastAsia="宋体" w:cs="21"/>
          <w:color w:val="000000"/>
          <w:sz w:val="24"/>
          <w:szCs w:val="22"/>
          <w:highlight w:val="none"/>
          <w:lang w:eastAsia="zh-CN"/>
        </w:rPr>
        <w:t xml:space="preserve">每300运行小时：机器人润滑油更换（按埃夫特/藦卡官方要求执行）。</w:t>
      </w:r>
      <w:r>
        <w:rPr>
          <w:rFonts w:hint="eastAsia" w:ascii="仿宋_GB2312" w:hAnsi="仿宋" w:eastAsia="仿宋_GB2312" w:cs="Times New Roman"/>
          <w:color w:val="000000"/>
          <w:sz w:val="32"/>
          <w:szCs w:val="32"/>
          <w:highlight w:val="none"/>
        </w:rPr>
      </w:r>
      <w:r/>
    </w:p>
    <w:p>
      <w:pPr>
        <w:pStyle w:val="1075"/>
        <w:rPr>
          <w:rFonts w:hint="eastAsia"/>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highlight w:val="none"/>
          <w:lang w:val="en-US" w:eastAsia="zh-CN"/>
        </w:rPr>
      </w:r>
      <w:r/>
    </w:p>
    <w:p>
      <w:pPr>
        <w:pStyle w:val="1044"/>
        <w:numPr>
          <w:ilvl w:val="0"/>
          <w:numId w:val="44"/>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1044"/>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60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1044"/>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1044"/>
        <w:ind w:firstLine="840"/>
        <w:spacing w:line="520" w:lineRule="exact"/>
        <w:rPr>
          <w:rFonts w:hint="eastAsia"/>
        </w:rPr>
      </w:pPr>
      <w:r>
        <w:rPr>
          <w:rFonts w:hint="eastAsia" w:ascii="宋体" w:hAnsi="宋体" w:eastAsia="宋体" w:cs="Times New Roman"/>
          <w:color w:val="000000"/>
          <w:highlight w:val="none"/>
          <w:lang w:val="en-US" w:eastAsia="zh-CN"/>
        </w:rPr>
        <w:t xml:space="preserve">运行软件质保期内免费升级。</w:t>
      </w:r>
      <w:r>
        <w:rPr>
          <w:rFonts w:hint="eastAsia"/>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宋体"/>
          <w:sz w:val="24"/>
          <w:szCs w:val="24"/>
          <w:highlight w:val="none"/>
          <w:lang w:val="en-US" w:eastAsia="zh-CN" w:bidi="ar-SA"/>
        </w:rPr>
        <w:t xml:space="preserve">（专家费用执行连财购〔2021〕8号）。</w:t>
      </w:r>
      <w:r>
        <w:rPr>
          <w:rFonts w:hint="eastAsia" w:ascii="宋体" w:hAnsi="宋体" w:eastAsia="宋体" w:cs="Times New Roman"/>
          <w:color w:val="000000"/>
          <w:highlight w:val="none"/>
          <w:lang w:val="en-US" w:eastAsia="zh-CN"/>
        </w:rPr>
      </w:r>
      <w:r/>
    </w:p>
    <w:p>
      <w:pPr>
        <w:pStyle w:val="1044"/>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1044"/>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1044"/>
        <w:ind w:firstLine="420"/>
        <w:jc w:val="left"/>
        <w:spacing w:line="400" w:lineRule="exact"/>
        <w:rPr>
          <w:rFonts w:hint="eastAsia" w:ascii="宋体" w:hAnsi="宋体" w:eastAsia="宋体" w:cs="Times New Roman"/>
          <w:b/>
          <w:bCs/>
          <w:color w:val="000000"/>
          <w:szCs w:val="21"/>
          <w:highlight w:val="none"/>
          <w:lang w:eastAsia="zh-CN"/>
        </w:rPr>
      </w:pPr>
      <w:r>
        <w:rPr>
          <w:rFonts w:hint="eastAsia" w:ascii="宋体" w:hAnsi="宋体" w:eastAsia="宋体" w:cs="Times New Roman"/>
          <w:b/>
          <w:bCs/>
          <w:color w:val="000000"/>
          <w:szCs w:val="21"/>
          <w:highlight w:val="none"/>
          <w:lang w:eastAsia="zh-CN"/>
        </w:rPr>
        <w:t xml:space="preserve">货物安装调试建成运行、验收合格后30日内付至合同总金额的</w:t>
      </w:r>
      <w:r>
        <w:rPr>
          <w:rFonts w:hint="eastAsia" w:ascii="宋体" w:hAnsi="宋体" w:eastAsia="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lang w:eastAsia="zh-CN"/>
        </w:rPr>
        <w:t xml:space="preserve">0%；项目正式运行三个月后付至合同总金额的9</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t xml:space="preserve">%；项目质保期满付清结算价款。</w:t>
      </w:r>
      <w:r>
        <w:rPr>
          <w:rFonts w:hint="eastAsia" w:ascii="宋体" w:hAnsi="宋体" w:eastAsia="宋体" w:cs="Times New Roman"/>
          <w:b/>
          <w:bCs/>
          <w:color w:val="000000"/>
          <w:szCs w:val="21"/>
          <w:highlight w:val="none"/>
          <w:lang w:eastAsia="zh-CN"/>
        </w:rPr>
      </w:r>
      <w:r/>
    </w:p>
    <w:p>
      <w:pPr>
        <w:pStyle w:val="1044"/>
        <w:ind w:firstLine="420"/>
        <w:spacing w:line="520" w:lineRule="exact"/>
        <w:rPr>
          <w:rFonts w:ascii="宋体" w:hAnsi="宋体" w:eastAsia="宋体" w:cs="Times New Roman"/>
          <w:color w:val="000000"/>
          <w:highlight w:val="none"/>
          <w:lang w:val="en-US" w:eastAsia="zh-CN"/>
        </w:rPr>
      </w:pPr>
      <w:r>
        <w:rPr>
          <w:rFonts w:ascii="宋体" w:hAnsi="宋体" w:eastAsia="宋体" w:cs="Times New Roman"/>
          <w:color w:val="000000"/>
          <w:highlight w:val="none"/>
          <w:lang w:val="en-US" w:eastAsia="zh-CN"/>
        </w:rPr>
        <w:t xml:space="preserve">付款前，</w:t>
      </w:r>
      <w:r>
        <w:rPr>
          <w:rFonts w:hint="eastAsia" w:ascii="宋体" w:hAnsi="宋体" w:eastAsia="宋体" w:cs="Times New Roman"/>
          <w:color w:val="000000"/>
          <w:highlight w:val="none"/>
          <w:lang w:val="en-US" w:eastAsia="zh-CN"/>
        </w:rPr>
        <w:t xml:space="preserve">中标人</w:t>
      </w:r>
      <w:r>
        <w:rPr>
          <w:rFonts w:ascii="宋体" w:hAnsi="宋体" w:eastAsia="宋体" w:cs="Times New Roman"/>
          <w:color w:val="000000"/>
          <w:highlight w:val="none"/>
          <w:lang w:val="en-US" w:eastAsia="zh-CN"/>
        </w:rPr>
        <w:t xml:space="preserve">需向</w:t>
      </w:r>
      <w:r>
        <w:rPr>
          <w:rFonts w:hint="eastAsia" w:ascii="宋体" w:hAnsi="宋体" w:eastAsia="宋体" w:cs="Times New Roman"/>
          <w:color w:val="000000"/>
          <w:highlight w:val="none"/>
          <w:lang w:val="en-US" w:eastAsia="zh-CN"/>
        </w:rPr>
        <w:t xml:space="preserve">采购人</w:t>
      </w:r>
      <w:r>
        <w:rPr>
          <w:rFonts w:ascii="宋体" w:hAnsi="宋体" w:eastAsia="宋体" w:cs="Times New Roman"/>
          <w:color w:val="000000"/>
          <w:highlight w:val="none"/>
          <w:lang w:val="en-US" w:eastAsia="zh-CN"/>
        </w:rPr>
        <w:t xml:space="preserve">开具正规发票，否则自行承担延迟付款的责任。 </w:t>
      </w:r>
      <w:r>
        <w:rPr>
          <w:rFonts w:ascii="宋体" w:hAnsi="宋体" w:eastAsia="宋体" w:cs="Times New Roman"/>
          <w:color w:val="000000"/>
          <w:highlight w:val="none"/>
          <w:lang w:val="en-US" w:eastAsia="zh-CN"/>
        </w:rPr>
      </w:r>
      <w:r/>
    </w:p>
    <w:p>
      <w:pPr>
        <w:pStyle w:val="1044"/>
        <w:ind w:firstLine="420"/>
        <w:spacing w:line="520" w:lineRule="exact"/>
        <w:rPr>
          <w:rFonts w:ascii="宋体" w:hAnsi="宋体" w:eastAsia="宋体" w:cs="Times New Roman"/>
          <w:color w:val="000000"/>
          <w:highlight w:val="none"/>
          <w:lang w:val="en-US" w:eastAsia="zh-CN"/>
        </w:rPr>
      </w:pPr>
      <w:r>
        <w:rPr>
          <w:rFonts w:ascii="宋体" w:hAnsi="宋体" w:eastAsia="宋体" w:cs="Times New Roman"/>
          <w:color w:val="000000"/>
          <w:highlight w:val="none"/>
          <w:lang w:val="en-US" w:eastAsia="zh-CN"/>
        </w:rPr>
        <w:t xml:space="preserve">当采购数量与实际使用数量不一致时，</w:t>
      </w:r>
      <w:r>
        <w:rPr>
          <w:rFonts w:hint="eastAsia" w:ascii="宋体" w:hAnsi="宋体" w:eastAsia="宋体" w:cs="Times New Roman"/>
          <w:color w:val="000000"/>
          <w:highlight w:val="none"/>
          <w:lang w:val="en-US" w:eastAsia="zh-CN"/>
        </w:rPr>
        <w:t xml:space="preserve">中标人</w:t>
      </w:r>
      <w:r>
        <w:rPr>
          <w:rFonts w:ascii="宋体" w:hAnsi="宋体" w:eastAsia="宋体" w:cs="Times New Roman"/>
          <w:color w:val="000000"/>
          <w:highlight w:val="none"/>
          <w:lang w:val="en-US" w:eastAsia="zh-CN"/>
        </w:rPr>
        <w:t xml:space="preserve">根据实际使用量提供产品和服务，合同的最终结算金额按实际使用量乘以中标单价进行计算。</w:t>
      </w:r>
      <w:r>
        <w:rPr>
          <w:rFonts w:ascii="宋体" w:hAnsi="宋体" w:eastAsia="宋体" w:cs="Times New Roman"/>
          <w:color w:val="000000"/>
          <w:highlight w:val="none"/>
          <w:lang w:val="en-US" w:eastAsia="zh-CN"/>
        </w:rPr>
      </w:r>
      <w:r/>
    </w:p>
    <w:p>
      <w:pPr>
        <w:pStyle w:val="1044"/>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1044"/>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4.2.4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采购人在合同价款之外不再向中标人支付其他任何费用。</w:t>
      </w:r>
      <w:r>
        <w:rPr>
          <w:rFonts w:hint="eastAsia" w:ascii="宋体" w:hAnsi="宋体" w:eastAsia="宋体" w:cs="Times New Roman"/>
          <w:color w:val="000000"/>
          <w:highlight w:val="none"/>
          <w:lang w:val="en-US" w:eastAsia="zh-CN"/>
        </w:rPr>
      </w:r>
      <w:r/>
    </w:p>
    <w:p>
      <w:pPr>
        <w:pStyle w:val="1075"/>
        <w:rPr>
          <w:rFonts w:hint="eastAsia"/>
          <w:lang w:val="en-US" w:eastAsia="zh-CN"/>
        </w:rPr>
      </w:pPr>
      <w:r>
        <w:rPr>
          <w:rFonts w:hint="eastAsia"/>
          <w:lang w:val="en-US" w:eastAsia="zh-CN"/>
        </w:rPr>
      </w:r>
      <w:r/>
    </w:p>
    <w:p>
      <w:pPr>
        <w:pStyle w:val="1044"/>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1044"/>
        <w:rPr>
          <w:color w:val="000000"/>
          <w:highlight w:val="none"/>
        </w:rPr>
      </w:pPr>
      <w:r>
        <w:rPr>
          <w:color w:val="000000"/>
          <w:highlight w:val="none"/>
        </w:rPr>
      </w:r>
      <w:r/>
    </w:p>
    <w:p>
      <w:pPr>
        <w:pStyle w:val="104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1044"/>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1044"/>
        <w:jc w:val="center"/>
        <w:keepNext/>
        <w:rPr>
          <w:rFonts w:hint="eastAsia" w:ascii="黑体" w:hAnsi="Times New Roman" w:eastAsia="黑体"/>
          <w:bCs/>
          <w:color w:val="000000"/>
          <w:sz w:val="21"/>
          <w:szCs w:val="21"/>
        </w:rPr>
        <w:outlineLvl w:val="0"/>
      </w:pPr>
      <w:r/>
      <w:bookmarkStart w:id="182" w:name="_Toc120614281"/>
      <w:r>
        <w:rPr>
          <w:rFonts w:hint="eastAsia" w:ascii="黑体" w:hAnsi="Times New Roman" w:eastAsia="黑体"/>
          <w:bCs/>
          <w:color w:val="000000"/>
          <w:sz w:val="21"/>
          <w:szCs w:val="21"/>
        </w:rPr>
      </w:r>
      <w:r/>
    </w:p>
    <w:p>
      <w:pPr>
        <w:pStyle w:val="1044"/>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1083"/>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1083"/>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1044"/>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1107"/>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tbl>
      <w:tblPr>
        <w:tblpPr w:horzAnchor="page" w:tblpX="1215" w:vertAnchor="text" w:tblpY="1828" w:leftFromText="180" w:topFromText="0" w:rightFromText="180" w:bottomFromText="0"/>
        <w:tblW w:w="53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10"/>
        <w:gridCol w:w="1271"/>
        <w:gridCol w:w="7114"/>
      </w:tblGrid>
      <w:tr>
        <w:trPr>
          <w:trHeight w:val="401"/>
          <w:tblHeader/>
        </w:trPr>
        <w:tc>
          <w:tcPr>
            <w:tcW w:w="704" w:type="dxa"/>
            <w:vAlign w:val="center"/>
            <w:textDirection w:val="lrTb"/>
            <w:noWrap w:val="false"/>
          </w:tcPr>
          <w:p>
            <w:pPr>
              <w:pStyle w:val="1044"/>
              <w:rPr>
                <w:rFonts w:ascii="宋体" w:hAnsi="宋体" w:eastAsia="宋体" w:cs="宋体"/>
                <w:b w:val="0"/>
                <w:bCs/>
                <w:color w:val="000000"/>
                <w:szCs w:val="21"/>
              </w:rPr>
              <w:framePr w:vAnchor="text" w:hAnchor="page" w:x="1215" w:y="1828"/>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val="0"/>
                <w:bCs/>
                <w:color w:val="000000"/>
                <w:szCs w:val="21"/>
              </w:rPr>
              <w:t xml:space="preserve">序号</w:t>
            </w:r>
            <w:r>
              <w:rPr>
                <w:rFonts w:ascii="宋体" w:hAnsi="宋体" w:eastAsia="宋体" w:cs="宋体"/>
                <w:b w:val="0"/>
                <w:bCs/>
                <w:color w:val="000000"/>
                <w:szCs w:val="21"/>
              </w:rPr>
            </w:r>
            <w:r/>
          </w:p>
        </w:tc>
        <w:tc>
          <w:tcPr>
            <w:gridSpan w:val="2"/>
            <w:tcW w:w="2081" w:type="dxa"/>
            <w:vAlign w:val="center"/>
            <w:textDirection w:val="lrTb"/>
            <w:noWrap w:val="false"/>
          </w:tcPr>
          <w:p>
            <w:pPr>
              <w:pStyle w:val="1044"/>
              <w:jc w:val="center"/>
              <w:rPr>
                <w:rFonts w:ascii="宋体" w:hAnsi="宋体" w:eastAsia="宋体" w:cs="宋体"/>
                <w:b/>
                <w:color w:val="000000"/>
                <w:szCs w:val="21"/>
              </w:rPr>
              <w:framePr w:vAnchor="text" w:hAnchor="page" w:x="1215" w:y="1828"/>
            </w:pPr>
            <w:r>
              <w:rPr>
                <w:rFonts w:hint="eastAsia" w:ascii="宋体" w:hAnsi="宋体" w:eastAsia="宋体" w:cs="宋体"/>
                <w:b/>
                <w:color w:val="000000"/>
                <w:szCs w:val="21"/>
              </w:rPr>
              <w:t xml:space="preserve">评审项目</w:t>
            </w:r>
            <w:r>
              <w:rPr>
                <w:rFonts w:ascii="宋体" w:hAnsi="宋体" w:eastAsia="宋体" w:cs="宋体"/>
                <w:b/>
                <w:color w:val="000000"/>
                <w:szCs w:val="21"/>
              </w:rPr>
            </w:r>
            <w:r/>
          </w:p>
        </w:tc>
        <w:tc>
          <w:tcPr>
            <w:tcW w:w="7114" w:type="dxa"/>
            <w:vAlign w:val="center"/>
            <w:textDirection w:val="lrTb"/>
            <w:noWrap w:val="false"/>
          </w:tcPr>
          <w:p>
            <w:pPr>
              <w:pStyle w:val="1044"/>
              <w:jc w:val="center"/>
              <w:rPr>
                <w:rFonts w:ascii="宋体" w:hAnsi="宋体" w:eastAsia="宋体" w:cs="宋体"/>
                <w:b/>
                <w:color w:val="000000"/>
                <w:szCs w:val="21"/>
              </w:rPr>
              <w:framePr w:vAnchor="text" w:hAnchor="page" w:x="1215" w:y="1828"/>
            </w:pPr>
            <w:r>
              <w:rPr>
                <w:rFonts w:hint="eastAsia" w:ascii="宋体" w:hAnsi="宋体" w:eastAsia="宋体" w:cs="宋体"/>
                <w:b/>
                <w:color w:val="000000"/>
                <w:szCs w:val="21"/>
              </w:rPr>
              <w:t xml:space="preserve">评分标准</w:t>
            </w:r>
            <w:r>
              <w:rPr>
                <w:rFonts w:ascii="宋体" w:hAnsi="宋体" w:eastAsia="宋体" w:cs="宋体"/>
                <w:b/>
                <w:color w:val="000000"/>
                <w:szCs w:val="21"/>
              </w:rPr>
            </w:r>
            <w:r/>
          </w:p>
        </w:tc>
      </w:tr>
      <w:tr>
        <w:trPr>
          <w:trHeight w:val="1090"/>
        </w:trPr>
        <w:tc>
          <w:tcPr>
            <w:tcW w:w="704" w:type="dxa"/>
            <w:vAlign w:val="center"/>
            <w:textDirection w:val="lrTb"/>
            <w:noWrap w:val="false"/>
          </w:tcPr>
          <w:p>
            <w:pPr>
              <w:pStyle w:val="1044"/>
              <w:jc w:val="center"/>
              <w:spacing w:line="360" w:lineRule="auto"/>
              <w:widowControl/>
              <w:rPr>
                <w:rFonts w:ascii="宋体" w:hAnsi="宋体" w:eastAsia="宋体" w:cs="宋体"/>
                <w:color w:val="000000"/>
                <w:szCs w:val="21"/>
              </w:rPr>
              <w:framePr w:vAnchor="text" w:hAnchor="page" w:x="1215" w:y="1828"/>
            </w:pPr>
            <w:r>
              <w:rPr>
                <w:rFonts w:hint="eastAsia" w:ascii="宋体" w:hAnsi="宋体" w:eastAsia="宋体" w:cs="宋体"/>
                <w:color w:val="000000"/>
                <w:szCs w:val="21"/>
              </w:rPr>
              <w:t xml:space="preserve">一</w:t>
            </w:r>
            <w:r>
              <w:rPr>
                <w:rFonts w:ascii="宋体" w:hAnsi="宋体" w:eastAsia="宋体" w:cs="宋体"/>
                <w:color w:val="000000"/>
                <w:szCs w:val="21"/>
              </w:rPr>
            </w:r>
            <w:r/>
          </w:p>
        </w:tc>
        <w:tc>
          <w:tcPr>
            <w:gridSpan w:val="2"/>
            <w:tcW w:w="2081" w:type="dxa"/>
            <w:vAlign w:val="center"/>
            <w:textDirection w:val="lrTb"/>
            <w:noWrap w:val="false"/>
          </w:tcPr>
          <w:p>
            <w:pPr>
              <w:pStyle w:val="1044"/>
              <w:jc w:val="center"/>
              <w:spacing w:line="360" w:lineRule="auto"/>
              <w:widowControl/>
              <w:rPr>
                <w:rFonts w:ascii="宋体" w:hAnsi="宋体" w:eastAsia="宋体" w:cs="宋体"/>
                <w:color w:val="000000"/>
                <w:szCs w:val="21"/>
              </w:rPr>
              <w:framePr w:vAnchor="text" w:hAnchor="page" w:x="1215" w:y="1828"/>
            </w:pPr>
            <w:r>
              <w:rPr>
                <w:rFonts w:hint="eastAsia" w:ascii="宋体" w:hAnsi="宋体" w:eastAsia="宋体" w:cs="宋体"/>
                <w:color w:val="000000"/>
                <w:szCs w:val="21"/>
                <w:lang w:eastAsia="zh-CN"/>
              </w:rPr>
              <w:t xml:space="preserve">价格分</w:t>
            </w: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ascii="宋体" w:hAnsi="宋体" w:eastAsia="宋体" w:cs="宋体"/>
                <w:color w:val="000000"/>
                <w:szCs w:val="21"/>
              </w:rPr>
            </w:r>
            <w:r/>
          </w:p>
        </w:tc>
        <w:tc>
          <w:tcPr>
            <w:tcW w:w="7114" w:type="dxa"/>
            <w:vAlign w:val="center"/>
            <w:textDirection w:val="lrTb"/>
            <w:noWrap w:val="false"/>
          </w:tcPr>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framePr w:vAnchor="text" w:hAnchor="page" w:x="1215" w:y="1828"/>
            </w:pPr>
            <w:r>
              <w:rPr>
                <w:rFonts w:hint="eastAsia" w:ascii="宋体" w:hAnsi="宋体" w:eastAsia="宋体" w:cs="宋体"/>
                <w:highlight w:val="none"/>
                <w:lang w:val="en-US" w:eastAsia="zh-CN"/>
              </w:rPr>
              <w:t xml:space="preserve">采用低价优先法计算，即满足招标文件要求且投标价格最低的投标报价为评标基准价，其价格分为满分30分。其他投标人的价格分统一按照下列公式计算：投标报价得分=(评标基准价／投标报价)×30（按四舍五入取至小数点后两位）。</w:t>
            </w:r>
            <w:r>
              <w:rPr>
                <w:rFonts w:ascii="Times New Roman" w:hAnsi="Times New Roman" w:eastAsia="宋体" w:cs="Times New Roman"/>
                <w:color w:val="000000"/>
                <w:szCs w:val="21"/>
              </w:rPr>
            </w:r>
            <w:r/>
          </w:p>
        </w:tc>
      </w:tr>
      <w:tr>
        <w:trPr>
          <w:trHeight w:val="90"/>
        </w:trPr>
        <w:tc>
          <w:tcPr>
            <w:tcW w:w="704" w:type="dxa"/>
            <w:vAlign w:val="center"/>
            <w:vMerge w:val="restart"/>
            <w:textDirection w:val="lrTb"/>
            <w:noWrap w:val="false"/>
          </w:tcPr>
          <w:p>
            <w:pPr>
              <w:pStyle w:val="1044"/>
              <w:jc w:val="center"/>
              <w:spacing w:line="360" w:lineRule="auto"/>
              <w:widowControl/>
              <w:rPr>
                <w:rFonts w:ascii="宋体" w:hAnsi="宋体" w:eastAsia="宋体" w:cs="宋体"/>
                <w:color w:val="000000"/>
                <w:szCs w:val="21"/>
              </w:rPr>
              <w:framePr w:vAnchor="text" w:hAnchor="page" w:x="1215" w:y="1828"/>
            </w:pPr>
            <w:r>
              <w:rPr>
                <w:rFonts w:hint="eastAsia" w:ascii="宋体" w:hAnsi="宋体" w:eastAsia="宋体" w:cs="宋体"/>
                <w:color w:val="000000"/>
                <w:szCs w:val="21"/>
              </w:rPr>
              <w:t xml:space="preserve">二</w:t>
            </w:r>
            <w:r>
              <w:rPr>
                <w:rFonts w:ascii="宋体" w:hAnsi="宋体" w:eastAsia="宋体" w:cs="宋体"/>
                <w:color w:val="000000"/>
                <w:szCs w:val="21"/>
              </w:rPr>
            </w:r>
            <w:r/>
          </w:p>
        </w:tc>
        <w:tc>
          <w:tcPr>
            <w:tcW w:w="810" w:type="dxa"/>
            <w:vAlign w:val="center"/>
            <w:vMerge w:val="restart"/>
            <w:textDirection w:val="lrTb"/>
            <w:noWrap w:val="false"/>
          </w:tcPr>
          <w:p>
            <w:pPr>
              <w:pStyle w:val="1044"/>
              <w:spacing w:line="360" w:lineRule="auto"/>
              <w:widowControl/>
              <w:rPr>
                <w:rFonts w:ascii="宋体" w:hAnsi="宋体" w:eastAsia="宋体" w:cs="宋体"/>
                <w:color w:val="000000"/>
                <w:szCs w:val="21"/>
              </w:rPr>
              <w:framePr w:vAnchor="text" w:hAnchor="page" w:x="1215" w:y="1828"/>
            </w:pPr>
            <w:r>
              <w:rPr>
                <w:rFonts w:hint="eastAsia" w:ascii="宋体" w:hAnsi="宋体" w:eastAsia="宋体" w:cs="宋体"/>
                <w:color w:val="000000"/>
                <w:szCs w:val="21"/>
                <w:lang w:eastAsia="zh-CN"/>
              </w:rPr>
              <w:t xml:space="preserve">技术分</w:t>
            </w:r>
            <w:r>
              <w:rPr>
                <w:rFonts w:hint="eastAsia" w:ascii="宋体" w:hAnsi="宋体" w:eastAsia="宋体" w:cs="宋体"/>
                <w:color w:val="000000"/>
                <w:szCs w:val="21"/>
                <w:lang w:val="en-US" w:eastAsia="zh-CN"/>
              </w:rPr>
              <w:t xml:space="preserve">(51分)</w:t>
            </w:r>
            <w:r>
              <w:rPr>
                <w:rFonts w:ascii="宋体" w:hAnsi="宋体" w:eastAsia="宋体" w:cs="宋体"/>
                <w:color w:val="000000"/>
                <w:szCs w:val="21"/>
              </w:rPr>
            </w:r>
            <w:r/>
          </w:p>
        </w:tc>
        <w:tc>
          <w:tcPr>
            <w:tcW w:w="1271" w:type="dxa"/>
            <w:vAlign w:val="center"/>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1215" w:y="182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30</w:t>
            </w:r>
            <w:r>
              <w:rPr>
                <w:rFonts w:hint="eastAsia" w:ascii="宋体" w:hAnsi="宋体" w:eastAsia="宋体" w:cs="宋体"/>
                <w:highlight w:val="none"/>
              </w:rPr>
              <w:t xml:space="preserve">分）</w:t>
            </w:r>
            <w:r>
              <w:rPr>
                <w:rFonts w:hint="eastAsia" w:ascii="宋体" w:hAnsi="宋体" w:eastAsia="宋体" w:cs="宋体"/>
                <w:highlight w:val="none"/>
              </w:rPr>
            </w:r>
            <w:r/>
          </w:p>
        </w:tc>
        <w:tc>
          <w:tcPr>
            <w:tcW w:w="7114" w:type="dxa"/>
            <w:vAlign w:val="center"/>
            <w:textDirection w:val="lrTb"/>
            <w:noWrap w:val="false"/>
          </w:tcPr>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按招标文件的技术参数要求进行评审；</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★号技术参数必须满足实质性要求，不允许负偏离。</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▲号技术参数为重要指标，有一项负偏离扣1.5分；其余指标有一项负偏离扣0.5分，扣完为止。</w:t>
            </w:r>
            <w:r>
              <w:rPr>
                <w:rFonts w:hint="eastAsia" w:ascii="宋体" w:hAnsi="宋体" w:eastAsia="宋体" w:cs="宋体"/>
                <w:szCs w:val="24"/>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1215" w:y="1828"/>
            </w:pPr>
            <w:r>
              <w:rPr>
                <w:rFonts w:hint="eastAsia" w:ascii="宋体" w:hAnsi="宋体" w:eastAsia="宋体" w:cs="宋体"/>
                <w:szCs w:val="24"/>
              </w:rPr>
              <w:t xml:space="preserve">以上要求以第四章采购需求中备注要求提供的证明材料为准；未要求提供证明材料的指标，投标人需在“技术要求响应及偏离表”中如实逐项填列所投产品的参数并加盖投标人公章，未列出的，按负偏离处理。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704" w:type="dxa"/>
            <w:vAlign w:val="center"/>
            <w:vMerge w:val="continue"/>
            <w:textDirection w:val="lrTb"/>
            <w:noWrap w:val="false"/>
          </w:tcPr>
          <w:p>
            <w:pPr>
              <w:pStyle w:val="1044"/>
              <w:jc w:val="center"/>
              <w:spacing w:line="360" w:lineRule="auto"/>
              <w:widowControl/>
              <w:rPr>
                <w:rFonts w:hint="eastAsia" w:ascii="宋体" w:hAnsi="宋体" w:eastAsia="宋体" w:cs="宋体"/>
                <w:color w:val="000000"/>
                <w:szCs w:val="21"/>
              </w:rPr>
              <w:framePr w:vAnchor="text" w:hAnchor="page" w:x="1215" w:y="1828"/>
            </w:pPr>
            <w:r>
              <w:rPr>
                <w:rFonts w:hint="eastAsia" w:ascii="宋体" w:hAnsi="宋体" w:eastAsia="宋体" w:cs="宋体"/>
                <w:color w:val="000000"/>
                <w:szCs w:val="21"/>
              </w:rPr>
            </w:r>
            <w:r/>
          </w:p>
        </w:tc>
        <w:tc>
          <w:tcPr>
            <w:tcW w:w="810" w:type="dxa"/>
            <w:vAlign w:val="center"/>
            <w:vMerge w:val="continue"/>
            <w:textDirection w:val="lrTb"/>
            <w:noWrap w:val="false"/>
          </w:tcPr>
          <w:p>
            <w:pPr>
              <w:pStyle w:val="1044"/>
              <w:spacing w:line="360" w:lineRule="auto"/>
              <w:widowControl/>
              <w:rPr>
                <w:rFonts w:hint="eastAsia" w:ascii="宋体" w:hAnsi="宋体" w:eastAsia="宋体" w:cs="宋体"/>
                <w:color w:val="000000"/>
                <w:szCs w:val="21"/>
                <w:highlight w:val="none"/>
                <w:lang w:eastAsia="zh-CN"/>
              </w:rPr>
              <w:framePr w:vAnchor="text" w:hAnchor="page" w:x="1215" w:y="1828"/>
            </w:pPr>
            <w:r>
              <w:rPr>
                <w:rFonts w:hint="eastAsia" w:ascii="宋体" w:hAnsi="宋体" w:eastAsia="宋体" w:cs="宋体"/>
                <w:color w:val="000000"/>
                <w:szCs w:val="21"/>
                <w:highlight w:val="none"/>
                <w:lang w:eastAsia="zh-CN"/>
              </w:rPr>
            </w:r>
            <w:r/>
          </w:p>
        </w:tc>
        <w:tc>
          <w:tcPr>
            <w:tcW w:w="1271" w:type="dxa"/>
            <w:vAlign w:val="center"/>
            <w:textDirection w:val="lrTb"/>
            <w:noWrap w:val="false"/>
          </w:tcPr>
          <w:p>
            <w:pPr>
              <w:pStyle w:val="1075"/>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Calibri" w:hAnsi="Calibri"/>
              </w:rPr>
              <w:t xml:space="preserve">视频演示（6分）</w:t>
            </w:r>
            <w:r>
              <w:rPr>
                <w:rFonts w:hint="eastAsia" w:ascii="宋体" w:hAnsi="宋体" w:eastAsia="宋体" w:cs="Times New Roman"/>
                <w:b w:val="0"/>
                <w:color w:val="000000"/>
                <w:spacing w:val="0"/>
                <w:sz w:val="21"/>
                <w:szCs w:val="24"/>
                <w:highlight w:val="none"/>
                <w:lang w:val="en-US" w:eastAsia="zh-CN" w:bidi="ar-SA"/>
              </w:rPr>
            </w:r>
            <w:r/>
          </w:p>
        </w:tc>
        <w:tc>
          <w:tcPr>
            <w:tcW w:w="7114" w:type="dxa"/>
            <w:vAlign w:val="center"/>
            <w:textDirection w:val="lrTb"/>
            <w:noWrap w:val="false"/>
          </w:tcPr>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Calibri" w:hAnsi="Calibri" w:eastAsia="宋体" w:cs="宋体"/>
                <w:sz w:val="24"/>
                <w:szCs w:val="24"/>
              </w:rPr>
              <w:t xml:space="preserve">需</w:t>
            </w:r>
            <w:r>
              <w:rPr>
                <w:rFonts w:hint="eastAsia" w:ascii="宋体" w:hAnsi="宋体" w:eastAsia="宋体" w:cs="宋体"/>
                <w:szCs w:val="24"/>
              </w:rPr>
              <w:t xml:space="preserve">提供所投产品功能演示佐证视频：</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1、对于每个单体零件进行三维数字化设计，组成立体化三维零件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2、终端可以查看模型的爆炸视图，完美继承本地服务端的爆炸图设置，提供滑动条供用户选择爆炸的距离。</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3、终端支持查看模型的装配树，装配树显示当前模型的所有装配零件，可显示与隐藏任意零件，便于查看装配关系等信息。</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4、《千斤顶&amp;偏心机构》测绘装置：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5、《平口钳&amp;凸轮机构》测绘装置：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6、偏心滑块机构：配套立体化三维模型库：不需要安装任何APP或者插件，通过手机等移动端设备直接扫描二维码查看三维模型，并且支持该模型的任意旋转、缩放、立体化渲染、动态剖切及智能测量等功能。</w:t>
            </w:r>
            <w:r>
              <w:rPr>
                <w:rFonts w:hint="eastAsia" w:ascii="宋体" w:hAnsi="宋体" w:eastAsia="宋体" w:cs="宋体"/>
                <w:szCs w:val="24"/>
              </w:rPr>
            </w:r>
            <w:r/>
          </w:p>
          <w:p>
            <w:pPr>
              <w:pStyle w:val="1075"/>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宋体"/>
                <w:szCs w:val="24"/>
              </w:rPr>
              <w:t xml:space="preserve">以上内容每满足1项得1分，不提供不得分。</w:t>
            </w:r>
            <w:r>
              <w:rPr>
                <w:rFonts w:hint="eastAsia" w:ascii="宋体" w:hAnsi="宋体" w:eastAsia="宋体" w:cs="Times New Roman"/>
                <w:b w:val="0"/>
                <w:color w:val="000000"/>
                <w:spacing w:val="0"/>
                <w:sz w:val="21"/>
                <w:szCs w:val="24"/>
                <w:highlight w:val="none"/>
                <w:lang w:val="en-US" w:eastAsia="zh-CN" w:bidi="ar-SA"/>
              </w:rPr>
            </w:r>
            <w:r/>
          </w:p>
        </w:tc>
      </w:tr>
      <w:tr>
        <w:trPr>
          <w:trHeight w:val="1487"/>
        </w:trPr>
        <w:tc>
          <w:tcPr>
            <w:tcW w:w="704" w:type="dxa"/>
            <w:vAlign w:val="center"/>
            <w:vMerge w:val="continue"/>
            <w:textDirection w:val="lrTb"/>
            <w:noWrap w:val="false"/>
          </w:tcPr>
          <w:p>
            <w:pPr>
              <w:pStyle w:val="1044"/>
              <w:jc w:val="center"/>
              <w:spacing w:line="360" w:lineRule="auto"/>
              <w:widowControl/>
              <w:rPr>
                <w:rFonts w:hint="eastAsia" w:ascii="宋体" w:hAnsi="宋体" w:eastAsia="宋体" w:cs="宋体"/>
                <w:color w:val="000000"/>
                <w:szCs w:val="21"/>
              </w:rPr>
              <w:framePr w:vAnchor="text" w:hAnchor="page" w:x="1215" w:y="1828"/>
            </w:pPr>
            <w:r>
              <w:rPr>
                <w:rFonts w:hint="eastAsia" w:ascii="宋体" w:hAnsi="宋体" w:eastAsia="宋体" w:cs="宋体"/>
                <w:color w:val="000000"/>
                <w:szCs w:val="21"/>
              </w:rPr>
            </w:r>
            <w:r/>
          </w:p>
        </w:tc>
        <w:tc>
          <w:tcPr>
            <w:tcW w:w="810" w:type="dxa"/>
            <w:vAlign w:val="center"/>
            <w:vMerge w:val="continue"/>
            <w:textDirection w:val="lrTb"/>
            <w:noWrap w:val="false"/>
          </w:tcPr>
          <w:p>
            <w:pPr>
              <w:pStyle w:val="1044"/>
              <w:spacing w:line="360" w:lineRule="auto"/>
              <w:widowControl/>
              <w:rPr>
                <w:rFonts w:hint="eastAsia" w:ascii="宋体" w:hAnsi="宋体" w:eastAsia="宋体" w:cs="宋体"/>
                <w:color w:val="000000"/>
                <w:szCs w:val="21"/>
                <w:highlight w:val="none"/>
                <w:lang w:eastAsia="zh-CN"/>
              </w:rPr>
              <w:framePr w:vAnchor="text" w:hAnchor="page" w:x="1215" w:y="1828"/>
            </w:pPr>
            <w:r>
              <w:rPr>
                <w:rFonts w:hint="eastAsia" w:ascii="宋体" w:hAnsi="宋体" w:eastAsia="宋体" w:cs="宋体"/>
                <w:color w:val="000000"/>
                <w:szCs w:val="21"/>
                <w:highlight w:val="none"/>
                <w:lang w:eastAsia="zh-CN"/>
              </w:rPr>
            </w:r>
            <w:r/>
          </w:p>
        </w:tc>
        <w:tc>
          <w:tcPr>
            <w:tcW w:w="1271" w:type="dxa"/>
            <w:vAlign w:val="center"/>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highlight w:val="none"/>
                <w:lang w:val="en-US" w:eastAsia="zh-CN" w:bidi="ar-SA"/>
              </w:rPr>
              <w:framePr w:vAnchor="text" w:hAnchor="page" w:x="1215" w:y="1828"/>
            </w:pPr>
            <w:r>
              <w:rPr>
                <w:rFonts w:hint="eastAsia" w:ascii="Calibri" w:hAnsi="Calibri" w:eastAsia="宋体" w:cs="Times New Roman"/>
                <w:lang w:val="en-US" w:eastAsia="zh-CN"/>
              </w:rPr>
              <w:t xml:space="preserve">技术方案</w:t>
            </w:r>
            <w:r>
              <w:rPr>
                <w:rFonts w:hint="eastAsia" w:ascii="宋体" w:hAnsi="宋体" w:eastAsia="宋体" w:cs="宋体"/>
                <w:highlight w:val="none"/>
                <w:lang w:val="en-US" w:eastAsia="zh-CN"/>
              </w:rPr>
              <w:t xml:space="preserve">（4分）</w:t>
            </w:r>
            <w:r>
              <w:rPr>
                <w:rFonts w:hint="eastAsia" w:ascii="宋体" w:hAnsi="宋体" w:eastAsia="宋体" w:cs="宋体"/>
                <w:sz w:val="21"/>
                <w:szCs w:val="22"/>
                <w:highlight w:val="none"/>
                <w:lang w:val="en-US" w:eastAsia="zh-CN" w:bidi="ar-SA"/>
              </w:rPr>
            </w:r>
            <w:r/>
          </w:p>
        </w:tc>
        <w:tc>
          <w:tcPr>
            <w:tcW w:w="7114" w:type="dxa"/>
            <w:vAlign w:val="top"/>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投标人需提供项目集成技术方案（包括但不限于根据现有IT环境和相关设备做集群对接，新增桌面云集群的功能模块说明等）</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方案表述的全面、前瞻、合理、科学、可行及针对性强，需包含集群对接、集群管理（创建虚拟机等操作）、桌面云</w:t>
            </w:r>
            <w:r>
              <w:rPr>
                <w:rFonts w:ascii="Calibri" w:hAnsi="Calibri" w:eastAsia="宋体" w:cs="Times New Roman"/>
                <w:color w:val="000000"/>
                <w:szCs w:val="24"/>
                <w:highlight w:val="none"/>
                <w:lang w:val="en-US" w:eastAsia="zh-CN"/>
              </w:rPr>
              <w:t xml:space="preserve">智能运维能力</w:t>
            </w:r>
            <w:r>
              <w:rPr>
                <w:rFonts w:hint="eastAsia" w:ascii="Calibri" w:hAnsi="Calibri" w:eastAsia="宋体" w:cs="Times New Roman"/>
                <w:color w:val="000000"/>
                <w:szCs w:val="24"/>
                <w:highlight w:val="none"/>
                <w:lang w:val="en-US" w:eastAsia="zh-CN"/>
              </w:rPr>
              <w:t xml:space="preserve">（虚拟机智能扩容识别、闲置虚拟机识别、故障处置功能等）等：4分； </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方案表述的全面、前瞻、合理、科学、可行及针对性一般：2分； </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方案表述的全面、前瞻、合理、科学、可行及针对性差：1分； </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 w:val="21"/>
                <w:szCs w:val="24"/>
                <w:highlight w:val="none"/>
                <w:lang w:val="zh-CN" w:eastAsia="zh-CN" w:bidi="ar-SA"/>
              </w:rPr>
              <w:framePr w:vAnchor="text" w:hAnchor="page" w:x="1215" w:y="1828"/>
            </w:pPr>
            <w:r>
              <w:rPr>
                <w:rFonts w:hint="eastAsia" w:ascii="Calibri" w:hAnsi="Calibri" w:eastAsia="宋体" w:cs="Times New Roman"/>
                <w:color w:val="000000"/>
                <w:szCs w:val="24"/>
                <w:highlight w:val="none"/>
                <w:lang w:val="en-US" w:eastAsia="zh-CN"/>
              </w:rPr>
              <w:t xml:space="preserve">未见阐述不得分。 </w:t>
            </w:r>
            <w:r>
              <w:rPr>
                <w:rFonts w:hint="eastAsia" w:ascii="Calibri" w:hAnsi="Calibri" w:eastAsia="宋体" w:cs="Times New Roman"/>
                <w:color w:val="000000"/>
                <w:sz w:val="21"/>
                <w:szCs w:val="24"/>
                <w:highlight w:val="none"/>
                <w:lang w:val="zh-CN" w:eastAsia="zh-CN" w:bidi="ar-SA"/>
              </w:rPr>
            </w:r>
            <w:r/>
          </w:p>
        </w:tc>
      </w:tr>
      <w:tr>
        <w:trPr>
          <w:trHeight w:val="457"/>
        </w:trPr>
        <w:tc>
          <w:tcPr>
            <w:tcW w:w="704" w:type="dxa"/>
            <w:vAlign w:val="center"/>
            <w:vMerge w:val="continue"/>
            <w:textDirection w:val="lrTb"/>
            <w:noWrap w:val="false"/>
          </w:tcPr>
          <w:p>
            <w:pPr>
              <w:pStyle w:val="1044"/>
              <w:jc w:val="center"/>
              <w:spacing w:line="360" w:lineRule="auto"/>
              <w:widowControl/>
              <w:rPr>
                <w:rFonts w:hint="eastAsia" w:ascii="宋体" w:hAnsi="宋体" w:eastAsia="宋体" w:cs="宋体"/>
                <w:color w:val="000000"/>
                <w:szCs w:val="21"/>
              </w:rPr>
              <w:framePr w:vAnchor="text" w:hAnchor="page" w:x="1215" w:y="1828"/>
            </w:pPr>
            <w:r>
              <w:rPr>
                <w:rFonts w:hint="eastAsia" w:ascii="宋体" w:hAnsi="宋体" w:eastAsia="宋体" w:cs="宋体"/>
                <w:color w:val="000000"/>
                <w:szCs w:val="21"/>
              </w:rPr>
            </w:r>
            <w:r/>
          </w:p>
        </w:tc>
        <w:tc>
          <w:tcPr>
            <w:tcW w:w="810" w:type="dxa"/>
            <w:vAlign w:val="center"/>
            <w:vMerge w:val="continue"/>
            <w:textDirection w:val="lrTb"/>
            <w:noWrap w:val="false"/>
          </w:tcPr>
          <w:p>
            <w:pPr>
              <w:pStyle w:val="1044"/>
              <w:spacing w:line="360" w:lineRule="auto"/>
              <w:widowControl/>
              <w:rPr>
                <w:rFonts w:hint="eastAsia" w:ascii="宋体" w:hAnsi="宋体" w:eastAsia="宋体" w:cs="宋体"/>
                <w:color w:val="000000"/>
                <w:szCs w:val="21"/>
                <w:highlight w:val="none"/>
                <w:lang w:eastAsia="zh-CN"/>
              </w:rPr>
              <w:framePr w:vAnchor="text" w:hAnchor="page" w:x="1215" w:y="1828"/>
            </w:pPr>
            <w:r>
              <w:rPr>
                <w:rFonts w:hint="eastAsia" w:ascii="宋体" w:hAnsi="宋体" w:eastAsia="宋体" w:cs="宋体"/>
                <w:color w:val="000000"/>
                <w:szCs w:val="21"/>
                <w:highlight w:val="none"/>
                <w:lang w:eastAsia="zh-CN"/>
              </w:rPr>
            </w:r>
            <w:r/>
          </w:p>
        </w:tc>
        <w:tc>
          <w:tcPr>
            <w:tcW w:w="1271" w:type="dxa"/>
            <w:vAlign w:val="center"/>
            <w:textDirection w:val="lrTb"/>
            <w:noWrap w:val="false"/>
          </w:tcPr>
          <w:p>
            <w:pPr>
              <w:pStyle w:val="1044"/>
              <w:jc w:val="both"/>
              <w:spacing w:line="360" w:lineRule="auto"/>
              <w:rPr>
                <w:rFonts w:hint="eastAsia" w:ascii="宋体" w:hAnsi="宋体" w:eastAsia="宋体" w:cs="宋体"/>
                <w:sz w:val="21"/>
                <w:szCs w:val="22"/>
                <w:highlight w:val="none"/>
                <w:lang w:val="en-US" w:eastAsia="zh-CN" w:bidi="ar-SA"/>
              </w:rPr>
              <w:framePr w:vAnchor="text" w:hAnchor="page" w:x="1215" w:y="1828"/>
            </w:pPr>
            <w:r>
              <w:rPr>
                <w:rFonts w:hint="eastAsia" w:ascii="宋体" w:hAnsi="宋体" w:eastAsia="宋体" w:cs="宋体"/>
                <w:highlight w:val="none"/>
                <w:lang w:val="en-US" w:eastAsia="zh-CN"/>
              </w:rPr>
              <w:t xml:space="preserve">供货、安装调试方案</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4分</w:t>
            </w:r>
            <w:r>
              <w:rPr>
                <w:rFonts w:hint="eastAsia" w:ascii="Calibri" w:hAnsi="Calibri" w:eastAsia="宋体" w:cs="Times New Roman"/>
                <w:lang w:eastAsia="zh-CN"/>
              </w:rPr>
              <w:t xml:space="preserve">）</w:t>
            </w:r>
            <w:r>
              <w:rPr>
                <w:rFonts w:hint="eastAsia" w:ascii="宋体" w:hAnsi="宋体" w:eastAsia="宋体" w:cs="宋体"/>
                <w:sz w:val="21"/>
                <w:szCs w:val="22"/>
                <w:highlight w:val="none"/>
                <w:lang w:val="en-US" w:eastAsia="zh-CN" w:bidi="ar-SA"/>
              </w:rPr>
            </w:r>
            <w:r/>
          </w:p>
        </w:tc>
        <w:tc>
          <w:tcPr>
            <w:tcW w:w="7114" w:type="dxa"/>
            <w:vAlign w:val="top"/>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投标人针对本项目安装调试方案，内容须包含但不限于供货、安装方案，调试方法及保护措施：</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内容全面具体，可行性、可操作性强，措施完善：4分；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内容有缺失、可行性、可操作性较差：2分；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内容与本项目基本无关联性得1分；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 w:val="21"/>
                <w:szCs w:val="24"/>
                <w:highlight w:val="none"/>
                <w:lang w:val="en-US" w:eastAsia="zh-CN" w:bidi="ar-SA"/>
              </w:rPr>
              <w:framePr w:vAnchor="text" w:hAnchor="page" w:x="1215" w:y="1828"/>
            </w:pPr>
            <w:r>
              <w:rPr>
                <w:rFonts w:hint="eastAsia" w:ascii="Calibri" w:hAnsi="Calibri" w:eastAsia="宋体" w:cs="Times New Roman"/>
                <w:color w:val="000000"/>
                <w:szCs w:val="24"/>
                <w:highlight w:val="none"/>
                <w:lang w:val="en-US" w:eastAsia="zh-CN"/>
              </w:rPr>
              <w:t xml:space="preserve">未见阐述不得分。 </w:t>
            </w:r>
            <w:r>
              <w:rPr>
                <w:rFonts w:hint="eastAsia" w:ascii="Calibri" w:hAnsi="Calibri" w:eastAsia="宋体" w:cs="Times New Roman"/>
                <w:color w:val="000000"/>
                <w:sz w:val="21"/>
                <w:szCs w:val="24"/>
                <w:highlight w:val="none"/>
                <w:lang w:val="en-US" w:eastAsia="zh-CN" w:bidi="ar-SA"/>
              </w:rPr>
            </w:r>
            <w:r/>
          </w:p>
        </w:tc>
      </w:tr>
      <w:tr>
        <w:trPr>
          <w:trHeight w:val="1778"/>
        </w:trPr>
        <w:tc>
          <w:tcPr>
            <w:tcW w:w="704" w:type="dxa"/>
            <w:vAlign w:val="center"/>
            <w:vMerge w:val="continue"/>
            <w:textDirection w:val="lrTb"/>
            <w:noWrap w:val="false"/>
          </w:tcPr>
          <w:p>
            <w:pPr>
              <w:pStyle w:val="1044"/>
              <w:jc w:val="center"/>
              <w:spacing w:line="360" w:lineRule="auto"/>
              <w:widowControl/>
              <w:rPr>
                <w:rFonts w:hint="eastAsia" w:ascii="宋体" w:hAnsi="宋体" w:eastAsia="宋体" w:cs="宋体"/>
                <w:color w:val="000000"/>
                <w:szCs w:val="21"/>
              </w:rPr>
              <w:framePr w:vAnchor="text" w:hAnchor="page" w:x="1215" w:y="1828"/>
            </w:pPr>
            <w:r>
              <w:rPr>
                <w:rFonts w:hint="eastAsia" w:ascii="宋体" w:hAnsi="宋体" w:eastAsia="宋体" w:cs="宋体"/>
                <w:color w:val="000000"/>
                <w:szCs w:val="21"/>
              </w:rPr>
            </w:r>
            <w:r/>
          </w:p>
        </w:tc>
        <w:tc>
          <w:tcPr>
            <w:tcW w:w="810" w:type="dxa"/>
            <w:vAlign w:val="center"/>
            <w:vMerge w:val="continue"/>
            <w:textDirection w:val="lrTb"/>
            <w:noWrap w:val="false"/>
          </w:tcPr>
          <w:p>
            <w:pPr>
              <w:pStyle w:val="1044"/>
              <w:spacing w:line="360" w:lineRule="auto"/>
              <w:widowControl/>
              <w:rPr>
                <w:rFonts w:hint="eastAsia" w:ascii="宋体" w:hAnsi="宋体" w:eastAsia="宋体" w:cs="宋体"/>
                <w:color w:val="000000"/>
                <w:szCs w:val="21"/>
                <w:highlight w:val="none"/>
                <w:lang w:eastAsia="zh-CN"/>
              </w:rPr>
              <w:framePr w:vAnchor="text" w:hAnchor="page" w:x="1215" w:y="1828"/>
            </w:pPr>
            <w:r>
              <w:rPr>
                <w:rFonts w:hint="eastAsia" w:ascii="宋体" w:hAnsi="宋体" w:eastAsia="宋体" w:cs="宋体"/>
                <w:color w:val="000000"/>
                <w:szCs w:val="21"/>
                <w:highlight w:val="none"/>
                <w:lang w:eastAsia="zh-CN"/>
              </w:rPr>
            </w:r>
            <w:r/>
          </w:p>
        </w:tc>
        <w:tc>
          <w:tcPr>
            <w:tcW w:w="1271" w:type="dxa"/>
            <w:vAlign w:val="center"/>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sz w:val="21"/>
                <w:szCs w:val="22"/>
                <w:highlight w:val="none"/>
                <w:lang w:val="en-US" w:eastAsia="zh-CN" w:bidi="ar-SA"/>
              </w:rPr>
              <w:framePr w:vAnchor="text" w:hAnchor="page" w:x="1215" w:y="1828"/>
            </w:pPr>
            <w:r>
              <w:rPr>
                <w:rFonts w:hint="eastAsia" w:ascii="宋体" w:hAnsi="宋体" w:eastAsia="宋体" w:cs="宋体"/>
                <w:highlight w:val="none"/>
                <w:lang w:val="en-US" w:eastAsia="zh-CN"/>
              </w:rPr>
              <w:t xml:space="preserve">培训方案（4 分）</w:t>
            </w:r>
            <w:r>
              <w:rPr>
                <w:rFonts w:ascii="宋体" w:hAnsi="宋体" w:eastAsia="宋体" w:cs="宋体"/>
                <w:sz w:val="21"/>
                <w:szCs w:val="22"/>
                <w:highlight w:val="none"/>
                <w:lang w:val="en-US" w:eastAsia="zh-CN" w:bidi="ar-SA"/>
              </w:rPr>
            </w:r>
            <w:r/>
          </w:p>
        </w:tc>
        <w:tc>
          <w:tcPr>
            <w:tcW w:w="7114" w:type="dxa"/>
            <w:vAlign w:val="top"/>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投标人针对本项目培训方案，至少包括培训管理、培训计划、培训内容等</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提供方案内容全面，切实可行，能完全满足业主需求的，得 4分；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提供方案内容较为全面、可行，基本能够满足业主需求的，得 2 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framePr w:vAnchor="text" w:hAnchor="page" w:x="1215" w:y="1828"/>
            </w:pPr>
            <w:r>
              <w:rPr>
                <w:rFonts w:hint="eastAsia" w:ascii="Calibri" w:hAnsi="Calibri" w:eastAsia="宋体" w:cs="Times New Roman"/>
                <w:color w:val="000000"/>
                <w:szCs w:val="24"/>
                <w:highlight w:val="none"/>
                <w:lang w:val="en-US" w:eastAsia="zh-CN"/>
              </w:rPr>
              <w:t xml:space="preserve">提供方案内容一般，部分无法满足业主需求的，得 1 分；</w:t>
            </w:r>
            <w:r>
              <w:rPr>
                <w:rFonts w:hint="eastAsia" w:ascii="Calibri" w:hAnsi="Calibri" w:eastAsia="宋体" w:cs="Times New Roman"/>
                <w:color w:val="000000"/>
                <w:szCs w:val="24"/>
                <w:highlight w:val="none"/>
                <w:lang w:val="en-US" w:eastAsia="zh-CN"/>
              </w:rPr>
            </w:r>
            <w:r/>
          </w:p>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Calibri" w:hAnsi="Calibri" w:eastAsia="宋体" w:cs="Times New Roman"/>
                <w:color w:val="000000"/>
                <w:sz w:val="21"/>
                <w:szCs w:val="24"/>
                <w:highlight w:val="none"/>
                <w:lang w:val="en-US" w:eastAsia="zh-CN" w:bidi="ar-SA"/>
              </w:rPr>
              <w:framePr w:vAnchor="text" w:hAnchor="page" w:x="1215" w:y="1828"/>
            </w:pPr>
            <w:r>
              <w:rPr>
                <w:rFonts w:hint="eastAsia" w:ascii="Calibri" w:hAnsi="Calibri" w:eastAsia="宋体" w:cs="Times New Roman"/>
                <w:color w:val="000000"/>
                <w:szCs w:val="24"/>
                <w:highlight w:val="none"/>
                <w:lang w:val="en-US" w:eastAsia="zh-CN"/>
              </w:rPr>
              <w:t xml:space="preserve">未见阐述不得分。 </w:t>
            </w:r>
            <w:r>
              <w:rPr>
                <w:rFonts w:ascii="Calibri" w:hAnsi="Calibri" w:eastAsia="宋体" w:cs="Times New Roman"/>
                <w:color w:val="000000"/>
                <w:sz w:val="21"/>
                <w:szCs w:val="24"/>
                <w:highlight w:val="none"/>
                <w:lang w:val="en-US" w:eastAsia="zh-CN" w:bidi="ar-SA"/>
              </w:rPr>
            </w:r>
            <w:r/>
          </w:p>
        </w:tc>
      </w:tr>
      <w:tr>
        <w:trPr>
          <w:trHeight w:val="2540"/>
        </w:trPr>
        <w:tc>
          <w:tcPr>
            <w:tcW w:w="704" w:type="dxa"/>
            <w:vAlign w:val="center"/>
            <w:textDirection w:val="lrTb"/>
            <w:noWrap w:val="false"/>
          </w:tcPr>
          <w:p>
            <w:pPr>
              <w:pStyle w:val="1044"/>
              <w:jc w:val="center"/>
              <w:spacing w:line="360" w:lineRule="auto"/>
              <w:widowControl/>
              <w:rPr>
                <w:rFonts w:ascii="宋体" w:hAnsi="宋体" w:eastAsia="宋体" w:cs="宋体"/>
                <w:color w:val="000000"/>
                <w:szCs w:val="21"/>
                <w:lang w:val="en-US" w:eastAsia="zh-CN"/>
              </w:rPr>
              <w:framePr w:vAnchor="text" w:hAnchor="page" w:x="1215" w:y="1828"/>
            </w:pPr>
            <w:r>
              <w:rPr>
                <w:rFonts w:ascii="宋体" w:hAnsi="宋体" w:eastAsia="宋体" w:cs="宋体"/>
                <w:color w:val="000000"/>
                <w:szCs w:val="21"/>
                <w:lang w:val="en-US" w:eastAsia="zh-CN"/>
              </w:rPr>
            </w:r>
            <w:r/>
          </w:p>
        </w:tc>
        <w:tc>
          <w:tcPr>
            <w:tcW w:w="810" w:type="dxa"/>
            <w:vAlign w:val="center"/>
            <w:textDirection w:val="lrTb"/>
            <w:noWrap w:val="false"/>
          </w:tcPr>
          <w:p>
            <w:pPr>
              <w:pStyle w:val="1044"/>
              <w:spacing w:line="360" w:lineRule="auto"/>
              <w:widowControl/>
              <w:rPr>
                <w:rFonts w:ascii="宋体" w:hAnsi="宋体" w:eastAsia="宋体" w:cs="宋体"/>
                <w:color w:val="000000"/>
                <w:szCs w:val="21"/>
                <w:highlight w:val="none"/>
              </w:rPr>
              <w:framePr w:vAnchor="text" w:hAnchor="page" w:x="1215" w:y="1828"/>
            </w:pPr>
            <w:r>
              <w:rPr>
                <w:rFonts w:ascii="宋体" w:hAnsi="宋体" w:eastAsia="宋体" w:cs="宋体"/>
                <w:color w:val="000000"/>
                <w:szCs w:val="21"/>
                <w:highlight w:val="none"/>
              </w:rPr>
            </w:r>
            <w:r/>
          </w:p>
        </w:tc>
        <w:tc>
          <w:tcPr>
            <w:tcW w:w="1271" w:type="dxa"/>
            <w:vAlign w:val="center"/>
            <w:textDirection w:val="lrTb"/>
            <w:noWrap w:val="false"/>
          </w:tcPr>
          <w:p>
            <w:pPr>
              <w:pStyle w:val="104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1"/>
                <w:szCs w:val="22"/>
                <w:lang w:val="en-US" w:eastAsia="zh-CN" w:bidi="ar-SA"/>
              </w:rPr>
              <w:framePr w:vAnchor="text" w:hAnchor="page" w:x="1215" w:y="1828"/>
            </w:pPr>
            <w:r>
              <w:rPr>
                <w:rFonts w:hint="eastAsia" w:ascii="宋体" w:hAnsi="宋体" w:eastAsia="宋体" w:cs="宋体"/>
                <w:highlight w:val="none"/>
                <w:lang w:val="en-US" w:eastAsia="zh-CN"/>
              </w:rPr>
              <w:t xml:space="preserve">售后服务方案（3分）</w:t>
            </w:r>
            <w:r>
              <w:rPr>
                <w:rFonts w:hint="eastAsia" w:ascii="Times New Roman" w:hAnsi="Times New Roman" w:eastAsia="宋体" w:cs="Times New Roman"/>
                <w:sz w:val="21"/>
                <w:szCs w:val="22"/>
                <w:lang w:val="en-US" w:eastAsia="zh-CN" w:bidi="ar-SA"/>
              </w:rPr>
            </w:r>
            <w:r/>
          </w:p>
        </w:tc>
        <w:tc>
          <w:tcPr>
            <w:tcW w:w="7114" w:type="dxa"/>
            <w:vAlign w:val="top"/>
            <w:textDirection w:val="lrTb"/>
            <w:noWrap w:val="false"/>
          </w:tcPr>
          <w:p>
            <w:pPr>
              <w:pStyle w:val="1044"/>
              <w:spacing w:line="360" w:lineRule="auto"/>
              <w:rPr>
                <w:rFonts w:hint="eastAsia" w:ascii="宋体" w:hAnsi="宋体" w:eastAsia="宋体" w:cs="Times New Roman"/>
                <w:color w:val="000000"/>
                <w:szCs w:val="21"/>
                <w:lang w:val="en-US" w:eastAsia="zh-CN"/>
              </w:rPr>
              <w:framePr w:vAnchor="text" w:hAnchor="page" w:x="1215" w:y="1828"/>
            </w:pPr>
            <w:r>
              <w:rPr>
                <w:rFonts w:hint="eastAsia" w:ascii="宋体" w:hAnsi="宋体" w:eastAsia="宋体" w:cs="Times New Roman"/>
                <w:color w:val="000000"/>
                <w:szCs w:val="21"/>
                <w:lang w:val="en-US" w:eastAsia="zh-CN"/>
              </w:rPr>
              <w:t xml:space="preserve">投标人提供售后服务及培训方案，至少包括售后服务、服务方式、服务标准</w:t>
            </w:r>
            <w:r>
              <w:rPr>
                <w:rFonts w:hint="eastAsia" w:ascii="宋体" w:hAnsi="宋体" w:eastAsia="宋体" w:cs="Times New Roman"/>
                <w:color w:val="000000"/>
                <w:szCs w:val="21"/>
                <w:lang w:val="en-US" w:eastAsia="zh-CN"/>
              </w:rPr>
            </w:r>
            <w:r/>
          </w:p>
          <w:p>
            <w:pPr>
              <w:pStyle w:val="1044"/>
              <w:spacing w:line="360" w:lineRule="auto"/>
              <w:rPr>
                <w:rFonts w:hint="eastAsia" w:ascii="宋体" w:hAnsi="宋体" w:eastAsia="宋体" w:cs="Times New Roman"/>
                <w:color w:val="000000"/>
                <w:szCs w:val="21"/>
                <w:lang w:val="en-US" w:eastAsia="zh-CN"/>
              </w:rPr>
              <w:framePr w:vAnchor="text" w:hAnchor="page" w:x="1215" w:y="1828"/>
            </w:pPr>
            <w:r>
              <w:rPr>
                <w:rFonts w:hint="eastAsia" w:ascii="宋体" w:hAnsi="宋体" w:eastAsia="宋体" w:cs="Times New Roman"/>
                <w:color w:val="000000"/>
                <w:szCs w:val="21"/>
                <w:lang w:val="en-US" w:eastAsia="zh-CN"/>
              </w:rPr>
              <w:t xml:space="preserve">提供方案内容全面，切实可行，能完全满足业主需求的，得 3分；</w:t>
            </w:r>
            <w:r>
              <w:rPr>
                <w:rFonts w:hint="eastAsia" w:ascii="宋体" w:hAnsi="宋体" w:eastAsia="宋体" w:cs="Times New Roman"/>
                <w:color w:val="000000"/>
                <w:szCs w:val="21"/>
                <w:lang w:val="en-US" w:eastAsia="zh-CN"/>
              </w:rPr>
            </w:r>
            <w:r/>
          </w:p>
          <w:p>
            <w:pPr>
              <w:pStyle w:val="1044"/>
              <w:spacing w:line="360" w:lineRule="auto"/>
              <w:rPr>
                <w:rFonts w:hint="eastAsia" w:ascii="宋体" w:hAnsi="宋体" w:eastAsia="宋体" w:cs="Times New Roman"/>
                <w:color w:val="000000"/>
                <w:szCs w:val="21"/>
                <w:lang w:val="en-US" w:eastAsia="zh-CN"/>
              </w:rPr>
              <w:framePr w:vAnchor="text" w:hAnchor="page" w:x="1215" w:y="1828"/>
            </w:pPr>
            <w:r>
              <w:rPr>
                <w:rFonts w:hint="eastAsia" w:ascii="宋体" w:hAnsi="宋体" w:eastAsia="宋体" w:cs="Times New Roman"/>
                <w:color w:val="000000"/>
                <w:szCs w:val="21"/>
                <w:lang w:val="en-US" w:eastAsia="zh-CN"/>
              </w:rPr>
              <w:t xml:space="preserve">提供方案内容较为全面、可行，基本能够满足业主需求的，得 2 分；</w:t>
            </w:r>
            <w:r>
              <w:rPr>
                <w:rFonts w:hint="eastAsia" w:ascii="宋体" w:hAnsi="宋体" w:eastAsia="宋体" w:cs="Times New Roman"/>
                <w:color w:val="000000"/>
                <w:szCs w:val="21"/>
                <w:lang w:val="en-US" w:eastAsia="zh-CN"/>
              </w:rPr>
            </w:r>
            <w:r/>
          </w:p>
          <w:p>
            <w:pPr>
              <w:pStyle w:val="1044"/>
              <w:spacing w:line="360" w:lineRule="auto"/>
              <w:rPr>
                <w:rFonts w:hint="eastAsia" w:ascii="宋体" w:hAnsi="宋体" w:eastAsia="宋体" w:cs="Times New Roman"/>
                <w:color w:val="000000"/>
                <w:szCs w:val="21"/>
                <w:lang w:val="en-US" w:eastAsia="zh-CN"/>
              </w:rPr>
              <w:framePr w:vAnchor="text" w:hAnchor="page" w:x="1215" w:y="1828"/>
            </w:pPr>
            <w:r>
              <w:rPr>
                <w:rFonts w:hint="eastAsia" w:ascii="宋体" w:hAnsi="宋体" w:eastAsia="宋体" w:cs="Times New Roman"/>
                <w:color w:val="000000"/>
                <w:szCs w:val="21"/>
                <w:lang w:val="en-US" w:eastAsia="zh-CN"/>
              </w:rPr>
              <w:t xml:space="preserve">提供方案内容一般，部分无法满足业主需求的，得 1分；</w:t>
            </w:r>
            <w:r>
              <w:rPr>
                <w:rFonts w:hint="eastAsia" w:ascii="宋体" w:hAnsi="宋体" w:eastAsia="宋体" w:cs="Times New Roman"/>
                <w:color w:val="000000"/>
                <w:szCs w:val="21"/>
                <w:lang w:val="en-US" w:eastAsia="zh-CN"/>
              </w:rPr>
            </w:r>
            <w:r/>
          </w:p>
          <w:p>
            <w:pPr>
              <w:pStyle w:val="1044"/>
              <w:spacing w:line="360" w:lineRule="auto"/>
              <w:rPr>
                <w:rFonts w:hint="eastAsia" w:ascii="宋体" w:hAnsi="宋体" w:eastAsia="宋体" w:cs="宋体"/>
                <w:sz w:val="21"/>
                <w:szCs w:val="22"/>
                <w:highlight w:val="none"/>
                <w:lang w:val="en-US" w:eastAsia="zh-CN" w:bidi="ar-SA"/>
              </w:rPr>
              <w:framePr w:vAnchor="text" w:hAnchor="page" w:x="1215" w:y="1828"/>
            </w:pPr>
            <w:r>
              <w:rPr>
                <w:rFonts w:hint="eastAsia" w:ascii="宋体" w:hAnsi="宋体" w:eastAsia="宋体" w:cs="Times New Roman"/>
                <w:color w:val="000000"/>
                <w:szCs w:val="21"/>
                <w:lang w:val="en-US" w:eastAsia="zh-CN"/>
              </w:rPr>
              <w:t xml:space="preserve">未见阐述不得分。 </w:t>
            </w:r>
            <w:r>
              <w:rPr>
                <w:rFonts w:hint="eastAsia" w:ascii="宋体" w:hAnsi="宋体" w:eastAsia="宋体" w:cs="宋体"/>
                <w:sz w:val="21"/>
                <w:szCs w:val="22"/>
                <w:highlight w:val="none"/>
                <w:lang w:val="en-US" w:eastAsia="zh-CN" w:bidi="ar-SA"/>
              </w:rPr>
            </w:r>
            <w:r/>
          </w:p>
        </w:tc>
      </w:tr>
      <w:tr>
        <w:trPr>
          <w:trHeight w:val="1235"/>
        </w:trPr>
        <w:tc>
          <w:tcPr>
            <w:tcW w:w="704" w:type="dxa"/>
            <w:vAlign w:val="center"/>
            <w:vMerge w:val="restart"/>
            <w:textDirection w:val="lrTb"/>
            <w:noWrap w:val="false"/>
          </w:tcPr>
          <w:p>
            <w:pPr>
              <w:pStyle w:val="1044"/>
              <w:jc w:val="center"/>
              <w:spacing w:line="360" w:lineRule="auto"/>
              <w:widowControl/>
              <w:rPr>
                <w:rFonts w:ascii="宋体" w:hAnsi="宋体" w:eastAsia="宋体" w:cs="宋体"/>
                <w:color w:val="000000"/>
                <w:sz w:val="21"/>
                <w:szCs w:val="21"/>
                <w:lang w:val="en-US" w:eastAsia="zh-CN" w:bidi="ar-SA"/>
              </w:rPr>
              <w:framePr w:vAnchor="text" w:hAnchor="page" w:x="1215" w:y="1828"/>
            </w:pPr>
            <w:r>
              <w:rPr>
                <w:rFonts w:hint="eastAsia" w:ascii="宋体" w:hAnsi="宋体" w:eastAsia="宋体" w:cs="宋体"/>
                <w:color w:val="000000"/>
                <w:szCs w:val="21"/>
                <w:lang w:val="en-US" w:eastAsia="zh-CN"/>
              </w:rPr>
              <w:t xml:space="preserve">三</w:t>
            </w:r>
            <w:r>
              <w:rPr>
                <w:rFonts w:ascii="宋体" w:hAnsi="宋体" w:eastAsia="宋体" w:cs="宋体"/>
                <w:color w:val="000000"/>
                <w:sz w:val="21"/>
                <w:szCs w:val="21"/>
                <w:lang w:val="en-US" w:eastAsia="zh-CN" w:bidi="ar-SA"/>
              </w:rPr>
            </w:r>
            <w:r/>
          </w:p>
        </w:tc>
        <w:tc>
          <w:tcPr>
            <w:tcW w:w="810" w:type="dxa"/>
            <w:vAlign w:val="center"/>
            <w:vMerge w:val="restart"/>
            <w:textDirection w:val="lrTb"/>
            <w:noWrap w:val="false"/>
          </w:tcPr>
          <w:p>
            <w:pPr>
              <w:pStyle w:val="1044"/>
              <w:spacing w:line="360" w:lineRule="auto"/>
              <w:widowControl/>
              <w:rPr>
                <w:rFonts w:ascii="宋体" w:hAnsi="宋体" w:eastAsia="宋体" w:cs="宋体"/>
                <w:color w:val="000000"/>
                <w:sz w:val="21"/>
                <w:szCs w:val="21"/>
                <w:highlight w:val="none"/>
                <w:lang w:val="en-US" w:eastAsia="zh-CN" w:bidi="ar-SA"/>
              </w:rPr>
              <w:framePr w:vAnchor="text" w:hAnchor="page" w:x="1215" w:y="1828"/>
            </w:pPr>
            <w:r>
              <w:rPr>
                <w:rFonts w:hint="eastAsia" w:ascii="宋体" w:hAnsi="宋体" w:eastAsia="宋体" w:cs="宋体"/>
                <w:color w:val="000000"/>
                <w:szCs w:val="21"/>
                <w:highlight w:val="none"/>
                <w:lang w:eastAsia="zh-CN"/>
              </w:rPr>
              <w:t xml:space="preserve">商务分</w:t>
            </w:r>
            <w:r>
              <w:rPr>
                <w:rFonts w:hint="eastAsia" w:ascii="宋体" w:hAnsi="宋体" w:eastAsia="宋体" w:cs="宋体"/>
                <w:color w:val="000000"/>
                <w:szCs w:val="21"/>
                <w:highlight w:val="none"/>
                <w:lang w:val="en-US" w:eastAsia="zh-CN"/>
              </w:rPr>
              <w:t xml:space="preserve">(19分)</w:t>
            </w:r>
            <w:r>
              <w:rPr>
                <w:rFonts w:ascii="宋体" w:hAnsi="宋体" w:eastAsia="宋体" w:cs="宋体"/>
                <w:color w:val="000000"/>
                <w:sz w:val="21"/>
                <w:szCs w:val="21"/>
                <w:highlight w:val="none"/>
                <w:lang w:val="en-US" w:eastAsia="zh-CN" w:bidi="ar-SA"/>
              </w:rPr>
            </w:r>
            <w:r/>
          </w:p>
        </w:tc>
        <w:tc>
          <w:tcPr>
            <w:tcW w:w="1271" w:type="dxa"/>
            <w:vAlign w:val="center"/>
            <w:textDirection w:val="lrTb"/>
            <w:noWrap w:val="false"/>
          </w:tcPr>
          <w:p>
            <w:pPr>
              <w:pStyle w:val="1044"/>
              <w:jc w:val="center"/>
              <w:spacing w:line="340" w:lineRule="exact"/>
              <w:rPr>
                <w:rFonts w:hint="eastAsia" w:ascii="宋体" w:hAnsi="宋体" w:eastAsia="宋体" w:cs="宋体"/>
                <w:szCs w:val="21"/>
                <w:highlight w:val="none"/>
              </w:rPr>
              <w:framePr w:vAnchor="text" w:hAnchor="page" w:x="1215" w:y="1828"/>
            </w:pPr>
            <w:r>
              <w:rPr>
                <w:rFonts w:hint="eastAsia" w:ascii="宋体" w:hAnsi="宋体" w:eastAsia="Arial" w:cs="宋体"/>
                <w:color w:val="000000"/>
                <w:szCs w:val="21"/>
                <w:highlight w:val="none"/>
              </w:rPr>
              <w:t xml:space="preserve">项目</w:t>
            </w:r>
            <w:r>
              <w:rPr>
                <w:rFonts w:hint="eastAsia" w:ascii="宋体" w:hAnsi="宋体" w:eastAsia="宋体" w:cs="宋体"/>
                <w:szCs w:val="21"/>
                <w:highlight w:val="none"/>
              </w:rPr>
            </w:r>
            <w:r/>
          </w:p>
          <w:p>
            <w:pPr>
              <w:pStyle w:val="1044"/>
              <w:jc w:val="center"/>
              <w:spacing w:line="340" w:lineRule="exact"/>
              <w:rPr>
                <w:rFonts w:hint="eastAsia" w:ascii="宋体" w:hAnsi="宋体" w:eastAsia="宋体" w:cs="宋体"/>
                <w:szCs w:val="21"/>
                <w:highlight w:val="none"/>
              </w:rPr>
              <w:framePr w:vAnchor="text" w:hAnchor="page" w:x="1215" w:y="1828"/>
            </w:pPr>
            <w:r>
              <w:rPr>
                <w:rFonts w:hint="eastAsia" w:ascii="宋体" w:hAnsi="宋体" w:eastAsia="Arial" w:cs="宋体"/>
                <w:color w:val="000000"/>
                <w:szCs w:val="21"/>
                <w:highlight w:val="none"/>
              </w:rPr>
              <w:t xml:space="preserve">团队</w:t>
            </w:r>
            <w:r>
              <w:rPr>
                <w:rFonts w:hint="eastAsia" w:ascii="宋体" w:hAnsi="宋体" w:eastAsia="宋体" w:cs="宋体"/>
                <w:szCs w:val="21"/>
                <w:highlight w:val="none"/>
              </w:rPr>
            </w:r>
            <w:r/>
          </w:p>
          <w:p>
            <w:pPr>
              <w:pStyle w:val="1044"/>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Times New Roman" w:hAnsi="Times New Roman" w:eastAsia="宋体" w:cs="Times New Roman"/>
                <w:highlight w:val="none"/>
                <w:lang w:val="en-US" w:eastAsia="zh-CN"/>
              </w:rPr>
              <w:t xml:space="preserve">（7分）</w:t>
            </w:r>
            <w:r>
              <w:rPr>
                <w:rFonts w:hint="eastAsia" w:ascii="宋体" w:hAnsi="宋体" w:eastAsia="宋体" w:cs="Times New Roman"/>
                <w:b w:val="0"/>
                <w:color w:val="000000"/>
                <w:spacing w:val="0"/>
                <w:sz w:val="21"/>
                <w:szCs w:val="24"/>
                <w:highlight w:val="none"/>
                <w:lang w:val="en-US" w:eastAsia="zh-CN" w:bidi="ar-SA"/>
              </w:rPr>
            </w:r>
            <w:r/>
          </w:p>
        </w:tc>
        <w:tc>
          <w:tcPr>
            <w:tcW w:w="7114" w:type="dxa"/>
            <w:vAlign w:val="top"/>
            <w:textDirection w:val="lrTb"/>
            <w:noWrap w:val="false"/>
          </w:tcPr>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1、供应商为本项目拟安排项目负责人1名，具有有效的高级工程师及以上（机械工程类）资格证书，得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分；具有有效的中级工程师（机械工程类）资格证书，得</w:t>
            </w:r>
            <w:r>
              <w:rPr>
                <w:rFonts w:hint="eastAsia" w:ascii="宋体" w:hAnsi="宋体" w:eastAsia="宋体" w:cs="宋体"/>
                <w:szCs w:val="24"/>
                <w:lang w:val="en-US" w:eastAsia="zh-CN"/>
              </w:rPr>
              <w:t xml:space="preserve">2</w:t>
            </w:r>
            <w:r>
              <w:rPr>
                <w:rFonts w:hint="eastAsia" w:ascii="宋体" w:hAnsi="宋体" w:eastAsia="宋体" w:cs="宋体"/>
                <w:szCs w:val="24"/>
              </w:rPr>
              <w:t xml:space="preserve">分。本项最多得</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分。</w:t>
            </w:r>
            <w:r>
              <w:rPr>
                <w:rFonts w:hint="eastAsia" w:ascii="宋体" w:hAnsi="宋体" w:eastAsia="宋体" w:cs="宋体"/>
                <w:szCs w:val="24"/>
              </w:rPr>
            </w:r>
            <w:r/>
          </w:p>
          <w:p>
            <w:pPr>
              <w:pStyle w:val="1044"/>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framePr w:vAnchor="text" w:hAnchor="page" w:x="1215" w:y="1828"/>
            </w:pPr>
            <w:r>
              <w:rPr>
                <w:rFonts w:hint="eastAsia" w:ascii="宋体" w:hAnsi="宋体" w:eastAsia="宋体" w:cs="宋体"/>
                <w:szCs w:val="24"/>
              </w:rPr>
              <w:t xml:space="preserve">2、供应商为本项目拟组建项目团队，团队成员（除项目负责人外）具有机械工程师、机电工程师、机械设计工程师、自动化工程师证书，每提供一类专业人员得</w:t>
            </w:r>
            <w:r>
              <w:rPr>
                <w:rFonts w:hint="eastAsia" w:ascii="宋体" w:hAnsi="宋体" w:eastAsia="宋体" w:cs="宋体"/>
                <w:szCs w:val="24"/>
                <w:lang w:val="en-US" w:eastAsia="zh-CN"/>
              </w:rPr>
              <w:t xml:space="preserve">2</w:t>
            </w:r>
            <w:r>
              <w:rPr>
                <w:rFonts w:hint="eastAsia" w:ascii="宋体" w:hAnsi="宋体" w:eastAsia="宋体" w:cs="宋体"/>
                <w:szCs w:val="24"/>
              </w:rPr>
              <w:t xml:space="preserve">分，最高得</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分。</w:t>
            </w:r>
            <w:r>
              <w:rPr>
                <w:rFonts w:hint="eastAsia" w:ascii="宋体" w:hAnsi="宋体" w:eastAsia="宋体" w:cs="宋体"/>
                <w:szCs w:val="24"/>
              </w:rPr>
            </w:r>
            <w:r/>
          </w:p>
          <w:p>
            <w:pPr>
              <w:pStyle w:val="1044"/>
              <w:spacing w:line="360" w:lineRule="auto"/>
              <w:rPr>
                <w:rFonts w:hint="eastAsia" w:ascii="宋体" w:hAnsi="宋体" w:eastAsia="宋体" w:cs="Times New Roman"/>
                <w:b w:val="0"/>
                <w:color w:val="000000"/>
                <w:spacing w:val="0"/>
                <w:sz w:val="21"/>
                <w:szCs w:val="24"/>
                <w:highlight w:val="none"/>
                <w:lang w:val="zh-CN" w:eastAsia="zh-CN" w:bidi="ar-SA"/>
              </w:rPr>
              <w:framePr w:vAnchor="text" w:hAnchor="page" w:x="1215" w:y="1828"/>
            </w:pPr>
            <w:r>
              <w:rPr>
                <w:rFonts w:hint="eastAsia" w:ascii="宋体" w:hAnsi="宋体" w:eastAsia="宋体" w:cs="宋体"/>
                <w:szCs w:val="24"/>
                <w:lang w:val="en-US" w:eastAsia="zh-CN"/>
              </w:rPr>
              <w:t xml:space="preserve">注：以上同一人员的多个证书只计一份，按高计取分值。上述人员必须为投标人单位正式职工，并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宋体" w:cs="Times New Roman"/>
                <w:b w:val="0"/>
                <w:color w:val="000000"/>
                <w:spacing w:val="0"/>
                <w:sz w:val="21"/>
                <w:szCs w:val="24"/>
                <w:highlight w:val="none"/>
                <w:lang w:val="zh-CN" w:eastAsia="zh-CN" w:bidi="ar-SA"/>
              </w:rPr>
            </w:r>
            <w:r/>
          </w:p>
        </w:tc>
      </w:tr>
      <w:tr>
        <w:trPr>
          <w:trHeight w:val="1235"/>
        </w:trPr>
        <w:tc>
          <w:tcPr>
            <w:tcW w:w="704" w:type="dxa"/>
            <w:vAlign w:val="center"/>
            <w:vMerge w:val="continue"/>
            <w:textDirection w:val="lrTb"/>
            <w:noWrap w:val="false"/>
          </w:tcPr>
          <w:p>
            <w:pPr>
              <w:pStyle w:val="1044"/>
              <w:jc w:val="center"/>
              <w:spacing w:line="360" w:lineRule="auto"/>
              <w:widowControl/>
              <w:rPr>
                <w:rFonts w:ascii="宋体" w:hAnsi="宋体" w:eastAsia="宋体" w:cs="宋体"/>
                <w:color w:val="000000"/>
                <w:sz w:val="21"/>
                <w:szCs w:val="21"/>
                <w:lang w:val="en-US" w:eastAsia="zh-CN" w:bidi="ar-SA"/>
              </w:rPr>
              <w:framePr w:vAnchor="text" w:hAnchor="page" w:x="1215" w:y="1828"/>
            </w:pPr>
            <w:r>
              <w:rPr>
                <w:rFonts w:ascii="宋体" w:hAnsi="宋体" w:eastAsia="宋体" w:cs="宋体"/>
                <w:color w:val="000000"/>
                <w:sz w:val="21"/>
                <w:szCs w:val="21"/>
                <w:lang w:val="en-US" w:eastAsia="zh-CN" w:bidi="ar-SA"/>
              </w:rPr>
            </w:r>
            <w:r/>
          </w:p>
        </w:tc>
        <w:tc>
          <w:tcPr>
            <w:tcW w:w="810" w:type="dxa"/>
            <w:vAlign w:val="center"/>
            <w:vMerge w:val="continue"/>
            <w:textDirection w:val="lrTb"/>
            <w:noWrap w:val="false"/>
          </w:tcPr>
          <w:p>
            <w:pPr>
              <w:pStyle w:val="1044"/>
              <w:spacing w:line="360" w:lineRule="auto"/>
              <w:widowControl/>
              <w:rPr>
                <w:rFonts w:ascii="宋体" w:hAnsi="宋体" w:eastAsia="宋体" w:cs="宋体"/>
                <w:color w:val="000000"/>
                <w:sz w:val="21"/>
                <w:szCs w:val="21"/>
                <w:highlight w:val="none"/>
                <w:lang w:val="en-US" w:eastAsia="zh-CN" w:bidi="ar-SA"/>
              </w:rPr>
              <w:framePr w:vAnchor="text" w:hAnchor="page" w:x="1215" w:y="1828"/>
            </w:pPr>
            <w:r>
              <w:rPr>
                <w:rFonts w:ascii="宋体" w:hAnsi="宋体" w:eastAsia="宋体" w:cs="宋体"/>
                <w:color w:val="000000"/>
                <w:sz w:val="21"/>
                <w:szCs w:val="21"/>
                <w:highlight w:val="none"/>
                <w:lang w:val="en-US" w:eastAsia="zh-CN" w:bidi="ar-SA"/>
              </w:rPr>
            </w:r>
            <w:r/>
          </w:p>
        </w:tc>
        <w:tc>
          <w:tcPr>
            <w:tcW w:w="1271" w:type="dxa"/>
            <w:vAlign w:val="center"/>
            <w:textDirection w:val="lrTb"/>
            <w:noWrap w:val="false"/>
          </w:tcPr>
          <w:p>
            <w:pPr>
              <w:pStyle w:val="1075"/>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1075"/>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1075"/>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（6分）</w:t>
            </w:r>
            <w:r>
              <w:rPr>
                <w:rFonts w:hint="eastAsia" w:ascii="宋体" w:hAnsi="宋体" w:eastAsia="宋体" w:cs="Times New Roman"/>
                <w:b w:val="0"/>
                <w:color w:val="000000"/>
                <w:spacing w:val="0"/>
                <w:sz w:val="21"/>
                <w:szCs w:val="24"/>
                <w:highlight w:val="none"/>
                <w:lang w:val="en-US" w:eastAsia="zh-CN" w:bidi="ar-SA"/>
              </w:rPr>
            </w:r>
            <w:r/>
          </w:p>
        </w:tc>
        <w:tc>
          <w:tcPr>
            <w:tcW w:w="7114" w:type="dxa"/>
            <w:vAlign w:val="center"/>
            <w:textDirection w:val="lrTb"/>
            <w:noWrap w:val="false"/>
          </w:tcPr>
          <w:p>
            <w:pPr>
              <w:pStyle w:val="1075"/>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自2020年1月1日以来，投标人承接过类似的业绩，每有一个得3分，本项最高得6分。</w:t>
            </w:r>
            <w:r>
              <w:rPr>
                <w:rFonts w:hint="eastAsia" w:ascii="宋体" w:hAnsi="宋体" w:eastAsia="宋体" w:cs="Times New Roman"/>
                <w:b w:val="0"/>
                <w:color w:val="000000"/>
                <w:spacing w:val="0"/>
                <w:sz w:val="21"/>
                <w:szCs w:val="24"/>
                <w:highlight w:val="none"/>
                <w:lang w:val="en-US" w:eastAsia="zh-CN" w:bidi="ar-SA"/>
              </w:rPr>
            </w:r>
            <w:r/>
          </w:p>
          <w:p>
            <w:pPr>
              <w:pStyle w:val="1075"/>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704" w:type="dxa"/>
            <w:vAlign w:val="center"/>
            <w:textDirection w:val="lrTb"/>
            <w:noWrap w:val="false"/>
          </w:tcPr>
          <w:p>
            <w:pPr>
              <w:pStyle w:val="1044"/>
              <w:jc w:val="center"/>
              <w:spacing w:line="360" w:lineRule="auto"/>
              <w:widowControl/>
              <w:rPr>
                <w:rFonts w:ascii="宋体" w:hAnsi="宋体" w:eastAsia="宋体" w:cs="宋体"/>
                <w:color w:val="000000"/>
                <w:szCs w:val="21"/>
                <w:lang w:val="en-US" w:eastAsia="zh-CN"/>
              </w:rPr>
              <w:framePr w:vAnchor="text" w:hAnchor="page" w:x="1215" w:y="1828"/>
            </w:pPr>
            <w:r>
              <w:rPr>
                <w:rFonts w:ascii="宋体" w:hAnsi="宋体" w:eastAsia="宋体" w:cs="宋体"/>
                <w:color w:val="000000"/>
                <w:szCs w:val="21"/>
                <w:lang w:val="en-US" w:eastAsia="zh-CN"/>
              </w:rPr>
            </w:r>
            <w:r/>
          </w:p>
        </w:tc>
        <w:tc>
          <w:tcPr>
            <w:tcW w:w="810" w:type="dxa"/>
            <w:vAlign w:val="center"/>
            <w:textDirection w:val="lrTb"/>
            <w:noWrap w:val="false"/>
          </w:tcPr>
          <w:p>
            <w:pPr>
              <w:pStyle w:val="1044"/>
              <w:spacing w:line="360" w:lineRule="auto"/>
              <w:widowControl/>
              <w:rPr>
                <w:rFonts w:ascii="宋体" w:hAnsi="宋体" w:eastAsia="宋体" w:cs="宋体"/>
                <w:color w:val="000000"/>
                <w:szCs w:val="21"/>
                <w:highlight w:val="none"/>
              </w:rPr>
              <w:framePr w:vAnchor="text" w:hAnchor="page" w:x="1215" w:y="1828"/>
            </w:pPr>
            <w:r>
              <w:rPr>
                <w:rFonts w:ascii="宋体" w:hAnsi="宋体" w:eastAsia="宋体" w:cs="宋体"/>
                <w:color w:val="000000"/>
                <w:szCs w:val="21"/>
                <w:highlight w:val="none"/>
              </w:rPr>
            </w:r>
            <w:r/>
          </w:p>
        </w:tc>
        <w:tc>
          <w:tcPr>
            <w:tcW w:w="1271" w:type="dxa"/>
            <w:vAlign w:val="center"/>
            <w:textDirection w:val="lrTb"/>
            <w:noWrap w:val="false"/>
          </w:tcPr>
          <w:p>
            <w:pPr>
              <w:pStyle w:val="1075"/>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7114" w:type="dxa"/>
            <w:vAlign w:val="center"/>
            <w:textDirection w:val="lrTb"/>
            <w:noWrap w:val="false"/>
          </w:tcPr>
          <w:p>
            <w:pPr>
              <w:pStyle w:val="1075"/>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1075"/>
              <w:spacing w:line="440" w:lineRule="exact"/>
              <w:rPr>
                <w:rFonts w:hint="eastAsia" w:ascii="楷体_GB2312" w:hAnsi="Arial" w:eastAsia="楷体_GB2312" w:cs="Times New Roman"/>
                <w:sz w:val="28"/>
                <w:szCs w:val="28"/>
                <w:lang w:val="en-US" w:eastAsia="zh-CN" w:bidi="ar-SA"/>
              </w:rPr>
              <w:framePr w:vAnchor="text" w:hAnchor="page" w:x="1215" w:y="182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rFonts w:hint="eastAsia" w:ascii="楷体_GB2312" w:hAnsi="Arial" w:eastAsia="楷体_GB2312" w:cs="Times New Roman"/>
                <w:sz w:val="28"/>
                <w:szCs w:val="28"/>
                <w:lang w:val="en-US" w:eastAsia="zh-CN" w:bidi="ar-SA"/>
              </w:rPr>
            </w:r>
            <w:r/>
          </w:p>
        </w:tc>
      </w:tr>
    </w:tbl>
    <w:p>
      <w:pPr>
        <w:pStyle w:val="1107"/>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44"/>
        <w:ind w:firstLine="482"/>
        <w:jc w:val="left"/>
        <w:keepLines w:val="0"/>
        <w:pageBreakBefore w:val="0"/>
        <w:spacing w:line="560" w:lineRule="exact"/>
        <w:widowControl/>
        <w:tabs>
          <w:tab w:val="left" w:pos="0" w:leader="none"/>
        </w:tabs>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lang w:val="en-US" w:eastAsia="zh-CN"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eastAsia="宋体" w:cs="宋体"/>
          <w:b/>
          <w:color w:val="ff0000"/>
          <w:sz w:val="24"/>
          <w:szCs w:val="24"/>
          <w:lang w:val="en-US" w:eastAsia="zh-CN" w:bidi="ar"/>
        </w:rPr>
        <w:t xml:space="preserve">原件备查。</w:t>
      </w:r>
      <w:r>
        <w:rPr>
          <w:rFonts w:hint="eastAsia" w:ascii="黑体" w:hAnsi="Times New Roman" w:eastAsia="黑体" w:cs="Times New Roman"/>
          <w:bCs/>
          <w:color w:val="000000"/>
          <w:sz w:val="44"/>
          <w:szCs w:val="28"/>
        </w:rPr>
        <w:br w:type="page" w:clear="all"/>
      </w:r>
      <w:r>
        <w:rPr>
          <w:rFonts w:hint="eastAsia" w:ascii="宋体" w:hAnsi="宋体" w:eastAsia="宋体" w:cs="宋体"/>
          <w:color w:val="000000"/>
          <w:sz w:val="24"/>
          <w:szCs w:val="24"/>
          <w:lang w:val="en-US" w:eastAsia="zh-CN" w:bidi="ar-SA"/>
        </w:rPr>
      </w:r>
      <w:r/>
    </w:p>
    <w:p>
      <w:pPr>
        <w:pStyle w:val="104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第六章投标</w:t>
      </w:r>
      <w:bookmarkEnd w:id="172"/>
      <w:r/>
      <w:bookmarkEnd w:id="173"/>
      <w:r/>
      <w:bookmarkEnd w:id="182"/>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1044"/>
        <w:jc w:val="center"/>
        <w:rPr>
          <w:rFonts w:hint="eastAsia" w:ascii="宋体" w:hAnsi="宋体"/>
          <w:b/>
          <w:color w:val="000000"/>
          <w:sz w:val="72"/>
          <w:szCs w:val="21"/>
        </w:rPr>
      </w:pPr>
      <w:r/>
      <w:bookmarkStart w:id="183" w:name="_Hlt26671244"/>
      <w:r/>
      <w:bookmarkEnd w:id="183"/>
      <w:r/>
      <w:bookmarkStart w:id="184" w:name="_Hlt26955039"/>
      <w:r/>
      <w:bookmarkEnd w:id="184"/>
      <w:r/>
      <w:bookmarkStart w:id="185" w:name="_Toc26554094"/>
      <w:r/>
      <w:bookmarkStart w:id="186" w:name="_Toc120614282"/>
      <w:r/>
      <w:bookmarkStart w:id="187" w:name="_Toc49090576"/>
      <w:r>
        <w:rPr>
          <w:rFonts w:hint="eastAsia" w:ascii="宋体" w:hAnsi="宋体"/>
          <w:b/>
          <w:color w:val="000000"/>
          <w:sz w:val="72"/>
          <w:szCs w:val="21"/>
        </w:rPr>
      </w:r>
      <w:r/>
    </w:p>
    <w:p>
      <w:pPr>
        <w:pStyle w:val="1044"/>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1044"/>
        <w:jc w:val="center"/>
        <w:rPr>
          <w:rFonts w:hint="eastAsia" w:ascii="宋体" w:hAnsi="宋体"/>
          <w:b/>
          <w:color w:val="000000"/>
          <w:sz w:val="72"/>
          <w:szCs w:val="21"/>
        </w:rPr>
      </w:pPr>
      <w:r>
        <w:rPr>
          <w:rFonts w:hint="eastAsia" w:ascii="宋体" w:hAnsi="宋体"/>
          <w:b/>
          <w:color w:val="000000"/>
          <w:sz w:val="72"/>
          <w:szCs w:val="21"/>
        </w:rPr>
      </w:r>
      <w:r/>
    </w:p>
    <w:p>
      <w:pPr>
        <w:pStyle w:val="1044"/>
        <w:jc w:val="center"/>
        <w:rPr>
          <w:rFonts w:hint="eastAsia" w:ascii="宋体" w:hAnsi="宋体"/>
          <w:b/>
          <w:color w:val="000000"/>
          <w:sz w:val="72"/>
          <w:szCs w:val="21"/>
        </w:rPr>
      </w:pPr>
      <w:r>
        <w:rPr>
          <w:rFonts w:hint="eastAsia" w:ascii="宋体" w:hAnsi="宋体"/>
          <w:b/>
          <w:color w:val="000000"/>
          <w:sz w:val="72"/>
          <w:szCs w:val="21"/>
        </w:rPr>
      </w:r>
      <w:r/>
    </w:p>
    <w:p>
      <w:pPr>
        <w:pStyle w:val="1044"/>
        <w:jc w:val="center"/>
        <w:rPr>
          <w:rFonts w:hint="eastAsia" w:ascii="宋体" w:hAnsi="宋体"/>
          <w:b/>
          <w:color w:val="000000"/>
          <w:sz w:val="36"/>
          <w:szCs w:val="21"/>
        </w:rPr>
      </w:pPr>
      <w:r>
        <w:rPr>
          <w:rFonts w:hint="eastAsia" w:ascii="宋体" w:hAnsi="宋体"/>
          <w:b/>
          <w:color w:val="000000"/>
          <w:sz w:val="36"/>
          <w:szCs w:val="21"/>
        </w:rPr>
      </w:r>
      <w:r/>
    </w:p>
    <w:p>
      <w:pPr>
        <w:pStyle w:val="1044"/>
        <w:jc w:val="center"/>
        <w:rPr>
          <w:rFonts w:hint="eastAsia" w:ascii="宋体" w:hAnsi="宋体"/>
          <w:b/>
          <w:color w:val="000000"/>
          <w:sz w:val="36"/>
          <w:szCs w:val="21"/>
        </w:rPr>
      </w:pPr>
      <w:r>
        <w:rPr>
          <w:rFonts w:hint="eastAsia" w:ascii="宋体" w:hAnsi="宋体"/>
          <w:b/>
          <w:color w:val="000000"/>
          <w:sz w:val="36"/>
          <w:szCs w:val="21"/>
        </w:rPr>
      </w:r>
      <w:r/>
    </w:p>
    <w:p>
      <w:pPr>
        <w:pStyle w:val="1044"/>
        <w:jc w:val="center"/>
        <w:rPr>
          <w:rFonts w:hint="eastAsia" w:ascii="宋体" w:hAnsi="宋体"/>
          <w:b/>
          <w:color w:val="000000"/>
          <w:sz w:val="36"/>
          <w:szCs w:val="21"/>
        </w:rPr>
      </w:pPr>
      <w:r>
        <w:rPr>
          <w:rFonts w:hint="eastAsia" w:ascii="宋体" w:hAnsi="宋体"/>
          <w:b/>
          <w:color w:val="000000"/>
          <w:sz w:val="36"/>
          <w:szCs w:val="21"/>
        </w:rPr>
      </w:r>
      <w:r/>
    </w:p>
    <w:p>
      <w:pPr>
        <w:pStyle w:val="1044"/>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1044"/>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1044"/>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1044"/>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104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044"/>
        <w:spacing w:line="440" w:lineRule="exact"/>
        <w:rPr>
          <w:rFonts w:ascii="宋体" w:hAnsi="宋体"/>
          <w:color w:val="000000"/>
          <w:szCs w:val="21"/>
        </w:rPr>
      </w:pPr>
      <w:r>
        <w:rPr>
          <w:rFonts w:ascii="宋体" w:hAnsi="宋体"/>
          <w:color w:val="000000"/>
          <w:szCs w:val="21"/>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b/>
          <w:color w:val="000000"/>
          <w:sz w:val="36"/>
          <w:szCs w:val="21"/>
          <w:u w:val="single"/>
        </w:rPr>
        <w:br w:type="page" w:clear="all"/>
      </w:r>
      <w:bookmarkEnd w:id="166"/>
      <w:r/>
      <w:bookmarkEnd w:id="167"/>
      <w:r/>
      <w:bookmarkEnd w:id="185"/>
      <w:r/>
      <w:bookmarkEnd w:id="186"/>
      <w:r/>
      <w:bookmarkEnd w:id="187"/>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1044"/>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44"/>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1044"/>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1044"/>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1044"/>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104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1044"/>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1044"/>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1044"/>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1044"/>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1044"/>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104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1044"/>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1044"/>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1044"/>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1044"/>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1044"/>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104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104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4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1044"/>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1044"/>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1044"/>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1044"/>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1044"/>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44"/>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104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1044"/>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1044"/>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104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104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104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1044"/>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104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1044"/>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1044"/>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104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104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1044"/>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104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sz w:val="36"/>
        </w:rPr>
      </w:pPr>
      <w:r>
        <w:rPr>
          <w:rFonts w:hint="eastAsia" w:ascii="宋体" w:hAnsi="宋体" w:eastAsia="宋体" w:cs="宋体"/>
          <w:sz w:val="36"/>
        </w:rPr>
        <w:br w:type="page" w:clear="all"/>
      </w:r>
      <w:r>
        <w:rPr>
          <w:rFonts w:hint="eastAsia" w:ascii="宋体" w:hAnsi="宋体" w:eastAsia="宋体" w:cs="宋体"/>
          <w:sz w:val="36"/>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1044"/>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104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104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104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104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104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104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104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1044"/>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1044"/>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1044"/>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1044"/>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1044"/>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104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104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104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104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1044"/>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1044"/>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1044"/>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shd w:val="clear" w:color="auto" w:fill="ffffff"/>
          <w:lang w:val="en-US" w:eastAsia="zh-CN" w:bidi="ar-SA"/>
        </w:rPr>
      </w:r>
      <w:r/>
    </w:p>
    <w:p>
      <w:pPr>
        <w:pStyle w:val="1044"/>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1044"/>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1044"/>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1044"/>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1044"/>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1044"/>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
          <w:iCs/>
          <w:sz w:val="36"/>
          <w:u w:val="single"/>
        </w:rPr>
      </w:pPr>
      <w:r/>
      <w:bookmarkStart w:id="188" w:name="_Hlt26955054"/>
      <w:r/>
      <w:bookmarkEnd w:id="188"/>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1044"/>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bookmarkStart w:id="189" w:name="_Hlt26671343"/>
            <w:r/>
            <w:bookmarkEnd w:id="189"/>
            <w:r/>
            <w:bookmarkStart w:id="190" w:name="_Hlt26782999"/>
            <w:r/>
            <w:bookmarkEnd w:id="190"/>
            <w:r/>
            <w:bookmarkStart w:id="191" w:name="_Hlt26955056"/>
            <w:r/>
            <w:bookmarkEnd w:id="191"/>
            <w:r/>
            <w:bookmarkStart w:id="192" w:name="_Hlt26671372"/>
            <w:r/>
            <w:bookmarkEnd w:id="192"/>
            <w:r/>
            <w:bookmarkStart w:id="193" w:name="_Hlt26955064"/>
            <w:r/>
            <w:bookmarkEnd w:id="193"/>
            <w:r/>
            <w:bookmarkStart w:id="194" w:name="_Hlt24879081"/>
            <w:r/>
            <w:bookmarkEnd w:id="194"/>
            <w:r/>
            <w:bookmarkStart w:id="195" w:name="_Hlt26609391"/>
            <w:r/>
            <w:bookmarkEnd w:id="195"/>
            <w:r/>
            <w:bookmarkStart w:id="196" w:name="_Hlt26580838"/>
            <w:r/>
            <w:bookmarkEnd w:id="196"/>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rPr>
      </w:pPr>
      <w:r/>
      <w:bookmarkStart w:id="197" w:name="_Hlt26955066"/>
      <w:r/>
      <w:bookmarkEnd w:id="197"/>
      <w:r/>
      <w:bookmarkStart w:id="198" w:name="_Hlt26671374"/>
      <w:r/>
      <w:bookmarkEnd w:id="198"/>
      <w:r/>
      <w:bookmarkStart w:id="199" w:name="_格式2__法定代表人授权书"/>
      <w:r/>
      <w:bookmarkEnd w:id="199"/>
      <w:r/>
      <w:bookmarkStart w:id="200" w:name="_Hlt26609389"/>
      <w:r/>
      <w:bookmarkEnd w:id="200"/>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1044"/>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1044"/>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1044"/>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104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1044"/>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104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104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1044"/>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44"/>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bCs/>
          <w:i/>
          <w:color w:val="000000"/>
          <w:sz w:val="36"/>
          <w:szCs w:val="36"/>
          <w:u w:val="single"/>
        </w:rPr>
      </w:r>
      <w:r/>
    </w:p>
    <w:p>
      <w:pPr>
        <w:pStyle w:val="104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1044"/>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1044"/>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1044"/>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1044"/>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1044"/>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1044"/>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1044"/>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4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44"/>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1044"/>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104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104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104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1044"/>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104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104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104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104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104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1044"/>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1">
    <w:panose1 w:val="020B0503020202020204"/>
  </w:font>
  <w:font w:name="等线 Light">
    <w:panose1 w:val="02010600030101010101"/>
  </w:font>
  <w:font w:name="仿宋">
    <w:panose1 w:val="0201060906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tabs>
                              <w:tab w:val="clear" w:pos="4153" w:leader="none"/>
                              <w:tab w:val="clear" w:pos="8306" w:leader="none"/>
                            </w:tabs>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４２</w:t>
                          </w:r>
                          <w:r>
                            <w:rPr>
                              <w:rFonts w:ascii="宋体" w:hAnsi="宋体"/>
                            </w:rPr>
                            <w:fldChar w:fldCharType="end"/>
                          </w:r>
                          <w:r>
                            <w:rPr>
                              <w:rStyle w:val="1118"/>
                              <w:rFonts w:ascii="宋体" w:hAnsi="宋体"/>
                            </w:rPr>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tabs>
                        <w:tab w:val="clear" w:pos="4153" w:leader="none"/>
                        <w:tab w:val="clear" w:pos="8306" w:leader="none"/>
                      </w:tabs>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４２</w:t>
                    </w:r>
                    <w:r>
                      <w:rPr>
                        <w:rFonts w:ascii="宋体" w:hAnsi="宋体"/>
                      </w:rPr>
                      <w:fldChar w:fldCharType="end"/>
                    </w:r>
                    <w:r>
                      <w:rPr>
                        <w:rStyle w:val="1118"/>
                        <w:rFonts w:ascii="宋体" w:hAnsi="宋体"/>
                      </w:rPr>
                    </w:r>
                    <w:r/>
                  </w:p>
                  <w:p>
                    <w:pPr>
                      <w:pStyle w:val="1044"/>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Style w:val="1118"/>
      </w:rPr>
      <w:framePr w:wrap="around" w:vAnchor="text" w:hAnchor="margin" w:xAlign="center" w:y="1"/>
    </w:pPr>
    <w:r>
      <w:fldChar w:fldCharType="begin"/>
    </w:r>
    <w:r>
      <w:rPr>
        <w:rStyle w:val="1118"/>
      </w:rPr>
      <w:instrText xml:space="preserve">PAGE  </w:instrText>
    </w:r>
    <w:r>
      <w:fldChar w:fldCharType="separate"/>
    </w:r>
    <w:r>
      <w:rPr>
        <w:rStyle w:val="1118"/>
      </w:rPr>
      <w:t xml:space="preserve">1</w:t>
    </w:r>
    <w:r>
      <w:fldChar w:fldCharType="end"/>
    </w:r>
    <w:r>
      <w:rPr>
        <w:rStyle w:val="1118"/>
      </w:rPr>
    </w:r>
    <w:r/>
  </w:p>
  <w:p>
    <w:pPr>
      <w:pStyle w:val="109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44"/>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7">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tab"/>
      <w:lvlText w:val="%1."/>
      <w:lvlJc w:val="left"/>
      <w:pPr>
        <w:pStyle w:val="10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upperLetter"/>
      <w:pStyle w:val="1124"/>
      <w:isLgl w:val="false"/>
      <w:suff w:val="tab"/>
      <w:lvlText w:val="附录%1."/>
      <w:lvlJc w:val="left"/>
      <w:pPr>
        <w:pStyle w:val="10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pStyle w:val="1044"/>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141"/>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32">
    <w:multiLevelType w:val="hybridMultilevel"/>
    <w:lvl w:ilvl="0">
      <w:start w:val="23"/>
      <w:numFmt w:val="decimal"/>
      <w:isLgl w:val="false"/>
      <w:suff w:val="space"/>
      <w:lvlText w:val="%1."/>
      <w:lvlJc w:val="left"/>
      <w:pPr>
        <w:pStyle w:val="1044"/>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3">
    <w:multiLevelType w:val="hybridMultilevel"/>
    <w:lvl w:ilvl="0">
      <w:start w:val="2"/>
      <w:numFmt w:val="decimal"/>
      <w:isLgl w:val="false"/>
      <w:suff w:val="space"/>
      <w:lvlText w:val="%1."/>
      <w:lvlJc w:val="left"/>
      <w:pPr>
        <w:pStyle w:val="1044"/>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4">
    <w:multiLevelType w:val="hybridMultilevel"/>
    <w:lvl w:ilvl="0">
      <w:start w:val="1"/>
      <w:numFmt w:val="lowerLetter"/>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chineseCountingThousand"/>
      <w:isLgl w:val="false"/>
      <w:suff w:val="nothing"/>
      <w:lvlText w:val="第%1章 "/>
      <w:lvlJc w:val="left"/>
      <w:pPr>
        <w:pStyle w:val="1044"/>
        <w:ind w:left="0" w:firstLine="0"/>
      </w:pPr>
      <w:rPr>
        <w:rFonts w:hint="eastAsia"/>
      </w:rPr>
    </w:lvl>
    <w:lvl w:ilvl="1">
      <w:start w:val="1"/>
      <w:numFmt w:val="decimal"/>
      <w:isLgl w:val="false"/>
      <w:suff w:val="nothing"/>
      <w:lvlText w:val="%2、"/>
      <w:lvlJc w:val="left"/>
      <w:pPr>
        <w:pStyle w:val="1044"/>
        <w:ind w:left="0" w:firstLine="0"/>
      </w:pPr>
      <w:rPr>
        <w:rFonts w:hint="eastAsia"/>
      </w:rPr>
    </w:lvl>
    <w:lvl w:ilvl="2">
      <w:start w:val="1"/>
      <w:numFmt w:val="decimal"/>
      <w:isLgl w:val="false"/>
      <w:suff w:val="nothing"/>
      <w:lvlText w:val="%2.%3 "/>
      <w:lvlJc w:val="left"/>
      <w:pPr>
        <w:pStyle w:val="1044"/>
        <w:ind w:left="0" w:firstLine="0"/>
      </w:pPr>
      <w:rPr>
        <w:rFonts w:hint="eastAsia"/>
      </w:rPr>
    </w:lvl>
    <w:lvl w:ilvl="3">
      <w:start w:val="1"/>
      <w:numFmt w:val="decimal"/>
      <w:isLgl w:val="false"/>
      <w:suff w:val="nothing"/>
      <w:lvlText w:val="%2.%3.%4 "/>
      <w:lvlJc w:val="left"/>
      <w:pPr>
        <w:pStyle w:val="1044"/>
        <w:ind w:left="0" w:firstLine="0"/>
      </w:pPr>
      <w:rPr>
        <w:rFonts w:hint="eastAsia"/>
      </w:rPr>
    </w:lvl>
    <w:lvl w:ilvl="4">
      <w:start w:val="1"/>
      <w:numFmt w:val="decimal"/>
      <w:isLgl w:val="false"/>
      <w:suff w:val="nothing"/>
      <w:lvlText w:val="%2.%3.%4.%5 "/>
      <w:lvlJc w:val="left"/>
      <w:pPr>
        <w:pStyle w:val="1044"/>
        <w:ind w:left="0" w:firstLine="0"/>
      </w:pPr>
      <w:rPr>
        <w:rFonts w:hint="eastAsia"/>
      </w:rPr>
    </w:lvl>
    <w:lvl w:ilvl="5">
      <w:start w:val="1"/>
      <w:numFmt w:val="decimal"/>
      <w:pStyle w:val="1050"/>
      <w:isLgl w:val="false"/>
      <w:suff w:val="nothing"/>
      <w:lvlText w:val=""/>
      <w:lvlJc w:val="left"/>
      <w:pPr>
        <w:pStyle w:val="1044"/>
        <w:ind w:left="0" w:firstLine="0"/>
      </w:pPr>
      <w:rPr>
        <w:rFonts w:hint="eastAsia"/>
      </w:rPr>
    </w:lvl>
    <w:lvl w:ilvl="6">
      <w:start w:val="1"/>
      <w:numFmt w:val="decimal"/>
      <w:pStyle w:val="1051"/>
      <w:isLgl w:val="false"/>
      <w:suff w:val="nothing"/>
      <w:lvlText w:val=""/>
      <w:lvlJc w:val="left"/>
      <w:pPr>
        <w:pStyle w:val="1044"/>
        <w:ind w:left="0" w:firstLine="0"/>
      </w:pPr>
      <w:rPr>
        <w:rFonts w:hint="eastAsia"/>
      </w:rPr>
    </w:lvl>
    <w:lvl w:ilvl="7">
      <w:start w:val="1"/>
      <w:numFmt w:val="decimal"/>
      <w:pStyle w:val="1052"/>
      <w:isLgl w:val="false"/>
      <w:suff w:val="nothing"/>
      <w:lvlText w:val=""/>
      <w:lvlJc w:val="left"/>
      <w:pPr>
        <w:pStyle w:val="1044"/>
        <w:ind w:left="0" w:firstLine="0"/>
      </w:pPr>
      <w:rPr>
        <w:rFonts w:hint="eastAsia"/>
      </w:rPr>
    </w:lvl>
    <w:lvl w:ilvl="8">
      <w:start w:val="1"/>
      <w:numFmt w:val="decimal"/>
      <w:pStyle w:val="1053"/>
      <w:isLgl w:val="false"/>
      <w:suff w:val="nothing"/>
      <w:lvlText w:val=""/>
      <w:lvlJc w:val="left"/>
      <w:pPr>
        <w:pStyle w:val="1044"/>
        <w:ind w:left="0" w:firstLine="0"/>
      </w:pPr>
      <w:rPr>
        <w:rFonts w:hint="eastAsia"/>
      </w:rPr>
    </w:lvl>
  </w:abstractNum>
  <w:abstractNum w:abstractNumId="37">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6"/>
      <w:numFmt w:val="decimal"/>
      <w:isLgl w:val="false"/>
      <w:suff w:val="space"/>
      <w:lvlText w:val="%1."/>
      <w:lvlJc w:val="left"/>
      <w:pPr>
        <w:pStyle w:val="1044"/>
      </w:p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pStyle w:val="1044"/>
        <w:ind w:left="0" w:firstLine="0"/>
      </w:pPr>
      <w:rPr>
        <w:rFonts w:hint="eastAsia" w:ascii="宋体" w:hAnsi="宋体" w:eastAsia="宋体"/>
      </w:rPr>
    </w:lvl>
    <w:lvl w:ilvl="1">
      <w:start w:val="1"/>
      <w:numFmt w:val="decimal"/>
      <w:isLgl w:val="false"/>
      <w:suff w:val="tab"/>
      <w:lvlText w:val="%2."/>
      <w:lvlJc w:val="left"/>
      <w:pPr>
        <w:pStyle w:val="1044"/>
        <w:ind w:left="1440" w:hanging="360"/>
        <w:tabs>
          <w:tab w:val="num" w:pos="1440" w:leader="none"/>
        </w:tabs>
      </w:pPr>
    </w:lvl>
    <w:lvl w:ilvl="2">
      <w:start w:val="1"/>
      <w:numFmt w:val="decimal"/>
      <w:isLgl w:val="false"/>
      <w:suff w:val="tab"/>
      <w:lvlText w:val="%3."/>
      <w:lvlJc w:val="left"/>
      <w:pPr>
        <w:pStyle w:val="1044"/>
        <w:ind w:left="2160" w:hanging="360"/>
        <w:tabs>
          <w:tab w:val="num" w:pos="2160" w:leader="none"/>
        </w:tabs>
      </w:pPr>
    </w:lvl>
    <w:lvl w:ilvl="3">
      <w:start w:val="1"/>
      <w:numFmt w:val="decimal"/>
      <w:isLgl w:val="false"/>
      <w:suff w:val="tab"/>
      <w:lvlText w:val="%4."/>
      <w:lvlJc w:val="left"/>
      <w:pPr>
        <w:pStyle w:val="1044"/>
        <w:ind w:left="2880" w:hanging="360"/>
        <w:tabs>
          <w:tab w:val="num" w:pos="2880" w:leader="none"/>
        </w:tabs>
      </w:pPr>
    </w:lvl>
    <w:lvl w:ilvl="4">
      <w:start w:val="1"/>
      <w:numFmt w:val="decimal"/>
      <w:isLgl w:val="false"/>
      <w:suff w:val="tab"/>
      <w:lvlText w:val="%5."/>
      <w:lvlJc w:val="left"/>
      <w:pPr>
        <w:pStyle w:val="1044"/>
        <w:ind w:left="3600" w:hanging="360"/>
        <w:tabs>
          <w:tab w:val="num" w:pos="3600" w:leader="none"/>
        </w:tabs>
      </w:pPr>
    </w:lvl>
    <w:lvl w:ilvl="5">
      <w:start w:val="1"/>
      <w:numFmt w:val="decimal"/>
      <w:isLgl w:val="false"/>
      <w:suff w:val="tab"/>
      <w:lvlText w:val="%6."/>
      <w:lvlJc w:val="left"/>
      <w:pPr>
        <w:pStyle w:val="1044"/>
        <w:ind w:left="4320" w:hanging="360"/>
        <w:tabs>
          <w:tab w:val="num" w:pos="4320" w:leader="none"/>
        </w:tabs>
      </w:pPr>
    </w:lvl>
    <w:lvl w:ilvl="6">
      <w:start w:val="1"/>
      <w:numFmt w:val="decimal"/>
      <w:isLgl w:val="false"/>
      <w:suff w:val="tab"/>
      <w:lvlText w:val="%7."/>
      <w:lvlJc w:val="left"/>
      <w:pPr>
        <w:pStyle w:val="1044"/>
        <w:ind w:left="5040" w:hanging="360"/>
        <w:tabs>
          <w:tab w:val="num" w:pos="5040" w:leader="none"/>
        </w:tabs>
      </w:pPr>
    </w:lvl>
    <w:lvl w:ilvl="7">
      <w:start w:val="1"/>
      <w:numFmt w:val="decimal"/>
      <w:isLgl w:val="false"/>
      <w:suff w:val="tab"/>
      <w:lvlText w:val="%8."/>
      <w:lvlJc w:val="left"/>
      <w:pPr>
        <w:pStyle w:val="1044"/>
        <w:ind w:left="5760" w:hanging="360"/>
        <w:tabs>
          <w:tab w:val="num" w:pos="5760" w:leader="none"/>
        </w:tabs>
      </w:pPr>
    </w:lvl>
    <w:lvl w:ilvl="8">
      <w:start w:val="1"/>
      <w:numFmt w:val="decimal"/>
      <w:isLgl w:val="false"/>
      <w:suff w:val="tab"/>
      <w:lvlText w:val="%9."/>
      <w:lvlJc w:val="left"/>
      <w:pPr>
        <w:pStyle w:val="1044"/>
        <w:ind w:left="6480" w:hanging="360"/>
        <w:tabs>
          <w:tab w:val="num" w:pos="6480" w:leader="none"/>
        </w:tabs>
      </w:pPr>
    </w:lvl>
  </w:abstractNum>
  <w:abstractNum w:abstractNumId="40">
    <w:multiLevelType w:val="hybridMultilevel"/>
    <w:lvl w:ilvl="0">
      <w:start w:val="1"/>
      <w:numFmt w:val="japaneseCounting"/>
      <w:isLgl w:val="false"/>
      <w:suff w:val="tab"/>
      <w:lvlText w:val="第%1章"/>
      <w:lvlJc w:val="left"/>
      <w:pPr>
        <w:pStyle w:val="10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104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6"/>
  </w:num>
  <w:num w:numId="2">
    <w:abstractNumId w:val="19"/>
  </w:num>
  <w:num w:numId="3">
    <w:abstractNumId w:val="31"/>
  </w:num>
  <w:num w:numId="4">
    <w:abstractNumId w:val="40"/>
  </w:num>
  <w:num w:numId="5">
    <w:abstractNumId w:val="8"/>
  </w:num>
  <w:num w:numId="6">
    <w:abstractNumId w:val="18"/>
  </w:num>
  <w:num w:numId="7">
    <w:abstractNumId w:val="6"/>
  </w:num>
  <w:num w:numId="8">
    <w:abstractNumId w:val="33"/>
  </w:num>
  <w:num w:numId="9">
    <w:abstractNumId w:val="38"/>
  </w:num>
  <w:num w:numId="10">
    <w:abstractNumId w:val="21"/>
  </w:num>
  <w:num w:numId="11">
    <w:abstractNumId w:val="32"/>
  </w:num>
  <w:num w:numId="12">
    <w:abstractNumId w:val="2"/>
  </w:num>
  <w:num w:numId="13">
    <w:abstractNumId w:val="3"/>
  </w:num>
  <w:num w:numId="14">
    <w:abstractNumId w:val="20"/>
  </w:num>
  <w:num w:numId="15">
    <w:abstractNumId w:val="28"/>
  </w:num>
  <w:num w:numId="16">
    <w:abstractNumId w:val="41"/>
  </w:num>
  <w:num w:numId="17">
    <w:abstractNumId w:val="5"/>
  </w:num>
  <w:num w:numId="18">
    <w:abstractNumId w:val="35"/>
  </w:num>
  <w:num w:numId="19">
    <w:abstractNumId w:val="27"/>
  </w:num>
  <w:num w:numId="20">
    <w:abstractNumId w:val="9"/>
  </w:num>
  <w:num w:numId="21">
    <w:abstractNumId w:val="22"/>
  </w:num>
  <w:num w:numId="22">
    <w:abstractNumId w:val="17"/>
  </w:num>
  <w:num w:numId="23">
    <w:abstractNumId w:val="43"/>
  </w:num>
  <w:num w:numId="24">
    <w:abstractNumId w:val="25"/>
  </w:num>
  <w:num w:numId="25">
    <w:abstractNumId w:val="23"/>
  </w:num>
  <w:num w:numId="26">
    <w:abstractNumId w:val="13"/>
  </w:num>
  <w:num w:numId="27">
    <w:abstractNumId w:val="14"/>
  </w:num>
  <w:num w:numId="28">
    <w:abstractNumId w:val="0"/>
  </w:num>
  <w:num w:numId="29">
    <w:abstractNumId w:val="11"/>
  </w:num>
  <w:num w:numId="30">
    <w:abstractNumId w:val="42"/>
  </w:num>
  <w:num w:numId="31">
    <w:abstractNumId w:val="10"/>
  </w:num>
  <w:num w:numId="32">
    <w:abstractNumId w:val="34"/>
  </w:num>
  <w:num w:numId="33">
    <w:abstractNumId w:val="29"/>
  </w:num>
  <w:num w:numId="34">
    <w:abstractNumId w:val="7"/>
  </w:num>
  <w:num w:numId="35">
    <w:abstractNumId w:val="15"/>
  </w:num>
  <w:num w:numId="36">
    <w:abstractNumId w:val="12"/>
  </w:num>
  <w:num w:numId="37">
    <w:abstractNumId w:val="30"/>
  </w:num>
  <w:num w:numId="38">
    <w:abstractNumId w:val="1"/>
  </w:num>
  <w:num w:numId="39">
    <w:abstractNumId w:val="26"/>
  </w:num>
  <w:num w:numId="40">
    <w:abstractNumId w:val="37"/>
  </w:num>
  <w:num w:numId="41">
    <w:abstractNumId w:val="4"/>
  </w:num>
  <w:num w:numId="42">
    <w:abstractNumId w:val="16"/>
  </w:num>
  <w:num w:numId="43">
    <w:abstractNumId w:val="24"/>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1044"/>
    <w:next w:val="1044"/>
    <w:link w:val="868"/>
    <w:uiPriority w:val="9"/>
    <w:qFormat/>
    <w:pPr>
      <w:keepLines/>
      <w:keepNext/>
      <w:spacing w:before="480" w:after="200"/>
      <w:outlineLvl w:val="0"/>
    </w:pPr>
    <w:rPr>
      <w:rFonts w:ascii="Arial" w:hAnsi="Arial" w:eastAsia="Arial" w:cs="Arial"/>
      <w:sz w:val="40"/>
      <w:szCs w:val="40"/>
    </w:rPr>
  </w:style>
  <w:style w:type="character" w:styleId="868">
    <w:name w:val="Heading 1 Char"/>
    <w:link w:val="867"/>
    <w:uiPriority w:val="9"/>
    <w:rPr>
      <w:rFonts w:ascii="Arial" w:hAnsi="Arial" w:eastAsia="Arial" w:cs="Arial"/>
      <w:sz w:val="40"/>
      <w:szCs w:val="40"/>
    </w:rPr>
  </w:style>
  <w:style w:type="paragraph" w:styleId="869">
    <w:name w:val="Heading 2"/>
    <w:basedOn w:val="1044"/>
    <w:next w:val="1044"/>
    <w:link w:val="870"/>
    <w:uiPriority w:val="9"/>
    <w:unhideWhenUsed/>
    <w:qFormat/>
    <w:pPr>
      <w:keepLines/>
      <w:keepNext/>
      <w:spacing w:before="360" w:after="200"/>
      <w:outlineLvl w:val="1"/>
    </w:pPr>
    <w:rPr>
      <w:rFonts w:ascii="Arial" w:hAnsi="Arial" w:eastAsia="Arial" w:cs="Arial"/>
      <w:sz w:val="34"/>
    </w:rPr>
  </w:style>
  <w:style w:type="character" w:styleId="870">
    <w:name w:val="Heading 2 Char"/>
    <w:link w:val="869"/>
    <w:uiPriority w:val="9"/>
    <w:rPr>
      <w:rFonts w:ascii="Arial" w:hAnsi="Arial" w:eastAsia="Arial" w:cs="Arial"/>
      <w:sz w:val="34"/>
    </w:rPr>
  </w:style>
  <w:style w:type="paragraph" w:styleId="871">
    <w:name w:val="Heading 3"/>
    <w:basedOn w:val="1044"/>
    <w:next w:val="1044"/>
    <w:link w:val="872"/>
    <w:uiPriority w:val="9"/>
    <w:unhideWhenUsed/>
    <w:qFormat/>
    <w:pPr>
      <w:keepLines/>
      <w:keepNext/>
      <w:spacing w:before="320" w:after="200"/>
      <w:outlineLvl w:val="2"/>
    </w:pPr>
    <w:rPr>
      <w:rFonts w:ascii="Arial" w:hAnsi="Arial" w:eastAsia="Arial" w:cs="Arial"/>
      <w:sz w:val="30"/>
      <w:szCs w:val="30"/>
    </w:rPr>
  </w:style>
  <w:style w:type="character" w:styleId="872">
    <w:name w:val="Heading 3 Char"/>
    <w:link w:val="871"/>
    <w:uiPriority w:val="9"/>
    <w:rPr>
      <w:rFonts w:ascii="Arial" w:hAnsi="Arial" w:eastAsia="Arial" w:cs="Arial"/>
      <w:sz w:val="30"/>
      <w:szCs w:val="30"/>
    </w:rPr>
  </w:style>
  <w:style w:type="paragraph" w:styleId="873">
    <w:name w:val="Heading 4"/>
    <w:basedOn w:val="1044"/>
    <w:next w:val="1044"/>
    <w:link w:val="874"/>
    <w:uiPriority w:val="9"/>
    <w:unhideWhenUsed/>
    <w:qFormat/>
    <w:pPr>
      <w:keepLines/>
      <w:keepNext/>
      <w:spacing w:before="320" w:after="200"/>
      <w:outlineLvl w:val="3"/>
    </w:pPr>
    <w:rPr>
      <w:rFonts w:ascii="Arial" w:hAnsi="Arial" w:eastAsia="Arial" w:cs="Arial"/>
      <w:b/>
      <w:bCs/>
      <w:sz w:val="26"/>
      <w:szCs w:val="26"/>
    </w:rPr>
  </w:style>
  <w:style w:type="character" w:styleId="874">
    <w:name w:val="Heading 4 Char"/>
    <w:link w:val="873"/>
    <w:uiPriority w:val="9"/>
    <w:rPr>
      <w:rFonts w:ascii="Arial" w:hAnsi="Arial" w:eastAsia="Arial" w:cs="Arial"/>
      <w:b/>
      <w:bCs/>
      <w:sz w:val="26"/>
      <w:szCs w:val="26"/>
    </w:rPr>
  </w:style>
  <w:style w:type="paragraph" w:styleId="875">
    <w:name w:val="Heading 5"/>
    <w:basedOn w:val="1044"/>
    <w:next w:val="1044"/>
    <w:link w:val="876"/>
    <w:uiPriority w:val="9"/>
    <w:unhideWhenUsed/>
    <w:qFormat/>
    <w:pPr>
      <w:keepLines/>
      <w:keepNext/>
      <w:spacing w:before="320" w:after="200"/>
      <w:outlineLvl w:val="4"/>
    </w:pPr>
    <w:rPr>
      <w:rFonts w:ascii="Arial" w:hAnsi="Arial" w:eastAsia="Arial" w:cs="Arial"/>
      <w:b/>
      <w:bCs/>
      <w:sz w:val="24"/>
      <w:szCs w:val="24"/>
    </w:rPr>
  </w:style>
  <w:style w:type="character" w:styleId="876">
    <w:name w:val="Heading 5 Char"/>
    <w:link w:val="875"/>
    <w:uiPriority w:val="9"/>
    <w:rPr>
      <w:rFonts w:ascii="Arial" w:hAnsi="Arial" w:eastAsia="Arial" w:cs="Arial"/>
      <w:b/>
      <w:bCs/>
      <w:sz w:val="24"/>
      <w:szCs w:val="24"/>
    </w:rPr>
  </w:style>
  <w:style w:type="paragraph" w:styleId="877">
    <w:name w:val="Heading 6"/>
    <w:basedOn w:val="1044"/>
    <w:next w:val="1044"/>
    <w:link w:val="878"/>
    <w:uiPriority w:val="9"/>
    <w:unhideWhenUsed/>
    <w:qFormat/>
    <w:pPr>
      <w:keepLines/>
      <w:keepNext/>
      <w:spacing w:before="320" w:after="200"/>
      <w:outlineLvl w:val="5"/>
    </w:pPr>
    <w:rPr>
      <w:rFonts w:ascii="Arial" w:hAnsi="Arial" w:eastAsia="Arial" w:cs="Arial"/>
      <w:b/>
      <w:bCs/>
      <w:sz w:val="22"/>
      <w:szCs w:val="22"/>
    </w:rPr>
  </w:style>
  <w:style w:type="character" w:styleId="878">
    <w:name w:val="Heading 6 Char"/>
    <w:link w:val="877"/>
    <w:uiPriority w:val="9"/>
    <w:rPr>
      <w:rFonts w:ascii="Arial" w:hAnsi="Arial" w:eastAsia="Arial" w:cs="Arial"/>
      <w:b/>
      <w:bCs/>
      <w:sz w:val="22"/>
      <w:szCs w:val="22"/>
    </w:rPr>
  </w:style>
  <w:style w:type="paragraph" w:styleId="879">
    <w:name w:val="Heading 7"/>
    <w:basedOn w:val="1044"/>
    <w:next w:val="1044"/>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link w:val="879"/>
    <w:uiPriority w:val="9"/>
    <w:rPr>
      <w:rFonts w:ascii="Arial" w:hAnsi="Arial" w:eastAsia="Arial" w:cs="Arial"/>
      <w:b/>
      <w:bCs/>
      <w:i/>
      <w:iCs/>
      <w:sz w:val="22"/>
      <w:szCs w:val="22"/>
    </w:rPr>
  </w:style>
  <w:style w:type="paragraph" w:styleId="881">
    <w:name w:val="Heading 8"/>
    <w:basedOn w:val="1044"/>
    <w:next w:val="1044"/>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link w:val="881"/>
    <w:uiPriority w:val="9"/>
    <w:rPr>
      <w:rFonts w:ascii="Arial" w:hAnsi="Arial" w:eastAsia="Arial" w:cs="Arial"/>
      <w:i/>
      <w:iCs/>
      <w:sz w:val="22"/>
      <w:szCs w:val="22"/>
    </w:rPr>
  </w:style>
  <w:style w:type="paragraph" w:styleId="883">
    <w:name w:val="Heading 9"/>
    <w:basedOn w:val="1044"/>
    <w:next w:val="1044"/>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link w:val="883"/>
    <w:uiPriority w:val="9"/>
    <w:rPr>
      <w:rFonts w:ascii="Arial" w:hAnsi="Arial" w:eastAsia="Arial" w:cs="Arial"/>
      <w:i/>
      <w:iCs/>
      <w:sz w:val="21"/>
      <w:szCs w:val="21"/>
    </w:rPr>
  </w:style>
  <w:style w:type="paragraph" w:styleId="885">
    <w:name w:val="No Spacing"/>
    <w:uiPriority w:val="1"/>
    <w:qFormat/>
    <w:pPr>
      <w:spacing w:before="0" w:after="0" w:line="240" w:lineRule="auto"/>
    </w:pPr>
  </w:style>
  <w:style w:type="paragraph" w:styleId="886">
    <w:name w:val="Title"/>
    <w:basedOn w:val="1044"/>
    <w:next w:val="1044"/>
    <w:link w:val="887"/>
    <w:uiPriority w:val="10"/>
    <w:qFormat/>
    <w:pPr>
      <w:contextualSpacing/>
      <w:spacing w:before="300" w:after="200"/>
    </w:pPr>
    <w:rPr>
      <w:sz w:val="48"/>
      <w:szCs w:val="48"/>
    </w:rPr>
  </w:style>
  <w:style w:type="character" w:styleId="887">
    <w:name w:val="Title Char"/>
    <w:link w:val="886"/>
    <w:uiPriority w:val="10"/>
    <w:rPr>
      <w:sz w:val="48"/>
      <w:szCs w:val="48"/>
    </w:rPr>
  </w:style>
  <w:style w:type="paragraph" w:styleId="888">
    <w:name w:val="Subtitle"/>
    <w:basedOn w:val="1044"/>
    <w:next w:val="1044"/>
    <w:link w:val="889"/>
    <w:uiPriority w:val="11"/>
    <w:qFormat/>
    <w:pPr>
      <w:spacing w:before="200" w:after="200"/>
    </w:pPr>
    <w:rPr>
      <w:sz w:val="24"/>
      <w:szCs w:val="24"/>
    </w:rPr>
  </w:style>
  <w:style w:type="character" w:styleId="889">
    <w:name w:val="Subtitle Char"/>
    <w:link w:val="888"/>
    <w:uiPriority w:val="11"/>
    <w:rPr>
      <w:sz w:val="24"/>
      <w:szCs w:val="24"/>
    </w:rPr>
  </w:style>
  <w:style w:type="paragraph" w:styleId="890">
    <w:name w:val="Quote"/>
    <w:basedOn w:val="1044"/>
    <w:next w:val="1044"/>
    <w:link w:val="891"/>
    <w:uiPriority w:val="29"/>
    <w:qFormat/>
    <w:pPr>
      <w:ind w:left="720" w:right="720"/>
    </w:pPr>
    <w:rPr>
      <w:i/>
    </w:rPr>
  </w:style>
  <w:style w:type="character" w:styleId="891">
    <w:name w:val="Quote Char"/>
    <w:link w:val="890"/>
    <w:uiPriority w:val="29"/>
    <w:rPr>
      <w:i/>
    </w:rPr>
  </w:style>
  <w:style w:type="paragraph" w:styleId="892">
    <w:name w:val="Intense Quote"/>
    <w:basedOn w:val="1044"/>
    <w:next w:val="10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paragraph" w:styleId="894">
    <w:name w:val="Header"/>
    <w:basedOn w:val="1044"/>
    <w:link w:val="895"/>
    <w:uiPriority w:val="99"/>
    <w:unhideWhenUsed/>
    <w:pPr>
      <w:spacing w:after="0" w:line="240" w:lineRule="auto"/>
      <w:tabs>
        <w:tab w:val="center" w:pos="7143" w:leader="none"/>
        <w:tab w:val="right" w:pos="14287" w:leader="none"/>
      </w:tabs>
    </w:pPr>
  </w:style>
  <w:style w:type="character" w:styleId="895">
    <w:name w:val="Header Char"/>
    <w:link w:val="894"/>
    <w:uiPriority w:val="99"/>
  </w:style>
  <w:style w:type="paragraph" w:styleId="896">
    <w:name w:val="Footer"/>
    <w:basedOn w:val="1044"/>
    <w:link w:val="899"/>
    <w:uiPriority w:val="99"/>
    <w:unhideWhenUsed/>
    <w:pPr>
      <w:spacing w:after="0" w:line="240" w:lineRule="auto"/>
      <w:tabs>
        <w:tab w:val="center" w:pos="7143" w:leader="none"/>
        <w:tab w:val="right" w:pos="14287" w:leader="none"/>
      </w:tabs>
    </w:pPr>
  </w:style>
  <w:style w:type="character" w:styleId="897">
    <w:name w:val="Footer Char"/>
    <w:link w:val="896"/>
    <w:uiPriority w:val="99"/>
  </w:style>
  <w:style w:type="paragraph" w:styleId="898">
    <w:name w:val="Caption"/>
    <w:basedOn w:val="1044"/>
    <w:next w:val="1044"/>
    <w:uiPriority w:val="35"/>
    <w:semiHidden/>
    <w:unhideWhenUsed/>
    <w:qFormat/>
    <w:pPr>
      <w:spacing w:line="276" w:lineRule="auto"/>
    </w:pPr>
    <w:rPr>
      <w:b/>
      <w:bCs/>
      <w:color w:val="4f81bd" w:themeColor="accent1"/>
      <w:sz w:val="18"/>
      <w:szCs w:val="18"/>
    </w:rPr>
  </w:style>
  <w:style w:type="character" w:styleId="899">
    <w:name w:val="Caption Char"/>
    <w:basedOn w:val="898"/>
    <w:link w:val="896"/>
    <w:uiPriority w:val="99"/>
  </w:style>
  <w:style w:type="table" w:styleId="9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6">
    <w:name w:val="Hyperlink"/>
    <w:uiPriority w:val="99"/>
    <w:unhideWhenUsed/>
    <w:rPr>
      <w:color w:val="0000ff" w:themeColor="hyperlink"/>
      <w:u w:val="single"/>
    </w:rPr>
  </w:style>
  <w:style w:type="paragraph" w:styleId="1027">
    <w:name w:val="footnote text"/>
    <w:basedOn w:val="1044"/>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uiPriority w:val="99"/>
    <w:unhideWhenUsed/>
    <w:rPr>
      <w:vertAlign w:val="superscript"/>
    </w:rPr>
  </w:style>
  <w:style w:type="paragraph" w:styleId="1030">
    <w:name w:val="endnote text"/>
    <w:basedOn w:val="1044"/>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uiPriority w:val="99"/>
    <w:semiHidden/>
    <w:unhideWhenUsed/>
    <w:rPr>
      <w:vertAlign w:val="superscript"/>
    </w:rPr>
  </w:style>
  <w:style w:type="paragraph" w:styleId="1033">
    <w:name w:val="toc 1"/>
    <w:basedOn w:val="1044"/>
    <w:next w:val="1044"/>
    <w:uiPriority w:val="39"/>
    <w:unhideWhenUsed/>
    <w:pPr>
      <w:ind w:left="0" w:right="0" w:firstLine="0"/>
      <w:spacing w:after="57"/>
    </w:pPr>
  </w:style>
  <w:style w:type="paragraph" w:styleId="1034">
    <w:name w:val="toc 2"/>
    <w:basedOn w:val="1044"/>
    <w:next w:val="1044"/>
    <w:uiPriority w:val="39"/>
    <w:unhideWhenUsed/>
    <w:pPr>
      <w:ind w:left="283" w:right="0" w:firstLine="0"/>
      <w:spacing w:after="57"/>
    </w:pPr>
  </w:style>
  <w:style w:type="paragraph" w:styleId="1035">
    <w:name w:val="toc 3"/>
    <w:basedOn w:val="1044"/>
    <w:next w:val="1044"/>
    <w:uiPriority w:val="39"/>
    <w:unhideWhenUsed/>
    <w:pPr>
      <w:ind w:left="567" w:right="0" w:firstLine="0"/>
      <w:spacing w:after="57"/>
    </w:pPr>
  </w:style>
  <w:style w:type="paragraph" w:styleId="1036">
    <w:name w:val="toc 4"/>
    <w:basedOn w:val="1044"/>
    <w:next w:val="1044"/>
    <w:uiPriority w:val="39"/>
    <w:unhideWhenUsed/>
    <w:pPr>
      <w:ind w:left="850" w:right="0" w:firstLine="0"/>
      <w:spacing w:after="57"/>
    </w:pPr>
  </w:style>
  <w:style w:type="paragraph" w:styleId="1037">
    <w:name w:val="toc 5"/>
    <w:basedOn w:val="1044"/>
    <w:next w:val="1044"/>
    <w:uiPriority w:val="39"/>
    <w:unhideWhenUsed/>
    <w:pPr>
      <w:ind w:left="1134" w:right="0" w:firstLine="0"/>
      <w:spacing w:after="57"/>
    </w:pPr>
  </w:style>
  <w:style w:type="paragraph" w:styleId="1038">
    <w:name w:val="toc 6"/>
    <w:basedOn w:val="1044"/>
    <w:next w:val="1044"/>
    <w:uiPriority w:val="39"/>
    <w:unhideWhenUsed/>
    <w:pPr>
      <w:ind w:left="1417" w:right="0" w:firstLine="0"/>
      <w:spacing w:after="57"/>
    </w:pPr>
  </w:style>
  <w:style w:type="paragraph" w:styleId="1039">
    <w:name w:val="toc 7"/>
    <w:basedOn w:val="1044"/>
    <w:next w:val="1044"/>
    <w:uiPriority w:val="39"/>
    <w:unhideWhenUsed/>
    <w:pPr>
      <w:ind w:left="1701" w:right="0" w:firstLine="0"/>
      <w:spacing w:after="57"/>
    </w:pPr>
  </w:style>
  <w:style w:type="paragraph" w:styleId="1040">
    <w:name w:val="toc 8"/>
    <w:basedOn w:val="1044"/>
    <w:next w:val="1044"/>
    <w:uiPriority w:val="39"/>
    <w:unhideWhenUsed/>
    <w:pPr>
      <w:ind w:left="1984" w:right="0" w:firstLine="0"/>
      <w:spacing w:after="57"/>
    </w:pPr>
  </w:style>
  <w:style w:type="paragraph" w:styleId="1041">
    <w:name w:val="toc 9"/>
    <w:basedOn w:val="1044"/>
    <w:next w:val="1044"/>
    <w:uiPriority w:val="39"/>
    <w:unhideWhenUsed/>
    <w:pPr>
      <w:ind w:left="2268" w:right="0" w:firstLine="0"/>
      <w:spacing w:after="57"/>
    </w:p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sz w:val="21"/>
      <w:szCs w:val="22"/>
      <w:lang w:val="en-US" w:eastAsia="zh-CN" w:bidi="ar-SA"/>
    </w:rPr>
  </w:style>
  <w:style w:type="paragraph" w:styleId="1045">
    <w:name w:val="标题 1"/>
    <w:basedOn w:val="1044"/>
    <w:next w:val="1044"/>
    <w:link w:val="1056"/>
    <w:qFormat/>
    <w:pPr>
      <w:jc w:val="center"/>
      <w:keepNext/>
      <w:outlineLvl w:val="0"/>
    </w:pPr>
    <w:rPr>
      <w:rFonts w:ascii="楷体_GB2312" w:hAnsi="Times New Roman" w:eastAsia="楷体_GB2312" w:cs="Times New Roman"/>
      <w:sz w:val="28"/>
      <w:szCs w:val="28"/>
    </w:rPr>
  </w:style>
  <w:style w:type="paragraph" w:styleId="1046">
    <w:name w:val="标题 2"/>
    <w:basedOn w:val="1044"/>
    <w:next w:val="1058"/>
    <w:link w:val="1057"/>
    <w:qFormat/>
    <w:pPr>
      <w:jc w:val="center"/>
      <w:keepLines/>
      <w:keepNext/>
      <w:spacing w:before="260" w:after="260" w:line="416" w:lineRule="auto"/>
      <w:outlineLvl w:val="1"/>
    </w:pPr>
    <w:rPr>
      <w:rFonts w:ascii="Arial" w:hAnsi="Arial" w:eastAsia="幼圆" w:cs="Arial"/>
      <w:b/>
      <w:bCs/>
      <w:sz w:val="44"/>
      <w:szCs w:val="44"/>
    </w:rPr>
  </w:style>
  <w:style w:type="paragraph" w:styleId="1047">
    <w:name w:val="标题 3"/>
    <w:basedOn w:val="1044"/>
    <w:next w:val="1044"/>
    <w:link w:val="10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8">
    <w:name w:val="标题 4"/>
    <w:basedOn w:val="1044"/>
    <w:next w:val="1058"/>
    <w:link w:val="1061"/>
    <w:qFormat/>
    <w:pPr>
      <w:keepLines/>
      <w:keepNext/>
      <w:spacing w:before="280" w:after="290" w:line="376" w:lineRule="auto"/>
      <w:outlineLvl w:val="3"/>
    </w:pPr>
    <w:rPr>
      <w:rFonts w:ascii="Arial" w:hAnsi="Arial" w:eastAsia="黑体" w:cs="Arial"/>
      <w:b/>
      <w:bCs/>
      <w:sz w:val="28"/>
      <w:szCs w:val="28"/>
    </w:rPr>
  </w:style>
  <w:style w:type="paragraph" w:styleId="1049">
    <w:name w:val="标题 5"/>
    <w:basedOn w:val="1044"/>
    <w:next w:val="1044"/>
    <w:link w:val="1062"/>
    <w:qFormat/>
    <w:pPr>
      <w:keepNext/>
      <w:outlineLvl w:val="4"/>
    </w:pPr>
    <w:rPr>
      <w:rFonts w:ascii="宋体" w:hAnsi="Times New Roman" w:eastAsia="宋体" w:cs="Times New Roman"/>
      <w:color w:val="000000"/>
      <w:sz w:val="28"/>
      <w:szCs w:val="28"/>
    </w:rPr>
  </w:style>
  <w:style w:type="paragraph" w:styleId="1050">
    <w:name w:val="标题 6"/>
    <w:basedOn w:val="1044"/>
    <w:next w:val="1044"/>
    <w:link w:val="106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51">
    <w:name w:val="标题 7"/>
    <w:basedOn w:val="1044"/>
    <w:next w:val="1044"/>
    <w:link w:val="106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52">
    <w:name w:val="标题 8"/>
    <w:basedOn w:val="1044"/>
    <w:next w:val="1044"/>
    <w:link w:val="106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53">
    <w:name w:val="标题 9"/>
    <w:basedOn w:val="1044"/>
    <w:next w:val="1044"/>
    <w:link w:val="1066"/>
    <w:qFormat/>
    <w:pPr>
      <w:numPr>
        <w:ilvl w:val="8"/>
        <w:numId w:val="1"/>
      </w:numPr>
      <w:keepLines/>
      <w:keepNext/>
      <w:spacing w:before="240" w:after="64" w:line="320" w:lineRule="auto"/>
      <w:outlineLvl w:val="8"/>
    </w:pPr>
    <w:rPr>
      <w:rFonts w:ascii="Arial" w:hAnsi="Arial" w:eastAsia="黑体" w:cs="Times New Roman"/>
      <w:szCs w:val="21"/>
    </w:rPr>
  </w:style>
  <w:style w:type="character" w:styleId="1054">
    <w:name w:val="默认段落字体"/>
    <w:next w:val="1054"/>
    <w:link w:val="1044"/>
    <w:uiPriority w:val="1"/>
    <w:unhideWhenUsed/>
  </w:style>
  <w:style w:type="table" w:styleId="1055">
    <w:name w:val="普通表格"/>
    <w:next w:val="1055"/>
    <w:link w:val="1044"/>
    <w:uiPriority w:val="99"/>
    <w:unhideWhenUsed/>
    <w:tblPr/>
  </w:style>
  <w:style w:type="character" w:styleId="1056">
    <w:name w:val="标题 1 Char"/>
    <w:next w:val="1056"/>
    <w:link w:val="1045"/>
    <w:rPr>
      <w:rFonts w:ascii="楷体_GB2312" w:hAnsi="Times New Roman" w:eastAsia="楷体_GB2312" w:cs="Times New Roman"/>
      <w:sz w:val="28"/>
      <w:szCs w:val="28"/>
    </w:rPr>
  </w:style>
  <w:style w:type="character" w:styleId="1057">
    <w:name w:val="标题 2 Char"/>
    <w:next w:val="1057"/>
    <w:link w:val="1046"/>
    <w:rPr>
      <w:rFonts w:ascii="Arial" w:hAnsi="Arial" w:eastAsia="幼圆" w:cs="Arial"/>
      <w:b/>
      <w:bCs/>
      <w:sz w:val="44"/>
      <w:szCs w:val="44"/>
    </w:rPr>
  </w:style>
  <w:style w:type="paragraph" w:styleId="1058">
    <w:name w:val="正文缩进"/>
    <w:basedOn w:val="1044"/>
    <w:next w:val="1058"/>
    <w:link w:val="1059"/>
    <w:pPr>
      <w:ind w:firstLine="420"/>
    </w:pPr>
    <w:rPr>
      <w:szCs w:val="21"/>
    </w:rPr>
  </w:style>
  <w:style w:type="character" w:styleId="1059">
    <w:name w:val="正文缩进 Char"/>
    <w:next w:val="1059"/>
    <w:link w:val="1058"/>
    <w:rPr>
      <w:szCs w:val="21"/>
    </w:rPr>
  </w:style>
  <w:style w:type="character" w:styleId="1060">
    <w:name w:val="标题 3 Char"/>
    <w:next w:val="1060"/>
    <w:link w:val="1047"/>
    <w:rPr>
      <w:rFonts w:ascii="Times New Roman" w:hAnsi="Times New Roman" w:eastAsia="宋体" w:cs="Times New Roman"/>
      <w:b/>
      <w:bCs/>
      <w:sz w:val="32"/>
      <w:szCs w:val="32"/>
    </w:rPr>
  </w:style>
  <w:style w:type="character" w:styleId="1061">
    <w:name w:val="标题 4 Char"/>
    <w:next w:val="1061"/>
    <w:link w:val="1048"/>
    <w:rPr>
      <w:rFonts w:ascii="Arial" w:hAnsi="Arial" w:eastAsia="黑体" w:cs="Arial"/>
      <w:b/>
      <w:bCs/>
      <w:sz w:val="28"/>
      <w:szCs w:val="28"/>
    </w:rPr>
  </w:style>
  <w:style w:type="character" w:styleId="1062">
    <w:name w:val="标题 5 Char"/>
    <w:next w:val="1062"/>
    <w:link w:val="1049"/>
    <w:rPr>
      <w:rFonts w:ascii="宋体" w:hAnsi="Times New Roman" w:eastAsia="宋体" w:cs="Times New Roman"/>
      <w:color w:val="000000"/>
      <w:sz w:val="28"/>
      <w:szCs w:val="28"/>
    </w:rPr>
  </w:style>
  <w:style w:type="character" w:styleId="1063">
    <w:name w:val="标题 6 Char"/>
    <w:next w:val="1063"/>
    <w:link w:val="1050"/>
    <w:rPr>
      <w:rFonts w:ascii="Arial" w:hAnsi="Arial" w:eastAsia="黑体" w:cs="Times New Roman"/>
      <w:b/>
      <w:bCs/>
      <w:sz w:val="24"/>
      <w:szCs w:val="24"/>
    </w:rPr>
  </w:style>
  <w:style w:type="character" w:styleId="1064">
    <w:name w:val="标题 7 Char"/>
    <w:next w:val="1064"/>
    <w:link w:val="1051"/>
    <w:rPr>
      <w:rFonts w:ascii="Times New Roman" w:hAnsi="Times New Roman" w:eastAsia="宋体" w:cs="Times New Roman"/>
      <w:b/>
      <w:bCs/>
      <w:sz w:val="24"/>
      <w:szCs w:val="24"/>
    </w:rPr>
  </w:style>
  <w:style w:type="character" w:styleId="1065">
    <w:name w:val="标题 8 Char"/>
    <w:next w:val="1065"/>
    <w:link w:val="1052"/>
    <w:rPr>
      <w:rFonts w:ascii="Arial" w:hAnsi="Arial" w:eastAsia="黑体" w:cs="Times New Roman"/>
      <w:sz w:val="24"/>
      <w:szCs w:val="24"/>
    </w:rPr>
  </w:style>
  <w:style w:type="character" w:styleId="1066">
    <w:name w:val="标题 9 Char"/>
    <w:next w:val="1066"/>
    <w:link w:val="1053"/>
    <w:rPr>
      <w:rFonts w:ascii="Arial" w:hAnsi="Arial" w:eastAsia="黑体" w:cs="Times New Roman"/>
      <w:szCs w:val="21"/>
    </w:rPr>
  </w:style>
  <w:style w:type="paragraph" w:styleId="1067">
    <w:name w:val="列表 3"/>
    <w:basedOn w:val="1044"/>
    <w:next w:val="1067"/>
    <w:link w:val="1044"/>
    <w:pPr>
      <w:ind w:left="100" w:hanging="200"/>
    </w:pPr>
    <w:rPr>
      <w:rFonts w:ascii="Times New Roman" w:hAnsi="Times New Roman" w:eastAsia="宋体" w:cs="Times New Roman"/>
      <w:szCs w:val="21"/>
    </w:rPr>
  </w:style>
  <w:style w:type="paragraph" w:styleId="1068">
    <w:name w:val="目录 7"/>
    <w:basedOn w:val="1044"/>
    <w:next w:val="1044"/>
    <w:link w:val="1044"/>
    <w:semiHidden/>
    <w:pPr>
      <w:ind w:left="1260"/>
      <w:jc w:val="left"/>
    </w:pPr>
    <w:rPr>
      <w:rFonts w:ascii="Times New Roman" w:hAnsi="Times New Roman" w:eastAsia="宋体" w:cs="Times New Roman"/>
      <w:szCs w:val="21"/>
    </w:rPr>
  </w:style>
  <w:style w:type="paragraph" w:styleId="1069">
    <w:name w:val="文档结构图"/>
    <w:basedOn w:val="1044"/>
    <w:next w:val="1069"/>
    <w:link w:val="1070"/>
    <w:semiHidden/>
    <w:pPr>
      <w:shd w:val="clear" w:color="auto" w:fill="000080"/>
    </w:pPr>
    <w:rPr>
      <w:rFonts w:ascii="Times New Roman" w:hAnsi="Times New Roman" w:eastAsia="宋体" w:cs="Times New Roman"/>
      <w:szCs w:val="21"/>
    </w:rPr>
  </w:style>
  <w:style w:type="character" w:styleId="1070">
    <w:name w:val="文档结构图 Char"/>
    <w:next w:val="1070"/>
    <w:link w:val="1069"/>
    <w:semiHidden/>
    <w:rPr>
      <w:rFonts w:ascii="Times New Roman" w:hAnsi="Times New Roman" w:eastAsia="宋体" w:cs="Times New Roman"/>
      <w:szCs w:val="21"/>
      <w:shd w:val="clear" w:color="auto" w:fill="000080"/>
    </w:rPr>
  </w:style>
  <w:style w:type="paragraph" w:styleId="1071">
    <w:name w:val="批注文字"/>
    <w:basedOn w:val="1044"/>
    <w:next w:val="1071"/>
    <w:link w:val="1072"/>
    <w:unhideWhenUsed/>
    <w:pPr>
      <w:jc w:val="left"/>
    </w:pPr>
  </w:style>
  <w:style w:type="character" w:styleId="1072">
    <w:name w:val="批注文字 Char"/>
    <w:basedOn w:val="1054"/>
    <w:next w:val="1072"/>
    <w:link w:val="1071"/>
    <w:uiPriority w:val="99"/>
    <w:semiHidden/>
  </w:style>
  <w:style w:type="paragraph" w:styleId="1073">
    <w:name w:val="正文文本 3"/>
    <w:basedOn w:val="1044"/>
    <w:next w:val="1073"/>
    <w:link w:val="1074"/>
    <w:rPr>
      <w:rFonts w:ascii="仿宋_GB2312" w:hAnsi="Arial" w:eastAsia="仿宋_GB2312" w:cs="Times New Roman"/>
      <w:sz w:val="32"/>
      <w:szCs w:val="32"/>
    </w:rPr>
  </w:style>
  <w:style w:type="character" w:styleId="1074">
    <w:name w:val="正文文本 3 Char"/>
    <w:next w:val="1074"/>
    <w:link w:val="1073"/>
    <w:rPr>
      <w:rFonts w:ascii="仿宋_GB2312" w:hAnsi="Arial" w:eastAsia="仿宋_GB2312" w:cs="Times New Roman"/>
      <w:sz w:val="32"/>
      <w:szCs w:val="32"/>
    </w:rPr>
  </w:style>
  <w:style w:type="paragraph" w:styleId="1075">
    <w:name w:val="正文文本"/>
    <w:basedOn w:val="1044"/>
    <w:next w:val="1044"/>
    <w:link w:val="1076"/>
    <w:rPr>
      <w:rFonts w:ascii="楷体_GB2312" w:hAnsi="Arial" w:eastAsia="楷体_GB2312" w:cs="Times New Roman"/>
      <w:sz w:val="28"/>
      <w:szCs w:val="28"/>
    </w:rPr>
  </w:style>
  <w:style w:type="character" w:styleId="1076">
    <w:name w:val="正文文本 Char"/>
    <w:next w:val="1076"/>
    <w:link w:val="1075"/>
    <w:rPr>
      <w:rFonts w:ascii="楷体_GB2312" w:hAnsi="Arial" w:eastAsia="楷体_GB2312" w:cs="Times New Roman"/>
      <w:sz w:val="28"/>
      <w:szCs w:val="28"/>
    </w:rPr>
  </w:style>
  <w:style w:type="paragraph" w:styleId="1077">
    <w:name w:val="正文文本缩进"/>
    <w:basedOn w:val="1044"/>
    <w:next w:val="1079"/>
    <w:link w:val="1078"/>
    <w:unhideWhenUsed/>
    <w:pPr>
      <w:ind w:left="420"/>
      <w:spacing w:after="120"/>
    </w:pPr>
  </w:style>
  <w:style w:type="character" w:styleId="1078">
    <w:name w:val="正文文本缩进 Char"/>
    <w:basedOn w:val="1054"/>
    <w:next w:val="1078"/>
    <w:link w:val="1077"/>
    <w:uiPriority w:val="99"/>
    <w:semiHidden/>
  </w:style>
  <w:style w:type="paragraph" w:styleId="1079">
    <w:name w:val="寄信人地址"/>
    <w:next w:val="1079"/>
    <w:link w:val="1044"/>
    <w:qFormat/>
    <w:pPr>
      <w:jc w:val="both"/>
      <w:widowControl w:val="off"/>
    </w:pPr>
    <w:rPr>
      <w:rFonts w:ascii="Arial" w:hAnsi="Arial" w:eastAsia="宋体" w:cs="Arial"/>
      <w:sz w:val="21"/>
      <w:szCs w:val="21"/>
      <w:lang w:val="en-US" w:eastAsia="zh-CN" w:bidi="ar-SA"/>
    </w:rPr>
  </w:style>
  <w:style w:type="paragraph" w:styleId="1080">
    <w:name w:val="列表 2"/>
    <w:basedOn w:val="1044"/>
    <w:next w:val="1080"/>
    <w:link w:val="1044"/>
    <w:pPr>
      <w:ind w:left="100" w:hanging="200"/>
    </w:pPr>
    <w:rPr>
      <w:rFonts w:ascii="Times New Roman" w:hAnsi="Times New Roman" w:eastAsia="宋体" w:cs="Times New Roman"/>
      <w:szCs w:val="21"/>
    </w:rPr>
  </w:style>
  <w:style w:type="paragraph" w:styleId="1081">
    <w:name w:val="目录 5"/>
    <w:basedOn w:val="1044"/>
    <w:next w:val="1044"/>
    <w:link w:val="1044"/>
    <w:semiHidden/>
    <w:pPr>
      <w:ind w:left="840"/>
      <w:jc w:val="left"/>
    </w:pPr>
    <w:rPr>
      <w:rFonts w:ascii="Times New Roman" w:hAnsi="Times New Roman" w:eastAsia="宋体" w:cs="Times New Roman"/>
      <w:szCs w:val="21"/>
    </w:rPr>
  </w:style>
  <w:style w:type="paragraph" w:styleId="1082">
    <w:name w:val="目录 3"/>
    <w:basedOn w:val="1044"/>
    <w:next w:val="1044"/>
    <w:link w:val="1044"/>
    <w:semiHidden/>
    <w:pPr>
      <w:ind w:left="420"/>
      <w:jc w:val="left"/>
    </w:pPr>
    <w:rPr>
      <w:rFonts w:ascii="Times New Roman" w:hAnsi="Times New Roman" w:eastAsia="宋体" w:cs="Times New Roman"/>
      <w:i/>
      <w:iCs/>
      <w:szCs w:val="24"/>
    </w:rPr>
  </w:style>
  <w:style w:type="paragraph" w:styleId="1083">
    <w:name w:val="纯文本"/>
    <w:basedOn w:val="1044"/>
    <w:next w:val="1083"/>
    <w:link w:val="1084"/>
    <w:rPr>
      <w:rFonts w:ascii="宋体" w:hAnsi="Courier New" w:eastAsia="宋体" w:cs="Courier New"/>
      <w:szCs w:val="21"/>
    </w:rPr>
  </w:style>
  <w:style w:type="character" w:styleId="1084">
    <w:name w:val="纯文本 Char"/>
    <w:next w:val="1084"/>
    <w:link w:val="1083"/>
    <w:rPr>
      <w:rFonts w:ascii="宋体" w:hAnsi="Courier New" w:eastAsia="宋体" w:cs="Courier New"/>
      <w:szCs w:val="21"/>
    </w:rPr>
  </w:style>
  <w:style w:type="paragraph" w:styleId="1085">
    <w:name w:val="目录 8"/>
    <w:basedOn w:val="1044"/>
    <w:next w:val="1044"/>
    <w:link w:val="1044"/>
    <w:semiHidden/>
    <w:pPr>
      <w:ind w:left="1470"/>
      <w:jc w:val="left"/>
    </w:pPr>
    <w:rPr>
      <w:rFonts w:ascii="Times New Roman" w:hAnsi="Times New Roman" w:eastAsia="宋体" w:cs="Times New Roman"/>
      <w:szCs w:val="21"/>
    </w:rPr>
  </w:style>
  <w:style w:type="paragraph" w:styleId="1086">
    <w:name w:val="日期"/>
    <w:basedOn w:val="1044"/>
    <w:next w:val="1044"/>
    <w:link w:val="1087"/>
    <w:rPr>
      <w:rFonts w:ascii="Times New Roman" w:hAnsi="Times New Roman" w:eastAsia="宋体" w:cs="Times New Roman"/>
      <w:sz w:val="24"/>
      <w:szCs w:val="24"/>
    </w:rPr>
  </w:style>
  <w:style w:type="character" w:styleId="1087">
    <w:name w:val="日期 Char"/>
    <w:next w:val="1087"/>
    <w:link w:val="1086"/>
    <w:rPr>
      <w:rFonts w:ascii="Times New Roman" w:hAnsi="Times New Roman" w:eastAsia="宋体" w:cs="Times New Roman"/>
      <w:sz w:val="24"/>
      <w:szCs w:val="24"/>
    </w:rPr>
  </w:style>
  <w:style w:type="paragraph" w:styleId="1088">
    <w:name w:val="正文文本缩进 2"/>
    <w:basedOn w:val="1044"/>
    <w:next w:val="1088"/>
    <w:link w:val="1089"/>
    <w:pPr>
      <w:ind w:left="630" w:firstLine="645"/>
    </w:pPr>
    <w:rPr>
      <w:rFonts w:ascii="Arial" w:hAnsi="Arial" w:eastAsia="仿宋_GB2312" w:cs="Arial"/>
      <w:sz w:val="32"/>
      <w:szCs w:val="32"/>
    </w:rPr>
  </w:style>
  <w:style w:type="character" w:styleId="1089">
    <w:name w:val="正文文本缩进 2 Char"/>
    <w:next w:val="1089"/>
    <w:link w:val="1088"/>
    <w:rPr>
      <w:rFonts w:ascii="Arial" w:hAnsi="Arial" w:eastAsia="仿宋_GB2312" w:cs="Arial"/>
      <w:sz w:val="32"/>
      <w:szCs w:val="32"/>
    </w:rPr>
  </w:style>
  <w:style w:type="paragraph" w:styleId="1090">
    <w:name w:val="批注框文本"/>
    <w:basedOn w:val="1044"/>
    <w:next w:val="1090"/>
    <w:link w:val="1091"/>
    <w:semiHidden/>
    <w:rPr>
      <w:rFonts w:ascii="Times New Roman" w:hAnsi="Times New Roman" w:eastAsia="宋体" w:cs="Times New Roman"/>
      <w:sz w:val="18"/>
      <w:szCs w:val="18"/>
    </w:rPr>
  </w:style>
  <w:style w:type="character" w:styleId="1091">
    <w:name w:val="批注框文本 Char"/>
    <w:next w:val="1091"/>
    <w:link w:val="1090"/>
    <w:semiHidden/>
    <w:rPr>
      <w:rFonts w:ascii="Times New Roman" w:hAnsi="Times New Roman" w:eastAsia="宋体" w:cs="Times New Roman"/>
      <w:sz w:val="18"/>
      <w:szCs w:val="18"/>
    </w:rPr>
  </w:style>
  <w:style w:type="paragraph" w:styleId="1092">
    <w:name w:val="页脚"/>
    <w:basedOn w:val="1044"/>
    <w:next w:val="1092"/>
    <w:link w:val="1093"/>
    <w:pPr>
      <w:jc w:val="left"/>
      <w:tabs>
        <w:tab w:val="center" w:pos="4153" w:leader="none"/>
        <w:tab w:val="right" w:pos="8306" w:leader="none"/>
      </w:tabs>
    </w:pPr>
    <w:rPr>
      <w:rFonts w:ascii="Times New Roman" w:hAnsi="Times New Roman" w:eastAsia="宋体" w:cs="Times New Roman"/>
      <w:sz w:val="18"/>
      <w:szCs w:val="18"/>
    </w:rPr>
  </w:style>
  <w:style w:type="character" w:styleId="1093">
    <w:name w:val="页脚 Char"/>
    <w:next w:val="1093"/>
    <w:link w:val="1092"/>
    <w:rPr>
      <w:rFonts w:ascii="Times New Roman" w:hAnsi="Times New Roman" w:eastAsia="宋体" w:cs="Times New Roman"/>
      <w:sz w:val="18"/>
      <w:szCs w:val="18"/>
    </w:rPr>
  </w:style>
  <w:style w:type="paragraph" w:styleId="1094">
    <w:name w:val="页眉"/>
    <w:basedOn w:val="1044"/>
    <w:next w:val="1094"/>
    <w:link w:val="109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95">
    <w:name w:val="页眉 Char"/>
    <w:next w:val="1095"/>
    <w:link w:val="1094"/>
    <w:rPr>
      <w:rFonts w:ascii="Times New Roman" w:hAnsi="Times New Roman" w:eastAsia="宋体" w:cs="Times New Roman"/>
      <w:sz w:val="18"/>
      <w:szCs w:val="18"/>
    </w:rPr>
  </w:style>
  <w:style w:type="paragraph" w:styleId="1096">
    <w:name w:val="目录 1"/>
    <w:basedOn w:val="1044"/>
    <w:next w:val="1044"/>
    <w:link w:val="104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97">
    <w:name w:val="目录 4"/>
    <w:basedOn w:val="1044"/>
    <w:next w:val="1044"/>
    <w:link w:val="1044"/>
    <w:semiHidden/>
    <w:pPr>
      <w:ind w:left="630"/>
      <w:jc w:val="left"/>
    </w:pPr>
    <w:rPr>
      <w:rFonts w:ascii="Times New Roman" w:hAnsi="Times New Roman" w:eastAsia="宋体" w:cs="Times New Roman"/>
      <w:szCs w:val="21"/>
    </w:rPr>
  </w:style>
  <w:style w:type="paragraph" w:styleId="1098">
    <w:name w:val="列表"/>
    <w:basedOn w:val="1044"/>
    <w:next w:val="1098"/>
    <w:link w:val="1044"/>
    <w:pPr>
      <w:ind w:left="200" w:hanging="200"/>
    </w:pPr>
    <w:rPr>
      <w:rFonts w:ascii="Times New Roman" w:hAnsi="Times New Roman" w:eastAsia="宋体" w:cs="Times New Roman"/>
      <w:szCs w:val="21"/>
    </w:rPr>
  </w:style>
  <w:style w:type="paragraph" w:styleId="1099">
    <w:name w:val="目录 6"/>
    <w:basedOn w:val="1044"/>
    <w:next w:val="1044"/>
    <w:link w:val="1044"/>
    <w:semiHidden/>
    <w:pPr>
      <w:ind w:left="1050"/>
      <w:jc w:val="left"/>
    </w:pPr>
    <w:rPr>
      <w:rFonts w:ascii="Times New Roman" w:hAnsi="Times New Roman" w:eastAsia="宋体" w:cs="Times New Roman"/>
      <w:szCs w:val="21"/>
    </w:rPr>
  </w:style>
  <w:style w:type="paragraph" w:styleId="1100">
    <w:name w:val="正文文本缩进 3"/>
    <w:basedOn w:val="1044"/>
    <w:next w:val="1100"/>
    <w:link w:val="1101"/>
    <w:pPr>
      <w:ind w:left="645" w:firstLine="645"/>
    </w:pPr>
    <w:rPr>
      <w:rFonts w:ascii="Arial" w:hAnsi="Arial" w:eastAsia="仿宋_GB2312" w:cs="Arial"/>
      <w:color w:val="ffff00"/>
      <w:sz w:val="32"/>
      <w:szCs w:val="32"/>
    </w:rPr>
  </w:style>
  <w:style w:type="character" w:styleId="1101">
    <w:name w:val="正文文本缩进 3 Char"/>
    <w:next w:val="1101"/>
    <w:link w:val="1100"/>
    <w:rPr>
      <w:rFonts w:ascii="Arial" w:hAnsi="Arial" w:eastAsia="仿宋_GB2312" w:cs="Arial"/>
      <w:color w:val="ffff00"/>
      <w:sz w:val="32"/>
      <w:szCs w:val="32"/>
    </w:rPr>
  </w:style>
  <w:style w:type="paragraph" w:styleId="1102">
    <w:name w:val="图表目录"/>
    <w:basedOn w:val="1044"/>
    <w:next w:val="1044"/>
    <w:link w:val="1044"/>
    <w:semiHidden/>
    <w:pPr>
      <w:ind w:left="840" w:hanging="420"/>
    </w:pPr>
    <w:rPr>
      <w:rFonts w:ascii="Times New Roman" w:hAnsi="Times New Roman" w:eastAsia="宋体" w:cs="Times New Roman"/>
      <w:szCs w:val="21"/>
    </w:rPr>
  </w:style>
  <w:style w:type="paragraph" w:styleId="1103">
    <w:name w:val="目录 2"/>
    <w:basedOn w:val="1044"/>
    <w:next w:val="1044"/>
    <w:link w:val="1044"/>
    <w:semiHidden/>
    <w:pPr>
      <w:ind w:left="210"/>
      <w:jc w:val="left"/>
    </w:pPr>
    <w:rPr>
      <w:rFonts w:ascii="Times New Roman" w:hAnsi="Times New Roman" w:eastAsia="宋体" w:cs="Times New Roman"/>
      <w:smallCaps/>
      <w:szCs w:val="24"/>
    </w:rPr>
  </w:style>
  <w:style w:type="paragraph" w:styleId="1104">
    <w:name w:val="目录 9"/>
    <w:basedOn w:val="1044"/>
    <w:next w:val="1044"/>
    <w:link w:val="1044"/>
    <w:semiHidden/>
    <w:pPr>
      <w:ind w:left="1680"/>
      <w:jc w:val="left"/>
    </w:pPr>
    <w:rPr>
      <w:rFonts w:ascii="Times New Roman" w:hAnsi="Times New Roman" w:eastAsia="宋体" w:cs="Times New Roman"/>
      <w:szCs w:val="21"/>
    </w:rPr>
  </w:style>
  <w:style w:type="paragraph" w:styleId="1105">
    <w:name w:val="正文文本 2"/>
    <w:basedOn w:val="1044"/>
    <w:next w:val="1105"/>
    <w:link w:val="1106"/>
    <w:pPr>
      <w:jc w:val="center"/>
      <w:widowControl/>
    </w:pPr>
    <w:rPr>
      <w:rFonts w:ascii="楷体_GB2312" w:hAnsi="Times New Roman" w:eastAsia="楷体_GB2312" w:cs="Times New Roman"/>
      <w:sz w:val="28"/>
      <w:szCs w:val="28"/>
    </w:rPr>
  </w:style>
  <w:style w:type="character" w:styleId="1106">
    <w:name w:val="正文文本 2 Char"/>
    <w:next w:val="1106"/>
    <w:link w:val="1105"/>
    <w:rPr>
      <w:rFonts w:ascii="楷体_GB2312" w:hAnsi="Times New Roman" w:eastAsia="楷体_GB2312" w:cs="Times New Roman"/>
      <w:sz w:val="28"/>
      <w:szCs w:val="28"/>
    </w:rPr>
  </w:style>
  <w:style w:type="paragraph" w:styleId="1107">
    <w:name w:val="HTML 预设格式"/>
    <w:basedOn w:val="1044"/>
    <w:next w:val="1107"/>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8">
    <w:name w:val="普通(网站)"/>
    <w:basedOn w:val="1044"/>
    <w:next w:val="1108"/>
    <w:link w:val="1044"/>
    <w:uiPriority w:val="99"/>
    <w:pPr>
      <w:jc w:val="left"/>
      <w:spacing w:before="100" w:beforeAutospacing="1" w:after="100" w:afterAutospacing="1"/>
      <w:widowControl/>
    </w:pPr>
    <w:rPr>
      <w:rFonts w:ascii="宋体" w:hAnsi="宋体" w:eastAsia="宋体" w:cs="宋体"/>
      <w:sz w:val="24"/>
      <w:szCs w:val="24"/>
    </w:rPr>
  </w:style>
  <w:style w:type="paragraph" w:styleId="1109">
    <w:name w:val="索引 1"/>
    <w:basedOn w:val="1044"/>
    <w:next w:val="1044"/>
    <w:link w:val="1044"/>
    <w:semiHidden/>
    <w:pPr>
      <w:spacing w:line="240" w:lineRule="atLeast"/>
    </w:pPr>
    <w:rPr>
      <w:rFonts w:ascii="Times New Roman" w:hAnsi="Times New Roman" w:eastAsia="宋体" w:cs="Times New Roman"/>
      <w:b/>
      <w:bCs/>
      <w:szCs w:val="21"/>
    </w:rPr>
  </w:style>
  <w:style w:type="paragraph" w:styleId="1110">
    <w:name w:val="批注主题"/>
    <w:basedOn w:val="1071"/>
    <w:next w:val="1071"/>
    <w:link w:val="1111"/>
    <w:semiHidden/>
    <w:rPr>
      <w:rFonts w:ascii="Times New Roman" w:hAnsi="Times New Roman" w:eastAsia="宋体" w:cs="Times New Roman"/>
      <w:b/>
      <w:bCs/>
      <w:szCs w:val="21"/>
    </w:rPr>
  </w:style>
  <w:style w:type="character" w:styleId="1111">
    <w:name w:val="批注主题 Char"/>
    <w:next w:val="1111"/>
    <w:link w:val="1110"/>
    <w:semiHidden/>
    <w:rPr>
      <w:rFonts w:ascii="Times New Roman" w:hAnsi="Times New Roman" w:eastAsia="宋体" w:cs="Times New Roman"/>
      <w:b/>
      <w:bCs/>
      <w:szCs w:val="21"/>
    </w:rPr>
  </w:style>
  <w:style w:type="paragraph" w:styleId="1112">
    <w:name w:val="正文首行缩进"/>
    <w:basedOn w:val="1044"/>
    <w:next w:val="1112"/>
    <w:link w:val="1113"/>
    <w:pPr>
      <w:ind w:firstLine="200"/>
      <w:spacing w:line="360" w:lineRule="auto"/>
    </w:pPr>
    <w:rPr>
      <w:rFonts w:ascii="仿宋_GB2312" w:hAnsi="Times New Roman" w:eastAsia="仿宋_GB2312" w:cs="Times New Roman"/>
      <w:sz w:val="30"/>
      <w:szCs w:val="30"/>
    </w:rPr>
  </w:style>
  <w:style w:type="character" w:styleId="1113">
    <w:name w:val="正文首行缩进 Char"/>
    <w:next w:val="1113"/>
    <w:link w:val="1112"/>
    <w:rPr>
      <w:rFonts w:ascii="仿宋_GB2312" w:hAnsi="Times New Roman" w:eastAsia="仿宋_GB2312" w:cs="Times New Roman"/>
      <w:sz w:val="30"/>
      <w:szCs w:val="30"/>
    </w:rPr>
  </w:style>
  <w:style w:type="paragraph" w:styleId="1114">
    <w:name w:val="正文首行缩进 2"/>
    <w:basedOn w:val="1077"/>
    <w:next w:val="1098"/>
    <w:link w:val="1115"/>
    <w:pPr>
      <w:ind w:left="0" w:firstLine="420"/>
      <w:spacing w:after="0" w:line="360" w:lineRule="auto"/>
    </w:pPr>
    <w:rPr>
      <w:rFonts w:ascii="宋体" w:hAnsi="宋体" w:eastAsia="宋体" w:cs="Times New Roman"/>
      <w:szCs w:val="20"/>
    </w:rPr>
  </w:style>
  <w:style w:type="character" w:styleId="1115">
    <w:name w:val="正文首行缩进 2 Char"/>
    <w:next w:val="1115"/>
    <w:link w:val="1114"/>
    <w:rPr>
      <w:rFonts w:ascii="宋体" w:hAnsi="宋体" w:eastAsia="宋体" w:cs="Times New Roman"/>
      <w:szCs w:val="20"/>
    </w:rPr>
  </w:style>
  <w:style w:type="table" w:styleId="1116">
    <w:name w:val="网格型"/>
    <w:basedOn w:val="1055"/>
    <w:next w:val="1116"/>
    <w:link w:val="1044"/>
    <w:pPr>
      <w:jc w:val="both"/>
      <w:widowControl w:val="off"/>
    </w:pPr>
    <w:rPr>
      <w:rFonts w:ascii="Times New Roman" w:hAnsi="Times New Roman" w:eastAsia="宋体" w:cs="Times New Roman"/>
      <w:sz w:val="20"/>
      <w:szCs w:val="20"/>
    </w:rPr>
    <w:tblPr/>
  </w:style>
  <w:style w:type="character" w:styleId="1117">
    <w:name w:val="要点"/>
    <w:next w:val="1117"/>
    <w:link w:val="1044"/>
    <w:qFormat/>
    <w:rPr>
      <w:b/>
      <w:bCs/>
    </w:rPr>
  </w:style>
  <w:style w:type="character" w:styleId="1118">
    <w:name w:val="页码"/>
    <w:next w:val="1118"/>
    <w:link w:val="1044"/>
  </w:style>
  <w:style w:type="character" w:styleId="1119">
    <w:name w:val="已访问的超链接"/>
    <w:next w:val="1119"/>
    <w:link w:val="1044"/>
    <w:rPr>
      <w:color w:val="800080"/>
      <w:u w:val="single"/>
    </w:rPr>
  </w:style>
  <w:style w:type="character" w:styleId="1120">
    <w:name w:val="超链接"/>
    <w:next w:val="1120"/>
    <w:link w:val="1044"/>
    <w:rPr>
      <w:color w:val="0000ff"/>
      <w:u w:val="single"/>
    </w:rPr>
  </w:style>
  <w:style w:type="character" w:styleId="1121">
    <w:name w:val="批注引用"/>
    <w:next w:val="1121"/>
    <w:link w:val="1044"/>
    <w:semiHidden/>
    <w:rPr>
      <w:sz w:val="21"/>
      <w:szCs w:val="21"/>
    </w:rPr>
  </w:style>
  <w:style w:type="character" w:styleId="1122">
    <w:name w:val="font5 Char"/>
    <w:next w:val="1122"/>
    <w:link w:val="1044"/>
    <w:rPr>
      <w:rFonts w:ascii="宋体" w:hAnsi="宋体" w:eastAsia="宋体"/>
      <w:sz w:val="28"/>
      <w:szCs w:val="28"/>
      <w:lang w:val="en-US" w:eastAsia="zh-CN" w:bidi="ar-SA"/>
    </w:rPr>
  </w:style>
  <w:style w:type="character" w:styleId="1123">
    <w:name w:val="二级目录 Char"/>
    <w:next w:val="1123"/>
    <w:link w:val="1124"/>
    <w:rPr>
      <w:b/>
      <w:sz w:val="30"/>
      <w:szCs w:val="28"/>
    </w:rPr>
  </w:style>
  <w:style w:type="paragraph" w:styleId="1124">
    <w:name w:val="二级目录"/>
    <w:next w:val="1044"/>
    <w:link w:val="1123"/>
    <w:pPr>
      <w:numPr>
        <w:ilvl w:val="0"/>
        <w:numId w:val="2"/>
      </w:numPr>
      <w:tabs>
        <w:tab w:val="left" w:pos="907" w:leader="none"/>
        <w:tab w:val="left" w:pos="1145" w:leader="none"/>
      </w:tabs>
      <w:outlineLvl w:val="1"/>
    </w:pPr>
    <w:rPr>
      <w:b/>
      <w:sz w:val="30"/>
      <w:szCs w:val="28"/>
      <w:lang w:val="en-US" w:eastAsia="zh-CN" w:bidi="ar-SA"/>
    </w:rPr>
  </w:style>
  <w:style w:type="character" w:styleId="1125">
    <w:name w:val="列出段落 Char,Bullet List Char,numbered Char,FooterText Char,List Paragraph1 Char,Paragraphe de liste1 Char"/>
    <w:next w:val="1125"/>
    <w:link w:val="1126"/>
    <w:rPr>
      <w:rFonts w:ascii="Calibri" w:hAnsi="Calibri"/>
      <w:sz w:val="24"/>
      <w:szCs w:val="24"/>
      <w:lang w:eastAsia="en-US" w:bidi="en-US"/>
    </w:rPr>
  </w:style>
  <w:style w:type="paragraph" w:styleId="1126">
    <w:name w:val="列出段落1"/>
    <w:basedOn w:val="1044"/>
    <w:next w:val="1126"/>
    <w:link w:val="1125"/>
    <w:qFormat/>
    <w:pPr>
      <w:contextualSpacing/>
      <w:ind w:left="720"/>
      <w:jc w:val="left"/>
      <w:widowControl/>
    </w:pPr>
    <w:rPr>
      <w:rFonts w:ascii="Calibri" w:hAnsi="Calibri"/>
      <w:sz w:val="24"/>
      <w:szCs w:val="24"/>
      <w:lang w:eastAsia="en-US" w:bidi="en-US"/>
    </w:rPr>
  </w:style>
  <w:style w:type="paragraph" w:styleId="1127">
    <w:name w:val="Body Text(ch)"/>
    <w:basedOn w:val="1044"/>
    <w:next w:val="1075"/>
    <w:link w:val="1044"/>
    <w:pPr>
      <w:spacing w:after="120"/>
    </w:pPr>
    <w:rPr>
      <w:rFonts w:ascii="宋体" w:hAnsi="Arial" w:eastAsia="宋体" w:cs="Times New Roman"/>
      <w:bCs/>
      <w:iCs/>
      <w:szCs w:val="24"/>
    </w:rPr>
  </w:style>
  <w:style w:type="paragraph" w:styleId="1128">
    <w:name w:val="xl27"/>
    <w:basedOn w:val="1044"/>
    <w:next w:val="1128"/>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9">
    <w:name w:val="xl26"/>
    <w:basedOn w:val="1044"/>
    <w:next w:val="1129"/>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0">
    <w:name w:val="Char"/>
    <w:basedOn w:val="1044"/>
    <w:next w:val="1130"/>
    <w:link w:val="1044"/>
    <w:pPr>
      <w:ind w:firstLine="200"/>
      <w:tabs>
        <w:tab w:val="left" w:pos="360" w:leader="none"/>
      </w:tabs>
    </w:pPr>
    <w:rPr>
      <w:rFonts w:ascii="Times New Roman" w:hAnsi="Times New Roman" w:eastAsia="宋体" w:cs="Times New Roman"/>
      <w:sz w:val="28"/>
      <w:szCs w:val="30"/>
    </w:rPr>
  </w:style>
  <w:style w:type="paragraph" w:styleId="1131">
    <w:name w:val=" Char"/>
    <w:basedOn w:val="1069"/>
    <w:next w:val="1131"/>
    <w:link w:val="1044"/>
    <w:rPr>
      <w:rFonts w:ascii="Tahoma" w:hAnsi="Tahoma"/>
      <w:sz w:val="24"/>
      <w:szCs w:val="24"/>
    </w:rPr>
  </w:style>
  <w:style w:type="paragraph" w:styleId="1132">
    <w:name w:val="普通正文"/>
    <w:basedOn w:val="1044"/>
    <w:next w:val="1132"/>
    <w:link w:val="1044"/>
    <w:pPr>
      <w:ind w:firstLine="480"/>
      <w:jc w:val="left"/>
      <w:spacing w:before="120" w:after="120" w:line="360" w:lineRule="auto"/>
    </w:pPr>
    <w:rPr>
      <w:rFonts w:ascii="Arial" w:hAnsi="Arial" w:eastAsia="宋体" w:cs="Times New Roman"/>
      <w:sz w:val="24"/>
      <w:szCs w:val="24"/>
    </w:rPr>
  </w:style>
  <w:style w:type="paragraph" w:styleId="1133">
    <w:name w:val="table_lines"/>
    <w:basedOn w:val="1044"/>
    <w:next w:val="1133"/>
    <w:link w:val="1044"/>
    <w:pPr>
      <w:jc w:val="left"/>
      <w:widowControl/>
    </w:pPr>
    <w:rPr>
      <w:rFonts w:ascii="Times New Roman" w:hAnsi="Times New Roman" w:eastAsia="宋体" w:cs="Times New Roman"/>
      <w:sz w:val="20"/>
      <w:szCs w:val="20"/>
      <w:lang w:val="de-DE" w:eastAsia="de-DE"/>
    </w:rPr>
  </w:style>
  <w:style w:type="paragraph" w:styleId="1134">
    <w:name w:val="附录1"/>
    <w:next w:val="1134"/>
    <w:link w:val="104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35">
    <w:name w:val="font7"/>
    <w:basedOn w:val="1044"/>
    <w:next w:val="1135"/>
    <w:link w:val="1044"/>
    <w:pPr>
      <w:jc w:val="left"/>
      <w:spacing w:before="100" w:beforeAutospacing="1" w:after="100" w:afterAutospacing="1"/>
      <w:widowControl/>
    </w:pPr>
    <w:rPr>
      <w:rFonts w:hint="eastAsia" w:ascii="宋体" w:hAnsi="宋体" w:eastAsia="宋体" w:cs="Times New Roman"/>
      <w:sz w:val="18"/>
      <w:szCs w:val="18"/>
    </w:rPr>
  </w:style>
  <w:style w:type="paragraph" w:styleId="1136">
    <w:name w:val=" Char Char Char Char"/>
    <w:basedOn w:val="1069"/>
    <w:next w:val="1136"/>
    <w:link w:val="1044"/>
    <w:pPr>
      <w:spacing w:line="360" w:lineRule="auto"/>
    </w:pPr>
    <w:rPr>
      <w:rFonts w:ascii="Tahoma" w:hAnsi="Tahoma"/>
      <w:sz w:val="24"/>
      <w:szCs w:val="24"/>
    </w:rPr>
  </w:style>
  <w:style w:type="paragraph" w:styleId="1137">
    <w:name w:val="列出段落"/>
    <w:basedOn w:val="1044"/>
    <w:next w:val="1137"/>
    <w:link w:val="1044"/>
    <w:qFormat/>
    <w:pPr>
      <w:contextualSpacing/>
      <w:ind w:left="720"/>
      <w:jc w:val="left"/>
      <w:widowControl/>
    </w:pPr>
    <w:rPr>
      <w:rFonts w:ascii="Calibri" w:hAnsi="Calibri" w:eastAsia="宋体" w:cs="Times New Roman"/>
      <w:sz w:val="24"/>
      <w:szCs w:val="24"/>
      <w:lang w:eastAsia="en-US" w:bidi="en-US"/>
    </w:rPr>
  </w:style>
  <w:style w:type="paragraph" w:styleId="1138">
    <w:name w:val="4"/>
    <w:basedOn w:val="1044"/>
    <w:next w:val="1100"/>
    <w:link w:val="1044"/>
    <w:pPr>
      <w:ind w:firstLine="420"/>
      <w:spacing w:line="360" w:lineRule="auto"/>
    </w:pPr>
    <w:rPr>
      <w:rFonts w:ascii="Times New Roman" w:hAnsi="Times New Roman" w:eastAsia="宋体" w:cs="Times New Roman"/>
      <w:color w:val="ff0000"/>
      <w:sz w:val="24"/>
      <w:szCs w:val="24"/>
    </w:rPr>
  </w:style>
  <w:style w:type="paragraph" w:styleId="1139">
    <w:name w:val="普通 (Web)"/>
    <w:basedOn w:val="1044"/>
    <w:next w:val="1139"/>
    <w:link w:val="1044"/>
    <w:pPr>
      <w:jc w:val="left"/>
      <w:spacing w:before="100" w:beforeAutospacing="1" w:after="100" w:afterAutospacing="1"/>
      <w:widowControl/>
    </w:pPr>
    <w:rPr>
      <w:rFonts w:ascii="宋体" w:hAnsi="宋体" w:eastAsia="宋体" w:cs="Times New Roman"/>
      <w:sz w:val="24"/>
      <w:szCs w:val="24"/>
    </w:rPr>
  </w:style>
  <w:style w:type="paragraph" w:styleId="1140">
    <w:name w:val=" Char Char Char Char Char Char Char Char Char Char"/>
    <w:basedOn w:val="1044"/>
    <w:next w:val="1140"/>
    <w:link w:val="1044"/>
    <w:pPr>
      <w:spacing w:line="360" w:lineRule="auto"/>
    </w:pPr>
    <w:rPr>
      <w:rFonts w:ascii="Times New Roman" w:hAnsi="Times New Roman" w:eastAsia="宋体" w:cs="Times New Roman"/>
      <w:sz w:val="24"/>
      <w:szCs w:val="20"/>
    </w:rPr>
  </w:style>
  <w:style w:type="paragraph" w:styleId="1141">
    <w:name w:val="样式1"/>
    <w:basedOn w:val="1044"/>
    <w:next w:val="1141"/>
    <w:link w:val="1044"/>
    <w:pPr>
      <w:numPr>
        <w:ilvl w:val="0"/>
        <w:numId w:val="3"/>
      </w:numPr>
      <w:tabs>
        <w:tab w:val="left" w:pos="709" w:leader="none"/>
      </w:tabs>
    </w:pPr>
    <w:rPr>
      <w:rFonts w:ascii="宋体" w:hAnsi="宋体" w:eastAsia="宋体" w:cs="Times New Roman"/>
      <w:szCs w:val="21"/>
    </w:rPr>
  </w:style>
  <w:style w:type="paragraph" w:styleId="1142">
    <w:name w:val="font6"/>
    <w:basedOn w:val="1044"/>
    <w:next w:val="1142"/>
    <w:link w:val="1044"/>
    <w:pPr>
      <w:jc w:val="left"/>
      <w:spacing w:before="100" w:beforeAutospacing="1" w:after="100" w:afterAutospacing="1"/>
      <w:widowControl/>
    </w:pPr>
    <w:rPr>
      <w:rFonts w:hint="eastAsia" w:ascii="宋体" w:hAnsi="宋体" w:eastAsia="宋体" w:cs="Times New Roman"/>
      <w:sz w:val="28"/>
      <w:szCs w:val="28"/>
      <w:u w:val="single"/>
    </w:rPr>
  </w:style>
  <w:style w:type="paragraph" w:styleId="1143">
    <w:name w:val="xl25"/>
    <w:basedOn w:val="1044"/>
    <w:next w:val="1143"/>
    <w:link w:val="10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4">
    <w:name w:val="图标"/>
    <w:basedOn w:val="1044"/>
    <w:next w:val="1044"/>
    <w:link w:val="104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5">
    <w:name w:val="标题3"/>
    <w:basedOn w:val="1044"/>
    <w:next w:val="1044"/>
    <w:link w:val="1044"/>
    <w:pPr>
      <w:ind w:firstLine="624"/>
      <w:spacing w:line="590" w:lineRule="atLeast"/>
    </w:pPr>
    <w:rPr>
      <w:rFonts w:ascii="方正黑体_GBK" w:hAnsi="Times New Roman" w:eastAsia="方正黑体_GBK" w:cs="Times New Roman"/>
      <w:sz w:val="32"/>
      <w:szCs w:val="32"/>
    </w:rPr>
  </w:style>
  <w:style w:type="paragraph" w:styleId="1146">
    <w:name w:val="xl24"/>
    <w:basedOn w:val="1044"/>
    <w:next w:val="1146"/>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7">
    <w:name w:val="xl29"/>
    <w:basedOn w:val="1044"/>
    <w:next w:val="1147"/>
    <w:link w:val="104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8">
    <w:name w:val="Char Char Char Char Char Char Char Char"/>
    <w:basedOn w:val="1044"/>
    <w:next w:val="1148"/>
    <w:link w:val="1044"/>
    <w:pPr>
      <w:jc w:val="left"/>
      <w:spacing w:after="160" w:line="240" w:lineRule="exact"/>
      <w:widowControl/>
    </w:pPr>
    <w:rPr>
      <w:rFonts w:ascii="Verdana" w:hAnsi="Verdana" w:eastAsia="宋体" w:cs="Times New Roman"/>
      <w:sz w:val="20"/>
      <w:szCs w:val="20"/>
      <w:lang w:eastAsia="en-US"/>
    </w:rPr>
  </w:style>
  <w:style w:type="paragraph" w:styleId="1149">
    <w:name w:val="xl28"/>
    <w:basedOn w:val="1044"/>
    <w:next w:val="1149"/>
    <w:link w:val="10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50">
    <w:name w:val=" Char Char Char Char Char Char Char Char"/>
    <w:basedOn w:val="1044"/>
    <w:next w:val="1150"/>
    <w:link w:val="1044"/>
    <w:pPr>
      <w:jc w:val="left"/>
      <w:spacing w:after="160" w:line="240" w:lineRule="exact"/>
      <w:widowControl/>
    </w:pPr>
    <w:rPr>
      <w:rFonts w:ascii="Verdana" w:hAnsi="Verdana" w:eastAsia="宋体" w:cs="Times New Roman"/>
      <w:sz w:val="20"/>
      <w:szCs w:val="20"/>
      <w:lang w:eastAsia="en-US"/>
    </w:rPr>
  </w:style>
  <w:style w:type="paragraph" w:styleId="1151">
    <w:name w:val="xl30"/>
    <w:basedOn w:val="1044"/>
    <w:next w:val="1151"/>
    <w:link w:val="1044"/>
    <w:pPr>
      <w:jc w:val="center"/>
      <w:spacing w:before="100" w:beforeAutospacing="1" w:after="100" w:afterAutospacing="1"/>
      <w:widowControl/>
    </w:pPr>
    <w:rPr>
      <w:rFonts w:ascii="宋体" w:hAnsi="宋体" w:eastAsia="宋体" w:cs="Times New Roman"/>
      <w:b/>
      <w:bCs/>
      <w:sz w:val="36"/>
      <w:szCs w:val="36"/>
    </w:rPr>
  </w:style>
  <w:style w:type="paragraph" w:styleId="1152">
    <w:name w:val="Char Char Char Char"/>
    <w:basedOn w:val="1069"/>
    <w:next w:val="1152"/>
    <w:link w:val="1044"/>
    <w:pPr>
      <w:spacing w:line="360" w:lineRule="auto"/>
    </w:pPr>
    <w:rPr>
      <w:rFonts w:ascii="Tahoma" w:hAnsi="Tahoma"/>
      <w:sz w:val="24"/>
      <w:szCs w:val="24"/>
    </w:rPr>
  </w:style>
  <w:style w:type="paragraph" w:styleId="1153">
    <w:name w:val="table_1stline"/>
    <w:basedOn w:val="1044"/>
    <w:next w:val="1153"/>
    <w:link w:val="1044"/>
    <w:pPr>
      <w:jc w:val="left"/>
      <w:spacing w:before="120"/>
      <w:widowControl/>
    </w:pPr>
    <w:rPr>
      <w:rFonts w:ascii="Times New Roman" w:hAnsi="Times New Roman" w:eastAsia="宋体" w:cs="Times New Roman"/>
      <w:bCs/>
      <w:sz w:val="20"/>
      <w:szCs w:val="20"/>
      <w:lang w:val="de-DE" w:eastAsia="de-DE"/>
    </w:rPr>
  </w:style>
  <w:style w:type="paragraph" w:styleId="1154">
    <w:name w:val="font5"/>
    <w:basedOn w:val="1044"/>
    <w:next w:val="1154"/>
    <w:link w:val="1044"/>
    <w:pPr>
      <w:jc w:val="left"/>
      <w:spacing w:before="100" w:beforeAutospacing="1" w:after="100" w:afterAutospacing="1"/>
      <w:widowControl/>
    </w:pPr>
    <w:rPr>
      <w:rFonts w:hint="eastAsia" w:ascii="宋体" w:hAnsi="宋体" w:eastAsia="宋体" w:cs="Times New Roman"/>
      <w:sz w:val="28"/>
      <w:szCs w:val="28"/>
    </w:rPr>
  </w:style>
  <w:style w:type="paragraph" w:styleId="1155">
    <w:name w:val="标题1"/>
    <w:basedOn w:val="1044"/>
    <w:next w:val="1044"/>
    <w:link w:val="104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6">
    <w:name w:val="修订"/>
    <w:next w:val="1156"/>
    <w:link w:val="1044"/>
    <w:uiPriority w:val="99"/>
    <w:semiHidden/>
    <w:rPr>
      <w:rFonts w:ascii="Times New Roman" w:hAnsi="Times New Roman"/>
      <w:sz w:val="21"/>
      <w:szCs w:val="21"/>
      <w:lang w:val="en-US" w:eastAsia="zh-CN" w:bidi="ar-SA"/>
    </w:rPr>
  </w:style>
  <w:style w:type="paragraph" w:styleId="1157">
    <w:name w:val="无间隔"/>
    <w:next w:val="1157"/>
    <w:link w:val="1044"/>
    <w:uiPriority w:val="99"/>
    <w:qFormat/>
    <w:pPr>
      <w:jc w:val="both"/>
      <w:widowControl w:val="off"/>
    </w:pPr>
    <w:rPr>
      <w:rFonts w:ascii="Times New Roman" w:hAnsi="Times New Roman"/>
      <w:sz w:val="21"/>
      <w:szCs w:val="21"/>
      <w:lang w:val="en-US" w:eastAsia="zh-CN" w:bidi="ar-SA"/>
    </w:rPr>
  </w:style>
  <w:style w:type="paragraph" w:styleId="1158">
    <w:name w:val="Table Paragraph"/>
    <w:basedOn w:val="1044"/>
    <w:next w:val="1158"/>
    <w:link w:val="1044"/>
    <w:uiPriority w:val="1"/>
    <w:qFormat/>
    <w:rPr>
      <w:rFonts w:ascii="宋体" w:hAnsi="宋体" w:eastAsia="宋体" w:cs="宋体"/>
      <w:lang w:val="zh-CN" w:bidi="zh-CN"/>
    </w:rPr>
  </w:style>
  <w:style w:type="paragraph" w:styleId="1159">
    <w:name w:val="List Paragraph"/>
    <w:basedOn w:val="1044"/>
    <w:next w:val="1159"/>
    <w:link w:val="1044"/>
    <w:uiPriority w:val="34"/>
    <w:qFormat/>
    <w:pPr>
      <w:ind w:firstLine="420"/>
    </w:pPr>
  </w:style>
  <w:style w:type="character" w:styleId="1160">
    <w:name w:val="font71"/>
    <w:next w:val="1160"/>
    <w:link w:val="1044"/>
    <w:qFormat/>
    <w:rPr>
      <w:rFonts w:hint="eastAsia" w:ascii="宋体" w:hAnsi="宋体" w:eastAsia="宋体" w:cs="宋体"/>
      <w:color w:val="ff0000"/>
      <w:sz w:val="21"/>
      <w:szCs w:val="21"/>
      <w:u w:val="none"/>
    </w:rPr>
  </w:style>
  <w:style w:type="character" w:styleId="1161">
    <w:name w:val="font21"/>
    <w:next w:val="1161"/>
    <w:link w:val="1044"/>
    <w:qFormat/>
    <w:rPr>
      <w:rFonts w:hint="eastAsia" w:ascii="宋体" w:hAnsi="宋体" w:eastAsia="宋体" w:cs="宋体"/>
      <w:color w:val="000000"/>
      <w:sz w:val="22"/>
      <w:szCs w:val="22"/>
      <w:u w:val="none"/>
    </w:rPr>
  </w:style>
  <w:style w:type="character" w:styleId="1162">
    <w:name w:val="font31"/>
    <w:next w:val="1162"/>
    <w:link w:val="1044"/>
    <w:qFormat/>
    <w:rPr>
      <w:rFonts w:hint="eastAsia" w:ascii="宋体" w:hAnsi="宋体" w:eastAsia="宋体" w:cs="宋体"/>
      <w:color w:val="000000"/>
      <w:sz w:val="21"/>
      <w:szCs w:val="21"/>
      <w:u w:val="none"/>
    </w:rPr>
  </w:style>
  <w:style w:type="character" w:styleId="1163">
    <w:name w:val="NormalCharacter1"/>
    <w:next w:val="1163"/>
    <w:link w:val="1044"/>
    <w:semiHidden/>
    <w:qFormat/>
    <w:rPr>
      <w:rFonts w:ascii="Arial" w:hAnsi="Arial" w:eastAsia="Arial" w:cs="Arial"/>
      <w:color w:val="000000"/>
      <w:sz w:val="21"/>
      <w:szCs w:val="21"/>
    </w:rPr>
  </w:style>
  <w:style w:type="paragraph" w:styleId="1164">
    <w:name w:val="正文文本1"/>
    <w:basedOn w:val="1044"/>
    <w:next w:val="1044"/>
    <w:link w:val="1044"/>
    <w:qFormat/>
    <w:rPr>
      <w:rFonts w:ascii="楷体_GB2312" w:hAnsi="Arial" w:eastAsia="楷体_GB2312" w:cs="Times New Roman"/>
      <w:sz w:val="28"/>
      <w:szCs w:val="28"/>
    </w:rPr>
  </w:style>
  <w:style w:type="paragraph" w:styleId="1165">
    <w:name w:val="图表"/>
    <w:next w:val="1165"/>
    <w:link w:val="1044"/>
    <w:qFormat/>
    <w:pPr>
      <w:jc w:val="center"/>
      <w:spacing w:line="360" w:lineRule="auto"/>
      <w:widowControl w:val="off"/>
    </w:pPr>
    <w:rPr>
      <w:rFonts w:hint="eastAsia" w:ascii="宋体" w:hAnsi="宋体" w:eastAsia="宋体" w:cs="宋体"/>
      <w:color w:val="000000"/>
      <w:sz w:val="24"/>
      <w:szCs w:val="21"/>
      <w:lang w:val="en-US" w:eastAsia="zh-CN" w:bidi="ar-SA"/>
    </w:rPr>
  </w:style>
  <w:style w:type="paragraph" w:styleId="1166">
    <w:name w:val="Table Text"/>
    <w:next w:val="1166"/>
    <w:link w:val="1044"/>
    <w:semiHidden/>
    <w:qFormat/>
    <w:pPr>
      <w:jc w:val="both"/>
      <w:widowControl w:val="off"/>
    </w:pPr>
    <w:rPr>
      <w:rFonts w:ascii="宋体" w:hAnsi="宋体" w:eastAsia="宋体" w:cs="宋体"/>
      <w:sz w:val="24"/>
      <w:szCs w:val="21"/>
      <w:lang w:val="en-US" w:eastAsia="en-US" w:bidi="ar-SA"/>
    </w:rPr>
  </w:style>
  <w:style w:type="character" w:styleId="1167" w:default="1">
    <w:name w:val="Default Paragraph Font"/>
    <w:uiPriority w:val="1"/>
    <w:semiHidden/>
    <w:unhideWhenUsed/>
  </w:style>
  <w:style w:type="numbering" w:styleId="1168" w:default="1">
    <w:name w:val="No List"/>
    <w:uiPriority w:val="99"/>
    <w:semiHidden/>
    <w:unhideWhenUsed/>
  </w:style>
  <w:style w:type="table" w:styleId="11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4</cp:revision>
  <dcterms:created xsi:type="dcterms:W3CDTF">2023-03-16T02:13:00Z</dcterms:created>
  <dcterms:modified xsi:type="dcterms:W3CDTF">2026-06-24T03:32:52Z</dcterms:modified>
</cp:coreProperties>
</file>