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jc w:val="center"/>
        <w:spacing w:before="100" w:after="100" w:line="360" w:lineRule="auto"/>
        <w:rPr>
          <w:rFonts w:hint="eastAsia" w:ascii="Microsoft New Tai Lue" w:hAnsi="Microsoft New Tai Lue" w:eastAsia="宋体" w:cs="Microsoft New Tai Lue"/>
          <w:b/>
          <w:color w:val="000000"/>
          <w:sz w:val="56"/>
          <w:szCs w:val="56"/>
          <w:highlight w:val="none"/>
          <w:lang w:val="en-US" w:eastAsia="zh-CN" w:bidi="ar-SA"/>
        </w:rPr>
      </w:pPr>
      <w:r>
        <w:rPr>
          <w:rFonts w:hint="eastAsia" w:ascii="Microsoft New Tai Lue" w:hAnsi="Microsoft New Tai Lue" w:cs="Microsoft New Tai Lue"/>
          <w:b/>
          <w:color w:val="000000"/>
          <w:sz w:val="56"/>
          <w:szCs w:val="56"/>
          <w:highlight w:val="none"/>
          <w:lang w:val="en-US" w:eastAsia="zh-CN" w:bidi="ar-SA"/>
        </w:rPr>
        <w:t xml:space="preserve">仙林校区学生公寓A楼宿舍维修消险改造工程</w:t>
      </w:r>
      <w:r/>
    </w:p>
    <w:p>
      <w:pPr>
        <w:pStyle w:val="980"/>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80"/>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80"/>
        <w:jc w:val="center"/>
        <w:rPr>
          <w:rFonts w:ascii="Microsoft New Tai Lue" w:hAnsi="Microsoft New Tai Lue" w:cs="Microsoft New Tai Lue"/>
          <w:b/>
          <w:color w:val="000000"/>
          <w:sz w:val="84"/>
          <w:szCs w:val="84"/>
          <w:highlight w:val="none"/>
        </w:rPr>
      </w:pPr>
      <w:r>
        <w:rPr>
          <w:rFonts w:hint="eastAsia" w:ascii="Microsoft New Tai Lue" w:hAnsi="Microsoft New Tai Lue" w:cs="Microsoft New Tai Lue"/>
          <w:b/>
          <w:color w:val="000000"/>
          <w:sz w:val="84"/>
          <w:szCs w:val="84"/>
          <w:highlight w:val="none"/>
        </w:rPr>
        <w:t xml:space="preserve">竞争性磋商</w:t>
      </w:r>
      <w:r>
        <w:rPr>
          <w:rFonts w:ascii="Microsoft New Tai Lue" w:hAnsi="Microsoft New Tai Lue" w:cs="Microsoft New Tai Lue"/>
          <w:b/>
          <w:color w:val="000000"/>
          <w:sz w:val="84"/>
          <w:szCs w:val="84"/>
          <w:highlight w:val="none"/>
        </w:rPr>
        <w:t xml:space="preserve">文件</w:t>
      </w:r>
      <w:r/>
    </w:p>
    <w:p>
      <w:pPr>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JSZC-320000-JITC-C2026-0213</w:t>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购</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人：</w:t>
      </w:r>
      <w:r>
        <w:rPr>
          <w:rFonts w:hint="eastAsia" w:ascii="Microsoft New Tai Lue" w:hAnsi="Microsoft New Tai Lue" w:cs="Microsoft New Tai Lue"/>
          <w:b/>
          <w:color w:val="000000"/>
          <w:sz w:val="32"/>
          <w:highlight w:val="none"/>
          <w:lang w:eastAsia="zh-CN"/>
        </w:rPr>
        <w:t xml:space="preserve">南京体育学院</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p>
    <w:p>
      <w:pPr>
        <w:jc w:val="center"/>
        <w:rPr>
          <w:rFonts w:ascii="Microsoft New Tai Lue" w:hAnsi="Microsoft New Tai Lue" w:cs="Microsoft New Tai Lue"/>
          <w:color w:val="000000"/>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零二</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月</w:t>
      </w:r>
      <w:r/>
    </w:p>
    <w:p>
      <w:pPr>
        <w:jc w:val="center"/>
        <w:spacing w:line="500" w:lineRule="exact"/>
        <w:rPr>
          <w:rFonts w:ascii="Microsoft New Tai Lue" w:hAnsi="Microsoft New Tai Lue" w:cs="Microsoft New Tai Lue"/>
          <w:b/>
          <w:color w:val="000000"/>
          <w:sz w:val="44"/>
          <w:szCs w:val="44"/>
          <w:highlight w:val="none"/>
        </w:rPr>
      </w:pPr>
      <w:r/>
      <w:bookmarkStart w:id="0" w:name="_Toc531620161"/>
      <w:r/>
      <w:bookmarkStart w:id="1" w:name="_Toc80264696"/>
      <w:r>
        <w:rPr>
          <w:rFonts w:ascii="Microsoft New Tai Lue" w:hAnsi="Microsoft New Tai Lue" w:cs="Microsoft New Tai Lue"/>
          <w:b/>
          <w:color w:val="000000"/>
          <w:sz w:val="44"/>
          <w:szCs w:val="44"/>
          <w:highlight w:val="none"/>
        </w:rPr>
        <w:t xml:space="preserve">目   录</w:t>
      </w:r>
      <w:r/>
    </w:p>
    <w:p>
      <w:pPr>
        <w:pStyle w:val="789"/>
        <w:jc w:val="left"/>
        <w:spacing w:line="480" w:lineRule="auto"/>
        <w:tabs>
          <w:tab w:val="right" w:pos="8730" w:leader="dot"/>
        </w:tabs>
        <w:rPr>
          <w:b/>
          <w:bCs/>
          <w:sz w:val="30"/>
          <w:szCs w:val="30"/>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_Toc30635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第一章 </w:t>
      </w:r>
      <w:r>
        <w:rPr>
          <w:rFonts w:hint="eastAsia" w:ascii="Microsoft New Tai Lue" w:hAnsi="Microsoft New Tai Lue" w:cs="Microsoft New Tai Lue"/>
          <w:b/>
          <w:bCs/>
          <w:sz w:val="30"/>
          <w:szCs w:val="30"/>
          <w:highlight w:val="none"/>
        </w:rPr>
        <w:t xml:space="preserve">竞争性磋商公告</w:t>
      </w:r>
      <w:r>
        <w:rPr>
          <w:b/>
          <w:bCs/>
          <w:sz w:val="30"/>
          <w:szCs w:val="30"/>
          <w:highlight w:val="none"/>
        </w:rPr>
        <w:tab/>
      </w:r>
      <w:r>
        <w:rPr>
          <w:b/>
          <w:bCs/>
          <w:sz w:val="30"/>
          <w:szCs w:val="30"/>
          <w:highlight w:val="none"/>
        </w:rPr>
        <w:fldChar w:fldCharType="begin"/>
      </w:r>
      <w:r>
        <w:rPr>
          <w:b/>
          <w:bCs/>
          <w:sz w:val="30"/>
          <w:szCs w:val="30"/>
          <w:highlight w:val="none"/>
        </w:rPr>
        <w:instrText xml:space="preserve"> PAGEREF _Toc30635 \h </w:instrText>
      </w:r>
      <w:r>
        <w:rPr>
          <w:b/>
          <w:bCs/>
          <w:sz w:val="30"/>
          <w:szCs w:val="30"/>
          <w:highlight w:val="none"/>
        </w:rPr>
        <w:fldChar w:fldCharType="separate"/>
      </w:r>
      <w:r>
        <w:rPr>
          <w:b/>
          <w:bCs/>
          <w:sz w:val="30"/>
          <w:szCs w:val="30"/>
          <w:highlight w:val="none"/>
        </w:rPr>
        <w:t xml:space="preserve">2</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9"/>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_Toc26529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第二章 供应商须知</w:t>
      </w:r>
      <w:r>
        <w:rPr>
          <w:b/>
          <w:bCs/>
          <w:sz w:val="30"/>
          <w:szCs w:val="30"/>
          <w:highlight w:val="none"/>
        </w:rPr>
        <w:tab/>
      </w:r>
      <w:r>
        <w:rPr>
          <w:b/>
          <w:bCs/>
          <w:sz w:val="30"/>
          <w:szCs w:val="30"/>
          <w:highlight w:val="none"/>
        </w:rPr>
        <w:fldChar w:fldCharType="begin"/>
      </w:r>
      <w:r>
        <w:rPr>
          <w:b/>
          <w:bCs/>
          <w:sz w:val="30"/>
          <w:szCs w:val="30"/>
          <w:highlight w:val="none"/>
        </w:rPr>
        <w:instrText xml:space="preserve"> PAGEREF _Toc26529 \h </w:instrText>
      </w:r>
      <w:r>
        <w:rPr>
          <w:b/>
          <w:bCs/>
          <w:sz w:val="30"/>
          <w:szCs w:val="30"/>
          <w:highlight w:val="none"/>
        </w:rPr>
        <w:fldChar w:fldCharType="separate"/>
      </w:r>
      <w:r>
        <w:rPr>
          <w:b/>
          <w:bCs/>
          <w:sz w:val="30"/>
          <w:szCs w:val="30"/>
          <w:highlight w:val="none"/>
        </w:rPr>
        <w:t xml:space="preserve">7</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9"/>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_Toc18850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w:t>
      </w:r>
      <w:r>
        <w:rPr>
          <w:rFonts w:hint="eastAsia" w:ascii="Microsoft New Tai Lue" w:hAnsi="Microsoft New Tai Lue" w:cs="Microsoft New Tai Lue"/>
          <w:b/>
          <w:bCs/>
          <w:sz w:val="30"/>
          <w:szCs w:val="30"/>
          <w:highlight w:val="none"/>
          <w:lang w:val="en-US" w:eastAsia="zh-CN"/>
        </w:rPr>
        <w:t xml:space="preserve">三</w:t>
      </w:r>
      <w:r>
        <w:rPr>
          <w:rFonts w:ascii="Microsoft New Tai Lue" w:hAnsi="Microsoft New Tai Lue" w:cs="Microsoft New Tai Lue"/>
          <w:b/>
          <w:bCs/>
          <w:sz w:val="30"/>
          <w:szCs w:val="30"/>
          <w:highlight w:val="none"/>
        </w:rPr>
        <w:t xml:space="preserve">章 评审方法与评审标准</w:t>
      </w:r>
      <w:r>
        <w:rPr>
          <w:b/>
          <w:bCs/>
          <w:sz w:val="30"/>
          <w:szCs w:val="30"/>
          <w:highlight w:val="none"/>
        </w:rPr>
        <w:tab/>
      </w:r>
      <w:r>
        <w:rPr>
          <w:b/>
          <w:bCs/>
          <w:sz w:val="30"/>
          <w:szCs w:val="30"/>
          <w:highlight w:val="none"/>
        </w:rPr>
        <w:fldChar w:fldCharType="begin"/>
      </w:r>
      <w:r>
        <w:rPr>
          <w:b/>
          <w:bCs/>
          <w:sz w:val="30"/>
          <w:szCs w:val="30"/>
          <w:highlight w:val="none"/>
        </w:rPr>
        <w:instrText xml:space="preserve"> PAGEREF _Toc18850 \h </w:instrText>
      </w:r>
      <w:r>
        <w:rPr>
          <w:b/>
          <w:bCs/>
          <w:sz w:val="30"/>
          <w:szCs w:val="30"/>
          <w:highlight w:val="none"/>
        </w:rPr>
        <w:fldChar w:fldCharType="separate"/>
      </w:r>
      <w:r>
        <w:rPr>
          <w:b/>
          <w:bCs/>
          <w:sz w:val="30"/>
          <w:szCs w:val="30"/>
          <w:highlight w:val="none"/>
        </w:rPr>
        <w:t xml:space="preserve">24</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9"/>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_Toc28240 </w:instrText>
      </w:r>
      <w:r>
        <w:rPr>
          <w:rFonts w:ascii="宋体" w:hAnsi="宋体" w:eastAsia="宋体"/>
          <w:b/>
          <w:bCs/>
          <w:sz w:val="30"/>
          <w:szCs w:val="30"/>
          <w:highlight w:val="none"/>
        </w:rPr>
        <w:fldChar w:fldCharType="separate"/>
      </w:r>
      <w:r>
        <w:rPr>
          <w:rFonts w:hint="eastAsia" w:ascii="Times New Roman" w:hAnsi="Times New Roman" w:eastAsia="宋体" w:cs="Times New Roman"/>
          <w:b/>
          <w:bCs/>
          <w:sz w:val="30"/>
          <w:szCs w:val="30"/>
          <w:highlight w:val="none"/>
          <w:lang w:eastAsia="zh-CN"/>
        </w:rPr>
        <w:t xml:space="preserve">第四章</w:t>
      </w:r>
      <w:r>
        <w:rPr>
          <w:rFonts w:hint="eastAsia" w:ascii="Times New Roman" w:hAnsi="Times New Roman" w:eastAsia="宋体" w:cs="Times New Roman"/>
          <w:b/>
          <w:bCs/>
          <w:sz w:val="30"/>
          <w:szCs w:val="30"/>
          <w:highlight w:val="none"/>
          <w:lang w:val="en-US" w:eastAsia="zh-CN"/>
        </w:rPr>
        <w:t xml:space="preserve"> </w:t>
      </w:r>
      <w:r>
        <w:rPr>
          <w:rFonts w:hint="eastAsia" w:ascii="Times New Roman" w:hAnsi="Times New Roman" w:eastAsia="宋体" w:cs="Times New Roman"/>
          <w:b/>
          <w:bCs/>
          <w:sz w:val="30"/>
          <w:szCs w:val="30"/>
          <w:highlight w:val="none"/>
          <w:lang w:eastAsia="zh-CN"/>
        </w:rPr>
        <w:t xml:space="preserve">采购需求</w:t>
      </w:r>
      <w:r>
        <w:rPr>
          <w:b/>
          <w:bCs/>
          <w:sz w:val="30"/>
          <w:szCs w:val="30"/>
          <w:highlight w:val="none"/>
        </w:rPr>
        <w:tab/>
      </w:r>
      <w:r>
        <w:rPr>
          <w:b/>
          <w:bCs/>
          <w:sz w:val="30"/>
          <w:szCs w:val="30"/>
          <w:highlight w:val="none"/>
        </w:rPr>
        <w:fldChar w:fldCharType="begin"/>
      </w:r>
      <w:r>
        <w:rPr>
          <w:b/>
          <w:bCs/>
          <w:sz w:val="30"/>
          <w:szCs w:val="30"/>
          <w:highlight w:val="none"/>
        </w:rPr>
        <w:instrText xml:space="preserve"> PAGEREF _Toc28240 \h </w:instrText>
      </w:r>
      <w:r>
        <w:rPr>
          <w:b/>
          <w:bCs/>
          <w:sz w:val="30"/>
          <w:szCs w:val="30"/>
          <w:highlight w:val="none"/>
        </w:rPr>
        <w:fldChar w:fldCharType="separate"/>
      </w:r>
      <w:r>
        <w:rPr>
          <w:b/>
          <w:bCs/>
          <w:sz w:val="30"/>
          <w:szCs w:val="30"/>
          <w:highlight w:val="none"/>
        </w:rPr>
        <w:t xml:space="preserve">27</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9"/>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_Toc3304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w:t>
      </w:r>
      <w:r>
        <w:rPr>
          <w:rFonts w:hint="eastAsia" w:ascii="Microsoft New Tai Lue" w:hAnsi="Microsoft New Tai Lue" w:cs="Microsoft New Tai Lue"/>
          <w:b/>
          <w:bCs/>
          <w:sz w:val="30"/>
          <w:szCs w:val="30"/>
          <w:highlight w:val="none"/>
          <w:lang w:val="en-US" w:eastAsia="zh-CN"/>
        </w:rPr>
        <w:t xml:space="preserve">五</w:t>
      </w:r>
      <w:r>
        <w:rPr>
          <w:rFonts w:ascii="Microsoft New Tai Lue" w:hAnsi="Microsoft New Tai Lue" w:cs="Microsoft New Tai Lue"/>
          <w:b/>
          <w:bCs/>
          <w:sz w:val="30"/>
          <w:szCs w:val="30"/>
          <w:highlight w:val="none"/>
        </w:rPr>
        <w:t xml:space="preserve">章 </w:t>
      </w:r>
      <w:r>
        <w:rPr>
          <w:rFonts w:hint="eastAsia" w:ascii="宋体" w:hAnsi="宋体" w:cs="宋体"/>
          <w:b/>
          <w:bCs/>
          <w:sz w:val="30"/>
          <w:szCs w:val="30"/>
          <w:highlight w:val="none"/>
        </w:rPr>
        <w:t xml:space="preserve">政府采购合同条款及格式</w:t>
      </w:r>
      <w:r>
        <w:rPr>
          <w:b/>
          <w:bCs/>
          <w:sz w:val="30"/>
          <w:szCs w:val="30"/>
          <w:highlight w:val="none"/>
        </w:rPr>
        <w:tab/>
      </w:r>
      <w:r>
        <w:rPr>
          <w:b/>
          <w:bCs/>
          <w:sz w:val="30"/>
          <w:szCs w:val="30"/>
          <w:highlight w:val="none"/>
        </w:rPr>
        <w:fldChar w:fldCharType="begin"/>
      </w:r>
      <w:r>
        <w:rPr>
          <w:b/>
          <w:bCs/>
          <w:sz w:val="30"/>
          <w:szCs w:val="30"/>
          <w:highlight w:val="none"/>
        </w:rPr>
        <w:instrText xml:space="preserve"> PAGEREF _Toc3304 \h </w:instrText>
      </w:r>
      <w:r>
        <w:rPr>
          <w:b/>
          <w:bCs/>
          <w:sz w:val="30"/>
          <w:szCs w:val="30"/>
          <w:highlight w:val="none"/>
        </w:rPr>
        <w:fldChar w:fldCharType="separate"/>
      </w:r>
      <w:r>
        <w:rPr>
          <w:b/>
          <w:bCs/>
          <w:sz w:val="30"/>
          <w:szCs w:val="30"/>
          <w:highlight w:val="none"/>
        </w:rPr>
        <w:t xml:space="preserve">29</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9"/>
        <w:jc w:val="left"/>
        <w:spacing w:line="480" w:lineRule="auto"/>
        <w:tabs>
          <w:tab w:val="right" w:pos="8730" w:leader="dot"/>
        </w:tabs>
        <w:rPr>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_Toc7207 </w:instrText>
      </w:r>
      <w:r>
        <w:rPr>
          <w:rFonts w:ascii="宋体" w:hAnsi="宋体" w:eastAsia="宋体"/>
          <w:b/>
          <w:bCs/>
          <w:sz w:val="30"/>
          <w:szCs w:val="30"/>
          <w:highlight w:val="none"/>
        </w:rPr>
        <w:fldChar w:fldCharType="separate"/>
      </w:r>
      <w:r>
        <w:rPr>
          <w:rFonts w:ascii="Microsoft New Tai Lue" w:hAnsi="Microsoft New Tai Lue" w:eastAsia="宋体" w:cs="Microsoft New Tai Lue"/>
          <w:b/>
          <w:bCs/>
          <w:sz w:val="30"/>
          <w:szCs w:val="30"/>
          <w:highlight w:val="none"/>
          <w:lang w:val="en-US" w:eastAsia="zh-CN" w:bidi="ar-SA"/>
        </w:rPr>
        <w:t xml:space="preserve">第六章 </w:t>
      </w:r>
      <w:r>
        <w:rPr>
          <w:rFonts w:hint="eastAsia" w:ascii="Microsoft New Tai Lue" w:hAnsi="Microsoft New Tai Lue" w:eastAsia="宋体" w:cs="Microsoft New Tai Lue"/>
          <w:b/>
          <w:bCs/>
          <w:sz w:val="30"/>
          <w:szCs w:val="30"/>
          <w:highlight w:val="none"/>
          <w:lang w:val="en-US" w:eastAsia="zh-CN" w:bidi="ar-SA"/>
        </w:rPr>
        <w:t xml:space="preserve">响应文件格式</w:t>
      </w:r>
      <w:r>
        <w:rPr>
          <w:b/>
          <w:bCs/>
          <w:sz w:val="30"/>
          <w:szCs w:val="30"/>
          <w:highlight w:val="none"/>
        </w:rPr>
        <w:tab/>
      </w:r>
      <w:r>
        <w:rPr>
          <w:b/>
          <w:bCs/>
          <w:sz w:val="30"/>
          <w:szCs w:val="30"/>
          <w:highlight w:val="none"/>
        </w:rPr>
        <w:fldChar w:fldCharType="begin"/>
      </w:r>
      <w:r>
        <w:rPr>
          <w:b/>
          <w:bCs/>
          <w:sz w:val="30"/>
          <w:szCs w:val="30"/>
          <w:highlight w:val="none"/>
        </w:rPr>
        <w:instrText xml:space="preserve"> PAGEREF _Toc7207 \h </w:instrText>
      </w:r>
      <w:r>
        <w:rPr>
          <w:b/>
          <w:bCs/>
          <w:sz w:val="30"/>
          <w:szCs w:val="30"/>
          <w:highlight w:val="none"/>
        </w:rPr>
        <w:fldChar w:fldCharType="separate"/>
      </w:r>
      <w:r>
        <w:rPr>
          <w:b/>
          <w:bCs/>
          <w:sz w:val="30"/>
          <w:szCs w:val="30"/>
          <w:highlight w:val="none"/>
        </w:rPr>
        <w:t xml:space="preserve">54</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991"/>
        <w:tabs>
          <w:tab w:val="right" w:pos="8834" w:leader="dot"/>
        </w:tabs>
        <w:rPr>
          <w:rFonts w:ascii="Microsoft New Tai Lue" w:hAnsi="Microsoft New Tai Lue" w:cs="Microsoft New Tai Lue"/>
          <w:color w:val="000000"/>
          <w:highlight w:val="none"/>
        </w:rPr>
      </w:pPr>
      <w:r>
        <w:rPr>
          <w:rFonts w:ascii="宋体" w:hAnsi="宋体" w:eastAsia="宋体"/>
          <w:b/>
          <w:color w:val="000000"/>
          <w:highlight w:val="none"/>
        </w:rPr>
        <w:fldChar w:fldCharType="end"/>
      </w:r>
      <w:bookmarkEnd w:id="0"/>
      <w:r/>
      <w:bookmarkEnd w:id="1"/>
      <w:r/>
      <w:r/>
    </w:p>
    <w:p>
      <w:pPr>
        <w:pStyle w:val="999"/>
        <w:numPr>
          <w:ilvl w:val="0"/>
          <w:numId w:val="2"/>
        </w:numPr>
        <w:rPr>
          <w:rFonts w:ascii="Microsoft New Tai Lue" w:hAnsi="Microsoft New Tai Lue" w:cs="Microsoft New Tai Lue"/>
          <w:color w:val="000000"/>
          <w:highlight w:val="none"/>
        </w:rPr>
      </w:pPr>
      <w:r/>
      <w:bookmarkStart w:id="2" w:name="_Toc107246211"/>
      <w:r/>
      <w:bookmarkStart w:id="3" w:name="_Toc80264697"/>
      <w:r/>
      <w:bookmarkStart w:id="4" w:name="_Toc80792688"/>
      <w:r>
        <w:rPr>
          <w:rFonts w:hint="eastAsia" w:ascii="Microsoft New Tai Lue" w:hAnsi="Microsoft New Tai Lue" w:cs="Microsoft New Tai Lue"/>
          <w:color w:val="000000"/>
          <w:highlight w:val="none"/>
        </w:rPr>
        <w:br w:type="page" w:clear="all"/>
      </w:r>
      <w:bookmarkStart w:id="5" w:name="_Toc30635"/>
      <w:r>
        <w:rPr>
          <w:rFonts w:hint="eastAsia" w:ascii="Microsoft New Tai Lue" w:hAnsi="Microsoft New Tai Lue" w:cs="Microsoft New Tai Lue"/>
          <w:color w:val="000000"/>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仙林校区学生公寓A楼宿舍维修消险改造工程</w:t>
      </w:r>
      <w:r>
        <w:rPr>
          <w:rFonts w:hint="eastAsia" w:ascii="Microsoft New Tai Lue" w:hAnsi="Microsoft New Tai Lue" w:cs="Microsoft New Tai Lue"/>
          <w:bCs/>
          <w:color w:val="000000"/>
          <w:szCs w:val="21"/>
          <w:highlight w:val="none"/>
        </w:rPr>
        <w:t xml:space="preserve">采购</w:t>
      </w:r>
      <w:r>
        <w:rPr>
          <w:rFonts w:ascii="Microsoft New Tai Lue" w:hAnsi="Microsoft New Tai Lue" w:cs="Microsoft New Tai Lue"/>
          <w:bCs/>
          <w:color w:val="000000"/>
          <w:szCs w:val="21"/>
          <w:highlight w:val="none"/>
        </w:rPr>
        <w:t xml:space="preserve">项目的潜在</w:t>
      </w:r>
      <w:r>
        <w:rPr>
          <w:rFonts w:hint="eastAsia" w:ascii="Microsoft New Tai Lue" w:hAnsi="Microsoft New Tai Lue" w:cs="Microsoft New Tai Lue"/>
          <w:bCs/>
          <w:color w:val="000000"/>
          <w:szCs w:val="21"/>
          <w:highlight w:val="none"/>
        </w:rPr>
        <w:t xml:space="preserve">供应商</w:t>
      </w:r>
      <w:r>
        <w:rPr>
          <w:rFonts w:ascii="Microsoft New Tai Lue" w:hAnsi="Microsoft New Tai Lue" w:cs="Microsoft New Tai Lue"/>
          <w:bCs/>
          <w:color w:val="000000"/>
          <w:szCs w:val="21"/>
          <w:highlight w:val="none"/>
        </w:rPr>
        <w:t xml:space="preserve">应在</w:t>
      </w:r>
      <w:r>
        <w:rPr>
          <w:rFonts w:ascii="Microsoft New Tai Lue" w:hAnsi="Microsoft New Tai Lue" w:cs="Microsoft New Tai Lue"/>
          <w:bCs/>
          <w:color w:val="000000"/>
          <w:szCs w:val="21"/>
          <w:highlight w:val="none"/>
          <w:u w:val="single"/>
        </w:rPr>
        <w:t xml:space="preserve"> </w:t>
      </w:r>
      <w:r>
        <w:rPr>
          <w:rFonts w:hint="eastAsia" w:ascii="宋体" w:hAnsi="宋体" w:cs="宋体"/>
          <w:bCs/>
          <w:color w:val="000000"/>
          <w:szCs w:val="21"/>
          <w:highlight w:val="none"/>
          <w:u w:val="single"/>
          <w:lang w:val="en-US" w:eastAsia="zh-CN" w:bidi="ar"/>
        </w:rPr>
        <w:t xml:space="preserve">江苏政府采购网</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获取</w:t>
      </w:r>
      <w:r>
        <w:rPr>
          <w:rFonts w:hint="eastAsia" w:ascii="Microsoft New Tai Lue" w:hAnsi="Microsoft New Tai Lue" w:cs="Microsoft New Tai Lue"/>
          <w:bCs/>
          <w:color w:val="000000"/>
          <w:szCs w:val="21"/>
          <w:highlight w:val="none"/>
        </w:rPr>
        <w:t xml:space="preserve">磋商文件</w:t>
      </w:r>
      <w:r>
        <w:rPr>
          <w:rFonts w:ascii="Microsoft New Tai Lue" w:hAnsi="Microsoft New Tai Lue" w:cs="Microsoft New Tai Lue"/>
          <w:bCs/>
          <w:color w:val="000000"/>
          <w:szCs w:val="21"/>
          <w:highlight w:val="none"/>
        </w:rPr>
        <w:t xml:space="preserve">，并于</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202</w:t>
      </w:r>
      <w:r>
        <w:rPr>
          <w:rFonts w:hint="eastAsia" w:ascii="Microsoft New Tai Lue" w:hAnsi="Microsoft New Tai Lue" w:cs="Microsoft New Tai Lue"/>
          <w:bCs/>
          <w:color w:val="000000"/>
          <w:szCs w:val="21"/>
          <w:highlight w:val="none"/>
          <w:u w:val="single"/>
          <w:lang w:val="en-US" w:eastAsia="zh-CN"/>
        </w:rPr>
        <w:t xml:space="preserve">6</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7</w:t>
      </w:r>
      <w:r>
        <w:rPr>
          <w:rFonts w:hint="eastAsia"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10</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09</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点</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3</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u w:val="single"/>
        </w:rPr>
        <w:t xml:space="preserve">分</w:t>
      </w:r>
      <w:r>
        <w:rPr>
          <w:rFonts w:ascii="Microsoft New Tai Lue" w:hAnsi="Microsoft New Tai Lue" w:cs="Microsoft New Tai Lue"/>
          <w:bCs/>
          <w:color w:val="000000"/>
          <w:szCs w:val="21"/>
          <w:highlight w:val="none"/>
        </w:rPr>
        <w:t xml:space="preserve">（北京时间）</w:t>
      </w:r>
      <w:r>
        <w:rPr>
          <w:rFonts w:hint="eastAsia" w:ascii="Microsoft New Tai Lue" w:hAnsi="Microsoft New Tai Lue" w:cs="Microsoft New Tai Lue"/>
          <w:bCs/>
          <w:color w:val="000000"/>
          <w:szCs w:val="21"/>
          <w:highlight w:val="none"/>
        </w:rPr>
        <w:t xml:space="preserve">前提交响应</w:t>
      </w:r>
      <w:r>
        <w:rPr>
          <w:rFonts w:ascii="Microsoft New Tai Lue" w:hAnsi="Microsoft New Tai Lue" w:cs="Microsoft New Tai Lue"/>
          <w:bCs/>
          <w:color w:val="000000"/>
          <w:szCs w:val="21"/>
          <w:highlight w:val="none"/>
        </w:rPr>
        <w:t xml:space="preserve">文件。</w:t>
      </w:r>
      <w:r/>
    </w:p>
    <w:p>
      <w:pPr>
        <w:spacing w:line="360" w:lineRule="auto"/>
        <w:rPr>
          <w:rFonts w:ascii="Microsoft New Tai Lue" w:hAnsi="Microsoft New Tai Lue" w:cs="Microsoft New Tai Lue"/>
          <w:b/>
          <w:bCs/>
          <w:color w:val="000000"/>
          <w:szCs w:val="44"/>
          <w:highlight w:val="none"/>
        </w:rPr>
      </w:pPr>
      <w:r/>
      <w:bookmarkStart w:id="6" w:name="_Toc96347851"/>
      <w:r/>
      <w:bookmarkStart w:id="7" w:name="_Toc93909065"/>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JSZC-320000-JITC-C2026-0213</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lang w:eastAsia="zh-CN"/>
        </w:rPr>
        <w:t xml:space="preserve">仙林校区学生公寓A楼宿舍维修消险改造工程</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采购方式：竞争性磋商</w:t>
      </w:r>
      <w:r/>
    </w:p>
    <w:p>
      <w:pPr>
        <w:ind w:firstLine="420"/>
        <w:spacing w:line="360" w:lineRule="auto"/>
        <w:rPr>
          <w:color w:val="000000"/>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4预算金额：</w:t>
      </w:r>
      <w:r>
        <w:rPr>
          <w:rFonts w:hint="eastAsia" w:ascii="宋体" w:hAnsi="宋体" w:cs="宋体"/>
          <w:b/>
          <w:szCs w:val="21"/>
          <w:highlight w:val="none"/>
          <w:lang w:val="en-US" w:eastAsia="zh-CN"/>
        </w:rPr>
        <w:t xml:space="preserve">337.009495</w:t>
      </w:r>
      <w:r>
        <w:rPr>
          <w:rFonts w:hint="eastAsia" w:ascii="Microsoft New Tai Lue" w:hAnsi="Microsoft New Tai Lue" w:cs="Microsoft New Tai Lue"/>
          <w:bCs/>
          <w:color w:val="000000"/>
          <w:szCs w:val="21"/>
          <w:highlight w:val="none"/>
          <w:lang w:val="en-US" w:eastAsia="zh-CN"/>
        </w:rPr>
        <w:t xml:space="preserve">万元</w:t>
      </w:r>
      <w:r/>
    </w:p>
    <w:p>
      <w:pPr>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1.5最高限价：</w:t>
      </w:r>
      <w:r>
        <w:rPr>
          <w:rFonts w:hint="eastAsia" w:ascii="宋体" w:hAnsi="宋体" w:cs="宋体"/>
          <w:b/>
          <w:szCs w:val="21"/>
          <w:highlight w:val="none"/>
        </w:rPr>
        <w:t xml:space="preserve">本项目</w:t>
      </w:r>
      <w:r>
        <w:rPr>
          <w:rFonts w:hint="eastAsia" w:ascii="宋体" w:hAnsi="宋体" w:cs="宋体"/>
          <w:b/>
          <w:szCs w:val="21"/>
          <w:highlight w:val="none"/>
          <w:lang w:val="en-US" w:eastAsia="zh-CN"/>
        </w:rPr>
        <w:t xml:space="preserve">最高限价为3370094.95元</w:t>
      </w:r>
      <w:r>
        <w:rPr>
          <w:rFonts w:hint="eastAsia" w:ascii="宋体" w:hAnsi="宋体" w:eastAsia="宋体" w:cs="宋体"/>
          <w:b/>
          <w:szCs w:val="21"/>
          <w:highlight w:val="none"/>
          <w:lang w:val="en-US" w:eastAsia="zh-CN"/>
        </w:rPr>
        <w:t xml:space="preserve">，</w:t>
      </w:r>
      <w:r>
        <w:rPr>
          <w:rFonts w:hint="eastAsia" w:ascii="宋体" w:hAnsi="宋体" w:cs="宋体"/>
          <w:b/>
          <w:szCs w:val="21"/>
          <w:highlight w:val="none"/>
          <w:lang w:val="en-US" w:eastAsia="zh-CN"/>
        </w:rPr>
        <w:t xml:space="preserve">供应商响应</w:t>
      </w:r>
      <w:r>
        <w:rPr>
          <w:rFonts w:hint="eastAsia" w:ascii="宋体" w:hAnsi="宋体" w:eastAsia="宋体" w:cs="宋体"/>
          <w:b/>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6采购需求</w:t>
      </w:r>
      <w:r>
        <w:rPr>
          <w:rFonts w:hint="eastAsia" w:ascii="Microsoft New Tai Lue" w:hAnsi="Microsoft New Tai Lue" w:cs="Microsoft New Tai Lue"/>
          <w:bCs/>
          <w:color w:val="000000"/>
          <w:szCs w:val="21"/>
          <w:highlight w:val="none"/>
          <w:lang w:eastAsia="zh-CN"/>
        </w:rPr>
        <w:t xml:space="preserve">：</w:t>
      </w:r>
      <w:r>
        <w:rPr>
          <w:rFonts w:hint="eastAsia" w:ascii="宋体" w:hAnsi="宋体" w:cs="宋体"/>
          <w:bCs/>
          <w:color w:val="auto"/>
          <w:szCs w:val="21"/>
          <w:highlight w:val="none"/>
          <w:lang w:val="en-US" w:eastAsia="zh-CN"/>
        </w:rPr>
        <w:t xml:space="preserve">南京体育学院</w:t>
      </w:r>
      <w:r>
        <w:rPr>
          <w:rFonts w:hint="eastAsia" w:ascii="宋体" w:hAnsi="宋体" w:cs="宋体"/>
          <w:bCs/>
          <w:color w:val="auto"/>
          <w:szCs w:val="21"/>
          <w:highlight w:val="none"/>
          <w:u w:val="none"/>
          <w:lang w:eastAsia="zh-CN"/>
        </w:rPr>
        <w:t xml:space="preserve">仙林校区学生公寓A楼宿舍维修消险改造工程，</w:t>
      </w:r>
      <w:r>
        <w:rPr>
          <w:rFonts w:hint="eastAsia" w:ascii="宋体" w:hAnsi="宋体" w:cs="宋体"/>
          <w:bCs/>
          <w:color w:val="auto"/>
          <w:szCs w:val="21"/>
          <w:highlight w:val="none"/>
          <w:u w:val="none"/>
          <w:lang w:val="en-US" w:eastAsia="zh-CN"/>
        </w:rPr>
        <w:t xml:space="preserve">包括但不限于以下内容：</w:t>
      </w:r>
      <w:r>
        <w:rPr>
          <w:rFonts w:hint="eastAsia" w:ascii="宋体" w:hAnsi="宋体" w:cs="宋体"/>
          <w:bCs/>
          <w:color w:val="auto"/>
          <w:szCs w:val="21"/>
          <w:highlight w:val="none"/>
          <w:lang w:val="en-US" w:eastAsia="zh-CN"/>
        </w:rPr>
        <w:t xml:space="preserve">1.宿舍房门更换、电气线路改造、铺设地砖和墙面出新等;2.更换卫生间洁具设施，部分卫生间更新集成吊顶、铝合金门;3.宿舍阳台封闭，铺设地砖，更换窗帘和晾衣杆等;4.A楼和C楼公共部位地面铺设地砖，乳胶漆出新;5.A楼和C楼茶水间地砖、墙砖更换，集成吊顶更换。</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标段划分：本项目共划分1个标段。</w:t>
      </w:r>
      <w:r/>
    </w:p>
    <w:p>
      <w:pPr>
        <w:ind w:firstLine="420"/>
        <w:spacing w:line="360" w:lineRule="auto"/>
        <w:rPr>
          <w:rFonts w:hint="eastAsia" w:ascii="宋体" w:hAnsi="宋体" w:eastAsia="宋体" w:cs="宋体"/>
          <w:b/>
          <w:bCs w:val="0"/>
          <w:color w:val="000000"/>
          <w:szCs w:val="21"/>
          <w:highlight w:val="none"/>
          <w:lang w:val="zh-CN"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合同履行期限：</w:t>
      </w:r>
      <w:r>
        <w:rPr>
          <w:rFonts w:hint="eastAsia" w:ascii="宋体" w:hAnsi="宋体" w:cs="宋体"/>
          <w:color w:val="000000"/>
          <w:sz w:val="21"/>
          <w:szCs w:val="21"/>
          <w:highlight w:val="none"/>
          <w:lang w:val="en-US" w:eastAsia="zh-CN" w:bidi="ar"/>
        </w:rPr>
        <w:t xml:space="preserve">35日历天</w:t>
      </w:r>
      <w:r>
        <w:rPr>
          <w:rFonts w:hint="eastAsia"/>
          <w:highlight w:val="none"/>
          <w:lang w:eastAsia="zh-CN"/>
        </w:rPr>
        <w:t xml:space="preserve">。</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本项目是否接受进口产品：不接受</w:t>
      </w:r>
      <w:r/>
    </w:p>
    <w:p>
      <w:pPr>
        <w:spacing w:line="360" w:lineRule="auto"/>
        <w:rPr>
          <w:rFonts w:ascii="Microsoft New Tai Lue" w:hAnsi="Microsoft New Tai Lue" w:cs="Microsoft New Tai Lue"/>
          <w:b/>
          <w:bCs/>
          <w:color w:val="000000"/>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000000"/>
          <w:szCs w:val="44"/>
          <w:highlight w:val="none"/>
        </w:rPr>
        <w:t xml:space="preserve">二、</w:t>
      </w:r>
      <w:bookmarkEnd w:id="8"/>
      <w:r>
        <w:rPr>
          <w:rFonts w:ascii="Microsoft New Tai Lue" w:hAnsi="Microsoft New Tai Lue" w:cs="Microsoft New Tai Lue"/>
          <w:b/>
          <w:bCs/>
          <w:color w:val="000000"/>
          <w:szCs w:val="44"/>
          <w:highlight w:val="none"/>
        </w:rPr>
        <w:t xml:space="preserve">申请人的资格要求</w:t>
      </w:r>
      <w:bookmarkEnd w:id="9"/>
      <w:r/>
      <w:bookmarkEnd w:id="10"/>
      <w:r>
        <w:rPr>
          <w:rFonts w:ascii="Microsoft New Tai Lue" w:hAnsi="Microsoft New Tai Lue" w:cs="Microsoft New Tai Lue"/>
          <w:b/>
          <w:bCs/>
          <w:color w:val="000000"/>
          <w:szCs w:val="44"/>
          <w:highlight w:val="none"/>
        </w:rPr>
        <w:t xml:space="preserve">：</w:t>
      </w:r>
      <w:bookmarkEnd w:id="11"/>
      <w:r/>
      <w:r/>
    </w:p>
    <w:p>
      <w:pPr>
        <w:ind w:firstLine="420"/>
        <w:spacing w:line="360" w:lineRule="auto"/>
        <w:rPr>
          <w:rFonts w:hint="eastAsia" w:ascii="宋体" w:hAnsi="宋体" w:cs="宋体"/>
          <w:bCs/>
          <w:szCs w:val="21"/>
          <w:highlight w:val="none"/>
        </w:rPr>
      </w:pPr>
      <w:r/>
      <w:bookmarkStart w:id="12" w:name="_Toc93909067"/>
      <w:r/>
      <w:bookmarkStart w:id="13" w:name="_Toc96347853"/>
      <w:r/>
      <w:bookmarkStart w:id="14" w:name="_Toc80264699"/>
      <w:r/>
      <w:bookmarkStart w:id="15" w:name="_Toc80792690"/>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w:t>
      </w:r>
      <w:r>
        <w:rPr>
          <w:rFonts w:hint="eastAsia" w:ascii="宋体" w:hAnsi="宋体" w:cs="宋体"/>
          <w:szCs w:val="21"/>
          <w:highlight w:val="none"/>
        </w:rPr>
        <w:t xml:space="preserve">提供参加本次政府采购活动前半年内（202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月以来）至少一个月的会计报表，或者提供202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年度</w:t>
      </w:r>
      <w:r>
        <w:rPr>
          <w:rFonts w:hint="eastAsia" w:ascii="宋体" w:hAnsi="宋体" w:cs="宋体"/>
          <w:szCs w:val="21"/>
          <w:highlight w:val="none"/>
          <w:lang w:val="en-US" w:eastAsia="zh-CN"/>
        </w:rPr>
        <w:t xml:space="preserve">或2025年度</w:t>
      </w:r>
      <w:r>
        <w:rPr>
          <w:rFonts w:hint="eastAsia" w:ascii="宋体" w:hAnsi="宋体" w:cs="宋体"/>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2.1.4有依法缴纳税收和社会保障资金的良好记录（提供参加本次政府采购活动前半年内（202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w:t>
      </w:r>
      <w:r>
        <w:rPr>
          <w:rFonts w:hint="eastAsia" w:ascii="宋体" w:hAnsi="宋体" w:cs="宋体"/>
          <w:bCs/>
          <w:szCs w:val="21"/>
          <w:highlight w:val="none"/>
          <w:lang w:val="en-US" w:eastAsia="zh-CN"/>
        </w:rPr>
        <w:t xml:space="preserve">12</w:t>
      </w:r>
      <w:r>
        <w:rPr>
          <w:rFonts w:hint="eastAsia" w:ascii="宋体" w:hAnsi="宋体" w:cs="宋体"/>
          <w:bCs/>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2.1.6法律、行政法规规定的其他条件。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jc w:val="left"/>
        <w:spacing w:line="360" w:lineRule="auto"/>
        <w:rPr>
          <w:rFonts w:hint="eastAsia" w:hAnsi="宋体" w:cs="宋体"/>
          <w:b/>
          <w:bCs/>
          <w:position w:val="0"/>
          <w:sz w:val="21"/>
          <w:szCs w:val="21"/>
          <w:highlight w:val="none"/>
        </w:rPr>
      </w:pPr>
      <w:r>
        <w:rPr>
          <w:rFonts w:hint="eastAsia" w:ascii="宋体" w:hAnsi="宋体" w:cs="宋体"/>
          <w:bCs/>
          <w:szCs w:val="21"/>
          <w:highlight w:val="none"/>
        </w:rPr>
        <w:t xml:space="preserve">2.2.1 中小企业政策</w:t>
      </w:r>
      <w:r>
        <w:rPr>
          <w:rFonts w:hint="eastAsia" w:ascii="宋体" w:hAnsi="宋体" w:cs="宋体"/>
          <w:bCs/>
          <w:szCs w:val="21"/>
          <w:highlight w:val="none"/>
          <w:lang w:eastAsia="zh-CN"/>
        </w:rPr>
        <w:t xml:space="preserve">：</w:t>
      </w:r>
      <w:r>
        <w:rPr>
          <w:rFonts w:hint="eastAsia" w:hAnsi="宋体" w:cs="宋体"/>
          <w:b/>
          <w:bCs/>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color w:val="auto"/>
          <w:szCs w:val="24"/>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（1）</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具有施工总承包建筑工程三级(含）以上资质</w:t>
      </w:r>
      <w:r>
        <w:rPr>
          <w:rFonts w:hint="eastAsia" w:cs="Times New Roman"/>
          <w:color w:val="auto"/>
          <w:szCs w:val="24"/>
          <w:highlight w:val="none"/>
          <w:lang w:val="en-US" w:eastAsia="zh-CN"/>
        </w:rPr>
        <w:t xml:space="preserve">或建筑装修装饰工程专业承包二级及以上资质</w:t>
      </w:r>
      <w:r>
        <w:rPr>
          <w:rFonts w:hint="eastAsia" w:ascii="Times New Roman" w:hAnsi="Times New Roman" w:eastAsia="宋体" w:cs="Times New Roman"/>
          <w:color w:val="auto"/>
          <w:szCs w:val="24"/>
          <w:highlight w:val="none"/>
          <w:lang w:val="en-US" w:eastAsia="zh-CN"/>
        </w:rPr>
        <w:t xml:space="preserve">(提供有效的证书复印件加盖供应商章)。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（2）</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具备有效的安全生产许可证。(提供证书复印件加盖</w:t>
      </w:r>
      <w:r>
        <w:rPr>
          <w:rFonts w:hint="eastAsia" w:ascii="Times New Roman" w:hAnsi="Times New Roman"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（3）</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拟担任本项目项目负责人具备注册建造师证建筑工程二级(含)以上并且具有有效期内的安全生产考核证书(B类证)，注册单位须与投标响应单位一致。(提供有效的证书复印件加盖</w:t>
      </w:r>
      <w:r>
        <w:rPr>
          <w:rFonts w:hint="eastAsia" w:ascii="Times New Roman" w:hAnsi="Times New Roman"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（4）</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必须提供拟投入本工程项目负责人与</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签订的有效劳动合同及社保机构出具的近半年(2025年</w:t>
      </w:r>
      <w:r>
        <w:rPr>
          <w:rFonts w:hint="eastAsia" w:cs="Times New Roman"/>
          <w:color w:val="auto"/>
          <w:szCs w:val="24"/>
          <w:highlight w:val="none"/>
          <w:lang w:val="en-US" w:eastAsia="zh-CN"/>
        </w:rPr>
        <w:t xml:space="preserve">12</w:t>
      </w:r>
      <w:r>
        <w:rPr>
          <w:rFonts w:hint="eastAsia" w:ascii="Times New Roman" w:hAnsi="Times New Roman" w:eastAsia="宋体" w:cs="Times New Roman"/>
          <w:color w:val="auto"/>
          <w:szCs w:val="24"/>
          <w:highlight w:val="none"/>
          <w:lang w:val="en-US" w:eastAsia="zh-CN"/>
        </w:rPr>
        <w:t xml:space="preserve">月（含）)以来任意一个月</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为拟投入本工程的项目负责人缴纳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证书复印件加盖</w:t>
      </w:r>
      <w:r>
        <w:rPr>
          <w:rFonts w:hint="eastAsia" w:ascii="Times New Roman" w:hAnsi="Times New Roman"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（5）本项目不允许分包、转包。（提供书面承诺书加盖供应商公章，格式自拟）</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ascii="Times New Roman" w:hAnsi="Times New Roman" w:eastAsia="宋体" w:cs="Times New Roman"/>
          <w:color w:val="auto"/>
          <w:szCs w:val="24"/>
          <w:highlight w:val="none"/>
          <w:lang w:val="en-US" w:eastAsia="zh-CN"/>
        </w:rPr>
        <w:t xml:space="preserve">（6）拟派的</w:t>
      </w:r>
      <w:r>
        <w:rPr>
          <w:rFonts w:hint="eastAsia" w:ascii="Times New Roman" w:hAnsi="Times New Roman" w:eastAsia="宋体" w:cs="Times New Roman"/>
          <w:i w:val="0"/>
          <w:iCs w:val="0"/>
          <w:caps w:val="0"/>
          <w:color w:val="auto"/>
          <w:spacing w:val="0"/>
          <w:sz w:val="21"/>
          <w:szCs w:val="24"/>
          <w:highlight w:val="none"/>
          <w:u w:val="none"/>
        </w:rPr>
        <w:t xml:space="preserve">项目负责人必须满足下列条件（符合并提供加盖公章承诺书</w:t>
      </w:r>
      <w:r>
        <w:rPr>
          <w:rFonts w:hint="eastAsia" w:ascii="Times New Roman" w:hAnsi="Times New Roman" w:eastAsia="宋体" w:cs="Times New Roman"/>
          <w:i w:val="0"/>
          <w:iCs w:val="0"/>
          <w:caps w:val="0"/>
          <w:color w:val="auto"/>
          <w:spacing w:val="0"/>
          <w:sz w:val="21"/>
          <w:szCs w:val="24"/>
          <w:highlight w:val="none"/>
          <w:u w:val="none"/>
          <w:lang w:eastAsia="zh-CN"/>
        </w:rPr>
        <w:t xml:space="preserve">，</w:t>
      </w:r>
      <w:r>
        <w:rPr>
          <w:rFonts w:hint="eastAsia" w:ascii="Times New Roman" w:hAnsi="Times New Roman" w:eastAsia="宋体" w:cs="Times New Roman"/>
          <w:i w:val="0"/>
          <w:iCs w:val="0"/>
          <w:caps w:val="0"/>
          <w:color w:val="auto"/>
          <w:spacing w:val="0"/>
          <w:sz w:val="21"/>
          <w:szCs w:val="24"/>
          <w:highlight w:val="none"/>
          <w:u w:val="none"/>
          <w:lang w:val="en-US" w:eastAsia="zh-CN"/>
        </w:rPr>
        <w:t xml:space="preserve">格式自拟</w:t>
      </w:r>
      <w:r>
        <w:rPr>
          <w:rFonts w:hint="eastAsia" w:ascii="Times New Roman" w:hAnsi="Times New Roman" w:eastAsia="宋体" w:cs="Times New Roman"/>
          <w:i w:val="0"/>
          <w:iCs w:val="0"/>
          <w:caps w:val="0"/>
          <w:color w:val="auto"/>
          <w:spacing w:val="0"/>
          <w:sz w:val="21"/>
          <w:szCs w:val="24"/>
          <w:highlight w:val="none"/>
          <w:u w:val="none"/>
        </w:rPr>
        <w:t xml:space="preserve">）：</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a.</w:t>
      </w:r>
      <w:r>
        <w:rPr>
          <w:rFonts w:hint="eastAsia" w:ascii="Times New Roman" w:hAnsi="Times New Roman" w:eastAsia="宋体" w:cs="Times New Roman"/>
          <w:i w:val="0"/>
          <w:iCs w:val="0"/>
          <w:caps w:val="0"/>
          <w:color w:val="auto"/>
          <w:spacing w:val="0"/>
          <w:sz w:val="21"/>
          <w:szCs w:val="24"/>
          <w:highlight w:val="none"/>
          <w:u w:val="none"/>
        </w:rPr>
        <w:t xml:space="preserve">项目负责人不得同时在两个或者两个以上单位受聘或者执业（包括但不仅限于以下两种情形）：</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1）</w:t>
      </w:r>
      <w:r>
        <w:rPr>
          <w:rFonts w:hint="eastAsia" w:ascii="Times New Roman" w:hAnsi="Times New Roman" w:eastAsia="宋体" w:cs="Times New Roman"/>
          <w:i w:val="0"/>
          <w:iCs w:val="0"/>
          <w:caps w:val="0"/>
          <w:color w:val="auto"/>
          <w:spacing w:val="0"/>
          <w:sz w:val="21"/>
          <w:szCs w:val="24"/>
          <w:highlight w:val="none"/>
          <w:u w:val="none"/>
        </w:rPr>
        <w:t xml:space="preserve">同时在两个及以上单位签订劳动合同或缴纳社会保险；</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2）</w:t>
      </w:r>
      <w:r>
        <w:rPr>
          <w:rFonts w:hint="eastAsia" w:ascii="Times New Roman" w:hAnsi="Times New Roman" w:eastAsia="宋体" w:cs="Times New Roman"/>
          <w:i w:val="0"/>
          <w:iCs w:val="0"/>
          <w:caps w:val="0"/>
          <w:color w:val="auto"/>
          <w:spacing w:val="0"/>
          <w:sz w:val="21"/>
          <w:szCs w:val="24"/>
          <w:highlight w:val="none"/>
          <w:u w:val="none"/>
        </w:rPr>
        <w:t xml:space="preserve">将本人执（职）业资格证书同时注册在两个及以上单位。</w:t>
      </w:r>
      <w:r/>
    </w:p>
    <w:p>
      <w:pPr>
        <w:pStyle w:val="776"/>
        <w:numPr>
          <w:ilvl w:val="-1"/>
          <w:numId w:val="0"/>
        </w:numPr>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i w:val="0"/>
          <w:iCs w:val="0"/>
          <w:caps w:val="0"/>
          <w:color w:val="auto"/>
          <w:spacing w:val="0"/>
          <w:sz w:val="21"/>
          <w:szCs w:val="24"/>
          <w:highlight w:val="none"/>
          <w:u w:val="none"/>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（7）</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满足以下条件</w:t>
      </w:r>
      <w:r>
        <w:rPr>
          <w:rFonts w:hint="eastAsia" w:cs="Times New Roman"/>
          <w:color w:val="auto"/>
          <w:szCs w:val="24"/>
          <w:highlight w:val="none"/>
          <w:lang w:val="en-US" w:eastAsia="zh-CN"/>
        </w:rPr>
        <w:t xml:space="preserve">（</w:t>
      </w:r>
      <w:r>
        <w:rPr>
          <w:rFonts w:hint="eastAsia" w:ascii="Times New Roman" w:hAnsi="Times New Roman" w:eastAsia="宋体" w:cs="Times New Roman"/>
          <w:color w:val="auto"/>
          <w:szCs w:val="24"/>
          <w:highlight w:val="none"/>
          <w:lang w:val="en-US" w:eastAsia="zh-CN"/>
        </w:rPr>
        <w:t xml:space="preserve">提供承诺书原件</w:t>
      </w:r>
      <w:r>
        <w:rPr>
          <w:rFonts w:hint="eastAsia" w:cs="Times New Roman"/>
          <w:color w:val="auto"/>
          <w:szCs w:val="24"/>
          <w:highlight w:val="none"/>
          <w:lang w:val="en-US" w:eastAsia="zh-CN"/>
        </w:rPr>
        <w:t xml:space="preserve">，格式自拟）</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a.未处于被责令停业、投标资格 被取消或财产被接管、冻结和破产状态的企业;</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b,企业没有因骗取中标、严重违约或者违规用工、拖欠工人工资以及发生重大工程质量、安全生产事故等问题，被有关部门暂停投标资格并在暂停期内的。</w:t>
      </w:r>
      <w:r/>
    </w:p>
    <w:p>
      <w:pPr>
        <w:ind w:firstLine="420"/>
        <w:spacing w:line="360" w:lineRule="auto"/>
        <w:rPr>
          <w:rFonts w:hint="eastAsia"/>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（8）根据《省住房</w:t>
      </w:r>
      <w:r>
        <w:rPr>
          <w:rFonts w:hint="eastAsia" w:ascii="Times New Roman" w:hAnsi="Times New Roman" w:eastAsia="宋体" w:cs="Times New Roman"/>
          <w:i w:val="0"/>
          <w:iCs w:val="0"/>
          <w:caps w:val="0"/>
          <w:color w:val="auto"/>
          <w:spacing w:val="0"/>
          <w:sz w:val="21"/>
          <w:szCs w:val="24"/>
          <w:highlight w:val="none"/>
          <w:u w:val="none"/>
        </w:rPr>
        <w:t xml:space="preserve">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w:t>
      </w:r>
      <w:r>
        <w:rPr>
          <w:rFonts w:hint="eastAsia" w:cs="Times New Roman"/>
          <w:i w:val="0"/>
          <w:iCs w:val="0"/>
          <w:caps w:val="0"/>
          <w:color w:val="auto"/>
          <w:spacing w:val="0"/>
          <w:sz w:val="21"/>
          <w:szCs w:val="24"/>
          <w:highlight w:val="none"/>
          <w:u w:val="none"/>
          <w:lang w:val="en-US" w:eastAsia="zh-CN"/>
        </w:rPr>
        <w:t xml:space="preserve">磋商小组</w:t>
      </w:r>
      <w:r>
        <w:rPr>
          <w:rFonts w:hint="eastAsia" w:ascii="Times New Roman" w:hAnsi="Times New Roman" w:eastAsia="宋体" w:cs="Times New Roman"/>
          <w:i w:val="0"/>
          <w:iCs w:val="0"/>
          <w:caps w:val="0"/>
          <w:color w:val="auto"/>
          <w:spacing w:val="0"/>
          <w:sz w:val="21"/>
          <w:szCs w:val="24"/>
          <w:highlight w:val="none"/>
          <w:u w:val="none"/>
        </w:rPr>
        <w:t xml:space="preserve">对各</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的资质动态情况进行核查，</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在资格审查申请文件递交截止时间当日及</w:t>
      </w:r>
      <w:r>
        <w:rPr>
          <w:rFonts w:hint="eastAsia" w:cs="Times New Roman"/>
          <w:i w:val="0"/>
          <w:iCs w:val="0"/>
          <w:caps w:val="0"/>
          <w:color w:val="auto"/>
          <w:spacing w:val="0"/>
          <w:sz w:val="21"/>
          <w:szCs w:val="24"/>
          <w:highlight w:val="none"/>
          <w:u w:val="none"/>
          <w:lang w:val="en-US" w:eastAsia="zh-CN"/>
        </w:rPr>
        <w:t xml:space="preserve">响应</w:t>
      </w:r>
      <w:r>
        <w:rPr>
          <w:rFonts w:hint="eastAsia" w:ascii="Times New Roman" w:hAnsi="Times New Roman" w:eastAsia="宋体" w:cs="Times New Roman"/>
          <w:i w:val="0"/>
          <w:iCs w:val="0"/>
          <w:caps w:val="0"/>
          <w:color w:val="auto"/>
          <w:spacing w:val="0"/>
          <w:sz w:val="21"/>
          <w:szCs w:val="24"/>
          <w:highlight w:val="none"/>
          <w:u w:val="none"/>
        </w:rPr>
        <w:t xml:space="preserve">文件递交截止时间当日，建筑业企业资质动态监管结果处于不合格状态的，作为资格审查不通过（或无效投标）处理。（企业动态资质查询信息以江苏省住建厅综合服务平台发布的信息为准）</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16" w:name="_Toc28359082"/>
      <w:r/>
      <w:bookmarkStart w:id="17" w:name="_Toc28359005"/>
      <w:r/>
      <w:bookmarkStart w:id="18" w:name="_Toc35393793"/>
      <w:r/>
      <w:bookmarkStart w:id="19" w:name="_Toc35393624"/>
      <w:r/>
      <w:bookmarkStart w:id="20" w:name="_Toc38985266"/>
      <w:r>
        <w:rPr>
          <w:rFonts w:hint="eastAsia" w:ascii="Microsoft New Tai Lue" w:hAnsi="Microsoft New Tai Lue" w:eastAsia="宋体" w:cs="Microsoft New Tai Lue"/>
          <w:bCs/>
          <w:color w:val="000000"/>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四、</w:t>
      </w:r>
      <w:bookmarkEnd w:id="16"/>
      <w:r/>
      <w:bookmarkEnd w:id="17"/>
      <w:r>
        <w:rPr>
          <w:rFonts w:hint="eastAsia" w:ascii="Microsoft New Tai Lue" w:hAnsi="Microsoft New Tai Lue" w:eastAsia="宋体" w:cs="Microsoft New Tai Lue"/>
          <w:b/>
          <w:bCs/>
          <w:color w:val="000000"/>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000000"/>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截</w:t>
      </w:r>
      <w:bookmarkStart w:id="21" w:name="OLE_LINK104"/>
      <w:r>
        <w:rPr>
          <w:rFonts w:hint="eastAsia" w:ascii="Microsoft New Tai Lue" w:hAnsi="Microsoft New Tai Lue" w:eastAsia="宋体" w:cs="Microsoft New Tai Lue"/>
          <w:bCs/>
          <w:color w:val="000000"/>
          <w:szCs w:val="21"/>
          <w:highlight w:val="none"/>
          <w:lang w:eastAsia="zh-CN"/>
        </w:rPr>
        <w:t xml:space="preserve">止</w:t>
      </w:r>
      <w:bookmarkStart w:id="22" w:name="OLE_LINK105"/>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eastAsia="宋体" w:cs="Microsoft New Tai Lue"/>
          <w:bCs/>
          <w:color w:val="000000"/>
          <w:szCs w:val="21"/>
          <w:highlight w:val="none"/>
          <w:lang w:val="en-US" w:eastAsia="zh-CN"/>
        </w:rPr>
        <w:t xml:space="preserve"> 月 </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eastAsia="宋体" w:cs="Microsoft New Tai Lue"/>
          <w:bCs/>
          <w:color w:val="000000"/>
          <w:szCs w:val="21"/>
          <w:highlight w:val="none"/>
          <w:lang w:val="en-US" w:eastAsia="zh-CN"/>
        </w:rPr>
        <w:t xml:space="preserve"> 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000000"/>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000000"/>
          <w:szCs w:val="44"/>
          <w:highlight w:val="none"/>
          <w:lang w:eastAsia="zh-CN"/>
        </w:rPr>
      </w:pPr>
      <w:r/>
      <w:bookmarkStart w:id="24" w:name="_Toc38985267"/>
      <w:r/>
      <w:bookmarkStart w:id="25" w:name="_Toc35393794"/>
      <w:r/>
      <w:bookmarkStart w:id="26" w:name="_Toc35393625"/>
      <w:r/>
      <w:bookmarkStart w:id="27" w:name="_Toc28359084"/>
      <w:r/>
      <w:bookmarkStart w:id="28" w:name="_Toc28359007"/>
      <w:r>
        <w:rPr>
          <w:rFonts w:hint="eastAsia" w:ascii="Microsoft New Tai Lue" w:hAnsi="Microsoft New Tai Lue" w:eastAsia="宋体" w:cs="Microsoft New Tai Lue"/>
          <w:b/>
          <w:bCs/>
          <w:color w:val="000000"/>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000000"/>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eastAsia="宋体" w:cs="Microsoft New Tai Lue"/>
          <w:bCs/>
          <w:color w:val="000000"/>
          <w:szCs w:val="21"/>
          <w:highlight w:val="none"/>
          <w:lang w:val="en-US" w:eastAsia="zh-CN"/>
        </w:rPr>
        <w:t xml:space="preserve"> 月 </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eastAsia="宋体" w:cs="Microsoft New Tai Lue"/>
          <w:bCs/>
          <w:color w:val="000000"/>
          <w:szCs w:val="21"/>
          <w:highlight w:val="none"/>
          <w:lang w:val="en-US" w:eastAsia="zh-CN"/>
        </w:rPr>
        <w:t xml:space="preserve"> 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地点：苏采云系统网上开标大厅</w:t>
      </w:r>
      <w:r/>
    </w:p>
    <w:p>
      <w:pPr>
        <w:spacing w:after="0" w:line="360" w:lineRule="auto"/>
        <w:rPr>
          <w:rFonts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000000"/>
          <w:szCs w:val="44"/>
          <w:highlight w:val="none"/>
        </w:rPr>
      </w:pPr>
      <w:r/>
      <w:bookmarkStart w:id="29" w:name="_Toc93909070"/>
      <w:r/>
      <w:bookmarkStart w:id="30" w:name="_Toc96347856"/>
      <w:r>
        <w:rPr>
          <w:rFonts w:hint="eastAsia" w:ascii="Microsoft New Tai Lue" w:hAnsi="Microsoft New Tai Lue" w:cs="Microsoft New Tai Lue"/>
          <w:b/>
          <w:bCs/>
          <w:color w:val="000000"/>
          <w:szCs w:val="44"/>
          <w:highlight w:val="none"/>
        </w:rPr>
        <w:t xml:space="preserve">七</w:t>
      </w:r>
      <w:r>
        <w:rPr>
          <w:rFonts w:ascii="Microsoft New Tai Lue" w:hAnsi="Microsoft New Tai Lue" w:cs="Microsoft New Tai Lue"/>
          <w:b/>
          <w:bCs/>
          <w:color w:val="000000"/>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264702"/>
      <w:r/>
      <w:bookmarkStart w:id="32" w:name="_Toc80792694"/>
      <w:r/>
      <w:bookmarkStart w:id="33" w:name="_Toc93909071"/>
      <w:r/>
      <w:bookmarkStart w:id="34"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000000"/>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000000"/>
          <w:szCs w:val="44"/>
          <w:highlight w:val="none"/>
        </w:rPr>
      </w:pPr>
      <w:r>
        <w:rPr>
          <w:rFonts w:hint="eastAsia" w:ascii="Microsoft New Tai Lue" w:hAnsi="Microsoft New Tai Lue" w:cs="Microsoft New Tai Lue"/>
          <w:b/>
          <w:bCs/>
          <w:color w:val="000000"/>
          <w:szCs w:val="44"/>
          <w:highlight w:val="none"/>
        </w:rPr>
        <w:t xml:space="preserve">八</w:t>
      </w:r>
      <w:r>
        <w:rPr>
          <w:rFonts w:ascii="Microsoft New Tai Lue" w:hAnsi="Microsoft New Tai Lue" w:cs="Microsoft New Tai Lue"/>
          <w:b/>
          <w:bCs/>
          <w:color w:val="000000"/>
          <w:szCs w:val="44"/>
          <w:highlight w:val="none"/>
        </w:rPr>
        <w:t xml:space="preserve">、</w:t>
      </w:r>
      <w:bookmarkEnd w:id="31"/>
      <w:r/>
      <w:bookmarkEnd w:id="32"/>
      <w:r>
        <w:rPr>
          <w:rFonts w:hint="eastAsia" w:ascii="Microsoft New Tai Lue" w:hAnsi="Microsoft New Tai Lue" w:cs="Microsoft New Tai Lue"/>
          <w:b/>
          <w:bCs/>
          <w:color w:val="000000"/>
          <w:szCs w:val="44"/>
          <w:highlight w:val="none"/>
        </w:rPr>
        <w:t xml:space="preserve">凡</w:t>
      </w:r>
      <w:r>
        <w:rPr>
          <w:rFonts w:ascii="Microsoft New Tai Lue" w:hAnsi="Microsoft New Tai Lue" w:cs="Microsoft New Tai Lue"/>
          <w:b/>
          <w:bCs/>
          <w:color w:val="000000"/>
          <w:szCs w:val="44"/>
          <w:highlight w:val="none"/>
        </w:rPr>
        <w:t xml:space="preserve">对本次</w:t>
      </w:r>
      <w:r>
        <w:rPr>
          <w:rFonts w:hint="eastAsia" w:ascii="Microsoft New Tai Lue" w:hAnsi="Microsoft New Tai Lue" w:cs="Microsoft New Tai Lue"/>
          <w:b/>
          <w:bCs/>
          <w:color w:val="000000"/>
          <w:szCs w:val="44"/>
          <w:highlight w:val="none"/>
        </w:rPr>
        <w:t xml:space="preserve">采购</w:t>
      </w:r>
      <w:r>
        <w:rPr>
          <w:rFonts w:ascii="Microsoft New Tai Lue" w:hAnsi="Microsoft New Tai Lue" w:cs="Microsoft New Tai Lue"/>
          <w:b/>
          <w:bCs/>
          <w:color w:val="000000"/>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147474393"/>
          <w:placeholder>
            <w:docPart w:val="{86367886-e435-4c8f-886e-5495cd2bea0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南京体育学院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宋体" w:hAnsi="宋体" w:cs="宋体"/>
          <w:bCs/>
          <w:szCs w:val="21"/>
          <w:highlight w:val="none"/>
        </w:rPr>
        <w:t xml:space="preserve">南京市玄武区灵谷寺路8号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宋体" w:hAnsi="宋体" w:eastAsia="宋体" w:cs="宋体"/>
          <w:bCs/>
          <w:szCs w:val="21"/>
          <w:highlight w:val="none"/>
        </w:rPr>
        <w:t xml:space="preserve">刘老师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025-84755266</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000000"/>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pStyle w:val="776"/>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999"/>
        <w:numPr>
          <w:ilvl w:val="0"/>
          <w:numId w:val="2"/>
        </w:num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End w:id="35"/>
      <w:r/>
      <w:bookmarkStart w:id="37" w:name="_Toc26529"/>
      <w:r/>
      <w:bookmarkStart w:id="38" w:name="_Toc107246212"/>
      <w:r>
        <w:rPr>
          <w:rFonts w:ascii="Microsoft New Tai Lue" w:hAnsi="Microsoft New Tai Lue" w:cs="Microsoft New Tai Lue"/>
          <w:color w:val="000000"/>
          <w:highlight w:val="none"/>
        </w:rPr>
        <w:t xml:space="preserve">供应商须知</w:t>
      </w:r>
      <w:bookmarkEnd w:id="37"/>
      <w:r/>
      <w:bookmarkEnd w:id="38"/>
      <w:r/>
      <w:bookmarkEnd w:id="36"/>
      <w:r/>
      <w:r/>
    </w:p>
    <w:p>
      <w:pPr>
        <w:jc w:val="center"/>
        <w:rPr>
          <w:rFonts w:ascii="Microsoft New Tai Lue" w:hAnsi="Microsoft New Tai Lue" w:cs="Microsoft New Tai Lue"/>
          <w:b/>
          <w:bCs/>
          <w:color w:val="000000"/>
          <w:sz w:val="32"/>
          <w:szCs w:val="32"/>
          <w:highlight w:val="none"/>
        </w:rPr>
      </w:pPr>
      <w:r>
        <w:rPr>
          <w:rFonts w:ascii="Microsoft New Tai Lue" w:hAnsi="Microsoft New Tai Lue" w:cs="Microsoft New Tai Lue"/>
          <w:b/>
          <w:bCs/>
          <w:color w:val="000000"/>
          <w:sz w:val="32"/>
          <w:szCs w:val="32"/>
          <w:highlight w:val="none"/>
        </w:rPr>
        <w:t xml:space="preserve">供应商须知前附表</w:t>
      </w:r>
      <w:r/>
    </w:p>
    <w:p>
      <w:pPr>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p>
    <w:tbl>
      <w:tblPr>
        <w:tblStyle w:val="77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23"/>
              <w:jc w:val="center"/>
              <w:spacing w:line="360" w:lineRule="auto"/>
              <w:rPr>
                <w:rFonts w:hAnsi="宋体" w:cs="宋体"/>
                <w:b/>
                <w:color w:val="000000"/>
                <w:sz w:val="21"/>
                <w:highlight w:val="none"/>
              </w:rPr>
            </w:pPr>
            <w:r>
              <w:rPr>
                <w:rFonts w:hint="eastAsia" w:hAnsi="宋体" w:cs="宋体"/>
                <w:b/>
                <w:color w:val="000000"/>
                <w:sz w:val="21"/>
                <w:highlight w:val="none"/>
              </w:rPr>
              <w:t xml:space="preserve">序号</w:t>
            </w:r>
            <w:r/>
          </w:p>
        </w:tc>
        <w:tc>
          <w:tcPr>
            <w:tcW w:w="850" w:type="dxa"/>
            <w:vAlign w:val="center"/>
            <w:textDirection w:val="lrTb"/>
            <w:noWrap w:val="false"/>
          </w:tcPr>
          <w:p>
            <w:pPr>
              <w:pStyle w:val="1023"/>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条款号</w:t>
            </w:r>
            <w:r/>
          </w:p>
        </w:tc>
        <w:tc>
          <w:tcPr>
            <w:tcW w:w="2835" w:type="dxa"/>
            <w:vAlign w:val="center"/>
            <w:textDirection w:val="lrTb"/>
            <w:noWrap w:val="false"/>
          </w:tcPr>
          <w:p>
            <w:pPr>
              <w:pStyle w:val="1023"/>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条款名称</w:t>
            </w:r>
            <w:r/>
          </w:p>
        </w:tc>
        <w:tc>
          <w:tcPr>
            <w:tcW w:w="4982" w:type="dxa"/>
            <w:vAlign w:val="center"/>
            <w:textDirection w:val="lrTb"/>
            <w:noWrap w:val="false"/>
          </w:tcPr>
          <w:p>
            <w:pPr>
              <w:pStyle w:val="1023"/>
              <w:jc w:val="center"/>
              <w:spacing w:line="360" w:lineRule="auto"/>
              <w:rPr>
                <w:rFonts w:hAnsi="宋体" w:cs="宋体"/>
                <w:b/>
                <w:color w:val="000000"/>
                <w:sz w:val="21"/>
                <w:highlight w:val="none"/>
              </w:rPr>
            </w:pPr>
            <w:r>
              <w:rPr>
                <w:rFonts w:hint="eastAsia" w:hAnsi="宋体" w:cs="宋体"/>
                <w:b/>
                <w:color w:val="000000"/>
                <w:sz w:val="21"/>
                <w:highlight w:val="none"/>
              </w:rPr>
              <w:t xml:space="preserve">编列内容规定</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1</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2.1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采购人</w:t>
            </w:r>
            <w:r/>
          </w:p>
        </w:tc>
        <w:tc>
          <w:tcPr>
            <w:tcW w:w="4982" w:type="dxa"/>
            <w:vAlign w:val="center"/>
            <w:textDirection w:val="lrTb"/>
            <w:noWrap w:val="false"/>
          </w:tcPr>
          <w:p>
            <w:pPr>
              <w:pStyle w:val="1020"/>
              <w:spacing w:before="160" w:line="276" w:lineRule="auto"/>
              <w:rPr>
                <w:rFonts w:hint="eastAsia" w:eastAsia="宋体" w:cs="Microsoft New Tai Lue"/>
                <w:color w:val="000000"/>
                <w:sz w:val="21"/>
                <w:szCs w:val="21"/>
                <w:highlight w:val="none"/>
                <w:lang w:val="en-US" w:eastAsia="zh-CN" w:bidi="ar-SA"/>
              </w:rPr>
            </w:pPr>
            <w:r>
              <w:rPr>
                <w:rFonts w:hint="eastAsia"/>
                <w:color w:val="000000"/>
                <w:sz w:val="21"/>
                <w:szCs w:val="21"/>
                <w:highlight w:val="none"/>
                <w:lang w:val="en-US" w:bidi="ar-SA"/>
              </w:rPr>
              <w:t xml:space="preserve">名称：</w:t>
            </w:r>
            <w:r>
              <w:rPr>
                <w:rFonts w:hint="eastAsia" w:cs="Microsoft New Tai Lue"/>
                <w:color w:val="000000"/>
                <w:sz w:val="21"/>
                <w:szCs w:val="21"/>
                <w:highlight w:val="none"/>
                <w:lang w:val="en-US" w:eastAsia="zh-CN" w:bidi="ar-SA"/>
              </w:rPr>
              <w:t xml:space="preserve">南京体育学院</w:t>
            </w:r>
            <w:r/>
          </w:p>
          <w:p>
            <w:pPr>
              <w:pStyle w:val="1020"/>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szCs w:val="21"/>
                <w:highlight w:val="none"/>
                <w:lang w:val="en-US" w:eastAsia="zh-CN"/>
              </w:rPr>
              <w:t xml:space="preserve">南京市玄武区灵谷寺路8号</w:t>
            </w:r>
            <w:r/>
          </w:p>
          <w:p>
            <w:pPr>
              <w:pStyle w:val="1020"/>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olor w:val="auto"/>
                <w:highlight w:val="none"/>
                <w:lang w:val="en-US" w:eastAsia="zh-CN"/>
              </w:rPr>
              <w:t xml:space="preserve">刘老师</w:t>
            </w:r>
            <w:r/>
          </w:p>
          <w:p>
            <w:pPr>
              <w:pStyle w:val="1020"/>
              <w:spacing w:before="160" w:line="276" w:lineRule="auto"/>
              <w:rPr>
                <w:rFonts w:eastAsia="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电话：</w:t>
            </w:r>
            <w:r>
              <w:rPr>
                <w:rFonts w:hint="eastAsia" w:cs="宋体"/>
                <w:color w:val="auto"/>
                <w:szCs w:val="21"/>
                <w:highlight w:val="none"/>
                <w:lang w:val="en-US" w:eastAsia="zh-CN"/>
              </w:rPr>
              <w:t xml:space="preserve">025-84755266</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2</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2.2</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采购代理机构</w:t>
            </w:r>
            <w:r/>
          </w:p>
        </w:tc>
        <w:tc>
          <w:tcPr>
            <w:tcW w:w="4982" w:type="dxa"/>
            <w:vAlign w:val="center"/>
            <w:textDirection w:val="lrTb"/>
            <w:noWrap w:val="false"/>
          </w:tcPr>
          <w:p>
            <w:pPr>
              <w:pStyle w:val="1020"/>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名 称 ：</w:t>
            </w:r>
            <w:r>
              <w:rPr>
                <w:rFonts w:hint="eastAsia"/>
                <w:color w:val="000000"/>
                <w:sz w:val="21"/>
                <w:szCs w:val="21"/>
                <w:highlight w:val="none"/>
                <w:lang w:val="en-US"/>
              </w:rPr>
              <w:t xml:space="preserve">江苏省招标中心有限公司</w:t>
            </w:r>
            <w:r/>
          </w:p>
          <w:p>
            <w:pPr>
              <w:pStyle w:val="1020"/>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地 址 ：</w:t>
            </w:r>
            <w:r>
              <w:rPr>
                <w:rFonts w:hint="eastAsia" w:ascii="宋体" w:hAnsi="宋体" w:eastAsia="宋体" w:cs="宋体"/>
                <w:color w:val="000000"/>
                <w:sz w:val="21"/>
                <w:szCs w:val="21"/>
                <w:highlight w:val="none"/>
                <w:lang w:val="en-US" w:eastAsia="zh-CN"/>
              </w:rPr>
              <w:t xml:space="preserve">南京市雨花台区宁双路19号C栋3楼 305室</w:t>
            </w:r>
            <w:r/>
          </w:p>
          <w:p>
            <w:pPr>
              <w:pStyle w:val="1020"/>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联系人：史平华</w:t>
            </w:r>
            <w:r/>
          </w:p>
          <w:p>
            <w:pPr>
              <w:pStyle w:val="1020"/>
              <w:spacing w:before="160" w:line="276" w:lineRule="auto"/>
              <w:rPr>
                <w:color w:val="000000"/>
                <w:sz w:val="21"/>
                <w:szCs w:val="21"/>
                <w:highlight w:val="none"/>
                <w:lang w:val="en-US"/>
              </w:rPr>
            </w:pPr>
            <w:r>
              <w:rPr>
                <w:rFonts w:hint="eastAsia"/>
                <w:color w:val="000000"/>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3</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4</w:t>
            </w:r>
            <w:r/>
          </w:p>
        </w:tc>
        <w:tc>
          <w:tcPr>
            <w:tcW w:w="2835" w:type="dxa"/>
            <w:vAlign w:val="center"/>
            <w:textDirection w:val="lrTb"/>
            <w:noWrap w:val="false"/>
          </w:tcPr>
          <w:p>
            <w:pPr>
              <w:pStyle w:val="1023"/>
              <w:jc w:val="left"/>
              <w:rPr>
                <w:rFonts w:hAnsi="宋体" w:cs="宋体"/>
                <w:color w:val="000000"/>
                <w:sz w:val="21"/>
                <w:highlight w:val="none"/>
              </w:rPr>
            </w:pPr>
            <w:r>
              <w:rPr>
                <w:rFonts w:hint="eastAsia" w:hAnsi="宋体" w:cs="宋体"/>
                <w:color w:val="000000"/>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Pr>
        <w:tc>
          <w:tcPr>
            <w:tcW w:w="675" w:type="dxa"/>
            <w:vAlign w:val="center"/>
            <w:textDirection w:val="lrTb"/>
            <w:noWrap w:val="false"/>
          </w:tcPr>
          <w:p>
            <w:pPr>
              <w:pStyle w:val="993"/>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p>
        </w:tc>
        <w:tc>
          <w:tcPr>
            <w:tcW w:w="850" w:type="dxa"/>
            <w:vAlign w:val="center"/>
            <w:textDirection w:val="lrTb"/>
            <w:noWrap w:val="false"/>
          </w:tcPr>
          <w:p>
            <w:pPr>
              <w:pStyle w:val="993"/>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w:t>
            </w:r>
            <w:r/>
          </w:p>
        </w:tc>
        <w:tc>
          <w:tcPr>
            <w:tcW w:w="2835" w:type="dxa"/>
            <w:vAlign w:val="center"/>
            <w:textDirection w:val="lrTb"/>
            <w:noWrap w:val="false"/>
          </w:tcPr>
          <w:p>
            <w:pPr>
              <w:pStyle w:val="993"/>
              <w:ind w:left="0" w:firstLine="0"/>
              <w:jc w:val="lef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现场踏勘</w:t>
            </w:r>
            <w:r/>
          </w:p>
        </w:tc>
        <w:tc>
          <w:tcPr>
            <w:tcW w:w="4982" w:type="dxa"/>
            <w:vAlign w:val="center"/>
            <w:textDirection w:val="lrTb"/>
            <w:noWrap w:val="false"/>
          </w:tcPr>
          <w:p>
            <w:pPr>
              <w:pStyle w:val="803"/>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不组织</w:t>
            </w:r>
            <w:r>
              <w:rPr>
                <w:rFonts w:hint="eastAsia" w:ascii="宋体" w:hAnsi="宋体" w:cs="Microsoft New Tai Lue"/>
                <w:bCs/>
                <w:color w:val="000000"/>
                <w:szCs w:val="21"/>
                <w:highlight w:val="none"/>
                <w:lang w:eastAsia="zh-CN"/>
              </w:rPr>
              <w:t xml:space="preserve">，</w:t>
            </w:r>
            <w:r>
              <w:rPr>
                <w:rFonts w:hint="eastAsia" w:ascii="宋体" w:hAnsi="宋体" w:eastAsia="宋体" w:cs="宋体"/>
                <w:bCs/>
                <w:sz w:val="21"/>
                <w:szCs w:val="21"/>
                <w:highlight w:val="none"/>
                <w:lang w:val="en-US" w:eastAsia="zh-CN" w:bidi="ar-SA"/>
              </w:rPr>
              <w:t xml:space="preserve">采购人不集中组织勘察现场，各潜在供应商可自行踏勘现场。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000000"/>
                <w:szCs w:val="21"/>
                <w:highlight w:val="none"/>
                <w:lang w:val="en-US" w:eastAsia="zh-CN"/>
              </w:rPr>
              <w:suppressLineNumbers w:val="0"/>
            </w:pPr>
            <w:r>
              <w:rPr>
                <w:rFonts w:hint="eastAsia" w:cs="宋体"/>
                <w:sz w:val="21"/>
                <w:szCs w:val="21"/>
                <w:highlight w:val="none"/>
                <w:lang w:val="en-US" w:eastAsia="zh-CN"/>
              </w:rPr>
              <w:t xml:space="preserve">各潜在供应商应认真踏勘现场，成交</w:t>
            </w:r>
            <w:r>
              <w:rPr>
                <w:rFonts w:hint="eastAsia" w:cs="宋体"/>
                <w:sz w:val="21"/>
                <w:szCs w:val="21"/>
                <w:highlight w:val="none"/>
              </w:rPr>
              <w:t xml:space="preserve">后不得以不了解现场为由而提出索赔。</w:t>
            </w:r>
            <w:r>
              <w:rPr>
                <w:rFonts w:hint="eastAsia" w:ascii="宋体" w:hAnsi="宋体" w:eastAsia="宋体" w:cs="宋体"/>
                <w:color w:val="000000"/>
                <w:sz w:val="21"/>
                <w:szCs w:val="21"/>
                <w:highlight w:val="none"/>
              </w:rPr>
              <w:t xml:space="preserve">勘察现场所发生的费用由供应商自行承担</w:t>
            </w:r>
            <w:r>
              <w:rPr>
                <w:rFonts w:hint="eastAsia" w:ascii="宋体" w:hAnsi="宋体" w:eastAsia="宋体" w:cs="宋体"/>
                <w:color w:val="000000"/>
                <w:sz w:val="21"/>
                <w:szCs w:val="21"/>
                <w:highlight w:val="none"/>
                <w:lang w:eastAsia="zh-CN"/>
              </w:rPr>
              <w:t xml:space="preserve">。</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5</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9.1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磋商前答疑会</w:t>
            </w:r>
            <w:r/>
          </w:p>
        </w:tc>
        <w:tc>
          <w:tcPr>
            <w:tcW w:w="4982" w:type="dxa"/>
            <w:vAlign w:val="center"/>
            <w:textDirection w:val="lrTb"/>
            <w:noWrap w:val="false"/>
          </w:tcPr>
          <w:p>
            <w:pPr>
              <w:pStyle w:val="1020"/>
              <w:spacing w:before="160"/>
              <w:rPr>
                <w:bCs/>
                <w:color w:val="000000"/>
                <w:szCs w:val="21"/>
                <w:highlight w:val="none"/>
              </w:rPr>
            </w:pPr>
            <w:r>
              <w:rPr>
                <w:rFonts w:hint="eastAsia"/>
                <w:b/>
                <w:color w:val="000000"/>
                <w:sz w:val="24"/>
                <w:highlight w:val="none"/>
              </w:rPr>
              <w:t xml:space="preserve">■</w:t>
            </w:r>
            <w:r>
              <w:rPr>
                <w:rFonts w:hint="eastAsia"/>
                <w:color w:val="000000"/>
                <w:sz w:val="21"/>
                <w:szCs w:val="21"/>
                <w:highlight w:val="none"/>
                <w:lang w:val="en-US" w:bidi="ar-SA"/>
              </w:rPr>
              <w:t xml:space="preserve">不召开</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6</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10.1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不接受</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7</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11.1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000000"/>
                <w:szCs w:val="21"/>
                <w:highlight w:val="none"/>
              </w:rPr>
            </w:pPr>
            <w:r>
              <w:rPr>
                <w:rFonts w:hint="eastAsia" w:ascii="宋体" w:hAnsi="宋体" w:cs="宋体"/>
                <w:color w:val="000000"/>
                <w:szCs w:val="21"/>
                <w:highlight w:val="none"/>
              </w:rPr>
              <w:t xml:space="preserve">本项目的非主体、非关键性工作是否允许分包： </w:t>
            </w:r>
            <w:r/>
          </w:p>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不允许</w:t>
            </w:r>
            <w:r/>
          </w:p>
        </w:tc>
      </w:tr>
      <w:tr>
        <w:trPr>
          <w:jc w:val="center"/>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8</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12.1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样品提交：</w:t>
            </w:r>
            <w:r/>
          </w:p>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不需要</w:t>
            </w:r>
            <w:r/>
          </w:p>
        </w:tc>
      </w:tr>
      <w:tr>
        <w:trPr>
          <w:jc w:val="center"/>
          <w:trHeight w:val="734"/>
        </w:trPr>
        <w:tc>
          <w:tcPr>
            <w:tcW w:w="675"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9</w:t>
            </w:r>
            <w:r/>
          </w:p>
        </w:tc>
        <w:tc>
          <w:tcPr>
            <w:tcW w:w="850" w:type="dxa"/>
            <w:vAlign w:val="center"/>
            <w:textDirection w:val="lrTb"/>
            <w:noWrap w:val="false"/>
          </w:tcPr>
          <w:p>
            <w:pPr>
              <w:pStyle w:val="1023"/>
              <w:jc w:val="center"/>
              <w:spacing w:line="360" w:lineRule="auto"/>
              <w:rPr>
                <w:rFonts w:hAnsi="宋体" w:cs="宋体"/>
                <w:color w:val="000000"/>
                <w:sz w:val="21"/>
                <w:highlight w:val="none"/>
              </w:rPr>
            </w:pPr>
            <w:r>
              <w:rPr>
                <w:rFonts w:hint="eastAsia" w:hAnsi="宋体" w:cs="宋体"/>
                <w:color w:val="000000"/>
                <w:sz w:val="21"/>
                <w:highlight w:val="none"/>
              </w:rPr>
              <w:t xml:space="preserve">13.1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10</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14.1</w:t>
            </w:r>
            <w:r/>
          </w:p>
        </w:tc>
        <w:tc>
          <w:tcPr>
            <w:tcW w:w="2835" w:type="dxa"/>
            <w:vAlign w:val="center"/>
            <w:textDirection w:val="lrTb"/>
            <w:noWrap w:val="false"/>
          </w:tcPr>
          <w:p>
            <w:pPr>
              <w:pStyle w:val="1023"/>
              <w:jc w:val="left"/>
              <w:rPr>
                <w:rFonts w:hAnsi="宋体" w:cs="宋体"/>
                <w:color w:val="000000"/>
                <w:sz w:val="21"/>
                <w:highlight w:val="none"/>
              </w:rPr>
            </w:pPr>
            <w:r>
              <w:rPr>
                <w:rFonts w:hint="eastAsia" w:hAnsi="宋体" w:cs="宋体"/>
                <w:color w:val="000000"/>
                <w:sz w:val="21"/>
                <w:highlight w:val="none"/>
              </w:rPr>
              <w:t xml:space="preserve">采购预算</w:t>
            </w:r>
            <w:r/>
          </w:p>
        </w:tc>
        <w:tc>
          <w:tcPr>
            <w:tcW w:w="498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11</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14.2</w:t>
            </w:r>
            <w:r/>
          </w:p>
        </w:tc>
        <w:tc>
          <w:tcPr>
            <w:tcW w:w="2835" w:type="dxa"/>
            <w:vAlign w:val="center"/>
            <w:textDirection w:val="lrTb"/>
            <w:noWrap w:val="false"/>
          </w:tcPr>
          <w:p>
            <w:pPr>
              <w:pStyle w:val="1023"/>
              <w:jc w:val="left"/>
              <w:rPr>
                <w:rFonts w:hAnsi="宋体" w:cs="宋体"/>
                <w:color w:val="000000"/>
                <w:sz w:val="21"/>
                <w:highlight w:val="none"/>
              </w:rPr>
            </w:pPr>
            <w:r>
              <w:rPr>
                <w:rFonts w:hint="eastAsia" w:hAnsi="宋体" w:cs="宋体"/>
                <w:color w:val="000000"/>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12</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15.1</w:t>
            </w:r>
            <w:r/>
          </w:p>
        </w:tc>
        <w:tc>
          <w:tcPr>
            <w:tcW w:w="2835"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供应商资格条件</w:t>
            </w:r>
            <w:r/>
          </w:p>
        </w:tc>
        <w:tc>
          <w:tcPr>
            <w:tcW w:w="4982"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13</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20.5</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报价</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hAnsi="宋体" w:cs="宋体"/>
                <w:bCs/>
                <w:color w:val="000000"/>
                <w:sz w:val="21"/>
                <w:highlight w:val="none"/>
              </w:rPr>
              <w:t xml:space="preserve">报价的其他要求：</w:t>
            </w:r>
            <w:r/>
          </w:p>
          <w:p>
            <w:pPr>
              <w:pStyle w:val="1023"/>
              <w:spacing w:line="360" w:lineRule="auto"/>
              <w:rPr>
                <w:rFonts w:hAnsi="宋体" w:cs="宋体"/>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14</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21.1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响应有效期</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hAnsi="宋体" w:cs="宋体"/>
                <w:bCs/>
                <w:color w:val="000000"/>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15</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22.1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000000"/>
                <w:szCs w:val="21"/>
                <w:highlight w:val="none"/>
              </w:rPr>
            </w:pPr>
            <w:r>
              <w:rPr>
                <w:rFonts w:hint="eastAsia" w:ascii="宋体" w:hAnsi="宋体" w:cs="宋体"/>
                <w:b/>
                <w:color w:val="000000"/>
                <w:sz w:val="24"/>
                <w:highlight w:val="none"/>
              </w:rPr>
              <w:t xml:space="preserve">■</w:t>
            </w:r>
            <w:r>
              <w:rPr>
                <w:rFonts w:hint="eastAsia" w:ascii="宋体" w:hAnsi="宋体" w:cs="Segoe UI Symbol"/>
                <w:bCs/>
                <w:color w:val="000000"/>
                <w:szCs w:val="21"/>
                <w:highlight w:val="none"/>
              </w:rPr>
              <w:t xml:space="preserve">不需要</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18</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25.1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提交响应文件的截止时间、地点</w:t>
            </w:r>
            <w:r/>
          </w:p>
        </w:tc>
        <w:tc>
          <w:tcPr>
            <w:tcW w:w="4982"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19</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27.3</w:t>
            </w:r>
            <w:r/>
          </w:p>
        </w:tc>
        <w:tc>
          <w:tcPr>
            <w:tcW w:w="2835" w:type="dxa"/>
            <w:vAlign w:val="center"/>
            <w:textDirection w:val="lrTb"/>
            <w:noWrap w:val="false"/>
          </w:tcPr>
          <w:p>
            <w:pPr>
              <w:pStyle w:val="1023"/>
              <w:jc w:val="left"/>
              <w:rPr>
                <w:rFonts w:hAnsi="宋体" w:cs="宋体"/>
                <w:color w:val="000000"/>
                <w:sz w:val="21"/>
                <w:highlight w:val="none"/>
              </w:rPr>
            </w:pPr>
            <w:r>
              <w:rPr>
                <w:rFonts w:hint="eastAsia" w:hAnsi="宋体" w:cs="宋体"/>
                <w:color w:val="000000"/>
                <w:sz w:val="21"/>
                <w:highlight w:val="none"/>
              </w:rPr>
              <w:t xml:space="preserve">信用查询</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查询相关主体信用记录。本次查询的信用记录打印的网页版将留存在评审报告中。</w:t>
            </w:r>
            <w:r>
              <w:rPr>
                <w:rFonts w:hAnsi="宋体" w:cs="Microsoft New Tai Lue"/>
                <w:bCs/>
                <w:color w:val="000000"/>
                <w:sz w:val="21"/>
                <w:highlight w:val="none"/>
              </w:rPr>
              <w:t xml:space="preserve">截止时点：</w:t>
            </w:r>
            <w:r>
              <w:rPr>
                <w:rFonts w:hint="eastAsia" w:hAnsi="宋体" w:cs="Microsoft New Tai Lue"/>
                <w:bCs/>
                <w:color w:val="000000"/>
                <w:sz w:val="21"/>
                <w:highlight w:val="none"/>
              </w:rPr>
              <w:t xml:space="preserve">响应</w:t>
            </w:r>
            <w:r>
              <w:rPr>
                <w:rFonts w:hAnsi="宋体" w:cs="Microsoft New Tai Lue"/>
                <w:bCs/>
                <w:color w:val="000000"/>
                <w:sz w:val="21"/>
                <w:highlight w:val="none"/>
              </w:rPr>
              <w:t xml:space="preserve">截止时间以后、资格审查阶段采购人或采购代理机构的实际查询时间</w:t>
            </w:r>
            <w:r>
              <w:rPr>
                <w:rFonts w:hint="eastAsia" w:hAnsi="宋体" w:cs="宋体"/>
                <w:bCs/>
                <w:color w:val="000000"/>
                <w:sz w:val="21"/>
                <w:highlight w:val="none"/>
              </w:rPr>
              <w:t xml:space="preserve">。</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20</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29.1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磋商小组</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hAnsi="宋体" w:cs="宋体"/>
                <w:bCs/>
                <w:color w:val="000000"/>
                <w:sz w:val="21"/>
                <w:highlight w:val="none"/>
              </w:rPr>
              <w:t xml:space="preserve">3人及以上单数。</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21</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39.3</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公告媒体</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ascii="宋体" w:hAnsi="宋体" w:eastAsia="宋体" w:cs="宋体"/>
                <w:color w:val="000000"/>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22</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42.1</w:t>
            </w:r>
            <w:r/>
          </w:p>
        </w:tc>
        <w:tc>
          <w:tcPr>
            <w:tcW w:w="2835" w:type="dxa"/>
            <w:vAlign w:val="center"/>
            <w:textDirection w:val="lrTb"/>
            <w:noWrap w:val="false"/>
          </w:tcPr>
          <w:p>
            <w:pPr>
              <w:pStyle w:val="1023"/>
              <w:jc w:val="left"/>
              <w:rPr>
                <w:rFonts w:hAnsi="宋体" w:cs="宋体"/>
                <w:bCs/>
                <w:color w:val="000000"/>
                <w:sz w:val="21"/>
                <w:highlight w:val="none"/>
              </w:rPr>
            </w:pPr>
            <w:r>
              <w:rPr>
                <w:rFonts w:hint="eastAsia" w:hAnsi="宋体" w:cs="宋体"/>
                <w:color w:val="000000"/>
                <w:sz w:val="21"/>
                <w:highlight w:val="none"/>
              </w:rPr>
              <w:t xml:space="preserve">履约保证金</w:t>
            </w:r>
            <w:r/>
          </w:p>
        </w:tc>
        <w:tc>
          <w:tcPr>
            <w:tcW w:w="4982" w:type="dxa"/>
            <w:vAlign w:val="center"/>
            <w:textDirection w:val="lrTb"/>
            <w:noWrap w:val="false"/>
          </w:tcPr>
          <w:p>
            <w:pPr>
              <w:pStyle w:val="1023"/>
              <w:spacing w:line="360" w:lineRule="auto"/>
              <w:rPr>
                <w:rFonts w:hAnsi="宋体" w:cs="宋体"/>
                <w:bCs/>
                <w:color w:val="000000"/>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不要求提供</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23</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供应商对磋商文件的</w:t>
            </w:r>
            <w:r/>
          </w:p>
          <w:p>
            <w:pPr>
              <w:pStyle w:val="1023"/>
              <w:jc w:val="left"/>
              <w:rPr>
                <w:rFonts w:hAnsi="宋体" w:cs="宋体"/>
                <w:color w:val="000000"/>
                <w:sz w:val="21"/>
                <w:highlight w:val="none"/>
              </w:rPr>
            </w:pPr>
            <w:r>
              <w:rPr>
                <w:rFonts w:hint="eastAsia" w:hAnsi="宋体" w:cs="宋体"/>
                <w:color w:val="000000"/>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000000"/>
                <w:szCs w:val="21"/>
                <w:highlight w:val="none"/>
              </w:rPr>
            </w:pPr>
            <w:r>
              <w:rPr>
                <w:rFonts w:hint="eastAsia" w:ascii="宋体" w:hAnsi="宋体" w:cs="宋体"/>
                <w:bCs/>
                <w:color w:val="000000"/>
                <w:highlight w:val="none"/>
              </w:rPr>
              <w:t xml:space="preserve">以书面形式（盖章扫描件及word格式文件发至</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邮箱296963515@qq.com）通知采购人或采购代理机构。</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24</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供应商对磋商文件提出的</w:t>
            </w:r>
            <w:r/>
          </w:p>
          <w:p>
            <w:pPr>
              <w:pStyle w:val="1023"/>
              <w:jc w:val="left"/>
              <w:rPr>
                <w:rFonts w:hAnsi="宋体" w:cs="宋体"/>
                <w:color w:val="000000"/>
                <w:sz w:val="21"/>
                <w:highlight w:val="none"/>
              </w:rPr>
            </w:pPr>
            <w:r>
              <w:rPr>
                <w:rFonts w:hint="eastAsia" w:hAnsi="宋体" w:cs="宋体"/>
                <w:color w:val="000000"/>
                <w:highlight w:val="none"/>
              </w:rPr>
              <w:t xml:space="preserve">质疑</w:t>
            </w:r>
            <w:r/>
          </w:p>
        </w:tc>
        <w:tc>
          <w:tcPr>
            <w:tcW w:w="4982" w:type="dxa"/>
            <w:vAlign w:val="center"/>
            <w:textDirection w:val="lrTb"/>
            <w:noWrap w:val="false"/>
          </w:tcPr>
          <w:p>
            <w:pPr>
              <w:pStyle w:val="1023"/>
              <w:spacing w:line="360" w:lineRule="auto"/>
              <w:rPr>
                <w:rFonts w:hAnsi="宋体" w:cs="宋体"/>
                <w:bCs/>
                <w:color w:val="000000"/>
                <w:sz w:val="21"/>
                <w:highlight w:val="none"/>
              </w:rPr>
            </w:pPr>
            <w:r>
              <w:rPr>
                <w:rFonts w:hint="eastAsia" w:hAnsi="宋体" w:cs="宋体"/>
                <w:bCs/>
                <w:color w:val="000000"/>
                <w:sz w:val="21"/>
                <w:highlight w:val="none"/>
              </w:rPr>
              <w:t xml:space="preserve">以书面形式通知采购人或采购代理机构。如采用邮件形式（盖章扫描件及word格式文件发至296963515@qq.com邮箱）通知，采购人或采购代理机构将以邮件形式进行答复。</w:t>
            </w:r>
            <w:r/>
          </w:p>
        </w:tc>
      </w:tr>
      <w:tr>
        <w:trPr>
          <w:jc w:val="center"/>
          <w:trHeight w:val="656"/>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25</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45.1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采购代理服务费</w:t>
            </w:r>
            <w:r/>
          </w:p>
        </w:tc>
        <w:tc>
          <w:tcPr>
            <w:tcW w:w="4982" w:type="dxa"/>
            <w:vAlign w:val="center"/>
            <w:textDirection w:val="lrTb"/>
            <w:noWrap w:val="false"/>
          </w:tcPr>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本项目预算已包含代理服务费。</w:t>
            </w:r>
            <w:r>
              <w:rPr>
                <w:rFonts w:hint="eastAsia" w:ascii="Times New Roman" w:hAnsi="Times New Roman" w:eastAsia="宋体" w:cs="Microsoft New Tai Lue"/>
                <w:bCs/>
                <w:highlight w:val="none"/>
              </w:rPr>
              <w:t xml:space="preserve">根据采购人与采购代理机构的委托代理协议，代理服务费由</w:t>
            </w:r>
            <w:r>
              <w:rPr>
                <w:rFonts w:hint="eastAsia" w:ascii="Times New Roman" w:hAnsi="Times New Roman" w:cs="Microsoft New Tai Lue"/>
                <w:bCs/>
                <w:highlight w:val="none"/>
                <w:lang w:val="en-US" w:eastAsia="zh-CN"/>
              </w:rPr>
              <w:t xml:space="preserve">成交供应商</w:t>
            </w:r>
            <w:r>
              <w:rPr>
                <w:rFonts w:hint="eastAsia" w:ascii="Times New Roman" w:hAnsi="Times New Roman" w:eastAsia="宋体" w:cs="Microsoft New Tai Lue"/>
                <w:bCs/>
                <w:highlight w:val="none"/>
              </w:rPr>
              <w:t xml:space="preserve">支付。供应商报价应当包含代理服务费，该费用不单独计列，由供应商综合考虑并计入</w:t>
            </w:r>
            <w:r>
              <w:rPr>
                <w:rFonts w:hint="eastAsia" w:ascii="Times New Roman" w:hAnsi="Times New Roman" w:eastAsia="宋体" w:cs="Microsoft New Tai Lue"/>
                <w:bCs/>
                <w:highlight w:val="none"/>
                <w:lang w:val="en-US" w:eastAsia="zh-CN"/>
              </w:rPr>
              <w:t xml:space="preserve">响应</w:t>
            </w:r>
            <w:r>
              <w:rPr>
                <w:rFonts w:hint="eastAsia" w:ascii="Times New Roman" w:hAnsi="Times New Roman" w:eastAsia="宋体" w:cs="Microsoft New Tai Lue"/>
                <w:bCs/>
                <w:highlight w:val="none"/>
              </w:rPr>
              <w:t xml:space="preserve">总价。</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hAnsi="宋体" w:cs="Microsoft New Tai Lue"/>
                <w:bCs/>
                <w:sz w:val="21"/>
                <w:szCs w:val="21"/>
                <w:highlight w:val="none"/>
                <w:lang w:val="en-US" w:eastAsia="zh-CN"/>
              </w:rPr>
              <w:t xml:space="preserve">本项目代理服务费按计价格【2002】1980号文服务类的40%计取。</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中标</w:t>
            </w:r>
            <w:r>
              <w:rPr>
                <w:rFonts w:hint="eastAsia" w:ascii="Times New Roman" w:hAnsi="Times New Roman" w:eastAsia="宋体" w:cs="Microsoft New Tai Lue"/>
                <w:bCs/>
                <w:highlight w:val="none"/>
              </w:rPr>
              <w:t xml:space="preserve">供应商在领取</w:t>
            </w:r>
            <w:r>
              <w:rPr>
                <w:rFonts w:hint="eastAsia" w:ascii="Times New Roman" w:hAnsi="Times New Roman" w:eastAsia="宋体" w:cs="Microsoft New Tai Lue"/>
                <w:bCs/>
                <w:highlight w:val="none"/>
                <w:lang w:val="en-US" w:eastAsia="zh-CN"/>
              </w:rPr>
              <w:t xml:space="preserve">成交</w:t>
            </w:r>
            <w:r>
              <w:rPr>
                <w:rFonts w:hint="eastAsia" w:ascii="Times New Roman" w:hAnsi="Times New Roman" w:eastAsia="宋体" w:cs="Microsoft New Tai Lue"/>
                <w:bCs/>
                <w:highlight w:val="none"/>
              </w:rPr>
              <w:t xml:space="preserve">通知书前，一次性向采购代理机构支付。</w:t>
            </w:r>
            <w:r>
              <w:rPr>
                <w:rFonts w:hint="eastAsia" w:hAnsi="宋体" w:cs="Microsoft New Tai Lue"/>
                <w:bCs/>
                <w:sz w:val="21"/>
                <w:szCs w:val="21"/>
                <w:highlight w:val="none"/>
              </w:rPr>
              <w:t xml:space="preserve">采购代理机构在收到</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服务费后向</w:t>
            </w:r>
            <w:r>
              <w:rPr>
                <w:rFonts w:hint="eastAsia" w:hAnsi="宋体" w:cs="Microsoft New Tai Lue"/>
                <w:bCs/>
                <w:sz w:val="21"/>
                <w:szCs w:val="21"/>
                <w:highlight w:val="none"/>
                <w:lang w:val="en-US" w:eastAsia="zh-CN"/>
              </w:rPr>
              <w:t xml:space="preserve">成交供应商</w:t>
            </w:r>
            <w:r>
              <w:rPr>
                <w:rFonts w:hint="eastAsia" w:hAnsi="宋体" w:cs="Microsoft New Tai Lue"/>
                <w:bCs/>
                <w:sz w:val="21"/>
                <w:szCs w:val="21"/>
                <w:highlight w:val="none"/>
              </w:rPr>
              <w:t xml:space="preserve">开具等额的</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服务费发票</w:t>
            </w:r>
            <w:r>
              <w:rPr>
                <w:rFonts w:hint="eastAsia" w:hAnsi="宋体" w:cs="Microsoft New Tai Lue"/>
                <w:bCs/>
                <w:sz w:val="21"/>
                <w:szCs w:val="21"/>
                <w:highlight w:val="none"/>
                <w:lang w:eastAsia="zh-CN"/>
              </w:rPr>
              <w:t xml:space="preserve">。</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784"/>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980"/>
              <w:spacing w:line="360" w:lineRule="auto"/>
              <w:rPr>
                <w:rFonts w:hAnsi="宋体" w:cs="宋体"/>
                <w:bCs/>
                <w:color w:val="000000"/>
                <w:highlight w:val="none"/>
              </w:rPr>
            </w:pPr>
            <w:r>
              <w:rPr>
                <w:rFonts w:hint="eastAsia" w:ascii="Times New Roman" w:hAnsi="Times New Roman" w:eastAsia="宋体" w:cs="Microsoft New Tai Lue"/>
                <w:bCs/>
                <w:highlight w:val="none"/>
              </w:rPr>
              <w:t xml:space="preserve">账号：7321810182600023404</w:t>
            </w:r>
            <w:r/>
          </w:p>
        </w:tc>
      </w:tr>
      <w:tr>
        <w:trPr>
          <w:jc w:val="center"/>
          <w:trHeight w:val="654"/>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26</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highlight w:val="none"/>
              </w:rPr>
              <w:t xml:space="preserve">其他规定</w:t>
            </w:r>
            <w:r/>
          </w:p>
        </w:tc>
        <w:tc>
          <w:tcPr>
            <w:tcW w:w="4982" w:type="dxa"/>
            <w:vAlign w:val="center"/>
            <w:textDirection w:val="lrTb"/>
            <w:noWrap w:val="false"/>
          </w:tcPr>
          <w:p>
            <w:pPr>
              <w:pStyle w:val="980"/>
              <w:spacing w:line="360" w:lineRule="auto"/>
              <w:rPr>
                <w:rFonts w:hint="eastAsia" w:hAnsi="宋体" w:cs="宋体"/>
                <w:color w:val="000000"/>
                <w:highlight w:val="none"/>
              </w:rPr>
            </w:pPr>
            <w:r>
              <w:rPr>
                <w:rFonts w:hint="eastAsia" w:hAnsi="宋体" w:cs="宋体"/>
                <w:color w:val="000000"/>
                <w:highlight w:val="none"/>
              </w:rPr>
              <w:t xml:space="preserve">采购项目属性：</w:t>
            </w:r>
            <w:r>
              <w:rPr>
                <w:rFonts w:hint="eastAsia" w:hAnsi="宋体" w:cs="宋体"/>
                <w:color w:val="000000"/>
                <w:highlight w:val="none"/>
                <w:lang w:val="en-US" w:eastAsia="zh-CN"/>
              </w:rPr>
              <w:t xml:space="preserve">工程</w:t>
            </w:r>
            <w:r>
              <w:rPr>
                <w:rFonts w:hint="eastAsia" w:hAnsi="宋体" w:cs="宋体"/>
                <w:color w:val="000000"/>
                <w:highlight w:val="none"/>
              </w:rPr>
              <w:t xml:space="preserve">类</w:t>
            </w:r>
            <w:r/>
          </w:p>
        </w:tc>
      </w:tr>
      <w:tr>
        <w:trPr>
          <w:jc w:val="center"/>
          <w:trHeight w:val="875"/>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27</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p>
        </w:tc>
        <w:tc>
          <w:tcPr>
            <w:tcW w:w="4982" w:type="dxa"/>
            <w:vAlign w:val="center"/>
            <w:textDirection w:val="lrTb"/>
            <w:noWrap w:val="false"/>
          </w:tcPr>
          <w:p>
            <w:pPr>
              <w:pStyle w:val="980"/>
              <w:spacing w:line="360" w:lineRule="auto"/>
              <w:rPr>
                <w:rFonts w:hAnsi="宋体" w:eastAsia="宋体" w:cs="宋体"/>
                <w:bCs/>
                <w:color w:val="000000"/>
                <w:highlight w:val="none"/>
                <w:lang w:val="en-US" w:eastAsia="zh-CN"/>
              </w:rPr>
            </w:pPr>
            <w:r>
              <w:rPr>
                <w:rFonts w:hint="eastAsia" w:hAnsi="宋体" w:cs="宋体"/>
                <w:color w:val="000000"/>
                <w:highlight w:val="none"/>
              </w:rPr>
              <w:t xml:space="preserve">标的对应的中小企业划分标准所属行业：</w:t>
            </w:r>
            <w:r>
              <w:rPr>
                <w:rFonts w:hint="eastAsia" w:hAnsi="宋体" w:cs="宋体"/>
                <w:sz w:val="21"/>
                <w:szCs w:val="21"/>
                <w:highlight w:val="none"/>
                <w:lang w:val="en-US" w:eastAsia="zh-CN" w:bidi="ar-SA"/>
              </w:rPr>
              <w:t xml:space="preserve">建筑</w:t>
            </w:r>
            <w:r>
              <w:rPr>
                <w:rFonts w:hint="eastAsia" w:ascii="宋体" w:hAnsi="宋体" w:eastAsia="宋体" w:cs="宋体"/>
                <w:sz w:val="21"/>
                <w:szCs w:val="21"/>
                <w:highlight w:val="none"/>
                <w:lang w:val="en-US" w:eastAsia="zh-CN" w:bidi="ar-SA"/>
              </w:rPr>
              <w:t xml:space="preserve">业</w:t>
            </w:r>
            <w:r/>
          </w:p>
        </w:tc>
      </w:tr>
      <w:tr>
        <w:trPr>
          <w:jc w:val="center"/>
          <w:trHeight w:val="1963"/>
        </w:trPr>
        <w:tc>
          <w:tcPr>
            <w:tcW w:w="675"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28</w:t>
            </w:r>
            <w:r/>
          </w:p>
        </w:tc>
        <w:tc>
          <w:tcPr>
            <w:tcW w:w="850" w:type="dxa"/>
            <w:vAlign w:val="center"/>
            <w:textDirection w:val="lrTb"/>
            <w:noWrap w:val="false"/>
          </w:tcPr>
          <w:p>
            <w:pPr>
              <w:pStyle w:val="1023"/>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pStyle w:val="1023"/>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p>
        </w:tc>
        <w:tc>
          <w:tcPr>
            <w:tcW w:w="4982" w:type="dxa"/>
            <w:vAlign w:val="center"/>
            <w:textDirection w:val="lrTb"/>
            <w:noWrap w:val="false"/>
          </w:tcPr>
          <w:p>
            <w:pPr>
              <w:pStyle w:val="980"/>
              <w:spacing w:line="360" w:lineRule="auto"/>
              <w:rPr>
                <w:rFonts w:hint="eastAsia" w:hAnsi="宋体" w:cs="宋体"/>
                <w:color w:val="000000"/>
                <w:highlight w:val="none"/>
              </w:rPr>
            </w:pPr>
            <w:r>
              <w:rPr>
                <w:rFonts w:hint="eastAsia" w:hAnsi="宋体" w:cs="宋体"/>
                <w:bCs/>
                <w:color w:val="000000"/>
                <w:highlight w:val="none"/>
              </w:rPr>
              <w:t xml:space="preserve">其他规定：</w:t>
            </w:r>
            <w:r>
              <w:rPr>
                <w:rFonts w:hint="eastAsia" w:hAnsi="宋体"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980"/>
              <w:spacing w:line="360" w:lineRule="auto"/>
              <w:rPr>
                <w:rFonts w:hint="eastAsia" w:hAnsi="宋体" w:cs="宋体"/>
                <w:b/>
                <w:bCs/>
                <w:highlight w:val="none"/>
                <w:lang w:val="en-US" w:eastAsia="zh-CN"/>
              </w:rPr>
            </w:pPr>
            <w:r>
              <w:rPr>
                <w:rFonts w:hint="eastAsia"/>
                <w:highlight w:val="none"/>
                <w:lang w:val="en-US" w:eastAsia="zh-CN"/>
              </w:rPr>
              <w:t xml:space="preserve">报价文件要求：</w:t>
            </w:r>
            <w:r>
              <w:rPr>
                <w:rFonts w:hint="eastAsia"/>
                <w:b/>
                <w:bCs/>
                <w:highlight w:val="none"/>
                <w:lang w:val="en-US" w:eastAsia="zh-CN"/>
              </w:rPr>
              <w:t xml:space="preserve">项目成交结果发布后，成交供应商应向采购人提供与响应文件报价一致的软件版初始报价，及excel版本初始报价（含</w:t>
            </w:r>
            <w:r>
              <w:rPr>
                <w:rFonts w:hint="default" w:ascii="宋体" w:hAnsi="宋体" w:eastAsia="宋体" w:cs="宋体"/>
                <w:b/>
                <w:bCs/>
                <w:highlight w:val="none"/>
                <w:lang w:val="en-US" w:eastAsia="zh-CN"/>
              </w:rPr>
              <w:t xml:space="preserve">分部分项工程项目清单综合单价分析表</w:t>
            </w:r>
            <w:r>
              <w:rPr>
                <w:rFonts w:hint="eastAsia" w:ascii="宋体" w:hAnsi="宋体" w:cs="宋体"/>
                <w:b/>
                <w:bCs/>
                <w:highlight w:val="none"/>
                <w:lang w:val="en-US" w:eastAsia="zh-CN"/>
              </w:rPr>
              <w:t xml:space="preserve">）</w:t>
            </w:r>
            <w:r>
              <w:rPr>
                <w:rFonts w:hint="eastAsia" w:hAnsi="宋体" w:cs="宋体"/>
                <w:b/>
                <w:bCs/>
                <w:highlight w:val="none"/>
                <w:lang w:val="en-US" w:eastAsia="zh-CN"/>
              </w:rPr>
              <w:t xml:space="preserve">。</w:t>
            </w:r>
            <w:r/>
          </w:p>
          <w:p>
            <w:pPr>
              <w:pStyle w:val="980"/>
              <w:spacing w:line="360" w:lineRule="auto"/>
              <w:rPr>
                <w:rFonts w:ascii="Times New Roman" w:hAnsi="Times New Roman" w:eastAsia="Times New Roman" w:cs="Times New Roman"/>
                <w:color w:val="000000"/>
                <w:sz w:val="21"/>
                <w:szCs w:val="21"/>
              </w:rPr>
            </w:pPr>
            <w:r>
              <w:rPr>
                <w:rFonts w:hint="eastAsia" w:hAnsi="宋体" w:cs="宋体"/>
                <w:b/>
                <w:bCs/>
                <w:highlight w:val="none"/>
                <w:lang w:val="en-US" w:eastAsia="zh-CN"/>
              </w:rPr>
            </w:r>
            <w:r>
              <w:rPr>
                <w:rFonts w:ascii="SimSun" w:hAnsi="SimSun" w:eastAsia="SimSun" w:cs="SimSun"/>
                <w:color w:val="000000"/>
                <w:sz w:val="21"/>
              </w:rPr>
              <w:t xml:space="preserve">供应商可前往网盘 </w:t>
            </w:r>
            <w:r>
              <w:rPr>
                <w:rFonts w:hint="eastAsia" w:hAnsi="宋体" w:cs="宋体"/>
                <w:color w:val="000000"/>
                <w:highlight w:val="none"/>
              </w:rPr>
            </w:r>
            <w:r/>
          </w:p>
          <w:p>
            <w:pPr>
              <w:pStyle w:val="980"/>
              <w:spacing w:line="360" w:lineRule="auto"/>
              <w:rPr>
                <w:rFonts w:hint="eastAsia" w:hAnsi="宋体" w:cs="宋体"/>
                <w:color w:val="000000"/>
                <w:highlight w:val="none"/>
              </w:rPr>
            </w:pPr>
            <w:r>
              <w:rPr>
                <w:rFonts w:ascii="Times New Roman" w:hAnsi="Times New Roman" w:eastAsia="Times New Roman" w:cs="Times New Roman"/>
                <w:color w:val="000000"/>
                <w:sz w:val="21"/>
              </w:rPr>
              <w:t xml:space="preserve">https://pan.baidu.com/s/1Zm6zOtSEQJK0-uTXvloVyw?pwd=w3zh </w:t>
            </w: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w3zh </w:t>
            </w:r>
            <w:r>
              <w:rPr>
                <w:rFonts w:ascii="SimSun" w:hAnsi="SimSun" w:eastAsia="SimSun" w:cs="SimSun"/>
                <w:color w:val="000000"/>
                <w:sz w:val="21"/>
              </w:rPr>
              <w:t xml:space="preserve">自行下载图纸。</w:t>
            </w:r>
            <w:r>
              <w:rPr>
                <w:rFonts w:hint="eastAsia" w:hAnsi="宋体" w:cs="宋体"/>
                <w:b/>
                <w:bCs/>
                <w:highlight w:val="none"/>
                <w:lang w:val="en-US" w:eastAsia="zh-CN"/>
              </w:rPr>
            </w:r>
            <w:r/>
          </w:p>
        </w:tc>
      </w:tr>
    </w:tbl>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99"/>
        <w:rPr>
          <w:rFonts w:ascii="宋体" w:hAnsi="宋体" w:cs="宋体"/>
          <w:color w:val="000000"/>
          <w:highlight w:val="none"/>
        </w:rPr>
      </w:pPr>
      <w:r/>
      <w:bookmarkStart w:id="39" w:name="_Toc103848526"/>
      <w:r/>
      <w:bookmarkStart w:id="40" w:name="_Toc104560837"/>
      <w:r/>
      <w:bookmarkStart w:id="41" w:name="_Toc107246213"/>
      <w:r/>
      <w:bookmarkStart w:id="42" w:name="_Toc100905199"/>
      <w:r>
        <w:rPr>
          <w:rFonts w:ascii="Microsoft New Tai Lue" w:hAnsi="Microsoft New Tai Lue" w:cs="Microsoft New Tai Lue"/>
          <w:color w:val="000000"/>
          <w:highlight w:val="none"/>
        </w:rPr>
        <w:br w:type="page" w:clear="all"/>
      </w:r>
      <w:bookmarkStart w:id="43" w:name="_Toc657"/>
      <w:r>
        <w:rPr>
          <w:rFonts w:hint="eastAsia" w:ascii="宋体" w:hAnsi="宋体" w:cs="宋体"/>
          <w:color w:val="000000"/>
          <w:highlight w:val="none"/>
        </w:rPr>
        <w:t xml:space="preserve">供应商须知</w:t>
      </w:r>
      <w:bookmarkEnd w:id="43"/>
      <w:r/>
      <w:r/>
    </w:p>
    <w:p>
      <w:pPr>
        <w:pStyle w:val="951"/>
        <w:ind w:left="0" w:right="210"/>
        <w:spacing w:line="360" w:lineRule="auto"/>
        <w:rPr>
          <w:rFonts w:ascii="宋体" w:hAnsi="宋体" w:cs="宋体"/>
          <w:color w:val="000000"/>
          <w:highlight w:val="none"/>
        </w:rPr>
      </w:pPr>
      <w:r/>
      <w:bookmarkStart w:id="44" w:name="_Toc295"/>
      <w:r>
        <w:rPr>
          <w:rFonts w:hint="eastAsia" w:ascii="宋体" w:hAnsi="宋体" w:cs="宋体"/>
          <w:color w:val="000000"/>
          <w:highlight w:val="none"/>
        </w:rPr>
        <w:t xml:space="preserve">一．总则</w:t>
      </w:r>
      <w:bookmarkEnd w:id="44"/>
      <w:r/>
      <w:r/>
    </w:p>
    <w:p>
      <w:pPr>
        <w:pStyle w:val="951"/>
        <w:ind w:left="0" w:right="210"/>
        <w:spacing w:line="360" w:lineRule="auto"/>
        <w:rPr>
          <w:rFonts w:ascii="宋体" w:hAnsi="宋体" w:cs="宋体"/>
          <w:color w:val="000000"/>
          <w:highlight w:val="none"/>
        </w:rPr>
      </w:pPr>
      <w:r/>
      <w:bookmarkStart w:id="45" w:name="_Toc26789"/>
      <w:r>
        <w:rPr>
          <w:rFonts w:hint="eastAsia" w:ascii="宋体" w:hAnsi="宋体" w:cs="宋体"/>
          <w:color w:val="000000"/>
          <w:highlight w:val="none"/>
        </w:rPr>
        <w:t xml:space="preserve">1.采购方式</w:t>
      </w:r>
      <w:bookmarkEnd w:id="45"/>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highlight w:val="none"/>
        </w:rPr>
        <w:t xml:space="preserve"> </w:t>
      </w:r>
      <w:r>
        <w:rPr>
          <w:rFonts w:hint="eastAsia" w:ascii="宋体" w:hAnsi="宋体" w:cs="宋体"/>
          <w:color w:val="000000"/>
          <w:szCs w:val="21"/>
          <w:highlight w:val="none"/>
        </w:rPr>
        <w:t xml:space="preserve">本次采购采取竞争性磋商采购方式，本磋商文件仅适用于竞争性磋商公告中所述项目。</w:t>
      </w:r>
      <w:r/>
    </w:p>
    <w:p>
      <w:pPr>
        <w:pStyle w:val="951"/>
        <w:ind w:left="0" w:right="210"/>
        <w:spacing w:line="360" w:lineRule="auto"/>
        <w:rPr>
          <w:rFonts w:ascii="宋体" w:hAnsi="宋体" w:cs="宋体"/>
          <w:color w:val="000000"/>
          <w:highlight w:val="none"/>
        </w:rPr>
      </w:pPr>
      <w:r/>
      <w:bookmarkStart w:id="46" w:name="_Toc21532"/>
      <w:r>
        <w:rPr>
          <w:rFonts w:hint="eastAsia" w:ascii="宋体" w:hAnsi="宋体" w:cs="宋体"/>
          <w:color w:val="000000"/>
          <w:highlight w:val="none"/>
        </w:rPr>
        <w:t xml:space="preserve">2.定义</w:t>
      </w:r>
      <w:bookmarkEnd w:id="46"/>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成交供应商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“评审专家”</w:t>
      </w:r>
      <w:r>
        <w:rPr>
          <w:rFonts w:hint="eastAsia" w:ascii="宋体" w:hAnsi="宋体" w:cs="宋体"/>
          <w:color w:val="000000"/>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p>
    <w:p>
      <w:pPr>
        <w:pStyle w:val="951"/>
        <w:ind w:left="0" w:right="210"/>
        <w:spacing w:line="360" w:lineRule="auto"/>
        <w:rPr>
          <w:rFonts w:ascii="宋体" w:hAnsi="宋体" w:cs="宋体"/>
          <w:color w:val="000000"/>
          <w:highlight w:val="none"/>
        </w:rPr>
      </w:pPr>
      <w:r/>
      <w:bookmarkStart w:id="47" w:name="_Toc2256"/>
      <w:r>
        <w:rPr>
          <w:rFonts w:hint="eastAsia" w:ascii="宋体" w:hAnsi="宋体" w:cs="宋体"/>
          <w:color w:val="000000"/>
          <w:highlight w:val="none"/>
        </w:rPr>
        <w:t xml:space="preserve">3.适用法律</w:t>
      </w:r>
      <w:bookmarkEnd w:id="47"/>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51"/>
        <w:ind w:left="0" w:right="210"/>
        <w:spacing w:line="360" w:lineRule="auto"/>
        <w:rPr>
          <w:rFonts w:ascii="宋体" w:hAnsi="宋体" w:cs="宋体"/>
          <w:color w:val="000000"/>
          <w:highlight w:val="none"/>
        </w:rPr>
      </w:pPr>
      <w:r/>
      <w:bookmarkStart w:id="48" w:name="_Toc11931"/>
      <w:r>
        <w:rPr>
          <w:rFonts w:hint="eastAsia" w:ascii="宋体" w:hAnsi="宋体" w:cs="宋体"/>
          <w:color w:val="000000"/>
          <w:highlight w:val="none"/>
        </w:rPr>
        <w:t xml:space="preserve">4.政府采购政策（包括但不限于下列具体政策要求）</w:t>
      </w:r>
      <w:bookmarkEnd w:id="48"/>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4.1.1.1中小企业是指在中华人民共和国境内依法设立，依据国务院批准的中小企业划分标准确定的中型企</w:t>
      </w:r>
      <w:r>
        <w:rPr>
          <w:rFonts w:hint="eastAsia" w:ascii="宋体" w:hAnsi="宋体" w:cs="宋体"/>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w:t>
      </w:r>
      <w:r>
        <w:rPr>
          <w:rFonts w:hint="eastAsia" w:ascii="宋体" w:hAnsi="宋体" w:cs="宋体"/>
          <w:b/>
          <w:color w:val="000000"/>
          <w:szCs w:val="21"/>
          <w:highlight w:val="none"/>
        </w:rPr>
        <w:t xml:space="preserve">优先采购的具体规定见第五章《评审方法与评审标准》（如涉及）。</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4.3未按上述要求提供相关材料的，不享受相关政策。</w:t>
      </w:r>
      <w:r/>
    </w:p>
    <w:p>
      <w:pPr>
        <w:pStyle w:val="951"/>
        <w:ind w:left="0" w:right="210"/>
        <w:spacing w:line="360" w:lineRule="auto"/>
        <w:rPr>
          <w:rFonts w:ascii="宋体" w:hAnsi="宋体" w:cs="宋体"/>
          <w:color w:val="000000"/>
          <w:highlight w:val="none"/>
        </w:rPr>
      </w:pPr>
      <w:r/>
      <w:bookmarkStart w:id="49" w:name="_Toc13814"/>
      <w:r>
        <w:rPr>
          <w:rFonts w:hint="eastAsia" w:ascii="宋体" w:hAnsi="宋体" w:cs="宋体"/>
          <w:color w:val="000000"/>
          <w:highlight w:val="none"/>
        </w:rPr>
        <w:t xml:space="preserve">5.相关费用</w:t>
      </w:r>
      <w:bookmarkEnd w:id="49"/>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5.1参加磋商活动的供应商应自行承担所有与参加磋商有关的费用。</w:t>
      </w:r>
      <w:r/>
    </w:p>
    <w:p>
      <w:pPr>
        <w:pStyle w:val="951"/>
        <w:ind w:left="0" w:right="210"/>
        <w:spacing w:line="360" w:lineRule="auto"/>
        <w:rPr>
          <w:rFonts w:ascii="宋体" w:hAnsi="宋体" w:cs="宋体"/>
          <w:color w:val="000000"/>
          <w:highlight w:val="none"/>
        </w:rPr>
      </w:pPr>
      <w:r/>
      <w:bookmarkStart w:id="50" w:name="_Toc10334"/>
      <w:r>
        <w:rPr>
          <w:rFonts w:hint="eastAsia" w:ascii="宋体" w:hAnsi="宋体" w:cs="宋体"/>
          <w:color w:val="000000"/>
          <w:highlight w:val="none"/>
        </w:rPr>
        <w:t xml:space="preserve">6.保密</w:t>
      </w:r>
      <w:bookmarkEnd w:id="50"/>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51"/>
        <w:ind w:left="0" w:right="210"/>
        <w:spacing w:line="360" w:lineRule="auto"/>
        <w:rPr>
          <w:rFonts w:ascii="宋体" w:hAnsi="宋体" w:cs="宋体"/>
          <w:color w:val="000000"/>
          <w:highlight w:val="none"/>
        </w:rPr>
      </w:pPr>
      <w:r/>
      <w:bookmarkStart w:id="51" w:name="_Toc8106"/>
      <w:r>
        <w:rPr>
          <w:rFonts w:hint="eastAsia" w:ascii="宋体" w:hAnsi="宋体" w:cs="宋体"/>
          <w:color w:val="000000"/>
          <w:highlight w:val="none"/>
        </w:rPr>
        <w:t xml:space="preserve">7.语言文字、计量单位</w:t>
      </w:r>
      <w:bookmarkEnd w:id="51"/>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7.2所有文件中的计量单位，除磋商文件有特殊要求外，应采用国家法定计量单位。</w:t>
      </w:r>
      <w:r/>
    </w:p>
    <w:p>
      <w:pPr>
        <w:pStyle w:val="951"/>
        <w:ind w:left="0" w:right="210"/>
        <w:spacing w:line="360" w:lineRule="auto"/>
        <w:rPr>
          <w:rFonts w:ascii="宋体" w:hAnsi="宋体" w:cs="宋体"/>
          <w:color w:val="000000"/>
          <w:highlight w:val="none"/>
        </w:rPr>
      </w:pPr>
      <w:r/>
      <w:bookmarkStart w:id="52" w:name="_Toc22123"/>
      <w:r>
        <w:rPr>
          <w:rFonts w:hint="eastAsia" w:ascii="宋体" w:hAnsi="宋体" w:cs="宋体"/>
          <w:color w:val="000000"/>
          <w:highlight w:val="none"/>
        </w:rPr>
        <w:t xml:space="preserve">8.现场考察</w:t>
      </w:r>
      <w:bookmarkEnd w:id="52"/>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8.3除非有特殊要求，磋商文件不提供项目所在地的自然环境、气候条件、公用设施等情况，供应商被视为熟悉上述与履行合同有关的一切情况。</w:t>
      </w:r>
      <w:r/>
    </w:p>
    <w:p>
      <w:pPr>
        <w:pStyle w:val="951"/>
        <w:ind w:left="0" w:right="210"/>
        <w:spacing w:line="360" w:lineRule="auto"/>
        <w:rPr>
          <w:rFonts w:ascii="宋体" w:hAnsi="宋体" w:cs="宋体"/>
          <w:color w:val="000000"/>
          <w:highlight w:val="none"/>
        </w:rPr>
      </w:pPr>
      <w:r/>
      <w:bookmarkStart w:id="53" w:name="_Toc941"/>
      <w:r>
        <w:rPr>
          <w:rFonts w:hint="eastAsia" w:ascii="宋体" w:hAnsi="宋体" w:cs="宋体"/>
          <w:color w:val="000000"/>
          <w:highlight w:val="none"/>
        </w:rPr>
        <w:t xml:space="preserve">9.磋商前答疑会</w:t>
      </w:r>
      <w:bookmarkEnd w:id="53"/>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规定召开磋商前答疑会的，采购方按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规定的时间和地点召开磋商前答疑会，澄清供应商提出的询问。</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p>
    <w:p>
      <w:pPr>
        <w:pStyle w:val="951"/>
        <w:ind w:left="0" w:right="210"/>
        <w:spacing w:line="360" w:lineRule="auto"/>
        <w:rPr>
          <w:rFonts w:ascii="宋体" w:hAnsi="宋体" w:cs="宋体"/>
          <w:color w:val="000000"/>
          <w:highlight w:val="none"/>
        </w:rPr>
      </w:pPr>
      <w:r/>
      <w:bookmarkStart w:id="54" w:name="_Toc20739"/>
      <w:r>
        <w:rPr>
          <w:rFonts w:hint="eastAsia" w:ascii="宋体" w:hAnsi="宋体" w:cs="宋体"/>
          <w:color w:val="000000"/>
          <w:szCs w:val="21"/>
          <w:highlight w:val="none"/>
        </w:rPr>
        <w:t xml:space="preserve">10.联合体响应</w:t>
      </w:r>
      <w:bookmarkEnd w:id="54"/>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（4）以联合体形式参加政府采购活动的，联合体各方不得再单独参加或者与其他供应商另外组成联合体参加同一合同项下的政府采购活动。</w:t>
      </w:r>
      <w:r/>
    </w:p>
    <w:p>
      <w:pPr>
        <w:pStyle w:val="951"/>
        <w:ind w:left="0" w:right="210"/>
        <w:spacing w:line="360" w:lineRule="auto"/>
        <w:rPr>
          <w:rFonts w:ascii="宋体" w:hAnsi="宋体" w:cs="宋体"/>
          <w:color w:val="000000"/>
          <w:highlight w:val="none"/>
        </w:rPr>
      </w:pPr>
      <w:r/>
      <w:bookmarkStart w:id="55" w:name="_Toc19615"/>
      <w:r>
        <w:rPr>
          <w:rFonts w:hint="eastAsia" w:ascii="宋体" w:hAnsi="宋体" w:cs="宋体"/>
          <w:color w:val="000000"/>
          <w:highlight w:val="none"/>
        </w:rPr>
        <w:t xml:space="preserve">11.分包</w:t>
      </w:r>
      <w:bookmarkEnd w:id="55"/>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51"/>
        <w:ind w:left="0" w:right="210"/>
        <w:spacing w:line="360" w:lineRule="auto"/>
        <w:rPr>
          <w:rFonts w:ascii="宋体" w:hAnsi="宋体" w:cs="宋体"/>
          <w:color w:val="000000"/>
          <w:highlight w:val="none"/>
        </w:rPr>
      </w:pPr>
      <w:r/>
      <w:bookmarkStart w:id="56" w:name="_Toc17958"/>
      <w:r>
        <w:rPr>
          <w:rFonts w:hint="eastAsia" w:ascii="宋体" w:hAnsi="宋体" w:cs="宋体"/>
          <w:color w:val="000000"/>
          <w:highlight w:val="none"/>
        </w:rPr>
        <w:t xml:space="preserve">12.样品</w:t>
      </w:r>
      <w:bookmarkEnd w:id="56"/>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12.2样品的评审方法以及评审标准等内容见第五章《评审方法与评审标准》。</w:t>
      </w:r>
      <w:r/>
    </w:p>
    <w:p>
      <w:pPr>
        <w:pStyle w:val="951"/>
        <w:ind w:left="0" w:right="210"/>
        <w:spacing w:line="360" w:lineRule="auto"/>
        <w:rPr>
          <w:rFonts w:ascii="宋体" w:hAnsi="宋体" w:cs="宋体"/>
          <w:color w:val="000000"/>
          <w:highlight w:val="none"/>
        </w:rPr>
      </w:pPr>
      <w:r/>
      <w:bookmarkStart w:id="57" w:name="_Toc3821"/>
      <w:r>
        <w:rPr>
          <w:rFonts w:hint="eastAsia" w:ascii="宋体" w:hAnsi="宋体" w:cs="宋体"/>
          <w:color w:val="000000"/>
          <w:highlight w:val="none"/>
        </w:rPr>
        <w:t xml:space="preserve">13.采购进口产品</w:t>
      </w:r>
      <w:bookmarkEnd w:id="57"/>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51"/>
        <w:ind w:left="0" w:right="210"/>
        <w:spacing w:line="360" w:lineRule="auto"/>
        <w:rPr>
          <w:rFonts w:ascii="宋体" w:hAnsi="宋体" w:cs="宋体"/>
          <w:color w:val="000000"/>
          <w:highlight w:val="none"/>
        </w:rPr>
      </w:pPr>
      <w:r/>
      <w:bookmarkStart w:id="58" w:name="_Toc25906"/>
      <w:r>
        <w:rPr>
          <w:rFonts w:hint="eastAsia" w:ascii="宋体" w:hAnsi="宋体" w:cs="宋体"/>
          <w:color w:val="000000"/>
          <w:highlight w:val="none"/>
        </w:rPr>
        <w:t xml:space="preserve">14.采购项目预算及最高限价</w:t>
      </w:r>
      <w:bookmarkEnd w:id="58"/>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51"/>
        <w:ind w:left="0" w:right="210"/>
        <w:spacing w:line="360" w:lineRule="auto"/>
        <w:rPr>
          <w:rFonts w:ascii="宋体" w:hAnsi="宋体" w:cs="宋体"/>
          <w:color w:val="000000"/>
          <w:highlight w:val="none"/>
        </w:rPr>
      </w:pPr>
      <w:r/>
      <w:bookmarkStart w:id="59" w:name="_Toc7813"/>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bookmarkEnd w:id="59"/>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51"/>
        <w:ind w:left="0" w:right="210"/>
        <w:spacing w:line="360" w:lineRule="auto"/>
        <w:rPr>
          <w:rFonts w:ascii="宋体" w:hAnsi="宋体" w:cs="宋体"/>
          <w:color w:val="000000"/>
          <w:highlight w:val="none"/>
        </w:rPr>
      </w:pPr>
      <w:r/>
      <w:bookmarkStart w:id="60" w:name="_Toc5211"/>
      <w:r>
        <w:rPr>
          <w:rFonts w:hint="eastAsia" w:ascii="宋体" w:hAnsi="宋体" w:cs="宋体"/>
          <w:color w:val="000000"/>
          <w:highlight w:val="none"/>
        </w:rPr>
        <w:t xml:space="preserve">二．磋商文件</w:t>
      </w:r>
      <w:bookmarkEnd w:id="60"/>
      <w:r/>
      <w:r/>
    </w:p>
    <w:p>
      <w:pPr>
        <w:pStyle w:val="951"/>
        <w:ind w:left="0" w:right="210"/>
        <w:spacing w:line="360" w:lineRule="auto"/>
        <w:rPr>
          <w:rFonts w:ascii="宋体" w:hAnsi="宋体" w:cs="宋体"/>
          <w:color w:val="000000"/>
          <w:highlight w:val="none"/>
        </w:rPr>
      </w:pPr>
      <w:r/>
      <w:bookmarkStart w:id="61" w:name="_Toc2776"/>
      <w:r>
        <w:rPr>
          <w:rFonts w:hint="eastAsia" w:ascii="宋体" w:hAnsi="宋体" w:cs="宋体"/>
          <w:color w:val="000000"/>
          <w:highlight w:val="none"/>
        </w:rPr>
        <w:t xml:space="preserve">16.磋商文件的构成</w:t>
      </w:r>
      <w:bookmarkEnd w:id="61"/>
      <w:r/>
      <w:r/>
    </w:p>
    <w:p>
      <w:pPr>
        <w:pStyle w:val="1023"/>
        <w:ind w:firstLine="420"/>
        <w:rPr>
          <w:rFonts w:hAnsi="宋体" w:cs="宋体"/>
          <w:bCs/>
          <w:color w:val="000000"/>
          <w:sz w:val="21"/>
          <w:highlight w:val="none"/>
        </w:rPr>
      </w:pPr>
      <w:r>
        <w:rPr>
          <w:rFonts w:hint="eastAsia" w:hAnsi="宋体" w:cs="宋体"/>
          <w:bCs/>
          <w:color w:val="000000"/>
          <w:sz w:val="21"/>
          <w:highlight w:val="none"/>
        </w:rPr>
        <w:t xml:space="preserve">16.1磋商文件各章节的内容如下：</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第一章：竞争性磋商公告</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第二章：供应商须知</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第三章：评审方法与评审标准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第五章：政府采购合同条款及格式</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第六章：响应文件格式</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对磋商文件所作的澄清、修改，构成磋商文件的组成部分。</w:t>
      </w:r>
      <w:r/>
    </w:p>
    <w:p>
      <w:pPr>
        <w:ind w:firstLine="422"/>
        <w:spacing w:before="156" w:line="360" w:lineRule="auto"/>
        <w:rPr>
          <w:rFonts w:ascii="宋体" w:hAnsi="宋体" w:cs="宋体"/>
          <w:color w:val="000000"/>
          <w:szCs w:val="21"/>
          <w:highlight w:val="none"/>
        </w:rPr>
      </w:pPr>
      <w:r>
        <w:rPr>
          <w:rFonts w:hint="eastAsia" w:ascii="宋体" w:hAnsi="宋体" w:cs="宋体"/>
          <w:b/>
          <w:color w:val="000000"/>
          <w:szCs w:val="21"/>
          <w:highlight w:val="none"/>
        </w:rPr>
        <w:t xml:space="preserve">★磋商文件成交注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16.4本项目磋商文件如包括多个分包，则除非特别说明，磋商文件所列各项要求均为各分包通用要求。</w:t>
      </w:r>
      <w:r/>
    </w:p>
    <w:p>
      <w:pPr>
        <w:pStyle w:val="951"/>
        <w:ind w:left="0" w:right="210"/>
        <w:spacing w:line="360" w:lineRule="auto"/>
        <w:rPr>
          <w:rFonts w:ascii="宋体" w:hAnsi="宋体" w:cs="宋体"/>
          <w:color w:val="000000"/>
          <w:highlight w:val="none"/>
        </w:rPr>
      </w:pPr>
      <w:r/>
      <w:bookmarkStart w:id="62" w:name="_Toc10006"/>
      <w:r>
        <w:rPr>
          <w:rFonts w:hint="eastAsia" w:ascii="宋体" w:hAnsi="宋体" w:cs="宋体"/>
          <w:color w:val="000000"/>
          <w:highlight w:val="none"/>
        </w:rPr>
        <w:t xml:space="preserve">17.磋商文件的澄清或者修改</w:t>
      </w:r>
      <w:bookmarkEnd w:id="62"/>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51"/>
        <w:ind w:left="0" w:right="210"/>
        <w:spacing w:line="360" w:lineRule="auto"/>
        <w:rPr>
          <w:rFonts w:ascii="宋体" w:hAnsi="宋体" w:cs="宋体"/>
          <w:color w:val="000000"/>
          <w:highlight w:val="none"/>
        </w:rPr>
      </w:pPr>
      <w:r/>
      <w:bookmarkStart w:id="63" w:name="_Toc31787"/>
      <w:r>
        <w:rPr>
          <w:rFonts w:hint="eastAsia" w:ascii="宋体" w:hAnsi="宋体" w:cs="宋体"/>
          <w:color w:val="000000"/>
          <w:highlight w:val="none"/>
        </w:rPr>
        <w:t xml:space="preserve">三．响应文件</w:t>
      </w:r>
      <w:bookmarkEnd w:id="63"/>
      <w:r/>
      <w:r/>
    </w:p>
    <w:p>
      <w:pPr>
        <w:pStyle w:val="951"/>
        <w:ind w:left="0" w:right="210"/>
        <w:spacing w:line="360" w:lineRule="auto"/>
        <w:rPr>
          <w:rFonts w:ascii="宋体" w:hAnsi="宋体" w:cs="宋体"/>
          <w:color w:val="000000"/>
          <w:highlight w:val="none"/>
        </w:rPr>
      </w:pPr>
      <w:r/>
      <w:bookmarkStart w:id="64" w:name="_Toc17582"/>
      <w:r>
        <w:rPr>
          <w:rFonts w:hint="eastAsia" w:ascii="宋体" w:hAnsi="宋体" w:cs="宋体"/>
          <w:color w:val="000000"/>
          <w:highlight w:val="none"/>
        </w:rPr>
        <w:t xml:space="preserve">18.响应文件的组成</w:t>
      </w:r>
      <w:bookmarkEnd w:id="64"/>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实施方案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响应文件的其他部分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.1响应文件的其他部分由供应商根据编制响应文件需要提供的其他相关文件组成。</w:t>
      </w:r>
      <w:r/>
    </w:p>
    <w:p>
      <w:pPr>
        <w:pStyle w:val="951"/>
        <w:ind w:left="0" w:right="210"/>
        <w:spacing w:line="360" w:lineRule="auto"/>
        <w:rPr>
          <w:rFonts w:ascii="宋体" w:hAnsi="宋体" w:cs="宋体"/>
          <w:color w:val="000000"/>
          <w:szCs w:val="21"/>
          <w:highlight w:val="none"/>
        </w:rPr>
      </w:pPr>
      <w:r/>
      <w:bookmarkStart w:id="65" w:name="_Toc1106"/>
      <w:r>
        <w:rPr>
          <w:rFonts w:hint="eastAsia" w:ascii="宋体" w:hAnsi="宋体" w:cs="宋体"/>
          <w:color w:val="000000"/>
          <w:highlight w:val="none"/>
        </w:rPr>
        <w:t xml:space="preserve">19.响应文件编制的原则</w:t>
      </w:r>
      <w:bookmarkEnd w:id="65"/>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供应商必须保证响应文件所提供的全部资料真实可靠。</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响应文件须对磋商文件中的内容做出实质性和完整的响应。</w:t>
      </w:r>
      <w:r/>
    </w:p>
    <w:p>
      <w:pPr>
        <w:pStyle w:val="951"/>
        <w:ind w:left="0" w:right="210"/>
        <w:spacing w:line="360" w:lineRule="auto"/>
        <w:rPr>
          <w:rFonts w:ascii="宋体" w:hAnsi="宋体" w:cs="宋体"/>
          <w:color w:val="000000"/>
          <w:szCs w:val="21"/>
          <w:highlight w:val="none"/>
        </w:rPr>
      </w:pPr>
      <w:r/>
      <w:bookmarkStart w:id="66" w:name="_Toc26770"/>
      <w:r>
        <w:rPr>
          <w:rFonts w:hint="eastAsia" w:ascii="宋体" w:hAnsi="宋体" w:cs="宋体"/>
          <w:color w:val="000000"/>
          <w:highlight w:val="none"/>
        </w:rPr>
        <w:t xml:space="preserve">20.报价</w:t>
      </w:r>
      <w:bookmarkEnd w:id="66"/>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20.1除非采购文件另有规定，</w:t>
      </w:r>
      <w:r>
        <w:rPr>
          <w:rFonts w:hint="eastAsia" w:ascii="宋体" w:hAnsi="宋体" w:cs="宋体"/>
          <w:color w:val="000000"/>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20.4</w:t>
      </w:r>
      <w:r>
        <w:rPr>
          <w:rFonts w:hint="eastAsia" w:ascii="宋体" w:hAnsi="宋体" w:cs="宋体"/>
          <w:color w:val="000000"/>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报价的其他要求见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51"/>
        <w:ind w:left="0" w:right="210"/>
        <w:spacing w:line="360" w:lineRule="auto"/>
        <w:rPr>
          <w:rFonts w:ascii="宋体" w:hAnsi="宋体" w:cs="宋体"/>
          <w:color w:val="000000"/>
          <w:highlight w:val="none"/>
        </w:rPr>
      </w:pPr>
      <w:r/>
      <w:bookmarkStart w:id="67" w:name="_Toc17981"/>
      <w:r>
        <w:rPr>
          <w:rFonts w:hint="eastAsia" w:ascii="宋体" w:hAnsi="宋体" w:cs="宋体"/>
          <w:color w:val="000000"/>
          <w:highlight w:val="none"/>
        </w:rPr>
        <w:t xml:space="preserve">21.响应有效期</w:t>
      </w:r>
      <w:bookmarkEnd w:id="67"/>
      <w:r/>
      <w:r/>
    </w:p>
    <w:p>
      <w:pPr>
        <w:ind w:firstLine="422"/>
        <w:spacing w:before="156"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21.1响应有效期见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规定的响应截止之日起计算。</w:t>
      </w:r>
      <w:r>
        <w:rPr>
          <w:rFonts w:hint="eastAsia" w:ascii="宋体" w:hAnsi="宋体" w:cs="宋体"/>
          <w:b/>
          <w:bCs/>
          <w:color w:val="000000"/>
          <w:szCs w:val="21"/>
          <w:highlight w:val="none"/>
        </w:rPr>
        <w:t xml:space="preserve">响应有效期不足的，在评审时将其视为无效响应。</w:t>
      </w:r>
      <w:r/>
    </w:p>
    <w:p>
      <w:pPr>
        <w:pStyle w:val="951"/>
        <w:ind w:left="0" w:right="210"/>
        <w:spacing w:line="360" w:lineRule="auto"/>
        <w:rPr>
          <w:rFonts w:ascii="宋体" w:hAnsi="宋体" w:cs="宋体"/>
          <w:color w:val="000000"/>
          <w:highlight w:val="none"/>
        </w:rPr>
      </w:pPr>
      <w:r/>
      <w:bookmarkStart w:id="68" w:name="_Toc29226"/>
      <w:r>
        <w:rPr>
          <w:rFonts w:hint="eastAsia" w:ascii="宋体" w:hAnsi="宋体" w:cs="宋体"/>
          <w:color w:val="000000"/>
          <w:highlight w:val="none"/>
        </w:rPr>
        <w:t xml:space="preserve">22.磋商保证金</w:t>
      </w:r>
      <w:bookmarkEnd w:id="68"/>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22.1本项目</w:t>
      </w:r>
      <w:r>
        <w:rPr>
          <w:rFonts w:hint="eastAsia" w:ascii="宋体" w:hAnsi="宋体" w:cs="宋体"/>
          <w:bCs/>
          <w:color w:val="000000"/>
          <w:szCs w:val="21"/>
          <w:highlight w:val="none"/>
          <w:lang w:val="en-US" w:eastAsia="zh-CN"/>
        </w:rPr>
        <w:t xml:space="preserve">无需</w:t>
      </w:r>
      <w:r>
        <w:rPr>
          <w:rFonts w:hint="eastAsia" w:ascii="宋体" w:hAnsi="宋体" w:cs="宋体"/>
          <w:bCs/>
          <w:color w:val="000000"/>
          <w:szCs w:val="21"/>
          <w:highlight w:val="none"/>
        </w:rPr>
        <w:t xml:space="preserve">交纳磋商保证金。</w:t>
      </w:r>
      <w:r/>
    </w:p>
    <w:p>
      <w:pPr>
        <w:pStyle w:val="951"/>
        <w:ind w:left="0" w:right="210"/>
        <w:spacing w:line="360" w:lineRule="auto"/>
        <w:rPr>
          <w:rFonts w:ascii="宋体" w:hAnsi="宋体" w:cs="宋体"/>
          <w:color w:val="000000"/>
          <w:highlight w:val="none"/>
        </w:rPr>
      </w:pPr>
      <w:r/>
      <w:bookmarkStart w:id="69" w:name="_Toc13063"/>
      <w:r>
        <w:rPr>
          <w:rFonts w:hint="eastAsia" w:ascii="宋体" w:hAnsi="宋体" w:cs="宋体"/>
          <w:color w:val="000000"/>
          <w:highlight w:val="none"/>
        </w:rPr>
        <w:t xml:space="preserve">23.响应文件的制作和签署</w:t>
      </w:r>
      <w:bookmarkEnd w:id="69"/>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公告规定的投标截止时间前制作并上传电子投标文件。</w:t>
      </w:r>
      <w:bookmarkStart w:id="70" w:name="_Toc20823298"/>
      <w:r/>
      <w:bookmarkStart w:id="71" w:name="_Toc513029226"/>
      <w:r/>
      <w:bookmarkStart w:id="72" w:name="_Toc16938542"/>
      <w:r/>
      <w:bookmarkEnd w:id="70"/>
      <w:r/>
      <w:bookmarkEnd w:id="71"/>
      <w:r/>
      <w:bookmarkEnd w:id="72"/>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应充分考虑网络环境、网络带宽等因素</w:t>
      </w:r>
      <w:r>
        <w:rPr>
          <w:rFonts w:hint="eastAsia" w:ascii="宋体" w:hAnsi="宋体" w:eastAsia="宋体" w:cs="宋体"/>
          <w:color w:val="000000"/>
          <w:szCs w:val="21"/>
          <w:highlight w:val="none"/>
        </w:rPr>
        <w:t xml:space="preserve">可能对投标产生的影响</w:t>
      </w:r>
      <w:r>
        <w:rPr>
          <w:rFonts w:hint="eastAsia" w:ascii="宋体" w:hAnsi="宋体" w:eastAsia="宋体" w:cs="宋体"/>
          <w:color w:val="000000"/>
          <w:szCs w:val="21"/>
          <w:highlight w:val="none"/>
          <w:lang w:val="zh-CN"/>
        </w:rPr>
        <w:t xml:space="preserve">，如因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可以按照规定，通过修改</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文件酌情延长投标截止时间，在此情况下，</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的所有权利和义务均以延长后新的截止时间为准</w:t>
      </w:r>
      <w:r>
        <w:rPr>
          <w:rFonts w:hint="eastAsia" w:ascii="宋体" w:hAnsi="宋体" w:eastAsia="宋体" w:cs="宋体"/>
          <w:color w:val="000000"/>
          <w:szCs w:val="21"/>
          <w:highlight w:val="none"/>
        </w:rPr>
        <w:t xml:space="preserve">。</w:t>
      </w:r>
      <w:r/>
    </w:p>
    <w:p>
      <w:pPr>
        <w:pStyle w:val="951"/>
        <w:ind w:left="0" w:right="210"/>
        <w:spacing w:line="360" w:lineRule="auto"/>
        <w:rPr>
          <w:rFonts w:ascii="宋体" w:hAnsi="宋体" w:cs="宋体"/>
          <w:color w:val="000000"/>
          <w:highlight w:val="none"/>
        </w:rPr>
      </w:pPr>
      <w:r/>
      <w:bookmarkStart w:id="73" w:name="_Toc10288"/>
      <w:r>
        <w:rPr>
          <w:rFonts w:hint="eastAsia" w:ascii="宋体" w:hAnsi="宋体" w:cs="宋体"/>
          <w:color w:val="000000"/>
          <w:highlight w:val="none"/>
        </w:rPr>
        <w:t xml:space="preserve">四．响应文件的提交</w:t>
      </w:r>
      <w:bookmarkEnd w:id="73"/>
      <w:r/>
      <w:r/>
    </w:p>
    <w:p>
      <w:pPr>
        <w:pStyle w:val="951"/>
        <w:ind w:left="0" w:right="210"/>
        <w:spacing w:line="360" w:lineRule="auto"/>
        <w:rPr>
          <w:rFonts w:hint="eastAsia" w:ascii="宋体" w:hAnsi="宋体" w:eastAsia="宋体" w:cs="宋体"/>
          <w:color w:val="000000"/>
          <w:highlight w:val="none"/>
          <w:lang w:val="en-US" w:eastAsia="zh-CN"/>
        </w:rPr>
      </w:pPr>
      <w:r/>
      <w:bookmarkStart w:id="74" w:name="_Toc20583"/>
      <w:r>
        <w:rPr>
          <w:rFonts w:hint="eastAsia" w:ascii="宋体" w:hAnsi="宋体" w:cs="宋体"/>
          <w:color w:val="000000"/>
          <w:highlight w:val="none"/>
        </w:rPr>
        <w:t xml:space="preserve">24.响应文件的</w:t>
      </w:r>
      <w:r>
        <w:rPr>
          <w:rFonts w:hint="eastAsia" w:ascii="宋体" w:hAnsi="宋体" w:cs="宋体"/>
          <w:color w:val="000000"/>
          <w:highlight w:val="none"/>
          <w:lang w:val="en-US" w:eastAsia="zh-CN"/>
        </w:rPr>
        <w:t xml:space="preserve">递交</w:t>
      </w:r>
      <w:bookmarkEnd w:id="74"/>
      <w:r/>
      <w:r/>
    </w:p>
    <w:p>
      <w:pPr>
        <w:ind w:firstLine="420"/>
        <w:spacing w:before="156"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eastAsia="zh-CN"/>
        </w:rPr>
        <w:t xml:space="preserve">投标截止时间后上传的任何投标文件将被拒绝。</w:t>
      </w:r>
      <w:r/>
    </w:p>
    <w:p>
      <w:pPr>
        <w:pStyle w:val="951"/>
        <w:ind w:left="0" w:right="210"/>
        <w:spacing w:line="360" w:lineRule="auto"/>
        <w:rPr>
          <w:rFonts w:hint="eastAsia" w:ascii="宋体" w:hAnsi="宋体" w:eastAsia="宋体" w:cs="宋体"/>
          <w:color w:val="000000"/>
          <w:highlight w:val="none"/>
          <w:lang w:eastAsia="zh-CN"/>
        </w:rPr>
      </w:pPr>
      <w:r/>
      <w:bookmarkStart w:id="75" w:name="_Toc20823300"/>
      <w:r/>
      <w:bookmarkStart w:id="76" w:name="_Toc29657"/>
      <w:r/>
      <w:bookmarkStart w:id="77" w:name="_Toc513029228"/>
      <w:r/>
      <w:bookmarkStart w:id="78" w:name="_Toc16938544"/>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highlight w:val="none"/>
          <w:lang w:eastAsia="zh-CN"/>
        </w:rPr>
        <w:t xml:space="preserve">.投标文件的撤回和修改</w:t>
      </w:r>
      <w:bookmarkEnd w:id="75"/>
      <w:r/>
      <w:bookmarkEnd w:id="76"/>
      <w:r/>
      <w:bookmarkEnd w:id="77"/>
      <w:r/>
      <w:bookmarkEnd w:id="78"/>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 投标文件的撤回</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可在投标截止时间前撤回其电子投标文件，具体操作方法见《操作手册》。</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撤回电子投标文件，则认为其不再参与本项目投标活动。</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 投标文件的修改</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.3 在投标截止时间至招标文件中规定的投标有效期满之间的这段时间内，投标人不得撤回其投标。</w:t>
      </w:r>
      <w:bookmarkStart w:id="79" w:name="_Toc20823301"/>
      <w:r/>
      <w:bookmarkStart w:id="80" w:name="_Toc120614218"/>
      <w:r/>
      <w:bookmarkStart w:id="81" w:name="_Toc16938545"/>
      <w:r/>
      <w:bookmarkStart w:id="82" w:name="_Toc513029229"/>
      <w:r/>
      <w:r/>
    </w:p>
    <w:p>
      <w:pPr>
        <w:pStyle w:val="951"/>
        <w:ind w:left="0" w:right="210"/>
        <w:spacing w:line="360" w:lineRule="auto"/>
        <w:rPr>
          <w:rFonts w:hint="eastAsia" w:ascii="宋体" w:hAnsi="宋体" w:eastAsia="宋体" w:cs="宋体"/>
          <w:color w:val="000000"/>
          <w:highlight w:val="none"/>
        </w:rPr>
      </w:pPr>
      <w:r/>
      <w:bookmarkStart w:id="83" w:name="_Toc23471"/>
      <w:r>
        <w:rPr>
          <w:rFonts w:hint="eastAsia" w:ascii="宋体" w:hAnsi="宋体" w:eastAsia="宋体" w:cs="宋体"/>
          <w:color w:val="000000"/>
          <w:highlight w:val="none"/>
        </w:rPr>
        <w:t xml:space="preserve">五、</w:t>
      </w:r>
      <w:bookmarkEnd w:id="79"/>
      <w:r/>
      <w:bookmarkEnd w:id="80"/>
      <w:r/>
      <w:bookmarkEnd w:id="81"/>
      <w:r/>
      <w:bookmarkEnd w:id="82"/>
      <w:r>
        <w:rPr>
          <w:rFonts w:hint="eastAsia" w:ascii="宋体" w:hAnsi="宋体" w:eastAsia="宋体" w:cs="宋体"/>
          <w:color w:val="000000"/>
          <w:highlight w:val="none"/>
          <w:lang w:eastAsia="zh-CN"/>
        </w:rPr>
        <w:t xml:space="preserve">响应文件的解密与评审</w:t>
      </w:r>
      <w:bookmarkEnd w:id="83"/>
      <w:r/>
      <w:r/>
    </w:p>
    <w:p>
      <w:pPr>
        <w:pStyle w:val="951"/>
        <w:ind w:left="0" w:right="210"/>
        <w:spacing w:line="360" w:lineRule="auto"/>
        <w:rPr>
          <w:rFonts w:hint="eastAsia" w:ascii="宋体" w:hAnsi="宋体" w:eastAsia="宋体" w:cs="宋体"/>
          <w:color w:val="000000"/>
          <w:highlight w:val="none"/>
          <w:lang w:eastAsia="zh-CN"/>
        </w:rPr>
      </w:pPr>
      <w:r/>
      <w:bookmarkStart w:id="84" w:name="_Toc31323"/>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.响应文件解密</w:t>
      </w:r>
      <w:bookmarkEnd w:id="84"/>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供应商应当按照《操作手册》规定，在苏采云系统规定的时间内对响应文件进行解密。</w:t>
      </w:r>
      <w:r/>
    </w:p>
    <w:p>
      <w:pPr>
        <w:pStyle w:val="951"/>
        <w:ind w:left="0" w:right="210"/>
        <w:spacing w:line="360" w:lineRule="auto"/>
        <w:rPr>
          <w:rFonts w:hint="eastAsia" w:ascii="宋体" w:hAnsi="宋体" w:eastAsia="宋体" w:cs="宋体"/>
          <w:color w:val="000000"/>
          <w:highlight w:val="none"/>
          <w:lang w:eastAsia="zh-CN"/>
        </w:rPr>
      </w:pPr>
      <w:r/>
      <w:bookmarkStart w:id="85" w:name="_Toc30141"/>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.磋商</w:t>
      </w:r>
      <w:bookmarkEnd w:id="85"/>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.3 磋商小组独立工作，负责评审所有响应文件并推荐成交候选人，或根据采购人授权直接确定成交供应商。</w:t>
      </w:r>
      <w:r/>
    </w:p>
    <w:p>
      <w:pPr>
        <w:pStyle w:val="951"/>
        <w:ind w:left="0" w:right="210"/>
        <w:spacing w:line="360" w:lineRule="auto"/>
        <w:rPr>
          <w:rFonts w:hint="eastAsia" w:ascii="宋体" w:hAnsi="宋体" w:eastAsia="宋体" w:cs="宋体"/>
          <w:color w:val="000000"/>
          <w:highlight w:val="none"/>
          <w:lang w:eastAsia="zh-CN"/>
        </w:rPr>
      </w:pPr>
      <w:r/>
      <w:bookmarkStart w:id="86" w:name="_Toc12178"/>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.评审过程的保密与公正</w:t>
      </w:r>
      <w:bookmarkEnd w:id="86"/>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磋商小组、采购人和</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和磋商小组不向未成交的供应商解释未成交原因，也不公布评审过程中的相关细节。</w:t>
      </w:r>
      <w:r/>
    </w:p>
    <w:p>
      <w:pPr>
        <w:pStyle w:val="951"/>
        <w:ind w:left="0" w:right="210"/>
        <w:spacing w:line="360" w:lineRule="auto"/>
        <w:rPr>
          <w:rFonts w:hint="eastAsia" w:ascii="宋体" w:hAnsi="宋体" w:eastAsia="宋体" w:cs="宋体"/>
          <w:color w:val="000000"/>
          <w:highlight w:val="none"/>
          <w:lang w:eastAsia="zh-CN"/>
        </w:rPr>
      </w:pPr>
      <w:r/>
      <w:bookmarkStart w:id="87" w:name="_Toc10129"/>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.评审过程中的澄清</w:t>
      </w:r>
      <w:bookmarkEnd w:id="87"/>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.2 需要供应商进行澄清、说明和补正的，磋商小组将通过苏采云系统向供应商发出</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，接到</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的供应商应当按照要求在苏采云系统中提交</w:t>
      </w:r>
      <w:r>
        <w:rPr>
          <w:rFonts w:hint="eastAsia" w:ascii="宋体" w:hAnsi="宋体" w:eastAsia="宋体" w:cs="宋体"/>
          <w:color w:val="000000"/>
          <w:szCs w:val="21"/>
          <w:highlight w:val="none"/>
          <w:lang w:val="zh-CN"/>
        </w:rPr>
        <w:t xml:space="preserve">《澄清响应函》</w:t>
      </w:r>
      <w:r>
        <w:rPr>
          <w:rFonts w:hint="eastAsia" w:ascii="宋体" w:hAnsi="宋体" w:eastAsia="宋体" w:cs="宋体"/>
          <w:color w:val="000000"/>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 接到磋商小组澄清、说明和补正要求的供应商如未按规定做出澄清、说明和补正，其风险由供应商自行承担。</w:t>
      </w:r>
      <w:r/>
    </w:p>
    <w:p>
      <w:pPr>
        <w:pStyle w:val="951"/>
        <w:ind w:left="0" w:right="210"/>
        <w:spacing w:line="360" w:lineRule="auto"/>
        <w:rPr>
          <w:rFonts w:hint="eastAsia" w:ascii="宋体" w:hAnsi="宋体" w:eastAsia="宋体" w:cs="宋体"/>
          <w:color w:val="000000"/>
          <w:highlight w:val="none"/>
          <w:lang w:eastAsia="zh-CN"/>
        </w:rPr>
      </w:pPr>
      <w:r/>
      <w:bookmarkStart w:id="88" w:name="_Toc4815"/>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eastAsia="zh-CN"/>
        </w:rPr>
        <w:t xml:space="preserve">.响应文件的审查</w:t>
      </w:r>
      <w:bookmarkEnd w:id="88"/>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接受联合体的项目，联合体成员存在不良信用记录的，视同联合体存在不良</w:t>
      </w:r>
      <w:r>
        <w:rPr>
          <w:rFonts w:hint="eastAsia" w:ascii="宋体" w:hAnsi="宋体" w:eastAsia="宋体" w:cs="宋体"/>
          <w:color w:val="000000"/>
          <w:szCs w:val="21"/>
          <w:highlight w:val="none"/>
        </w:rPr>
        <w:t xml:space="preserve">信</w:t>
      </w:r>
      <w:r>
        <w:rPr>
          <w:rFonts w:hint="eastAsia" w:ascii="宋体" w:hAnsi="宋体" w:eastAsia="宋体" w:cs="宋体"/>
          <w:color w:val="000000"/>
          <w:szCs w:val="21"/>
          <w:highlight w:val="none"/>
          <w:lang w:val="zh-CN"/>
        </w:rPr>
        <w:t xml:space="preserve">用记录。</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zh-CN"/>
        </w:rPr>
        <w:t xml:space="preserve">磋商小组</w:t>
      </w:r>
      <w:r>
        <w:rPr>
          <w:rFonts w:hint="eastAsia" w:ascii="宋体" w:hAnsi="宋体" w:eastAsia="宋体" w:cs="宋体"/>
          <w:color w:val="000000"/>
          <w:szCs w:val="21"/>
          <w:highlight w:val="none"/>
        </w:rPr>
        <w:t xml:space="preserve">按照</w:t>
      </w:r>
      <w:r>
        <w:rPr>
          <w:rFonts w:hint="eastAsia" w:ascii="宋体" w:hAnsi="宋体" w:eastAsia="宋体" w:cs="宋体"/>
          <w:color w:val="000000"/>
          <w:szCs w:val="21"/>
          <w:highlight w:val="none"/>
          <w:lang w:val="zh-CN"/>
        </w:rPr>
        <w:t xml:space="preserve">少数服从多数的原则作出结论。</w:t>
      </w:r>
      <w:r>
        <w:rPr>
          <w:rFonts w:hint="eastAsia" w:ascii="宋体" w:hAnsi="宋体" w:eastAsia="宋体" w:cs="宋体"/>
          <w:color w:val="000000"/>
          <w:szCs w:val="21"/>
          <w:highlight w:val="none"/>
        </w:rPr>
        <w:t xml:space="preserve">磋商小组认</w:t>
      </w:r>
      <w:r>
        <w:rPr>
          <w:rFonts w:hint="eastAsia" w:ascii="宋体" w:hAnsi="宋体" w:eastAsia="宋体" w:cs="宋体"/>
          <w:color w:val="000000"/>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.6 供应商在项目评审全过程中应保持通讯畅通，</w:t>
      </w:r>
      <w:r>
        <w:rPr>
          <w:rFonts w:hint="eastAsia" w:ascii="宋体" w:hAnsi="宋体" w:eastAsia="宋体" w:cs="宋体"/>
          <w:color w:val="000000"/>
          <w:szCs w:val="21"/>
          <w:highlight w:val="none"/>
          <w:lang w:val="zh-CN"/>
        </w:rPr>
        <w:t xml:space="preserve">及时登录苏采云系统查阅、答复相关信息，并安排专人与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及磋商小组联系。</w:t>
      </w:r>
      <w:r/>
    </w:p>
    <w:p>
      <w:pPr>
        <w:pStyle w:val="951"/>
        <w:ind w:left="0" w:right="210"/>
        <w:spacing w:line="360" w:lineRule="auto"/>
        <w:rPr>
          <w:rFonts w:hint="eastAsia" w:ascii="宋体" w:hAnsi="宋体" w:eastAsia="宋体" w:cs="宋体"/>
          <w:color w:val="000000"/>
          <w:highlight w:val="none"/>
          <w:lang w:eastAsia="zh-CN"/>
        </w:rPr>
      </w:pPr>
      <w:r/>
      <w:bookmarkStart w:id="89" w:name="_Toc19547"/>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lang w:eastAsia="zh-CN"/>
        </w:rPr>
        <w:t xml:space="preserve">.磋商程序及评审方法与评审标准</w:t>
      </w:r>
      <w:bookmarkEnd w:id="89"/>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 磋商程序</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 评审方法与评审标准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.2.1 评审方法。见磋商文件第五章。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.2.2 评审标准。见磋商文件第五章。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 采购活动终止</w:t>
      </w:r>
      <w:r/>
    </w:p>
    <w:p>
      <w:pPr>
        <w:ind w:firstLine="422"/>
        <w:rPr>
          <w:rFonts w:ascii="宋体" w:hAnsi="宋体"/>
          <w:b/>
          <w:bCs/>
          <w:color w:val="000000"/>
          <w:sz w:val="24"/>
          <w:highlight w:val="none"/>
        </w:rPr>
      </w:pPr>
      <w:r>
        <w:rPr>
          <w:rFonts w:hint="eastAsia" w:ascii="宋体" w:hAnsi="宋体"/>
          <w:b/>
          <w:bCs/>
          <w:color w:val="000000"/>
          <w:sz w:val="24"/>
          <w:highlight w:val="none"/>
        </w:rPr>
        <w:t xml:space="preserve">出现下列情形之一的，本次采购活动终止：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.3.2 出现影响采购公正的违法、违规行为。</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000000"/>
          <w:sz w:val="24"/>
          <w:highlight w:val="none"/>
          <w:lang w:val="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zh-CN"/>
        </w:rPr>
        <w:t xml:space="preserve">.3.5法律法规规定的其他应当终止情形。</w:t>
      </w:r>
      <w:r/>
    </w:p>
    <w:p>
      <w:pPr>
        <w:pStyle w:val="951"/>
        <w:ind w:left="0" w:right="210"/>
        <w:spacing w:line="360" w:lineRule="auto"/>
        <w:rPr>
          <w:rFonts w:ascii="宋体" w:hAnsi="宋体" w:cs="宋体"/>
          <w:color w:val="000000"/>
          <w:highlight w:val="none"/>
        </w:rPr>
      </w:pPr>
      <w:r/>
      <w:bookmarkStart w:id="90" w:name="_Toc3859"/>
      <w:r>
        <w:rPr>
          <w:rFonts w:hint="eastAsia" w:ascii="宋体" w:hAnsi="宋体" w:cs="宋体"/>
          <w:color w:val="000000"/>
          <w:highlight w:val="none"/>
        </w:rPr>
        <w:t xml:space="preserve">六．确定成交</w:t>
      </w:r>
      <w:bookmarkEnd w:id="90"/>
      <w:r/>
      <w:r/>
    </w:p>
    <w:p>
      <w:pPr>
        <w:pStyle w:val="951"/>
        <w:ind w:left="0" w:right="210"/>
        <w:spacing w:line="360" w:lineRule="auto"/>
        <w:rPr>
          <w:rFonts w:hint="eastAsia" w:ascii="宋体" w:hAnsi="宋体" w:eastAsia="宋体" w:cs="宋体"/>
          <w:color w:val="000000"/>
          <w:highlight w:val="none"/>
          <w:lang w:eastAsia="zh-CN"/>
        </w:rPr>
      </w:pPr>
      <w:r/>
      <w:bookmarkStart w:id="91" w:name="_Toc5445"/>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eastAsia="zh-CN"/>
        </w:rPr>
        <w:t xml:space="preserve">.确定成交单位</w:t>
      </w:r>
      <w:bookmarkEnd w:id="91"/>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按以下第（</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）种方式确定</w:t>
      </w:r>
      <w:r>
        <w:rPr>
          <w:rFonts w:hint="eastAsia" w:ascii="宋体" w:hAnsi="宋体" w:eastAsia="宋体" w:cs="宋体"/>
          <w:color w:val="000000"/>
          <w:szCs w:val="21"/>
          <w:highlight w:val="none"/>
        </w:rPr>
        <w:t xml:space="preserve">成交供应商</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直接确定排名第一的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（2）采购人在</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cs="宋体"/>
          <w:color w:val="000000"/>
          <w:szCs w:val="21"/>
          <w:highlight w:val="none"/>
          <w:lang w:eastAsia="zh-CN"/>
        </w:rPr>
        <w:t xml:space="preserve">，</w:t>
      </w:r>
      <w:r>
        <w:rPr>
          <w:rFonts w:hint="eastAsia" w:ascii="宋体" w:hAnsi="宋体" w:cs="宋体"/>
          <w:color w:val="auto"/>
          <w:szCs w:val="21"/>
          <w:highlight w:val="none"/>
          <w:lang w:val="en-US" w:eastAsia="zh-CN"/>
        </w:rPr>
        <w:t xml:space="preserve">由采购人代表现场确认</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按第二种方式确定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将在“江苏政府采购网”发布成交结果公告，公告期限为1个工作日。</w:t>
      </w:r>
      <w:r/>
    </w:p>
    <w:p>
      <w:pPr>
        <w:ind w:firstLine="420"/>
        <w:rPr>
          <w:rFonts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.4 </w:t>
      </w:r>
      <w:r>
        <w:rPr>
          <w:rFonts w:hint="eastAsia" w:ascii="宋体" w:hAnsi="宋体"/>
          <w:b/>
          <w:bCs/>
          <w:color w:val="000000"/>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.4.1 提供虚假材料谋取成交。</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.4.2 向评审专家、采购人或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.4.3 与其他供应商、评审专家、采购人或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工作人员恶意串通。</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.4.5 采取不正当手段诋毁、排挤其他供应商。</w:t>
      </w:r>
      <w:r/>
    </w:p>
    <w:p>
      <w:pPr>
        <w:pStyle w:val="951"/>
        <w:ind w:left="0" w:right="210"/>
        <w:spacing w:line="360" w:lineRule="auto"/>
        <w:rPr>
          <w:rFonts w:hint="eastAsia" w:ascii="宋体" w:hAnsi="宋体" w:eastAsia="宋体" w:cs="宋体"/>
          <w:color w:val="000000"/>
          <w:highlight w:val="none"/>
          <w:lang w:eastAsia="zh-CN"/>
        </w:rPr>
      </w:pPr>
      <w:r/>
      <w:bookmarkStart w:id="92" w:name="_Toc589"/>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lang w:eastAsia="zh-CN"/>
        </w:rPr>
        <w:t xml:space="preserve">.成交通知书</w:t>
      </w:r>
      <w:bookmarkEnd w:id="92"/>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.1 成交结果确定后，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51"/>
        <w:ind w:left="0" w:right="210"/>
        <w:spacing w:line="360" w:lineRule="auto"/>
        <w:rPr>
          <w:rFonts w:ascii="宋体" w:hAnsi="宋体" w:cs="宋体"/>
          <w:color w:val="000000"/>
          <w:highlight w:val="none"/>
        </w:rPr>
      </w:pPr>
      <w:r/>
      <w:bookmarkStart w:id="93" w:name="_Toc15432"/>
      <w:r>
        <w:rPr>
          <w:rFonts w:hint="eastAsia" w:ascii="宋体" w:hAnsi="宋体" w:cs="宋体"/>
          <w:color w:val="000000"/>
          <w:highlight w:val="none"/>
        </w:rPr>
        <w:t xml:space="preserve">41.签订合同</w:t>
      </w:r>
      <w:bookmarkEnd w:id="93"/>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51"/>
        <w:ind w:left="0" w:right="210"/>
        <w:spacing w:line="360" w:lineRule="auto"/>
        <w:rPr>
          <w:rFonts w:ascii="宋体" w:hAnsi="宋体" w:cs="宋体"/>
          <w:color w:val="000000"/>
          <w:szCs w:val="21"/>
          <w:highlight w:val="none"/>
        </w:rPr>
      </w:pPr>
      <w:r/>
      <w:bookmarkStart w:id="94" w:name="_Toc19280"/>
      <w:r>
        <w:rPr>
          <w:rFonts w:hint="eastAsia" w:ascii="宋体" w:hAnsi="宋体" w:cs="宋体"/>
          <w:color w:val="000000"/>
          <w:szCs w:val="21"/>
          <w:highlight w:val="none"/>
        </w:rPr>
        <w:t xml:space="preserve">42.履约保证金</w:t>
      </w:r>
      <w:bookmarkEnd w:id="94"/>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42.1本项目是否缴纳履约保证金见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42.3成交供应商没有按照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的规定提交履约保证金的，视为放弃成交，其磋商保证金不予退还。</w:t>
      </w:r>
      <w:r/>
    </w:p>
    <w:p>
      <w:pPr>
        <w:pStyle w:val="951"/>
        <w:ind w:left="0" w:right="210"/>
        <w:spacing w:line="360" w:lineRule="auto"/>
        <w:rPr>
          <w:rFonts w:ascii="宋体" w:hAnsi="宋体" w:cs="宋体"/>
          <w:color w:val="000000"/>
          <w:highlight w:val="none"/>
        </w:rPr>
      </w:pPr>
      <w:r/>
      <w:bookmarkStart w:id="95" w:name="_Toc26303"/>
      <w:r>
        <w:rPr>
          <w:rFonts w:hint="eastAsia" w:ascii="宋体" w:hAnsi="宋体" w:cs="宋体"/>
          <w:color w:val="000000"/>
          <w:highlight w:val="none"/>
        </w:rPr>
        <w:t xml:space="preserve">七．询问与质疑</w:t>
      </w:r>
      <w:bookmarkEnd w:id="95"/>
      <w:r/>
      <w:r/>
    </w:p>
    <w:p>
      <w:pPr>
        <w:pStyle w:val="951"/>
        <w:ind w:left="0" w:right="210"/>
        <w:spacing w:line="360" w:lineRule="auto"/>
        <w:rPr>
          <w:rFonts w:ascii="宋体" w:hAnsi="宋体" w:cs="宋体"/>
          <w:color w:val="000000"/>
          <w:szCs w:val="21"/>
          <w:highlight w:val="none"/>
        </w:rPr>
      </w:pPr>
      <w:r/>
      <w:bookmarkStart w:id="96" w:name="_Toc31891"/>
      <w:r>
        <w:rPr>
          <w:rFonts w:hint="eastAsia" w:ascii="宋体" w:hAnsi="宋体" w:cs="宋体"/>
          <w:color w:val="000000"/>
          <w:szCs w:val="21"/>
          <w:highlight w:val="none"/>
        </w:rPr>
        <w:t xml:space="preserve">43.询问</w:t>
      </w:r>
      <w:bookmarkEnd w:id="96"/>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43.1供应商对政府采购活动事项有疑问的，可依法提出询问，并按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载明的形式通知采购方。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43.2采购方对供应商依法提出的询问，在3个工作日内作出答复，但答复的内容不得涉及商业秘密。</w:t>
      </w:r>
      <w:r/>
    </w:p>
    <w:p>
      <w:pPr>
        <w:pStyle w:val="951"/>
        <w:ind w:left="0" w:right="210"/>
        <w:spacing w:line="360" w:lineRule="auto"/>
        <w:rPr>
          <w:rFonts w:ascii="宋体" w:hAnsi="宋体" w:cs="宋体"/>
          <w:color w:val="000000"/>
          <w:szCs w:val="21"/>
          <w:highlight w:val="none"/>
        </w:rPr>
      </w:pPr>
      <w:r/>
      <w:bookmarkStart w:id="97" w:name="_Toc32161"/>
      <w:r>
        <w:rPr>
          <w:rFonts w:hint="eastAsia" w:ascii="宋体" w:hAnsi="宋体" w:cs="宋体"/>
          <w:color w:val="000000"/>
          <w:szCs w:val="21"/>
          <w:highlight w:val="none"/>
        </w:rPr>
        <w:t xml:space="preserve">44.质疑</w:t>
      </w:r>
      <w:bookmarkEnd w:id="97"/>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44.3质疑函应使用财政部制定的范本。</w:t>
      </w:r>
      <w:r/>
    </w:p>
    <w:p>
      <w:pPr>
        <w:pStyle w:val="951"/>
        <w:ind w:left="0" w:right="210"/>
        <w:spacing w:line="360" w:lineRule="auto"/>
        <w:rPr>
          <w:rFonts w:ascii="宋体" w:hAnsi="宋体" w:cs="宋体"/>
          <w:color w:val="000000"/>
          <w:highlight w:val="none"/>
        </w:rPr>
      </w:pPr>
      <w:r/>
      <w:bookmarkStart w:id="98" w:name="_Toc522"/>
      <w:r>
        <w:rPr>
          <w:rFonts w:hint="eastAsia" w:ascii="宋体" w:hAnsi="宋体" w:cs="宋体"/>
          <w:color w:val="000000"/>
          <w:highlight w:val="none"/>
        </w:rPr>
        <w:t xml:space="preserve">八．其他</w:t>
      </w:r>
      <w:bookmarkEnd w:id="98"/>
      <w:r/>
      <w:r/>
    </w:p>
    <w:p>
      <w:pPr>
        <w:pStyle w:val="951"/>
        <w:ind w:left="0" w:right="210"/>
        <w:spacing w:line="360" w:lineRule="auto"/>
        <w:rPr>
          <w:rFonts w:ascii="宋体" w:hAnsi="宋体" w:cs="宋体"/>
          <w:color w:val="000000"/>
          <w:szCs w:val="21"/>
          <w:highlight w:val="none"/>
        </w:rPr>
      </w:pPr>
      <w:r/>
      <w:bookmarkStart w:id="99" w:name="_Toc12425"/>
      <w:r>
        <w:rPr>
          <w:rFonts w:hint="eastAsia" w:ascii="宋体" w:hAnsi="宋体" w:cs="宋体"/>
          <w:color w:val="000000"/>
          <w:szCs w:val="21"/>
          <w:highlight w:val="none"/>
        </w:rPr>
        <w:t xml:space="preserve">45.采购代理服务费</w:t>
      </w:r>
      <w:bookmarkEnd w:id="99"/>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45.1成交供应商是否交纳采购代理服务费及相关要求见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51"/>
        <w:ind w:left="0" w:right="210"/>
        <w:spacing w:line="360" w:lineRule="auto"/>
        <w:rPr>
          <w:rFonts w:ascii="宋体" w:hAnsi="宋体" w:cs="宋体"/>
          <w:color w:val="000000"/>
          <w:szCs w:val="21"/>
          <w:highlight w:val="none"/>
        </w:rPr>
      </w:pPr>
      <w:r/>
      <w:bookmarkStart w:id="100" w:name="_Toc14987"/>
      <w:r>
        <w:rPr>
          <w:rFonts w:hint="eastAsia" w:ascii="宋体" w:hAnsi="宋体" w:cs="宋体"/>
          <w:color w:val="000000"/>
          <w:szCs w:val="21"/>
          <w:highlight w:val="none"/>
        </w:rPr>
        <w:t xml:space="preserve">46.其他规定</w:t>
      </w:r>
      <w:bookmarkEnd w:id="100"/>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46.1响应文件的其他规定见</w:t>
      </w:r>
      <w:r>
        <w:rPr>
          <w:rFonts w:hint="eastAsia" w:ascii="宋体" w:hAnsi="宋体" w:cs="宋体"/>
          <w:b/>
          <w:color w:val="000000"/>
          <w:szCs w:val="21"/>
          <w:highlight w:val="none"/>
        </w:rPr>
        <w:t xml:space="preserve">供应商须知前附</w:t>
      </w:r>
      <w:r>
        <w:rPr>
          <w:rFonts w:hint="eastAsia" w:ascii="宋体" w:hAnsi="宋体" w:cs="宋体"/>
          <w:color w:val="000000"/>
          <w:szCs w:val="21"/>
          <w:highlight w:val="none"/>
        </w:rPr>
        <w:t xml:space="preserve">表。</w:t>
      </w:r>
      <w:r/>
    </w:p>
    <w:p>
      <w:pPr>
        <w:pStyle w:val="951"/>
        <w:ind w:left="0" w:right="210"/>
        <w:spacing w:line="360" w:lineRule="auto"/>
        <w:rPr>
          <w:rFonts w:ascii="宋体" w:hAnsi="宋体" w:cs="宋体"/>
          <w:color w:val="000000"/>
          <w:szCs w:val="21"/>
          <w:highlight w:val="none"/>
        </w:rPr>
      </w:pPr>
      <w:r/>
      <w:bookmarkStart w:id="101" w:name="_Toc16883"/>
      <w:r>
        <w:rPr>
          <w:rFonts w:hint="eastAsia" w:ascii="宋体" w:hAnsi="宋体" w:cs="宋体"/>
          <w:color w:val="000000"/>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000000"/>
          <w:szCs w:val="21"/>
          <w:highlight w:val="none"/>
        </w:rPr>
      </w:pPr>
      <w:r>
        <w:rPr>
          <w:rFonts w:hint="eastAsia" w:ascii="宋体" w:hAnsi="宋体" w:cs="宋体"/>
          <w:color w:val="000000"/>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999"/>
        <w:rPr>
          <w:rStyle w:val="1008"/>
          <w:rFonts w:ascii="Microsoft New Tai Lue" w:hAnsi="Microsoft New Tai Lue" w:cs="Microsoft New Tai Lue"/>
          <w:b/>
          <w:bCs/>
          <w:color w:val="000000"/>
          <w:highlight w:val="none"/>
        </w:rPr>
      </w:pPr>
      <w:r/>
      <w:bookmarkStart w:id="103" w:name="_Toc107246272"/>
      <w:r/>
      <w:bookmarkStart w:id="104" w:name="_Toc91836563"/>
      <w:r>
        <w:rPr>
          <w:rFonts w:ascii="Microsoft New Tai Lue" w:hAnsi="Microsoft New Tai Lue" w:cs="Microsoft New Tai Lue"/>
          <w:color w:val="000000"/>
          <w:highlight w:val="none"/>
        </w:rPr>
        <w:br w:type="page" w:clear="all"/>
      </w:r>
      <w:bookmarkStart w:id="105" w:name="_Toc18850"/>
      <w:r>
        <w:rPr>
          <w:rFonts w:ascii="Microsoft New Tai Lue" w:hAnsi="Microsoft New Tai Lue" w:cs="Microsoft New Tai Lue"/>
          <w:color w:val="000000"/>
          <w:highlight w:val="none"/>
        </w:rPr>
        <w:t xml:space="preserve">第</w:t>
      </w:r>
      <w:r>
        <w:rPr>
          <w:rFonts w:hint="eastAsia" w:ascii="Microsoft New Tai Lue" w:hAnsi="Microsoft New Tai Lue" w:cs="Microsoft New Tai Lue"/>
          <w:color w:val="000000"/>
          <w:highlight w:val="none"/>
          <w:lang w:val="en-US" w:eastAsia="zh-CN"/>
        </w:rPr>
        <w:t xml:space="preserve">三</w:t>
      </w:r>
      <w:r>
        <w:rPr>
          <w:rFonts w:ascii="Microsoft New Tai Lue" w:hAnsi="Microsoft New Tai Lue" w:cs="Microsoft New Tai Lue"/>
          <w:color w:val="000000"/>
          <w:highlight w:val="none"/>
        </w:rPr>
        <w:t xml:space="preserve">章 评审方法与评审标准</w:t>
      </w:r>
      <w:bookmarkEnd w:id="103"/>
      <w:r/>
      <w:bookmarkEnd w:id="105"/>
      <w:r/>
      <w:r/>
    </w:p>
    <w:p>
      <w:pPr>
        <w:ind w:firstLine="460"/>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磋商小组将对确定为实质性响应磋商文件要求的各</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响应文件进行评价和比较，评审采用综合评分法</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bidi="ar"/>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000000"/>
          <w:szCs w:val="21"/>
          <w:highlight w:val="none"/>
        </w:rPr>
        <w:t xml:space="preserve">第二轮报价即为最终报价，作为价格分计算依据</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磋商小组对磋商供应商的两轮报价均将进行封闭评审，不进行公开唱标。</w:t>
      </w:r>
      <w:r/>
    </w:p>
    <w:p>
      <w:pPr>
        <w:ind w:firstLine="460"/>
        <w:rPr>
          <w:rFonts w:hint="eastAsia" w:ascii="宋体" w:hAnsi="宋体" w:cs="仿宋"/>
          <w:color w:val="000000"/>
          <w:spacing w:val="-5"/>
          <w:highlight w:val="none"/>
          <w:lang w:eastAsia="zh-CN"/>
        </w:rPr>
      </w:pPr>
      <w:r>
        <w:rPr>
          <w:rFonts w:hint="eastAsia" w:ascii="宋体" w:hAnsi="宋体" w:cs="宋体"/>
          <w:b/>
          <w:color w:val="000000"/>
          <w:szCs w:val="21"/>
          <w:highlight w:val="none"/>
          <w:u w:val="single"/>
        </w:rPr>
        <w:t xml:space="preserve">★磋商小组未实质性变动磋商文件的，磋商供应商的最终报价不得高于首轮报价，否则将视为无效报价。最终报价须按规定填写。供应商如未在规定时间内递交第二轮报价（最终报价）或递交无效报价，将视为自行退出磋商。</w:t>
      </w:r>
      <w:r/>
    </w:p>
    <w:p>
      <w:pPr>
        <w:pStyle w:val="803"/>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tbl>
      <w:tblPr>
        <w:tblStyle w:val="77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7011"/>
        <w:gridCol w:w="761"/>
      </w:tblGrid>
      <w:tr>
        <w:trPr>
          <w:jc w:val="center"/>
          <w:trHeight w:val="377"/>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分值</w:t>
            </w:r>
            <w:r/>
          </w:p>
        </w:tc>
      </w:tr>
      <w:tr>
        <w:trPr>
          <w:jc w:val="center"/>
          <w:trHeight w:val="1242"/>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1</w:t>
            </w:r>
            <w:r/>
          </w:p>
        </w:tc>
        <w:tc>
          <w:tcPr>
            <w:tcBorders>
              <w:top w:val="single" w:color="auto" w:sz="4" w:space="0"/>
              <w:left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价格</w:t>
            </w:r>
            <w:r>
              <w:rPr>
                <w:rFonts w:hint="eastAsia" w:ascii="宋体" w:hAnsi="宋体" w:eastAsia="宋体"/>
                <w:color w:val="auto"/>
                <w:szCs w:val="21"/>
                <w:highlight w:val="none"/>
              </w:rPr>
              <w:br/>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Arial"/>
                <w:color w:val="auto"/>
                <w:szCs w:val="21"/>
                <w:highlight w:val="none"/>
              </w:rPr>
              <w:suppressLineNumbers w:val="0"/>
            </w:pPr>
            <w:r>
              <w:rPr>
                <w:rFonts w:hint="eastAsia" w:ascii="宋体" w:hAnsi="宋体" w:eastAsia="宋体"/>
                <w:color w:val="auto"/>
                <w:szCs w:val="21"/>
                <w:highlight w:val="none"/>
              </w:rPr>
              <w:t xml:space="preserve">采用低价优先法计算，</w:t>
            </w:r>
            <w:r>
              <w:rPr>
                <w:rFonts w:hint="default" w:ascii="宋体" w:hAnsi="宋体" w:eastAsia="宋体" w:cs="Arial"/>
                <w:color w:val="auto"/>
                <w:szCs w:val="21"/>
                <w:highlight w:val="none"/>
              </w:rPr>
              <w:t xml:space="preserve">即满足</w:t>
            </w:r>
            <w:r>
              <w:rPr>
                <w:rFonts w:hint="eastAsia" w:ascii="宋体" w:hAnsi="宋体" w:eastAsia="宋体" w:cs="Arial"/>
                <w:color w:val="auto"/>
                <w:szCs w:val="21"/>
                <w:highlight w:val="none"/>
              </w:rPr>
              <w:t xml:space="preserve">采购</w:t>
            </w:r>
            <w:r>
              <w:rPr>
                <w:rFonts w:hint="default" w:ascii="宋体" w:hAnsi="宋体" w:eastAsia="宋体" w:cs="Arial"/>
                <w:color w:val="auto"/>
                <w:szCs w:val="21"/>
                <w:highlight w:val="none"/>
              </w:rPr>
              <w:t xml:space="preserve">文件要求且</w:t>
            </w:r>
            <w:r>
              <w:rPr>
                <w:rFonts w:hint="eastAsia" w:ascii="宋体" w:hAnsi="宋体" w:eastAsia="宋体" w:cs="Arial"/>
                <w:color w:val="auto"/>
                <w:szCs w:val="21"/>
                <w:highlight w:val="none"/>
              </w:rPr>
              <w:t xml:space="preserve">采购响应</w:t>
            </w:r>
            <w:r>
              <w:rPr>
                <w:rFonts w:hint="default" w:ascii="宋体" w:hAnsi="宋体" w:eastAsia="宋体" w:cs="Arial"/>
                <w:color w:val="auto"/>
                <w:szCs w:val="21"/>
                <w:highlight w:val="none"/>
              </w:rPr>
              <w:t xml:space="preserve">价格最低的</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报价为评标基准价</w:t>
            </w:r>
            <w:r>
              <w:rPr>
                <w:rFonts w:hint="eastAsia" w:ascii="宋体" w:hAnsi="宋体" w:eastAsia="宋体" w:cs="Arial"/>
                <w:color w:val="auto"/>
                <w:szCs w:val="21"/>
                <w:highlight w:val="none"/>
              </w:rPr>
              <w:t xml:space="preserve">，</w:t>
            </w:r>
            <w:r>
              <w:rPr>
                <w:rFonts w:hint="default" w:ascii="宋体" w:hAnsi="宋体" w:eastAsia="宋体" w:cs="Arial"/>
                <w:color w:val="auto"/>
                <w:szCs w:val="21"/>
                <w:highlight w:val="none"/>
              </w:rPr>
              <w:t xml:space="preserve">其价格分为满分。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default" w:ascii="宋体" w:hAnsi="宋体" w:eastAsia="宋体" w:cs="Arial"/>
                <w:color w:val="auto"/>
                <w:szCs w:val="21"/>
                <w:highlight w:val="none"/>
              </w:rPr>
              <w:t xml:space="preserve">其他</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人的价格分统一按照下列公式计算</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报价得分=(评标基准价/</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w:t>
            </w:r>
            <w:r>
              <w:rPr>
                <w:rFonts w:hint="eastAsia" w:ascii="宋体" w:hAnsi="宋体" w:eastAsia="宋体" w:cs="Arial"/>
                <w:color w:val="auto"/>
                <w:szCs w:val="21"/>
                <w:highlight w:val="none"/>
              </w:rPr>
              <w:t xml:space="preserve">4</w:t>
            </w:r>
            <w:r>
              <w:rPr>
                <w:rFonts w:hint="eastAsia" w:ascii="宋体" w:hAnsi="宋体" w:eastAsia="宋体" w:cs="Arial"/>
                <w:color w:val="auto"/>
                <w:szCs w:val="21"/>
                <w:highlight w:val="none"/>
                <w:lang w:val="en-US" w:eastAsia="zh-CN"/>
              </w:rPr>
              <w:t xml:space="preserve">0</w:t>
            </w:r>
            <w:r>
              <w:rPr>
                <w:rFonts w:hint="eastAsia" w:ascii="宋体" w:hAnsi="宋体" w:eastAsia="宋体"/>
                <w:color w:val="auto"/>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en-US" w:eastAsia="zh-CN"/>
              </w:rPr>
              <w:t xml:space="preserve">0</w:t>
            </w:r>
            <w:r/>
          </w:p>
        </w:tc>
      </w:tr>
      <w:tr>
        <w:trPr>
          <w:jc w:val="center"/>
          <w:trHeight w:val="135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2.1</w:t>
            </w:r>
            <w:r/>
          </w:p>
        </w:tc>
        <w:tc>
          <w:tcPr>
            <w:tcBorders>
              <w:top w:val="single" w:color="auto" w:sz="4" w:space="0"/>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服务方案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根据供应商提供的项目实施方案（施工组织总体设想）评分，表述全面、合理、科学、可行、针对性强的得</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分，表述较为全面、合理、科学、可行、针对性较强的得5分，表述不太全面、合理、科学、可行、针对性不强的得2分。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8</w:t>
            </w:r>
            <w:r/>
          </w:p>
        </w:tc>
      </w:tr>
      <w:tr>
        <w:trPr>
          <w:jc w:val="center"/>
          <w:trHeight w:val="1017"/>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根据供应商提供的施工进度计划和各阶段进度的保证措施评分，合理、先进、有序的得5分，基本符合的得3分，条理不清、混乱的得1分。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017"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2.3</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根据供应商提供的工程质量保证措施评分，合理可行、针对性强的得5分；合理可行、针对性较强的得3分；合理可行、针对性一般的得1分。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0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2.4</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关键施工技术、工艺及工程项目实施的重点、难点和解决方案评分，分析全面，解决对策可行性强的得5分，整体内容基本完整，重点突出性、针对性较强的得3分，分析较全面，解决对策有一定的针对性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1"/>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2.5</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根据供应商提供的劳动力、机械设备和材料投入计划评分，计划清晰、完整、合理的5分，较为清晰、完整、合理的得3分，不太清晰、完整、合理的得1分。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2.6</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根据供应商提供的安全文明施工保证措施评分，合理、可行、针对性强的得5分，合理、可行、针对性较强的得3分，合理、可行、针对性一般的得1分。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2.7</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售后服务体系、售后服务人员、售后服务承诺、故障现场响应时间，定期的回访、维保制度，质保期内的售后服务范围、质保期满后的售后服务范围等情况进行打分。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售后服务方案完善、可行性强，响应及时，得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售后服务方案较为完善、可行性及响应及时性尚可，得4分；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售后服务方案简单、响应较慢，得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7</w:t>
            </w:r>
            <w:r/>
          </w:p>
        </w:tc>
      </w:tr>
      <w:tr>
        <w:trPr>
          <w:jc w:val="center"/>
          <w:trHeight w:val="1536"/>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人员</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供应商拟投入本项目的项目负责人具有工程师职称的得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提供能体现上述要求的有效证书复印件及社保机构出具的近</w:t>
            </w:r>
            <w:r>
              <w:rPr>
                <w:rFonts w:hint="eastAsia" w:ascii="宋体" w:hAnsi="宋体" w:eastAsia="宋体" w:cs="宋体"/>
                <w:color w:val="auto"/>
                <w:szCs w:val="21"/>
                <w:highlight w:val="none"/>
                <w:lang w:val="en-US" w:eastAsia="zh-CN"/>
              </w:rPr>
              <w:t xml:space="preserve">半年</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以来</w:t>
            </w:r>
            <w:r>
              <w:rPr>
                <w:rFonts w:hint="eastAsia" w:ascii="宋体" w:hAnsi="宋体" w:eastAsia="宋体" w:cs="宋体"/>
                <w:color w:val="auto"/>
                <w:szCs w:val="21"/>
                <w:highlight w:val="none"/>
              </w:rPr>
              <w:t xml:space="preserve">任意一个月的供应商为其缴纳社保的证明材料复印件，加盖供应商章，否则不得分。</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2</w:t>
            </w:r>
            <w:r/>
          </w:p>
        </w:tc>
      </w:tr>
      <w:tr>
        <w:trPr>
          <w:jc w:val="center"/>
          <w:trHeight w:val="54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highlight w:val="none"/>
              </w:rPr>
              <w:t xml:space="preserve">项目管理机构主要管理人员【项目负责人除外，具体包含现场技术负责人、施工员、质量员、安全员、资料员</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预算员</w:t>
            </w:r>
            <w:r>
              <w:rPr>
                <w:rFonts w:hint="eastAsia" w:ascii="宋体" w:hAnsi="宋体" w:eastAsia="宋体"/>
                <w:color w:val="auto"/>
                <w:highlight w:val="none"/>
              </w:rPr>
              <w:t xml:space="preserve">】，人员数量不少于：技术负责人1名(具有注册建造师证</w:t>
            </w:r>
            <w:r>
              <w:rPr>
                <w:rFonts w:hint="eastAsia" w:ascii="宋体" w:hAnsi="宋体" w:eastAsia="宋体"/>
                <w:color w:val="auto"/>
                <w:highlight w:val="none"/>
                <w:lang w:val="en-US" w:eastAsia="zh-CN"/>
              </w:rPr>
              <w:t xml:space="preserve">建筑</w:t>
            </w:r>
            <w:r>
              <w:rPr>
                <w:rFonts w:hint="eastAsia" w:ascii="宋体" w:hAnsi="宋体" w:eastAsia="宋体"/>
                <w:color w:val="auto"/>
                <w:highlight w:val="none"/>
              </w:rPr>
              <w:t xml:space="preserve">工程二级及以上），施工员1名，质量员1名，安全员1名，资料员1名，</w:t>
            </w:r>
            <w:r>
              <w:rPr>
                <w:rFonts w:hint="eastAsia" w:ascii="宋体" w:hAnsi="宋体" w:eastAsia="宋体"/>
                <w:color w:val="auto"/>
                <w:highlight w:val="none"/>
                <w:lang w:val="en-US" w:eastAsia="zh-CN"/>
              </w:rPr>
              <w:t xml:space="preserve">预算员1名（具有二级及以上注册造价师），</w:t>
            </w:r>
            <w:r>
              <w:rPr>
                <w:rFonts w:hint="eastAsia" w:ascii="宋体" w:hAnsi="宋体" w:eastAsia="宋体"/>
                <w:color w:val="auto"/>
                <w:highlight w:val="none"/>
              </w:rPr>
              <w:t xml:space="preserve">人员配备齐全得</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rPr>
              <w:t xml:space="preserve">分，每缺少一人扣</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分。（提供上述人员明细表、相关证书（注册证书、岗位证书）、</w:t>
            </w:r>
            <w:r>
              <w:rPr>
                <w:rFonts w:hint="eastAsia" w:ascii="宋体" w:hAnsi="宋体" w:eastAsia="宋体" w:cs="宋体"/>
                <w:bCs/>
                <w:color w:val="auto"/>
                <w:szCs w:val="21"/>
                <w:highlight w:val="none"/>
              </w:rPr>
              <w:t xml:space="preserve">社保机构出具的近半年（202</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12</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以来</w:t>
            </w:r>
            <w:r>
              <w:rPr>
                <w:rFonts w:hint="eastAsia" w:ascii="宋体" w:hAnsi="宋体" w:eastAsia="宋体" w:cs="宋体"/>
                <w:bCs/>
                <w:color w:val="auto"/>
                <w:szCs w:val="21"/>
                <w:highlight w:val="none"/>
              </w:rPr>
              <w:t xml:space="preserve">任意一个月投标申请人为其缴纳的社保缴费证明【加盖社保公章或具有可验证的二维码（或验证码）】复印件加盖供应商公章装订在</w:t>
            </w: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rPr>
              <w:t xml:space="preserve">文件中，加盖社保缴费电子专用章证明材料可视为原件，否则视为未提供</w:t>
            </w:r>
            <w:r>
              <w:rPr>
                <w:rFonts w:hint="eastAsia" w:ascii="宋体" w:hAnsi="宋体" w:eastAsia="宋体"/>
                <w:color w:val="auto"/>
                <w:highlight w:val="none"/>
              </w:rPr>
              <w:t xml:space="preserve">）</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6</w:t>
            </w:r>
            <w:r/>
          </w:p>
        </w:tc>
      </w:tr>
      <w:tr>
        <w:trPr>
          <w:jc w:val="center"/>
          <w:trHeight w:val="1099"/>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9"/>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rPr>
              <w:t xml:space="preserve">分。（</w:t>
            </w:r>
            <w:r>
              <w:rPr>
                <w:rFonts w:hint="eastAsia"/>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加盖供应商章，</w:t>
            </w:r>
            <w:r>
              <w:rPr>
                <w:rFonts w:hint="eastAsia" w:ascii="宋体" w:hAnsi="宋体" w:eastAsia="宋体"/>
                <w:color w:val="auto"/>
                <w:szCs w:val="21"/>
                <w:highlight w:val="none"/>
              </w:rPr>
              <w:t xml:space="preserve">否则不得分。）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9</w:t>
            </w:r>
            <w:r/>
          </w:p>
        </w:tc>
      </w:tr>
      <w:tr>
        <w:trPr>
          <w:jc w:val="center"/>
          <w:trHeight w:val="1372"/>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9"/>
              <w:ind w:left="0" w:right="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根据供应商拟派本项目的项目负责人202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color w:val="auto"/>
                <w:szCs w:val="21"/>
                <w:highlight w:val="none"/>
                <w:lang w:eastAsia="zh-CN"/>
              </w:rPr>
              <w:t xml:space="preserve">（</w:t>
            </w:r>
            <w:r>
              <w:rPr>
                <w:rFonts w:hint="eastAsia"/>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加盖供应商章，</w:t>
            </w:r>
            <w:r>
              <w:rPr>
                <w:rFonts w:hint="eastAsia" w:ascii="宋体" w:hAnsi="宋体" w:eastAsia="宋体"/>
                <w:color w:val="auto"/>
                <w:szCs w:val="21"/>
                <w:highlight w:val="none"/>
              </w:rPr>
              <w:t xml:space="preserve">否则不得分。）</w:t>
            </w:r>
            <w:r/>
          </w:p>
          <w:p>
            <w:pPr>
              <w:ind w:left="0" w:right="0" w:firstLine="422"/>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eastAsia="宋体"/>
                <w:b/>
                <w:bCs/>
                <w:color w:val="auto"/>
                <w:highlight w:val="none"/>
              </w:rPr>
              <w:t xml:space="preserve">注：项目负责人业绩与企业业绩</w:t>
            </w:r>
            <w:r>
              <w:rPr>
                <w:rFonts w:hint="eastAsia" w:eastAsia="宋体"/>
                <w:b/>
                <w:bCs/>
                <w:color w:val="auto"/>
                <w:highlight w:val="none"/>
                <w:lang w:val="en-US" w:eastAsia="zh-CN"/>
              </w:rPr>
              <w:t xml:space="preserve">不可兼得</w:t>
            </w:r>
            <w:r>
              <w:rPr>
                <w:rFonts w:hint="eastAsia" w:eastAsia="宋体"/>
                <w:b/>
                <w:bCs/>
                <w:color w:val="auto"/>
                <w:highlight w:val="none"/>
              </w:rPr>
              <w:t xml:space="preserve">。</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3</w:t>
            </w:r>
            <w:r/>
          </w:p>
        </w:tc>
      </w:tr>
      <w:tr>
        <w:trPr>
          <w:jc w:val="center"/>
          <w:trHeight w:val="454" w:hRule="exact"/>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5</w:t>
            </w:r>
            <w:r/>
          </w:p>
        </w:tc>
        <w:tc>
          <w:tcPr>
            <w:gridSpan w:val="2"/>
            <w:tcBorders>
              <w:left w:val="single" w:color="auto" w:sz="4" w:space="0"/>
              <w:right w:val="single" w:color="auto" w:sz="4" w:space="0"/>
            </w:tcBorders>
            <w:tcW w:w="8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合  计</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100</w:t>
            </w:r>
            <w:r/>
          </w:p>
        </w:tc>
      </w:tr>
    </w:tbl>
    <w:p>
      <w:pPr>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落实政府采购政策的价格调整：符合第二章《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lang w:val="en-US" w:eastAsia="zh-CN"/>
        </w:rPr>
        <w:t xml:space="preserve">5</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0%以上的联合体或者大中型企业的报价给予</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bookmarkEnd w:id="104"/>
      <w:r/>
      <w:r/>
    </w:p>
    <w:p>
      <w:pPr>
        <w:rPr>
          <w:rFonts w:hint="eastAsia" w:ascii="Times New Roman" w:hAnsi="Times New Roman" w:eastAsia="宋体" w:cs="Times New Roman"/>
          <w:b/>
          <w:bCs/>
          <w:sz w:val="30"/>
          <w:szCs w:val="30"/>
          <w:highlight w:val="none"/>
          <w:lang w:eastAsia="zh-CN"/>
        </w:rPr>
      </w:pPr>
      <w:r/>
      <w:bookmarkStart w:id="106" w:name="_Toc8308"/>
      <w:r/>
      <w:bookmarkStart w:id="107" w:name="_Toc107246271"/>
      <w:r/>
      <w:bookmarkStart w:id="108" w:name="_Toc91836564"/>
      <w:r>
        <w:rPr>
          <w:rFonts w:hint="eastAsia" w:ascii="Times New Roman" w:hAnsi="Times New Roman" w:eastAsia="宋体" w:cs="Times New Roman"/>
          <w:b/>
          <w:bCs/>
          <w:sz w:val="30"/>
          <w:szCs w:val="30"/>
          <w:highlight w:val="none"/>
          <w:lang w:eastAsia="zh-CN"/>
        </w:rPr>
        <w:br w:type="page" w:clear="all"/>
      </w:r>
      <w:r/>
    </w:p>
    <w:p>
      <w:pPr>
        <w:ind w:left="100" w:right="100"/>
        <w:jc w:val="center"/>
        <w:keepLines/>
        <w:keepNext/>
        <w:spacing w:before="120" w:after="120"/>
        <w:widowControl w:val="off"/>
        <w:rPr>
          <w:rFonts w:hint="eastAsia" w:ascii="Times New Roman" w:hAnsi="Times New Roman" w:eastAsia="宋体" w:cs="Times New Roman"/>
          <w:b/>
          <w:bCs/>
          <w:sz w:val="30"/>
          <w:szCs w:val="30"/>
          <w:highlight w:val="none"/>
          <w:lang w:val="zh-CN" w:eastAsia="zh-CN"/>
        </w:rPr>
        <w:outlineLvl w:val="0"/>
      </w:pPr>
      <w:r/>
      <w:bookmarkStart w:id="109" w:name="_Toc28240"/>
      <w:r>
        <w:rPr>
          <w:rFonts w:hint="eastAsia" w:ascii="Times New Roman" w:hAnsi="Times New Roman" w:eastAsia="宋体" w:cs="Times New Roman"/>
          <w:b/>
          <w:bCs/>
          <w:sz w:val="30"/>
          <w:szCs w:val="30"/>
          <w:highlight w:val="none"/>
          <w:lang w:eastAsia="zh-CN"/>
        </w:rPr>
        <w:t xml:space="preserve">第四章</w:t>
      </w:r>
      <w:r>
        <w:rPr>
          <w:rFonts w:hint="eastAsia" w:ascii="Times New Roman" w:hAnsi="Times New Roman" w:eastAsia="宋体" w:cs="Times New Roman"/>
          <w:b/>
          <w:bCs/>
          <w:sz w:val="30"/>
          <w:szCs w:val="30"/>
          <w:highlight w:val="none"/>
          <w:lang w:val="en-US" w:eastAsia="zh-CN"/>
        </w:rPr>
        <w:t xml:space="preserve"> </w:t>
      </w:r>
      <w:r>
        <w:rPr>
          <w:rFonts w:hint="eastAsia" w:ascii="Times New Roman" w:hAnsi="Times New Roman" w:eastAsia="宋体" w:cs="Times New Roman"/>
          <w:b/>
          <w:bCs/>
          <w:sz w:val="30"/>
          <w:szCs w:val="30"/>
          <w:highlight w:val="none"/>
          <w:lang w:eastAsia="zh-CN"/>
        </w:rPr>
        <w:t xml:space="preserve">采购需求</w:t>
      </w:r>
      <w:bookmarkEnd w:id="106"/>
      <w:r/>
      <w:bookmarkEnd w:id="109"/>
      <w:r/>
      <w:r/>
    </w:p>
    <w:p>
      <w:pPr>
        <w:pStyle w:val="780"/>
        <w:ind w:firstLine="410"/>
        <w:jc w:val="left"/>
        <w:spacing w:after="0" w:line="360" w:lineRule="auto"/>
        <w:rPr>
          <w:rFonts w:hint="eastAsia" w:ascii="宋体" w:hAnsi="宋体" w:eastAsia="宋体" w:cs="宋体"/>
          <w:b/>
          <w:bCs/>
          <w:color w:val="auto"/>
          <w:spacing w:val="-3"/>
          <w:szCs w:val="21"/>
          <w:highlight w:val="none"/>
          <w:lang w:eastAsia="zh-CN"/>
        </w:rPr>
      </w:pPr>
      <w:r>
        <w:rPr>
          <w:rFonts w:hint="eastAsia" w:ascii="宋体" w:hAnsi="宋体" w:cs="宋体"/>
          <w:b/>
          <w:bCs/>
          <w:color w:val="auto"/>
          <w:spacing w:val="-3"/>
          <w:szCs w:val="21"/>
          <w:highlight w:val="none"/>
        </w:rPr>
        <w:t xml:space="preserve">一、项目名称：</w:t>
      </w:r>
      <w:r>
        <w:rPr>
          <w:rFonts w:hint="eastAsia" w:ascii="宋体" w:hAnsi="宋体" w:cs="宋体"/>
          <w:bCs/>
          <w:color w:val="auto"/>
          <w:szCs w:val="21"/>
          <w:highlight w:val="none"/>
          <w:lang w:eastAsia="zh-CN"/>
        </w:rPr>
        <w:t xml:space="preserve">仙林校区学生公寓A楼宿舍维修消险改造工程</w:t>
      </w:r>
      <w:r/>
    </w:p>
    <w:p>
      <w:pPr>
        <w:ind w:firstLine="406"/>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pacing w:val="-4"/>
          <w:szCs w:val="21"/>
          <w:highlight w:val="none"/>
        </w:rPr>
        <w:t xml:space="preserve">二、项目概况</w:t>
      </w:r>
      <w:r>
        <w:rPr>
          <w:rFonts w:hint="eastAsia" w:ascii="宋体" w:hAnsi="宋体" w:eastAsia="宋体" w:cs="宋体"/>
          <w:color w:val="auto"/>
          <w:spacing w:val="-4"/>
          <w:szCs w:val="21"/>
          <w:highlight w:val="none"/>
        </w:rPr>
        <w:t xml:space="preserve">：本工程为</w:t>
      </w:r>
      <w:r>
        <w:rPr>
          <w:rFonts w:hint="eastAsia" w:ascii="宋体" w:hAnsi="宋体" w:eastAsia="宋体" w:cs="宋体"/>
          <w:bCs/>
          <w:color w:val="auto"/>
          <w:szCs w:val="21"/>
          <w:highlight w:val="none"/>
          <w:lang w:eastAsia="zh-CN"/>
        </w:rPr>
        <w:t xml:space="preserve">仙林校区学生公寓A楼宿舍维修消险改造工程</w:t>
      </w:r>
      <w:r>
        <w:rPr>
          <w:rFonts w:hint="eastAsia" w:ascii="宋体" w:hAnsi="宋体" w:eastAsia="宋体" w:cs="宋体"/>
          <w:color w:val="auto"/>
          <w:spacing w:val="-4"/>
          <w:szCs w:val="21"/>
          <w:highlight w:val="none"/>
        </w:rPr>
        <w:t xml:space="preserve">，仙林校区学生公寓A楼位于南京体育学院仙林校区内，建筑面积3300平方米，结构为剪力墙结构。本项目将对学生宿舍内部进行维修改造，改造面积3300平方米。学生宿舍经多年使用宿舍内多种设施损坏严重，墙皮脱落发霉，室内线路布局不合理，电气线路老化，存在安全隐患。为了消除安全隐患，改善学生的住宿条件，需要对学生公寓A楼宿舍进行维修消险改造。</w:t>
      </w:r>
      <w:r/>
    </w:p>
    <w:p>
      <w:pPr>
        <w:ind w:firstLine="406"/>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pacing w:val="-4"/>
          <w:szCs w:val="21"/>
          <w:highlight w:val="none"/>
        </w:rPr>
        <w:t xml:space="preserve">三、采购内容：</w:t>
      </w:r>
      <w:r>
        <w:rPr>
          <w:rFonts w:hint="eastAsia" w:ascii="宋体" w:hAnsi="宋体" w:eastAsia="宋体" w:cs="宋体"/>
          <w:bCs/>
          <w:color w:val="auto"/>
          <w:szCs w:val="21"/>
          <w:highlight w:val="none"/>
        </w:rPr>
        <w:t xml:space="preserve">主要施工内容</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1.宿舍房门更换、电气线路改造、铺设地砖和墙面出新等；2.更换卫生间洁具设施，部分卫生间更新集成吊顶、铝合金门；3.宿舍阳台封闭，铺设地砖，更换窗帘和晾衣杆等；4.A楼和C楼公共部位地面铺设地砖，乳胶漆出新；5.A楼和C楼茶水间地砖、墙砖更换，集成吊顶更换</w:t>
      </w:r>
      <w:r>
        <w:rPr>
          <w:rFonts w:hint="eastAsia" w:ascii="宋体" w:hAnsi="宋体" w:eastAsia="宋体" w:cs="宋体"/>
          <w:bCs/>
          <w:color w:val="auto"/>
          <w:szCs w:val="21"/>
          <w:highlight w:val="none"/>
        </w:rPr>
        <w:t xml:space="preserve">。具体详见工程量清单。</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四、付款方式：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由采购人按下列程序付款。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3"/>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rPr>
        <w:t xml:space="preserve">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pStyle w:val="798"/>
        <w:ind w:firstLine="400"/>
        <w:rPr>
          <w:rFonts w:hint="eastAsia"/>
          <w:color w:val="auto"/>
          <w:highlight w:val="none"/>
        </w:rPr>
      </w:pPr>
      <w:r>
        <w:rPr>
          <w:rFonts w:hint="eastAsia" w:cs="宋体"/>
          <w:color w:val="auto"/>
          <w:szCs w:val="21"/>
          <w:highlight w:val="none"/>
          <w:u w:val="single"/>
        </w:rPr>
        <w:t xml:space="preserve">采购人有权根据工程进度的要求调整工程付款的时间和比例，供应商不得因此而提出异议。</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五、工期及地点：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服务期限（工期）：</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 日历天</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服务地点：</w:t>
      </w:r>
      <w:r>
        <w:rPr>
          <w:rFonts w:hint="eastAsia" w:ascii="宋体" w:hAnsi="宋体" w:eastAsia="宋体" w:cs="宋体"/>
          <w:color w:val="auto"/>
          <w:szCs w:val="21"/>
          <w:highlight w:val="none"/>
        </w:rPr>
        <w:t xml:space="preserve">采购人指定地点。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六、工程量清单见附件。本项目暂列金额详见工程量清单。</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bidi="ar"/>
        </w:rPr>
        <w:t xml:space="preserve">工程质量保修要求：</w:t>
      </w:r>
      <w:r/>
    </w:p>
    <w:p>
      <w:pPr>
        <w:ind w:firstLine="420"/>
        <w:spacing w:line="360" w:lineRule="auto"/>
        <w:rPr>
          <w:rFonts w:eastAsia="宋体"/>
          <w:color w:val="auto"/>
          <w:highlight w:val="none"/>
        </w:rPr>
      </w:pPr>
      <w:r>
        <w:rPr>
          <w:rFonts w:hint="eastAsia" w:eastAsia="宋体"/>
          <w:color w:val="auto"/>
          <w:highlight w:val="none"/>
        </w:rPr>
        <w:t xml:space="preserve">本工程质量保修期从工程经过发包人或发包人上级项目管理部门或工程质量管理部门验收合格交付使用之日起算，截</w:t>
      </w:r>
      <w:r>
        <w:rPr>
          <w:rFonts w:hint="eastAsia" w:eastAsia="宋体"/>
          <w:color w:val="auto"/>
          <w:highlight w:val="none"/>
          <w:lang w:val="en-US" w:eastAsia="zh-CN"/>
        </w:rPr>
        <w:t xml:space="preserve">止</w:t>
      </w:r>
      <w:r>
        <w:rPr>
          <w:rFonts w:hint="eastAsia" w:eastAsia="宋体"/>
          <w:color w:val="auto"/>
          <w:highlight w:val="none"/>
        </w:rPr>
        <w:t xml:space="preserve">时间以投标书为准并不得低于法定期限。</w:t>
      </w:r>
      <w:r/>
    </w:p>
    <w:p>
      <w:pPr>
        <w:ind w:firstLine="420"/>
        <w:spacing w:line="360" w:lineRule="auto"/>
        <w:rPr>
          <w:rFonts w:hint="eastAsia" w:ascii="微软雅黑" w:hAnsi="微软雅黑" w:eastAsia="宋体" w:cs="微软雅黑"/>
          <w:color w:val="auto"/>
          <w:szCs w:val="21"/>
          <w:highlight w:val="none"/>
        </w:rPr>
      </w:pPr>
      <w:r>
        <w:rPr>
          <w:rFonts w:hint="eastAsia" w:eastAsia="宋体"/>
          <w:color w:val="auto"/>
          <w:highlight w:val="none"/>
        </w:rPr>
        <w:t xml:space="preserve">本项目的缺陷责任期为2年，从工程通过竣工验收之日起计算。</w:t>
      </w:r>
      <w:r/>
    </w:p>
    <w:p>
      <w:pPr>
        <w:ind w:firstLine="420"/>
        <w:jc w:val="left"/>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zh-CN" w:bidi="ar"/>
        </w:rPr>
        <w:t xml:space="preserve">缺陷责任期</w:t>
      </w:r>
      <w:r>
        <w:rPr>
          <w:rFonts w:hint="eastAsia" w:ascii="宋体" w:hAnsi="宋体" w:eastAsia="宋体" w:cs="宋体"/>
          <w:bCs/>
          <w:color w:val="auto"/>
          <w:szCs w:val="21"/>
          <w:highlight w:val="none"/>
          <w:lang w:val="zh-CN" w:eastAsia="zh-TW" w:bidi="ar"/>
        </w:rPr>
        <w:t xml:space="preserve">内若因供应商施工责任引起质量缺陷，供应商应该在双方约定期限内派人到场保修，并承担保修责任及保修费用。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八、验收要求：</w:t>
      </w:r>
      <w:r>
        <w:rPr>
          <w:rFonts w:hint="eastAsia" w:ascii="宋体" w:hAnsi="宋体" w:eastAsia="宋体" w:cs="宋体"/>
          <w:bCs/>
          <w:color w:val="auto"/>
          <w:szCs w:val="21"/>
          <w:highlight w:val="none"/>
          <w:lang w:bidi="ar"/>
        </w:rPr>
        <w:t xml:space="preserve">符合《建设工程质量管理条例》</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九、施工要求：</w:t>
      </w:r>
      <w:r/>
    </w:p>
    <w:p>
      <w:pPr>
        <w:ind w:firstLine="422"/>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eastAsia="zh-TW" w:bidi="ar"/>
        </w:rPr>
        <w:t xml:space="preserve">1</w:t>
      </w:r>
      <w:r>
        <w:rPr>
          <w:rFonts w:hint="eastAsia" w:ascii="宋体" w:hAnsi="宋体" w:eastAsia="宋体" w:cs="宋体"/>
          <w:b/>
          <w:color w:val="auto"/>
          <w:szCs w:val="21"/>
          <w:highlight w:val="none"/>
          <w:lang w:bidi="ar"/>
        </w:rPr>
        <w:t xml:space="preserve">、本项目</w:t>
      </w:r>
      <w:r>
        <w:rPr>
          <w:rFonts w:hint="eastAsia" w:ascii="宋体" w:hAnsi="宋体" w:eastAsia="宋体" w:cs="宋体"/>
          <w:b/>
          <w:color w:val="auto"/>
          <w:szCs w:val="21"/>
          <w:highlight w:val="none"/>
          <w:lang w:eastAsia="zh-TW" w:bidi="ar"/>
        </w:rPr>
        <w:t xml:space="preserve">供应商</w:t>
      </w:r>
      <w:r>
        <w:rPr>
          <w:rFonts w:hint="eastAsia" w:ascii="宋体" w:hAnsi="宋体" w:eastAsia="宋体" w:cs="宋体"/>
          <w:b/>
          <w:color w:val="auto"/>
          <w:szCs w:val="21"/>
          <w:highlight w:val="none"/>
          <w:lang w:bidi="ar"/>
        </w:rPr>
        <w:t xml:space="preserve">施工中应</w:t>
      </w:r>
      <w:r>
        <w:rPr>
          <w:rFonts w:hint="eastAsia" w:ascii="宋体" w:hAnsi="宋体" w:eastAsia="宋体" w:cs="宋体"/>
          <w:b/>
          <w:color w:val="auto"/>
          <w:szCs w:val="21"/>
          <w:highlight w:val="none"/>
          <w:lang w:eastAsia="zh-TW" w:bidi="ar"/>
        </w:rPr>
        <w:t xml:space="preserve">做到文明施工，做好施工现场及</w:t>
      </w:r>
      <w:r>
        <w:rPr>
          <w:rFonts w:hint="eastAsia" w:ascii="宋体" w:hAnsi="宋体" w:eastAsia="宋体" w:cs="宋体"/>
          <w:b/>
          <w:color w:val="auto"/>
          <w:szCs w:val="21"/>
          <w:highlight w:val="none"/>
          <w:lang w:bidi="ar"/>
        </w:rPr>
        <w:t xml:space="preserve">校</w:t>
      </w:r>
      <w:r>
        <w:rPr>
          <w:rFonts w:hint="eastAsia" w:ascii="宋体" w:hAnsi="宋体" w:eastAsia="宋体" w:cs="宋体"/>
          <w:b/>
          <w:color w:val="auto"/>
          <w:szCs w:val="21"/>
          <w:highlight w:val="none"/>
          <w:lang w:eastAsia="zh-TW" w:bidi="ar"/>
        </w:rPr>
        <w:t xml:space="preserve">内整洁，施工垃圾及时清运，</w:t>
      </w:r>
      <w:r>
        <w:rPr>
          <w:rFonts w:hint="eastAsia" w:ascii="宋体" w:hAnsi="宋体" w:eastAsia="宋体" w:cs="宋体"/>
          <w:b/>
          <w:color w:val="auto"/>
          <w:szCs w:val="21"/>
          <w:highlight w:val="none"/>
          <w:lang w:bidi="ar"/>
        </w:rPr>
        <w:t xml:space="preserve">工完场清，</w:t>
      </w:r>
      <w:r>
        <w:rPr>
          <w:rFonts w:hint="eastAsia" w:ascii="宋体" w:hAnsi="宋体" w:eastAsia="宋体" w:cs="宋体"/>
          <w:b/>
          <w:color w:val="auto"/>
          <w:szCs w:val="21"/>
          <w:highlight w:val="none"/>
          <w:lang w:eastAsia="zh-TW" w:bidi="ar"/>
        </w:rPr>
        <w:t xml:space="preserve">清运手续、费用由施工方自行解决。</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eastAsia="zh-TW" w:bidi="ar"/>
        </w:rPr>
        <w:t xml:space="preserve">2</w:t>
      </w:r>
      <w:r>
        <w:rPr>
          <w:rFonts w:hint="eastAsia" w:ascii="宋体" w:hAnsi="宋体" w:eastAsia="宋体" w:cs="宋体"/>
          <w:bCs/>
          <w:color w:val="auto"/>
          <w:szCs w:val="21"/>
          <w:highlight w:val="none"/>
          <w:lang w:bidi="ar"/>
        </w:rPr>
        <w:t xml:space="preserve">、</w:t>
      </w:r>
      <w:r>
        <w:rPr>
          <w:rFonts w:hint="eastAsia" w:ascii="宋体" w:hAnsi="宋体" w:eastAsia="宋体" w:cs="宋体"/>
          <w:bCs/>
          <w:color w:val="auto"/>
          <w:szCs w:val="21"/>
          <w:highlight w:val="none"/>
          <w:lang w:eastAsia="zh-TW" w:bidi="ar"/>
        </w:rPr>
        <w:t xml:space="preserve">所提供的施工材料必须符合国家质量检测、环境、安全等有关标准。</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3、</w:t>
      </w:r>
      <w:r>
        <w:rPr>
          <w:rFonts w:hint="eastAsia" w:ascii="宋体" w:hAnsi="宋体" w:eastAsia="宋体" w:cs="宋体"/>
          <w:bCs/>
          <w:color w:val="auto"/>
          <w:szCs w:val="21"/>
          <w:highlight w:val="none"/>
          <w:lang w:eastAsia="zh-TW" w:bidi="ar"/>
        </w:rPr>
        <w:t xml:space="preserve">推广绿色建材产品应用</w:t>
      </w:r>
      <w:r>
        <w:rPr>
          <w:rFonts w:hint="eastAsia" w:ascii="宋体" w:hAnsi="宋体" w:eastAsia="宋体" w:cs="宋体"/>
          <w:bCs/>
          <w:color w:val="auto"/>
          <w:szCs w:val="21"/>
          <w:highlight w:val="none"/>
          <w:lang w:bidi="ar"/>
        </w:rPr>
        <w:t xml:space="preserve">。</w:t>
      </w:r>
      <w:r>
        <w:rPr>
          <w:rFonts w:hint="eastAsia" w:ascii="宋体" w:hAnsi="宋体" w:eastAsia="宋体" w:cs="宋体"/>
          <w:color w:val="auto"/>
          <w:szCs w:val="21"/>
          <w:highlight w:val="none"/>
        </w:rPr>
        <w:t xml:space="preserve">本项目有关绿色采购要求执行苏财购【2023】65号文。供应商所提供的各类设备设施材料必须为环保、节能、安全产品。必须符合国家标准，有质量环保检验合格证明和有中文标识的产品名称、规格、型号、生产厂厂名、厂址等，不得用国家明令淘汰的建筑装饰装修材料和设备。材料、设备进场前需经采购人和监理验收合格后方可入场，如不符合质量要求和规格差异，应禁止使用。若已使用，对工程造成的损失由供应商负责。</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4、</w:t>
      </w:r>
      <w:r>
        <w:rPr>
          <w:rFonts w:hint="eastAsia" w:ascii="宋体" w:hAnsi="宋体" w:eastAsia="宋体" w:cs="宋体"/>
          <w:bCs/>
          <w:color w:val="auto"/>
          <w:szCs w:val="21"/>
          <w:highlight w:val="none"/>
          <w:lang w:eastAsia="zh-TW" w:bidi="ar"/>
        </w:rPr>
        <w:t xml:space="preserve">供应商必须严格遵守安全规程，加强安全纪律，持证上岗，施工时必须佩戴安全帽，高空作业时须系安全带，保证安全用电，做好防火工作等。</w:t>
      </w:r>
      <w:r/>
    </w:p>
    <w:p>
      <w:pPr>
        <w:ind w:firstLine="420"/>
        <w:spacing w:line="360" w:lineRule="auto"/>
        <w:rPr>
          <w:rFonts w:hint="eastAsia" w:ascii="宋体" w:hAnsi="宋体" w:eastAsia="宋体" w:cs="宋体"/>
          <w:bCs/>
          <w:color w:val="auto"/>
          <w:szCs w:val="21"/>
          <w:highlight w:val="none"/>
          <w:lang w:val="zh-CN" w:eastAsia="zh-TW"/>
        </w:rPr>
      </w:pPr>
      <w:r>
        <w:rPr>
          <w:rFonts w:hint="eastAsia" w:ascii="宋体" w:hAnsi="宋体" w:eastAsia="宋体" w:cs="宋体"/>
          <w:bCs/>
          <w:color w:val="auto"/>
          <w:szCs w:val="21"/>
          <w:highlight w:val="none"/>
          <w:lang w:bidi="ar"/>
        </w:rPr>
        <w:t xml:space="preserve">6、</w:t>
      </w:r>
      <w:r>
        <w:rPr>
          <w:rFonts w:hint="eastAsia" w:ascii="宋体" w:hAnsi="宋体" w:eastAsia="宋体" w:cs="宋体"/>
          <w:bCs/>
          <w:color w:val="auto"/>
          <w:szCs w:val="21"/>
          <w:highlight w:val="none"/>
          <w:lang w:val="zh-CN" w:eastAsia="zh-TW" w:bidi="ar"/>
        </w:rPr>
        <w:t xml:space="preserve">工程量清单报价应包含完成本工程内容所需的全部费用，包括且不限于分部分项工程费、措施项目费、其它项目费和税金、考虑风险因素而调整的费用、完成磋商文件中的要求而发生的费用等。</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bidi="ar"/>
        </w:rPr>
        <w:t xml:space="preserve">7</w:t>
      </w:r>
      <w:r>
        <w:rPr>
          <w:rFonts w:hint="eastAsia" w:ascii="宋体" w:hAnsi="宋体" w:eastAsia="宋体" w:cs="宋体"/>
          <w:bCs/>
          <w:color w:val="auto"/>
          <w:szCs w:val="21"/>
          <w:highlight w:val="none"/>
          <w:lang w:val="zh-CN" w:eastAsia="zh-TW" w:bidi="ar"/>
        </w:rPr>
        <w:t xml:space="preserve">、临时用水、用电，请供应商自行考虑并计入综合报价内。</w:t>
      </w:r>
      <w:r>
        <w:rPr>
          <w:rFonts w:hint="eastAsia" w:ascii="宋体" w:hAnsi="宋体" w:eastAsia="宋体" w:cs="宋体"/>
          <w:color w:val="auto"/>
          <w:szCs w:val="21"/>
          <w:highlight w:val="none"/>
        </w:rPr>
        <w:t xml:space="preserve">水电费用由采购人指定人员抄表，根据用量按实缴纳，由采购人代缴的将从工程款中予以扣回。</w:t>
      </w:r>
      <w:r/>
    </w:p>
    <w:p>
      <w:pPr>
        <w:ind w:firstLine="420"/>
        <w:spacing w:line="360" w:lineRule="auto"/>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bidi="ar"/>
        </w:rPr>
        <w:t xml:space="preserve">8</w:t>
      </w:r>
      <w:r>
        <w:rPr>
          <w:rFonts w:hint="eastAsia" w:ascii="宋体" w:hAnsi="宋体" w:eastAsia="宋体" w:cs="宋体"/>
          <w:bCs/>
          <w:color w:val="auto"/>
          <w:szCs w:val="21"/>
          <w:highlight w:val="none"/>
          <w:lang w:val="zh-CN" w:eastAsia="zh-TW" w:bidi="ar"/>
        </w:rPr>
        <w:t xml:space="preserve">、对于江苏省、南京市相关部门对工程施工要求所发的文件规定，特别是对于工程围挡、扬尘控制等的要求，请供应商在报价中充分考虑，结算时不得增加与此有关的费用。</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9、</w:t>
      </w:r>
      <w:r>
        <w:rPr>
          <w:rFonts w:hint="eastAsia" w:ascii="宋体" w:hAnsi="宋体" w:eastAsia="宋体" w:cs="宋体"/>
          <w:bCs/>
          <w:color w:val="auto"/>
          <w:szCs w:val="21"/>
          <w:highlight w:val="none"/>
          <w:lang w:eastAsia="zh-TW" w:bidi="ar"/>
        </w:rPr>
        <w:t xml:space="preserve">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bidi="ar"/>
        </w:rPr>
        <w:t xml:space="preserve">10、</w:t>
      </w:r>
      <w:r>
        <w:rPr>
          <w:rFonts w:hint="eastAsia" w:ascii="宋体" w:hAnsi="宋体" w:eastAsia="宋体" w:cs="宋体"/>
          <w:bCs/>
          <w:color w:val="auto"/>
          <w:szCs w:val="21"/>
          <w:highlight w:val="none"/>
          <w:lang w:eastAsia="zh-TW" w:bidi="ar"/>
        </w:rPr>
        <w:t xml:space="preserve">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color w:val="auto"/>
          <w:szCs w:val="21"/>
          <w:highlight w:val="none"/>
          <w:lang w:bidi="ar"/>
        </w:rPr>
        <w:t xml:space="preserve">11</w:t>
      </w:r>
      <w:r>
        <w:rPr>
          <w:rFonts w:hint="eastAsia" w:ascii="宋体" w:hAnsi="宋体" w:eastAsia="宋体" w:cs="宋体"/>
          <w:bCs/>
          <w:color w:val="auto"/>
          <w:szCs w:val="21"/>
          <w:highlight w:val="none"/>
          <w:lang w:val="zh-CN" w:eastAsia="zh-TW" w:bidi="ar"/>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zh-CN" w:eastAsia="zh-TW" w:bidi="ar"/>
        </w:rPr>
      </w:r>
      <w:r/>
    </w:p>
    <w:p>
      <w:pPr>
        <w:numPr>
          <w:ilvl w:val="0"/>
          <w:numId w:val="4"/>
        </w:numPr>
        <w:ind w:firstLine="0"/>
        <w:rPr>
          <w:rFonts w:hint="eastAsia" w:eastAsia="宋体"/>
          <w:highlight w:val="none"/>
          <w:lang w:val="en-US" w:eastAsia="zh-CN"/>
        </w:rPr>
      </w:pPr>
      <w:r>
        <w:rPr>
          <w:rFonts w:hint="eastAsia" w:ascii="宋体" w:hAnsi="宋体" w:eastAsia="宋体" w:cs="宋体"/>
          <w:b/>
          <w:bCs/>
          <w:color w:val="auto"/>
          <w:szCs w:val="21"/>
          <w:highlight w:val="none"/>
          <w:lang w:bidi="ar"/>
        </w:rPr>
        <w:t xml:space="preserve">附件：</w:t>
      </w:r>
      <w:r>
        <w:rPr>
          <w:rFonts w:hint="eastAsia" w:ascii="宋体" w:hAnsi="宋体" w:eastAsia="宋体" w:cs="宋体"/>
          <w:b/>
          <w:bCs/>
          <w:color w:val="auto"/>
          <w:szCs w:val="21"/>
          <w:highlight w:val="none"/>
          <w:lang w:val="en-US" w:eastAsia="zh-CN" w:bidi="ar"/>
        </w:rPr>
        <w:t xml:space="preserve">工程量</w:t>
      </w:r>
      <w:r>
        <w:rPr>
          <w:rFonts w:hint="eastAsia" w:ascii="宋体" w:hAnsi="宋体" w:eastAsia="宋体" w:cs="宋体"/>
          <w:b/>
          <w:bCs/>
          <w:color w:val="auto"/>
          <w:szCs w:val="21"/>
          <w:highlight w:val="none"/>
          <w:lang w:bidi="ar"/>
        </w:rPr>
        <w:t xml:space="preserve">清单</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图纸、编制说明</w:t>
      </w:r>
      <w:r/>
    </w:p>
    <w:p>
      <w:pPr>
        <w:pStyle w:val="1043"/>
        <w:numPr>
          <w:ilvl w:val="0"/>
          <w:numId w:val="0"/>
        </w:numPr>
        <w:jc w:val="lef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43"/>
        <w:numPr>
          <w:ilvl w:val="0"/>
          <w:numId w:val="0"/>
        </w:numPr>
        <w:jc w:val="center"/>
        <w:rPr>
          <w:rFonts w:hint="eastAsia" w:ascii="宋体" w:hAnsi="宋体" w:cs="宋体"/>
          <w:color w:val="000000"/>
          <w:highlight w:val="none"/>
        </w:rPr>
      </w:pPr>
      <w:r/>
      <w:bookmarkStart w:id="110" w:name="_Toc3304"/>
      <w:r>
        <w:rPr>
          <w:rFonts w:ascii="Microsoft New Tai Lue" w:hAnsi="Microsoft New Tai Lue" w:cs="Microsoft New Tai Lue"/>
          <w:color w:val="000000"/>
          <w:highlight w:val="none"/>
        </w:rPr>
        <w:br w:type="page" w:clear="all"/>
      </w:r>
      <w:bookmarkStart w:id="111" w:name="_Toc107246270"/>
      <w:r>
        <w:rPr>
          <w:rFonts w:ascii="Microsoft New Tai Lue" w:hAnsi="Microsoft New Tai Lue" w:cs="Microsoft New Tai Lue"/>
          <w:color w:val="000000"/>
          <w:highlight w:val="none"/>
        </w:rPr>
        <w:t xml:space="preserve">第</w:t>
      </w:r>
      <w:r>
        <w:rPr>
          <w:rFonts w:hint="eastAsia" w:ascii="Microsoft New Tai Lue" w:hAnsi="Microsoft New Tai Lue" w:cs="Microsoft New Tai Lue"/>
          <w:color w:val="000000"/>
          <w:highlight w:val="none"/>
          <w:lang w:val="en-US" w:eastAsia="zh-CN"/>
        </w:rPr>
        <w:t xml:space="preserve">五</w:t>
      </w:r>
      <w:r>
        <w:rPr>
          <w:rFonts w:ascii="Microsoft New Tai Lue" w:hAnsi="Microsoft New Tai Lue" w:cs="Microsoft New Tai Lue"/>
          <w:color w:val="000000"/>
          <w:highlight w:val="none"/>
        </w:rPr>
        <w:t xml:space="preserve">章 </w:t>
      </w:r>
      <w:bookmarkEnd w:id="111"/>
      <w:r>
        <w:rPr>
          <w:rFonts w:hint="eastAsia" w:ascii="宋体" w:hAnsi="宋体" w:cs="宋体"/>
          <w:color w:val="000000"/>
          <w:highlight w:val="none"/>
        </w:rPr>
        <w:t xml:space="preserve">政府采购合同条款及格式</w:t>
      </w:r>
      <w:bookmarkEnd w:id="110"/>
      <w:r/>
      <w:r/>
    </w:p>
    <w:p>
      <w:pPr>
        <w:ind w:firstLine="372"/>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spacing w:line="440" w:lineRule="exact"/>
        <w:widowControl/>
        <w:rPr>
          <w:rFonts w:hint="eastAsia" w:ascii="宋体" w:hAnsi="宋体" w:eastAsia="宋体" w:cs="宋体"/>
          <w:color w:val="auto"/>
          <w:sz w:val="28"/>
          <w:szCs w:val="28"/>
          <w:highlight w:val="none"/>
          <w:lang w:eastAsia="zh-CN"/>
        </w:rPr>
      </w:pPr>
      <w:r/>
      <w:bookmarkStart w:id="112" w:name="_Toc31252"/>
      <w:r/>
      <w:bookmarkStart w:id="113" w:name="_Toc17754"/>
      <w:r/>
      <w:bookmarkStart w:id="114" w:name="_Toc14567"/>
      <w:r/>
      <w:bookmarkStart w:id="115" w:name="_Toc5487"/>
      <w:r/>
      <w:bookmarkStart w:id="116" w:name="_Toc31618"/>
      <w:r/>
      <w:bookmarkStart w:id="117" w:name="_Toc15150"/>
      <w:r>
        <w:rPr>
          <w:rStyle w:val="1048"/>
          <w:rFonts w:hint="eastAsia" w:ascii="宋体" w:hAnsi="宋体" w:eastAsia="宋体" w:cs="宋体"/>
          <w:color w:val="auto"/>
          <w:sz w:val="28"/>
          <w:szCs w:val="28"/>
          <w:highlight w:val="none"/>
        </w:rPr>
        <w:t xml:space="preserve">第一部分 合同协议书</w:t>
      </w:r>
      <w:bookmarkEnd w:id="112"/>
      <w:r/>
      <w:bookmarkEnd w:id="113"/>
      <w:r/>
      <w:bookmarkEnd w:id="114"/>
      <w:r/>
      <w:bookmarkEnd w:id="115"/>
      <w:r/>
      <w:bookmarkEnd w:id="116"/>
      <w:r/>
      <w:bookmarkEnd w:id="117"/>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发包人（全称）：</w:t>
      </w:r>
      <w:r>
        <w:rPr>
          <w:rStyle w:val="1049"/>
          <w:rFonts w:hint="eastAsia" w:ascii="宋体" w:hAnsi="宋体" w:eastAsia="宋体" w:cs="宋体"/>
          <w:color w:val="auto"/>
          <w:szCs w:val="21"/>
          <w:highlight w:val="none"/>
          <w:u w:val="single"/>
        </w:rPr>
        <w:t xml:space="preserve">南京体育学院</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承包人（全称）：</w:t>
      </w:r>
      <w:r>
        <w:rPr>
          <w:rStyle w:val="1049"/>
          <w:rFonts w:hint="eastAsia" w:ascii="宋体" w:hAnsi="宋体" w:eastAsia="宋体" w:cs="宋体"/>
          <w:color w:val="auto"/>
          <w:szCs w:val="21"/>
          <w:highlight w:val="none"/>
          <w:u w:val="single"/>
        </w:rPr>
        <w:t xml:space="preserve">              </w:t>
      </w:r>
      <w:r>
        <w:rPr>
          <w:rStyle w:val="1049"/>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50"/>
          <w:rFonts w:hint="eastAsia" w:ascii="宋体" w:hAnsi="宋体" w:eastAsia="宋体" w:cs="宋体"/>
          <w:color w:val="auto"/>
          <w:szCs w:val="21"/>
          <w:highlight w:val="none"/>
        </w:rPr>
        <w:t xml:space="preserve">    根据《中华人民共和国建筑法》、《中华人民共和国民法典》及有关法律、法规、规章，按照</w:t>
      </w:r>
      <w:r>
        <w:rPr>
          <w:rStyle w:val="1050"/>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的情况</w:t>
      </w:r>
      <w:r>
        <w:rPr>
          <w:rStyle w:val="1051"/>
          <w:rFonts w:hint="eastAsia" w:ascii="宋体" w:hAnsi="宋体" w:eastAsia="宋体" w:cs="宋体"/>
          <w:color w:val="auto"/>
          <w:szCs w:val="21"/>
          <w:highlight w:val="none"/>
          <w:u w:val="none"/>
        </w:rPr>
        <w:t xml:space="preserve">，</w:t>
      </w:r>
      <w:r>
        <w:rPr>
          <w:rStyle w:val="1050"/>
          <w:rFonts w:hint="eastAsia" w:ascii="宋体" w:hAnsi="宋体" w:eastAsia="宋体" w:cs="宋体"/>
          <w:color w:val="auto"/>
          <w:szCs w:val="21"/>
          <w:highlight w:val="none"/>
        </w:rPr>
        <w:t xml:space="preserve">遵循平等、自愿、公平和诚实信用的原则，双方就</w:t>
      </w:r>
      <w:r>
        <w:rPr>
          <w:rStyle w:val="1050"/>
          <w:rFonts w:hint="eastAsia" w:ascii="宋体" w:hAnsi="宋体" w:eastAsia="宋体" w:cs="宋体"/>
          <w:color w:val="auto"/>
          <w:szCs w:val="21"/>
          <w:highlight w:val="none"/>
          <w:u w:val="single"/>
        </w:rPr>
        <w:t xml:space="preserve"> </w:t>
      </w:r>
      <w:r>
        <w:rPr>
          <w:rStyle w:val="1050"/>
          <w:rFonts w:hint="eastAsia" w:ascii="宋体" w:hAnsi="宋体" w:cs="宋体"/>
          <w:color w:val="auto"/>
          <w:szCs w:val="21"/>
          <w:highlight w:val="none"/>
          <w:u w:val="single"/>
          <w:lang w:val="en-US" w:eastAsia="zh-CN"/>
        </w:rPr>
        <w:t xml:space="preserve">    </w:t>
      </w:r>
      <w:r>
        <w:rPr>
          <w:rStyle w:val="1050"/>
          <w:rFonts w:hint="eastAsia" w:ascii="宋体" w:hAnsi="宋体" w:eastAsia="宋体" w:cs="宋体"/>
          <w:color w:val="auto"/>
          <w:szCs w:val="21"/>
          <w:highlight w:val="none"/>
        </w:rPr>
        <w:t xml:space="preserve">及有关事项，经充分协商，共同达成如下协议：</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一、工程概况</w:t>
      </w:r>
      <w:r/>
    </w:p>
    <w:p>
      <w:pPr>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1.工程名称：</w:t>
      </w:r>
      <w:r>
        <w:rPr>
          <w:rStyle w:val="1049"/>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2.工程地点：</w:t>
      </w:r>
      <w:r>
        <w:rPr>
          <w:rStyle w:val="1049"/>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3.工程立项批准文号：</w:t>
      </w:r>
      <w:r>
        <w:rPr>
          <w:rStyle w:val="1050"/>
          <w:rFonts w:hint="eastAsia" w:ascii="宋体" w:hAnsi="宋体" w:eastAsia="宋体" w:cs="宋体"/>
          <w:color w:val="auto"/>
          <w:szCs w:val="21"/>
          <w:highlight w:val="none"/>
          <w:u w:val="single"/>
        </w:rPr>
        <w:t xml:space="preserve">  /  </w:t>
      </w:r>
      <w:r>
        <w:rPr>
          <w:rStyle w:val="1050"/>
          <w:rFonts w:hint="eastAsia" w:ascii="宋体" w:hAnsi="宋体" w:eastAsia="宋体" w:cs="宋体"/>
          <w:color w:val="auto"/>
          <w:szCs w:val="21"/>
          <w:highlight w:val="none"/>
        </w:rPr>
        <w:t xml:space="preserve">。</w:t>
      </w:r>
      <w:r>
        <w:rPr>
          <w:rStyle w:val="1049"/>
          <w:rFonts w:hint="eastAsia" w:ascii="宋体" w:hAnsi="宋体" w:eastAsia="宋体" w:cs="宋体"/>
          <w:color w:val="auto"/>
          <w:szCs w:val="21"/>
          <w:highlight w:val="none"/>
        </w:rPr>
        <w:t xml:space="preserve">    </w:t>
      </w:r>
      <w:r>
        <w:rPr>
          <w:rStyle w:val="1050"/>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4.工程内容：</w:t>
      </w:r>
      <w:r>
        <w:rPr>
          <w:rStyle w:val="1049"/>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5.工程承包范围：</w:t>
      </w:r>
      <w:r>
        <w:rPr>
          <w:rStyle w:val="1051"/>
          <w:rFonts w:hint="eastAsia" w:ascii="宋体" w:hAnsi="宋体" w:eastAsia="宋体" w:cs="宋体"/>
          <w:color w:val="auto"/>
          <w:szCs w:val="21"/>
          <w:highlight w:val="none"/>
        </w:rPr>
        <w:t xml:space="preserve">采购文件、</w:t>
      </w:r>
      <w:r>
        <w:rPr>
          <w:rStyle w:val="1050"/>
          <w:rFonts w:hint="eastAsia" w:ascii="宋体" w:hAnsi="宋体" w:eastAsia="宋体" w:cs="宋体"/>
          <w:color w:val="auto"/>
          <w:szCs w:val="21"/>
          <w:highlight w:val="none"/>
          <w:u w:val="single"/>
        </w:rPr>
        <w:t xml:space="preserve">工程量清单所示的所有工程内容。</w:t>
      </w:r>
      <w:r/>
    </w:p>
    <w:p>
      <w:pPr>
        <w:spacing w:line="440" w:lineRule="exact"/>
        <w:rPr>
          <w:rFonts w:hint="eastAsia" w:ascii="宋体" w:hAnsi="宋体" w:eastAsia="宋体" w:cs="宋体"/>
          <w:color w:val="auto"/>
          <w:szCs w:val="21"/>
          <w:highlight w:val="none"/>
          <w:lang w:eastAsia="zh-CN"/>
        </w:rPr>
      </w:pPr>
      <w:r>
        <w:rPr>
          <w:rStyle w:val="1049"/>
          <w:rFonts w:hint="eastAsia" w:ascii="宋体" w:hAnsi="宋体" w:eastAsia="宋体" w:cs="宋体"/>
          <w:color w:val="auto"/>
          <w:szCs w:val="21"/>
          <w:highlight w:val="none"/>
        </w:rPr>
        <w:t xml:space="preserve">二、合同工期</w:t>
      </w:r>
      <w:r>
        <w:rPr>
          <w:rStyle w:val="1049"/>
          <w:rFonts w:hint="eastAsia" w:ascii="宋体" w:hAnsi="宋体" w:cs="宋体"/>
          <w:color w:val="auto"/>
          <w:szCs w:val="21"/>
          <w:highlight w:val="none"/>
          <w:lang w:eastAsia="zh-CN"/>
        </w:rPr>
        <w:tab/>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工期总日历天数：</w:t>
      </w:r>
      <w:r>
        <w:rPr>
          <w:rStyle w:val="1049"/>
          <w:rFonts w:hint="eastAsia" w:ascii="宋体" w:hAnsi="宋体" w:eastAsia="宋体" w:cs="宋体"/>
          <w:color w:val="auto"/>
          <w:szCs w:val="21"/>
          <w:highlight w:val="none"/>
          <w:u w:val="single"/>
        </w:rPr>
        <w:t xml:space="preserve">  </w:t>
      </w:r>
      <w:r>
        <w:rPr>
          <w:rStyle w:val="1049"/>
          <w:rFonts w:hint="eastAsia" w:ascii="宋体" w:hAnsi="宋体" w:eastAsia="宋体" w:cs="宋体"/>
          <w:color w:val="auto"/>
          <w:szCs w:val="21"/>
          <w:highlight w:val="none"/>
          <w:u w:val="single"/>
          <w:lang w:val="en-US" w:eastAsia="zh-CN"/>
        </w:rPr>
        <w:t xml:space="preserve">35</w:t>
      </w:r>
      <w:r>
        <w:rPr>
          <w:rStyle w:val="1049"/>
          <w:rFonts w:hint="eastAsia" w:ascii="宋体" w:hAnsi="宋体" w:eastAsia="宋体" w:cs="宋体"/>
          <w:color w:val="auto"/>
          <w:szCs w:val="21"/>
          <w:highlight w:val="none"/>
          <w:u w:val="single"/>
        </w:rPr>
        <w:t xml:space="preserve">   </w:t>
      </w:r>
      <w:r>
        <w:rPr>
          <w:rStyle w:val="1049"/>
          <w:rFonts w:hint="eastAsia" w:ascii="宋体" w:hAnsi="宋体" w:eastAsia="宋体" w:cs="宋体"/>
          <w:color w:val="auto"/>
          <w:szCs w:val="21"/>
          <w:highlight w:val="none"/>
        </w:rPr>
        <w:t xml:space="preserve">天。（具体开工时间以甲方通知为准）</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三、质量标准</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工程质量：</w:t>
      </w:r>
      <w:r>
        <w:rPr>
          <w:rStyle w:val="1050"/>
          <w:rFonts w:hint="eastAsia" w:ascii="宋体" w:hAnsi="宋体" w:eastAsia="宋体" w:cs="宋体"/>
          <w:color w:val="auto"/>
          <w:szCs w:val="21"/>
          <w:highlight w:val="none"/>
        </w:rPr>
        <w:t xml:space="preserve">符合现行国家最新质量验收标准。</w:t>
      </w:r>
      <w:r/>
    </w:p>
    <w:p>
      <w:pPr>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四、缺陷责任期​</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本工程的缺陷责任期为两年，从工程通过竣工验收之日起计。</w:t>
      </w:r>
      <w:r/>
    </w:p>
    <w:p>
      <w:pPr>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五、签约合同价与合同价格形式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1.签约合同价为：        人民币（大写）  (¥    元)；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其中：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（1）安全</w:t>
      </w:r>
      <w:r>
        <w:rPr>
          <w:rStyle w:val="1049"/>
          <w:rFonts w:hint="eastAsia" w:ascii="宋体" w:hAnsi="宋体" w:cs="宋体"/>
          <w:color w:val="auto"/>
          <w:szCs w:val="21"/>
          <w:highlight w:val="none"/>
          <w:lang w:val="en-US" w:eastAsia="zh-CN"/>
        </w:rPr>
        <w:t xml:space="preserve">生产措施费费率</w:t>
      </w:r>
      <w:r>
        <w:rPr>
          <w:rStyle w:val="1049"/>
          <w:rFonts w:hint="eastAsia" w:ascii="宋体" w:hAnsi="宋体" w:eastAsia="宋体" w:cs="宋体"/>
          <w:color w:val="auto"/>
          <w:szCs w:val="21"/>
          <w:highlight w:val="none"/>
        </w:rPr>
        <w:t xml:space="preserve">：</w:t>
      </w:r>
      <w:r>
        <w:rPr>
          <w:rStyle w:val="1049"/>
          <w:rFonts w:hint="eastAsia" w:ascii="宋体" w:hAnsi="宋体" w:cs="宋体"/>
          <w:color w:val="auto"/>
          <w:szCs w:val="21"/>
          <w:highlight w:val="none"/>
          <w:u w:val="single"/>
          <w:lang w:val="en-US" w:eastAsia="zh-CN"/>
        </w:rPr>
        <w:t xml:space="preserve">          </w:t>
      </w:r>
      <w:r>
        <w:rPr>
          <w:rStyle w:val="1049"/>
          <w:rFonts w:hint="eastAsia" w:ascii="宋体" w:hAnsi="宋体" w:eastAsia="宋体" w:cs="宋体"/>
          <w:color w:val="auto"/>
          <w:szCs w:val="21"/>
          <w:highlight w:val="none"/>
        </w:rPr>
        <w:t xml:space="preserve">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（2）材料和工程设备暂估价金额：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人民币（大写）     (¥     元)；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（3）专业工程暂估价金额：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人民币（大写）     (¥     元)；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（4）暂列金额：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人民币（大写）     (¥     元)。 </w:t>
      </w:r>
      <w:r/>
    </w:p>
    <w:p>
      <w:pPr>
        <w:ind w:firstLine="42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2.合同价格形式：固定单价合同。</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六、项目经理</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承包人项目经理：</w:t>
      </w:r>
      <w:r>
        <w:rPr>
          <w:rStyle w:val="1049"/>
          <w:rFonts w:hint="eastAsia" w:ascii="宋体" w:hAnsi="宋体" w:eastAsia="宋体" w:cs="宋体"/>
          <w:color w:val="auto"/>
          <w:szCs w:val="21"/>
          <w:highlight w:val="none"/>
          <w:u w:val="single"/>
        </w:rPr>
        <w:t xml:space="preserve">             </w:t>
      </w:r>
      <w:r>
        <w:rPr>
          <w:rStyle w:val="1049"/>
          <w:rFonts w:hint="eastAsia" w:ascii="宋体" w:hAnsi="宋体" w:eastAsia="宋体" w:cs="宋体"/>
          <w:color w:val="auto"/>
          <w:szCs w:val="21"/>
          <w:highlight w:val="none"/>
        </w:rPr>
        <w:t xml:space="preserve">。</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七、合同文件构成</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本协议书与下列文件一起构成合同文件：</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（1）成交通知书；</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（2）响应函及其附录；</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（3）专用合同条款及其附件；</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（4）通用合同条款；</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（5）技术标准和要求；</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（6）图纸；</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（7）已标价工程量清单或预算书；</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（8）采购文件及附件，响应文件及附件；</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（9）其他合同文件。</w:t>
      </w:r>
      <w:r/>
    </w:p>
    <w:p>
      <w:pPr>
        <w:ind w:firstLine="420"/>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在合同订立及履行过程中形成的与合同有关的文件均构成合同文件组成部分。</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上述各项合同文件包括合同当事人就该项合同文件所作出的补充和修改，属于同一类内容的文件，应以最新签署的为准。专用合同条款及其附件须经合同当事人签字并盖章。</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八、承诺</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1.发包人承诺按照法律规定筹集工程建设资金并按照合同约定的期限和方式支付合同价款。</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2.承包人承诺按照法律规定及合同约定组织完成工程施工，确保工程质量和安全，不进行转包及违法分包，并在缺陷责任期及保修期内承担相应的工程维修责任。</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九、词语含义</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本协议书中词语含义与第二部分通用合同条款中赋予的含义相同。</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十、补充协议</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    合同未尽事宜，合同当事人另行签订补充协议，补充协议是合同的组成部分。</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十一、合同生效</w:t>
      </w:r>
      <w:r/>
    </w:p>
    <w:p>
      <w:pPr>
        <w:ind w:firstLine="420"/>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本合同自</w:t>
      </w:r>
      <w:r>
        <w:rPr>
          <w:rStyle w:val="1050"/>
          <w:rFonts w:hint="eastAsia" w:ascii="宋体" w:hAnsi="宋体" w:eastAsia="宋体" w:cs="宋体"/>
          <w:color w:val="auto"/>
          <w:szCs w:val="21"/>
          <w:highlight w:val="none"/>
          <w:u w:val="single"/>
        </w:rPr>
        <w:t xml:space="preserve">双方签字并盖章后</w:t>
      </w:r>
      <w:r>
        <w:rPr>
          <w:rStyle w:val="1049"/>
          <w:rFonts w:hint="eastAsia" w:ascii="宋体" w:hAnsi="宋体" w:eastAsia="宋体" w:cs="宋体"/>
          <w:color w:val="auto"/>
          <w:szCs w:val="21"/>
          <w:highlight w:val="none"/>
        </w:rPr>
        <w:t xml:space="preserve">生效。</w:t>
      </w:r>
      <w:r/>
    </w:p>
    <w:p>
      <w:pPr>
        <w:spacing w:line="440" w:lineRule="exact"/>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十二、合同份数</w:t>
      </w:r>
      <w:r/>
    </w:p>
    <w:p>
      <w:pPr>
        <w:ind w:firstLine="480"/>
        <w:spacing w:line="440" w:lineRule="exact"/>
        <w:rPr>
          <w:rStyle w:val="1049"/>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本合同一式</w:t>
      </w:r>
      <w:r>
        <w:rPr>
          <w:rStyle w:val="1012"/>
          <w:rFonts w:hint="eastAsia" w:ascii="宋体" w:hAnsi="宋体" w:eastAsia="宋体" w:cs="宋体"/>
          <w:color w:val="auto"/>
          <w:szCs w:val="21"/>
          <w:highlight w:val="none"/>
          <w:u w:val="single"/>
        </w:rPr>
        <w:t xml:space="preserve"> </w:t>
      </w:r>
      <w:r>
        <w:rPr>
          <w:rStyle w:val="1012"/>
          <w:rFonts w:hint="default" w:ascii="宋体" w:hAnsi="宋体" w:eastAsia="宋体" w:cs="宋体"/>
          <w:color w:val="auto"/>
          <w:szCs w:val="21"/>
          <w:highlight w:val="none"/>
          <w:u w:val="single"/>
          <w:lang w:val="en-US"/>
        </w:rPr>
        <w:t xml:space="preserve">6</w:t>
      </w:r>
      <w:r>
        <w:rPr>
          <w:rStyle w:val="1049"/>
          <w:rFonts w:hint="eastAsia" w:ascii="宋体" w:hAnsi="宋体" w:eastAsia="宋体" w:cs="宋体"/>
          <w:color w:val="auto"/>
          <w:szCs w:val="21"/>
          <w:highlight w:val="none"/>
        </w:rPr>
        <w:t xml:space="preserve">份，均具有同等法律效力，发包人执</w:t>
      </w:r>
      <w:r>
        <w:rPr>
          <w:rStyle w:val="1012"/>
          <w:rFonts w:hint="eastAsia" w:ascii="宋体" w:hAnsi="宋体" w:eastAsia="宋体" w:cs="宋体"/>
          <w:color w:val="auto"/>
          <w:szCs w:val="21"/>
          <w:highlight w:val="none"/>
          <w:u w:val="single"/>
        </w:rPr>
        <w:t xml:space="preserve">  4  </w:t>
      </w:r>
      <w:r>
        <w:rPr>
          <w:rStyle w:val="1049"/>
          <w:rFonts w:hint="eastAsia" w:ascii="宋体" w:hAnsi="宋体" w:eastAsia="宋体" w:cs="宋体"/>
          <w:color w:val="auto"/>
          <w:szCs w:val="21"/>
          <w:highlight w:val="none"/>
        </w:rPr>
        <w:t xml:space="preserve">份，承包人执</w:t>
      </w:r>
      <w:r>
        <w:rPr>
          <w:rStyle w:val="1012"/>
          <w:rFonts w:hint="eastAsia" w:ascii="宋体" w:hAnsi="宋体" w:eastAsia="宋体" w:cs="宋体"/>
          <w:color w:val="auto"/>
          <w:szCs w:val="21"/>
          <w:highlight w:val="none"/>
          <w:u w:val="single"/>
        </w:rPr>
        <w:t xml:space="preserve">  </w:t>
      </w:r>
      <w:r>
        <w:rPr>
          <w:rStyle w:val="1012"/>
          <w:rFonts w:hint="default" w:ascii="宋体" w:hAnsi="宋体" w:eastAsia="宋体" w:cs="宋体"/>
          <w:color w:val="auto"/>
          <w:szCs w:val="21"/>
          <w:highlight w:val="none"/>
          <w:u w:val="single"/>
          <w:lang w:val="en-US"/>
        </w:rPr>
        <w:t xml:space="preserve">2</w:t>
      </w:r>
      <w:r>
        <w:rPr>
          <w:rStyle w:val="1049"/>
          <w:rFonts w:hint="eastAsia" w:ascii="宋体" w:hAnsi="宋体" w:eastAsia="宋体" w:cs="宋体"/>
          <w:color w:val="auto"/>
          <w:szCs w:val="21"/>
          <w:highlight w:val="none"/>
        </w:rPr>
        <w:t xml:space="preserve">份。</w:t>
      </w:r>
      <w:r/>
    </w:p>
    <w:p>
      <w:pPr>
        <w:ind w:firstLine="420"/>
        <w:spacing w:line="440" w:lineRule="exact"/>
        <w:rPr>
          <w:rStyle w:val="1012"/>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甲方（盖章）：                         乙方（盖章）：</w:t>
      </w:r>
      <w:r/>
    </w:p>
    <w:p>
      <w:pPr>
        <w:ind w:left="4200" w:hanging="378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地址：                                 地址：</w:t>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电话：                                 电话：</w:t>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代表签字：                             代表签字：</w:t>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开户银行：                             开户银行：</w:t>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行号：                                 行号：</w:t>
      </w:r>
      <w:r/>
    </w:p>
    <w:p>
      <w:pPr>
        <w:ind w:firstLine="420"/>
        <w:spacing w:line="440" w:lineRule="exact"/>
        <w:rPr>
          <w:rStyle w:val="1012"/>
          <w:rFonts w:hint="eastAsia" w:ascii="宋体" w:hAnsi="宋体" w:eastAsia="宋体" w:cs="宋体"/>
          <w:color w:val="auto"/>
          <w:szCs w:val="21"/>
          <w:highlight w:val="none"/>
        </w:rPr>
      </w:pPr>
      <w:r>
        <w:rPr>
          <w:rStyle w:val="1012"/>
          <w:rFonts w:hint="eastAsia" w:ascii="宋体" w:hAnsi="宋体" w:eastAsia="宋体" w:cs="宋体"/>
          <w:color w:val="auto"/>
          <w:szCs w:val="21"/>
          <w:highlight w:val="none"/>
        </w:rPr>
        <w:t xml:space="preserve">帐号：                                 帐号：</w:t>
      </w:r>
      <w:r/>
    </w:p>
    <w:p>
      <w:pPr>
        <w:ind w:left="0" w:firstLine="420"/>
        <w:jc w:val="both"/>
        <w:spacing w:line="440" w:lineRule="exact"/>
        <w:widowControl w:val="off"/>
        <w:rPr>
          <w:rFonts w:hint="eastAsia" w:ascii="宋体" w:hAnsi="宋体" w:eastAsia="宋体" w:cs="宋体"/>
          <w:b/>
          <w:color w:val="auto"/>
          <w:position w:val="-10"/>
          <w:sz w:val="24"/>
          <w:szCs w:val="21"/>
          <w:highlight w:val="none"/>
          <w:lang w:eastAsia="zh-CN"/>
        </w:rPr>
      </w:pPr>
      <w:r>
        <w:rPr>
          <w:rStyle w:val="1012"/>
          <w:rFonts w:hint="eastAsia" w:ascii="宋体" w:hAnsi="宋体" w:eastAsia="宋体" w:cs="宋体"/>
          <w:b w:val="0"/>
          <w:color w:val="auto"/>
          <w:position w:val="0"/>
          <w:sz w:val="21"/>
          <w:szCs w:val="21"/>
          <w:highlight w:val="none"/>
          <w:lang w:eastAsia="zh-CN"/>
        </w:rPr>
        <w:t xml:space="preserve">日期：                                 日期：    </w:t>
      </w:r>
      <w:r>
        <w:rPr>
          <w:rStyle w:val="1050"/>
          <w:rFonts w:hint="eastAsia" w:ascii="宋体" w:hAnsi="宋体" w:eastAsia="宋体" w:cs="宋体"/>
          <w:b/>
          <w:color w:val="auto"/>
          <w:position w:val="-10"/>
          <w:sz w:val="21"/>
          <w:szCs w:val="21"/>
          <w:highlight w:val="none"/>
          <w:lang w:eastAsia="zh-CN"/>
        </w:rPr>
        <w:t xml:space="preserve"> </w:t>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Style w:val="1048"/>
          <w:rFonts w:hint="eastAsia" w:ascii="微软雅黑" w:hAnsi="微软雅黑" w:eastAsia="宋体" w:cs="微软雅黑"/>
          <w:color w:val="auto"/>
          <w:szCs w:val="21"/>
          <w:highlight w:val="none"/>
        </w:rPr>
      </w:pPr>
      <w:r>
        <w:rPr>
          <w:rStyle w:val="1048"/>
          <w:rFonts w:hint="eastAsia" w:ascii="微软雅黑" w:hAnsi="微软雅黑" w:eastAsia="宋体" w:cs="微软雅黑"/>
          <w:color w:val="auto"/>
          <w:szCs w:val="21"/>
          <w:highlight w:val="none"/>
        </w:rPr>
        <w:br w:type="page" w:clear="all"/>
      </w:r>
      <w:r/>
    </w:p>
    <w:p>
      <w:pPr>
        <w:jc w:val="center"/>
        <w:keepNext/>
        <w:spacing w:line="440" w:lineRule="exact"/>
        <w:widowControl/>
        <w:rPr>
          <w:rStyle w:val="1048"/>
          <w:rFonts w:hint="eastAsia" w:ascii="宋体" w:hAnsi="宋体" w:eastAsia="宋体" w:cs="宋体"/>
          <w:color w:val="auto"/>
          <w:sz w:val="28"/>
          <w:szCs w:val="28"/>
          <w:highlight w:val="none"/>
          <w:lang w:eastAsia="zh-CN"/>
        </w:rPr>
      </w:pPr>
      <w:r/>
      <w:bookmarkStart w:id="118" w:name="_Toc28433"/>
      <w:r/>
      <w:bookmarkStart w:id="119" w:name="_Toc19227"/>
      <w:r/>
      <w:bookmarkStart w:id="120" w:name="_Toc11391"/>
      <w:r>
        <w:rPr>
          <w:rStyle w:val="1048"/>
          <w:rFonts w:hint="eastAsia" w:ascii="宋体" w:hAnsi="宋体" w:eastAsia="宋体" w:cs="宋体"/>
          <w:color w:val="auto"/>
          <w:sz w:val="28"/>
          <w:szCs w:val="28"/>
          <w:highlight w:val="none"/>
        </w:rPr>
        <w:t xml:space="preserve">第二部分  合同通用条款</w:t>
      </w:r>
      <w:bookmarkEnd w:id="118"/>
      <w:r/>
      <w:bookmarkEnd w:id="119"/>
      <w:r/>
      <w:bookmarkEnd w:id="120"/>
      <w:r/>
      <w:r/>
    </w:p>
    <w:p>
      <w:pPr>
        <w:ind w:firstLine="52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此部分采用《建设工程施工合同》范本（GF-2017-0201）中《第二部分  通用条款》</w:t>
      </w:r>
      <w:r/>
    </w:p>
    <w:p>
      <w:pPr>
        <w:ind w:firstLine="420"/>
        <w:spacing w:line="440" w:lineRule="exact"/>
        <w:tabs>
          <w:tab w:val="left" w:pos="1440" w:leader="none"/>
        </w:tabs>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center"/>
        <w:keepNext/>
        <w:spacing w:line="440" w:lineRule="exact"/>
        <w:widowControl/>
        <w:rPr>
          <w:rStyle w:val="1048"/>
          <w:rFonts w:hint="eastAsia" w:ascii="宋体" w:hAnsi="宋体" w:eastAsia="宋体" w:cs="宋体"/>
          <w:color w:val="auto"/>
          <w:sz w:val="28"/>
          <w:szCs w:val="28"/>
          <w:highlight w:val="none"/>
          <w:lang w:eastAsia="zh-CN"/>
        </w:rPr>
      </w:pPr>
      <w:r/>
      <w:bookmarkStart w:id="121" w:name="_Toc15113"/>
      <w:r/>
      <w:bookmarkStart w:id="122" w:name="_Toc20759"/>
      <w:r/>
      <w:bookmarkStart w:id="123" w:name="_Toc18549"/>
      <w:r>
        <w:rPr>
          <w:rStyle w:val="1048"/>
          <w:rFonts w:hint="eastAsia" w:ascii="宋体" w:hAnsi="宋体" w:eastAsia="宋体" w:cs="宋体"/>
          <w:color w:val="auto"/>
          <w:sz w:val="28"/>
          <w:szCs w:val="28"/>
          <w:highlight w:val="none"/>
        </w:rPr>
        <w:t xml:space="preserve">第三部分  合同专用条款</w:t>
      </w:r>
      <w:bookmarkEnd w:id="121"/>
      <w:r/>
      <w:bookmarkEnd w:id="122"/>
      <w:r/>
      <w:bookmarkEnd w:id="123"/>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4" w:name="_Toc22177"/>
      <w:r/>
      <w:bookmarkStart w:id="125" w:name="_Toc17883"/>
      <w:r/>
      <w:bookmarkStart w:id="126" w:name="_Toc22627"/>
      <w:r/>
      <w:bookmarkStart w:id="127" w:name="_Toc25357"/>
      <w:r/>
      <w:bookmarkStart w:id="128" w:name="_Toc14128"/>
      <w:r>
        <w:rPr>
          <w:rFonts w:hint="eastAsia" w:ascii="宋体" w:hAnsi="宋体" w:eastAsia="宋体" w:cs="宋体"/>
          <w:b/>
          <w:bCs w:val="0"/>
          <w:color w:val="auto"/>
          <w:sz w:val="21"/>
          <w:szCs w:val="21"/>
          <w:highlight w:val="none"/>
          <w:lang w:eastAsia="zh-CN"/>
        </w:rPr>
        <w:t xml:space="preserve">1 一般约定</w:t>
      </w:r>
      <w:bookmarkEnd w:id="124"/>
      <w:r/>
      <w:bookmarkEnd w:id="125"/>
      <w:r/>
      <w:bookmarkEnd w:id="126"/>
      <w:r/>
      <w:bookmarkEnd w:id="127"/>
      <w:r/>
      <w:bookmarkEnd w:id="128"/>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 合同文件的优先顺序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组成本合同的文件及优先解释顺序如下：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2、成交通知书；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3、本合同专用条款；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4、本合同通用条款；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5、标准、规范及有关技术文件；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6、工程量清单；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7、采购文件、响应文件及其附件（含：承包人投标过程所作承诺）；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8、合同履行中，发包人承包人有关工程的洽商、变更等书面协议或文件视为本合同的组成。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9" w:name="_Toc13537"/>
      <w:r/>
      <w:bookmarkStart w:id="130" w:name="_Toc3063"/>
      <w:r/>
      <w:bookmarkStart w:id="131" w:name="_Toc4008"/>
      <w:r/>
      <w:bookmarkStart w:id="132" w:name="_Toc2013"/>
      <w:r/>
      <w:bookmarkStart w:id="133" w:name="_Toc16546"/>
      <w:r>
        <w:rPr>
          <w:rFonts w:hint="eastAsia" w:ascii="宋体" w:hAnsi="宋体" w:eastAsia="宋体" w:cs="宋体"/>
          <w:b/>
          <w:bCs w:val="0"/>
          <w:color w:val="auto"/>
          <w:sz w:val="21"/>
          <w:szCs w:val="21"/>
          <w:highlight w:val="none"/>
          <w:lang w:eastAsia="zh-CN"/>
        </w:rPr>
        <w:t xml:space="preserve">2 发包人义务</w:t>
      </w:r>
      <w:bookmarkEnd w:id="129"/>
      <w:r/>
      <w:bookmarkEnd w:id="130"/>
      <w:r/>
      <w:bookmarkEnd w:id="131"/>
      <w:r/>
      <w:bookmarkEnd w:id="132"/>
      <w:r/>
      <w:bookmarkEnd w:id="133"/>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 发包人委派的现场人员：</w:t>
      </w:r>
      <w:r>
        <w:rPr>
          <w:rFonts w:hint="eastAsia" w:ascii="宋体" w:hAnsi="宋体" w:eastAsia="宋体" w:cs="宋体"/>
          <w:color w:val="auto"/>
          <w:szCs w:val="21"/>
          <w:highlight w:val="none"/>
        </w:rPr>
        <w:t xml:space="preserve">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2.2提供施工场地：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发包人提供施工场地的约定：</w:t>
      </w:r>
      <w:r/>
    </w:p>
    <w:p>
      <w:pPr>
        <w:numPr>
          <w:ilvl w:val="0"/>
          <w:numId w:val="5"/>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施工场地具备施工条件的要求及完成的时间：</w:t>
      </w:r>
      <w:r>
        <w:rPr>
          <w:rFonts w:hint="eastAsia" w:ascii="宋体" w:hAnsi="宋体" w:eastAsia="宋体" w:cs="宋体"/>
          <w:color w:val="auto"/>
          <w:spacing w:val="-6"/>
          <w:szCs w:val="21"/>
          <w:highlight w:val="none"/>
          <w:u w:val="single"/>
        </w:rPr>
        <w:t xml:space="preserve"> 约定的开工时间前。</w:t>
      </w:r>
      <w:r/>
    </w:p>
    <w:p>
      <w:pPr>
        <w:numPr>
          <w:ilvl w:val="0"/>
          <w:numId w:val="5"/>
        </w:numPr>
        <w:ind w:firstLine="396"/>
        <w:spacing w:line="360" w:lineRule="auto"/>
        <w:tabs>
          <w:tab w:val="left" w:pos="1440" w:leader="none"/>
        </w:tabs>
        <w:rPr>
          <w:rFonts w:hint="eastAsia" w:ascii="宋体" w:hAnsi="宋体" w:eastAsia="宋体" w:cs="宋体"/>
          <w:color w:val="auto"/>
          <w:szCs w:val="21"/>
          <w:highlight w:val="none"/>
        </w:rPr>
      </w:pPr>
      <w:r>
        <w:rPr>
          <w:rStyle w:val="1049"/>
          <w:rFonts w:hint="eastAsia" w:ascii="宋体" w:hAnsi="宋体" w:eastAsia="宋体" w:cs="宋体"/>
          <w:color w:val="auto"/>
          <w:szCs w:val="21"/>
          <w:highlight w:val="none"/>
        </w:rPr>
        <w:t xml:space="preserve">开工前，水、电由</w:t>
      </w:r>
      <w:r>
        <w:rPr>
          <w:rStyle w:val="1049"/>
          <w:rFonts w:hint="eastAsia" w:ascii="宋体" w:hAnsi="宋体" w:eastAsia="宋体" w:cs="宋体"/>
          <w:color w:val="auto"/>
          <w:szCs w:val="21"/>
          <w:highlight w:val="none"/>
          <w:lang w:val="en-US" w:eastAsia="zh-CN"/>
        </w:rPr>
        <w:t xml:space="preserve">发包人</w:t>
      </w:r>
      <w:r>
        <w:rPr>
          <w:rStyle w:val="1049"/>
          <w:rFonts w:hint="eastAsia" w:ascii="宋体" w:hAnsi="宋体" w:eastAsia="宋体" w:cs="宋体"/>
          <w:color w:val="auto"/>
          <w:szCs w:val="21"/>
          <w:highlight w:val="none"/>
        </w:rPr>
        <w:t xml:space="preserve">接至施工现场（50米范围内），</w:t>
      </w:r>
      <w:r>
        <w:rPr>
          <w:rStyle w:val="1049"/>
          <w:rFonts w:hint="eastAsia" w:ascii="宋体" w:hAnsi="宋体" w:eastAsia="宋体" w:cs="宋体"/>
          <w:color w:val="auto"/>
          <w:szCs w:val="21"/>
          <w:highlight w:val="none"/>
          <w:lang w:val="en-US" w:eastAsia="zh-CN"/>
        </w:rPr>
        <w:t xml:space="preserve">发包人</w:t>
      </w:r>
      <w:r>
        <w:rPr>
          <w:rStyle w:val="1049"/>
          <w:rFonts w:hint="eastAsia" w:ascii="宋体" w:hAnsi="宋体" w:eastAsia="宋体" w:cs="宋体"/>
          <w:color w:val="auto"/>
          <w:szCs w:val="21"/>
          <w:highlight w:val="none"/>
        </w:rPr>
        <w:t xml:space="preserve">仅提供现场用水、电接入位置，自</w:t>
      </w:r>
      <w:r>
        <w:rPr>
          <w:rFonts w:hint="eastAsia" w:ascii="宋体" w:hAnsi="宋体" w:eastAsia="宋体" w:cs="宋体"/>
          <w:color w:val="auto"/>
          <w:szCs w:val="21"/>
          <w:highlight w:val="none"/>
        </w:rPr>
        <w:t xml:space="preserve">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先行垫付，不论承包人在响应清单中是否计入，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都将在结算时按</w:t>
      </w:r>
      <w:r>
        <w:rPr>
          <w:rFonts w:hint="eastAsia" w:ascii="宋体" w:hAnsi="宋体" w:cs="宋体"/>
          <w:color w:val="auto"/>
          <w:szCs w:val="21"/>
          <w:highlight w:val="none"/>
          <w:lang w:val="en-US" w:eastAsia="zh-CN"/>
        </w:rPr>
        <w:t xml:space="preserve">市场价</w:t>
      </w:r>
      <w:r>
        <w:rPr>
          <w:rFonts w:hint="eastAsia" w:ascii="宋体" w:hAnsi="宋体" w:eastAsia="宋体" w:cs="宋体"/>
          <w:color w:val="auto"/>
          <w:szCs w:val="21"/>
          <w:highlight w:val="none"/>
        </w:rPr>
        <w:t xml:space="preserve">水平予以扣除。</w:t>
      </w:r>
      <w:r/>
    </w:p>
    <w:p>
      <w:pPr>
        <w:numPr>
          <w:ilvl w:val="0"/>
          <w:numId w:val="5"/>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施工场地与公共道路的通道开通时间和要求：已开通。</w:t>
      </w:r>
      <w:r/>
    </w:p>
    <w:p>
      <w:pPr>
        <w:numPr>
          <w:ilvl w:val="0"/>
          <w:numId w:val="5"/>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zCs w:val="21"/>
          <w:highlight w:val="none"/>
        </w:rPr>
        <w:t xml:space="preserve">工程地质和地下管线资料的提供时间：</w:t>
      </w:r>
      <w:r>
        <w:rPr>
          <w:rFonts w:hint="eastAsia" w:ascii="宋体" w:hAnsi="宋体" w:eastAsia="宋体" w:cs="宋体"/>
          <w:color w:val="auto"/>
          <w:szCs w:val="21"/>
          <w:highlight w:val="none"/>
          <w:u w:val="single"/>
        </w:rPr>
        <w:t xml:space="preserve"> / </w:t>
      </w:r>
      <w:r/>
    </w:p>
    <w:p>
      <w:pPr>
        <w:numPr>
          <w:ilvl w:val="0"/>
          <w:numId w:val="5"/>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图纸会审和设计交底时间：</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（6）协调处理施工场地周围地下管线和邻近建筑物、构筑物和环境工程、道路等设施的保护工作：</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（7）双方约定发包人应做的其他工作：</w:t>
      </w:r>
      <w:r>
        <w:rPr>
          <w:rFonts w:hint="eastAsia" w:ascii="宋体" w:hAnsi="宋体" w:eastAsia="宋体" w:cs="宋体"/>
          <w:color w:val="auto"/>
          <w:spacing w:val="-6"/>
          <w:szCs w:val="21"/>
          <w:highlight w:val="none"/>
          <w:u w:val="singl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 其他义务</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pacing w:val="-6"/>
          <w:szCs w:val="21"/>
          <w:highlight w:val="none"/>
        </w:rPr>
        <w:t xml:space="preserve">发包人委托承包人办理的工作:/</w:t>
      </w:r>
      <w:r>
        <w:rPr>
          <w:rFonts w:hint="eastAsia" w:ascii="宋体" w:hAnsi="宋体" w:eastAsia="宋体" w:cs="宋体"/>
          <w:color w:val="auto"/>
          <w:spacing w:val="-6"/>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4" w:name="_Toc29213"/>
      <w:r/>
      <w:bookmarkStart w:id="135" w:name="_Toc992"/>
      <w:r>
        <w:rPr>
          <w:rFonts w:hint="eastAsia" w:ascii="宋体" w:hAnsi="宋体" w:eastAsia="宋体" w:cs="宋体"/>
          <w:b/>
          <w:bCs w:val="0"/>
          <w:color w:val="auto"/>
          <w:sz w:val="21"/>
          <w:szCs w:val="21"/>
          <w:highlight w:val="none"/>
          <w:lang w:eastAsia="zh-CN"/>
        </w:rPr>
        <w:t xml:space="preserve">3 监理</w:t>
      </w:r>
      <w:bookmarkEnd w:id="134"/>
      <w:r/>
      <w:bookmarkEnd w:id="135"/>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 监理人的职责和权力</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发包人委托的职权 ：</w:t>
      </w:r>
      <w:r>
        <w:rPr>
          <w:rFonts w:hint="eastAsia" w:ascii="宋体" w:hAnsi="宋体" w:eastAsia="宋体" w:cs="宋体"/>
          <w:color w:val="auto"/>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eastAsia="宋体" w:cs="宋体"/>
          <w:color w:val="auto"/>
          <w:szCs w:val="21"/>
          <w:highlight w:val="none"/>
        </w:rPr>
        <w:t xml:space="preserve">。</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需要取得发包人批准才能行使的职权：</w:t>
      </w:r>
      <w:r>
        <w:rPr>
          <w:rFonts w:hint="eastAsia" w:ascii="宋体" w:hAnsi="宋体" w:eastAsia="宋体" w:cs="宋体"/>
          <w:color w:val="auto"/>
          <w:szCs w:val="21"/>
          <w:highlight w:val="none"/>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 监理人员</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监理单位委派的总监理工程师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职务：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6" w:name="_Toc38"/>
      <w:r/>
      <w:bookmarkStart w:id="137" w:name="_Toc4337"/>
      <w:r>
        <w:rPr>
          <w:rFonts w:hint="eastAsia" w:ascii="宋体" w:hAnsi="宋体" w:eastAsia="宋体" w:cs="宋体"/>
          <w:b/>
          <w:bCs w:val="0"/>
          <w:color w:val="auto"/>
          <w:sz w:val="21"/>
          <w:szCs w:val="21"/>
          <w:highlight w:val="none"/>
          <w:lang w:eastAsia="zh-CN"/>
        </w:rPr>
        <w:t xml:space="preserve">4 承包人</w:t>
      </w:r>
      <w:bookmarkEnd w:id="136"/>
      <w:r/>
      <w:bookmarkEnd w:id="13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4.1 承包人的一般义务</w:t>
      </w:r>
      <w:r/>
    </w:p>
    <w:p>
      <w:pPr>
        <w:ind w:firstLine="420"/>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承包人除完成合同通用条款规定的任务和履行合同约定的义务外，</w:t>
      </w:r>
      <w:r>
        <w:rPr>
          <w:rFonts w:hint="eastAsia" w:ascii="宋体" w:hAnsi="宋体" w:eastAsia="宋体" w:cs="宋体"/>
          <w:color w:val="auto"/>
          <w:spacing w:val="-6"/>
          <w:szCs w:val="21"/>
          <w:highlight w:val="none"/>
        </w:rPr>
        <w:t xml:space="preserve">承包人还应按约定时间和要求，完成以下工作：</w:t>
      </w:r>
      <w:r/>
    </w:p>
    <w:p>
      <w:pPr>
        <w:numPr>
          <w:ilvl w:val="0"/>
          <w:numId w:val="6"/>
        </w:num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pacing w:val="-6"/>
          <w:szCs w:val="21"/>
          <w:highlight w:val="none"/>
        </w:rPr>
        <w:t xml:space="preserve">应提供计划、报表的名称及完成时间：</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p>
    <w:p>
      <w:pPr>
        <w:numPr>
          <w:ilvl w:val="0"/>
          <w:numId w:val="6"/>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承担施工安全保卫工作及非夜间施工照明的责任和要求：</w:t>
      </w:r>
      <w:r>
        <w:rPr>
          <w:rFonts w:hint="eastAsia" w:ascii="宋体" w:hAnsi="宋体" w:eastAsia="宋体" w:cs="宋体"/>
          <w:color w:val="auto"/>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numPr>
          <w:ilvl w:val="0"/>
          <w:numId w:val="6"/>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zCs w:val="21"/>
          <w:highlight w:val="none"/>
        </w:rPr>
        <w:t xml:space="preserve">需承包人办理的有关施工场地交通、环卫和施工噪音管理等手续：</w:t>
      </w:r>
      <w:r>
        <w:rPr>
          <w:rFonts w:hint="eastAsia" w:ascii="宋体" w:hAnsi="宋体" w:eastAsia="宋体" w:cs="宋体"/>
          <w:color w:val="auto"/>
          <w:szCs w:val="21"/>
          <w:highlight w:val="none"/>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numPr>
          <w:ilvl w:val="0"/>
          <w:numId w:val="6"/>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已完成工程成品保护的要求：</w:t>
      </w:r>
      <w:r>
        <w:rPr>
          <w:rFonts w:hint="eastAsia" w:ascii="宋体" w:hAnsi="宋体" w:eastAsia="宋体" w:cs="宋体"/>
          <w:color w:val="auto"/>
          <w:spacing w:val="-6"/>
          <w:szCs w:val="21"/>
          <w:highlight w:val="none"/>
          <w:u w:val="single"/>
        </w:rPr>
        <w:t xml:space="preserve">在工程移交之前，由承包人承担对已完工程成品保护。</w:t>
      </w:r>
      <w:r>
        <w:rPr>
          <w:rFonts w:hint="eastAsia" w:ascii="宋体" w:hAnsi="宋体" w:eastAsia="宋体" w:cs="宋体"/>
          <w:color w:val="auto"/>
          <w:szCs w:val="21"/>
          <w:highlight w:val="none"/>
          <w:u w:val="single"/>
        </w:rPr>
        <w:t xml:space="preserve">保护期间发生的损坏承包人自费予以修理。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（5）施工场地周围地下管线和邻近建筑物、构筑物（含文物保护建筑）、古树名木环境工程设施的保护要求：</w:t>
      </w:r>
      <w:r>
        <w:rPr>
          <w:rFonts w:hint="eastAsia" w:ascii="宋体" w:hAnsi="宋体" w:eastAsia="宋体" w:cs="宋体"/>
          <w:color w:val="auto"/>
          <w:szCs w:val="21"/>
          <w:highlight w:val="none"/>
          <w:u w:val="single"/>
        </w:rPr>
        <w:t xml:space="preserve">承包人须做好各项保护措施</w:t>
      </w:r>
      <w:r>
        <w:rPr>
          <w:rFonts w:hint="eastAsia" w:ascii="宋体" w:hAnsi="宋体" w:eastAsia="宋体" w:cs="宋体"/>
          <w:color w:val="auto"/>
          <w:spacing w:val="-6"/>
          <w:szCs w:val="21"/>
          <w:highlight w:val="none"/>
          <w:u w:val="single"/>
        </w:rPr>
        <w:t xml:space="preserve">，费用包含在响应报价内。</w:t>
      </w:r>
      <w:r>
        <w:rPr>
          <w:rFonts w:hint="eastAsia" w:ascii="宋体" w:hAnsi="宋体" w:eastAsia="宋体" w:cs="宋体"/>
          <w:color w:val="auto"/>
          <w:szCs w:val="21"/>
          <w:highlight w:val="none"/>
          <w:u w:val="single"/>
        </w:rPr>
        <w:t xml:space="preserve">造成损坏的，由承包人负责赔偿，并承担修复费用。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（6）施工场地清洁卫生的要求：</w:t>
      </w:r>
      <w:r>
        <w:rPr>
          <w:rFonts w:hint="eastAsia" w:ascii="宋体" w:hAnsi="宋体" w:eastAsia="宋体" w:cs="宋体"/>
          <w:color w:val="auto"/>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另须符合发包人和监理工程师以及市文明工地场地现场的要求提出的一切文明施工、环境</w:t>
      </w:r>
      <w:r>
        <w:rPr>
          <w:rFonts w:hint="eastAsia" w:ascii="宋体" w:hAnsi="宋体" w:eastAsia="宋体" w:cs="宋体"/>
          <w:color w:val="auto"/>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（7）双方约定承包人应做的其他工作：</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b、承包人使用施工范围场外道路的，应按发包人规定线路通行，做到不影响学校正常教学、实验秩序，不影响周围居民。杜绝责任内工地使用“无牌无证”、敞篷渣土车。</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e、新建道路、管线工程施工堆土要按规定要求进行覆盖并及时清运。</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h、承包人应当提交国家或地方规定必须提供的其他资料。承包人须遵守校园管理的相关规定。</w:t>
      </w:r>
      <w:r/>
    </w:p>
    <w:p>
      <w:pPr>
        <w:pStyle w:val="1052"/>
        <w:ind w:left="0" w:right="0" w:firstLine="420"/>
        <w:spacing w:after="0"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4.2承包人项目经理：</w:t>
      </w:r>
      <w:r>
        <w:rPr>
          <w:rFonts w:hint="eastAsia" w:ascii="宋体" w:hAnsi="宋体" w:cs="宋体"/>
          <w:color w:val="auto"/>
          <w:szCs w:val="21"/>
          <w:highlight w:val="none"/>
        </w:rPr>
        <w:t xml:space="preserve"> 姓名：</w:t>
      </w:r>
      <w:r>
        <w:rPr>
          <w:rFonts w:hint="eastAsia" w:ascii="宋体" w:hAnsi="宋体" w:cs="宋体"/>
          <w:color w:val="auto"/>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8" w:name="_Toc671"/>
      <w:r/>
      <w:bookmarkStart w:id="139" w:name="_Toc23232"/>
      <w:r/>
      <w:bookmarkStart w:id="140" w:name="_Toc2768"/>
      <w:r/>
      <w:bookmarkStart w:id="141" w:name="_Toc28027"/>
      <w:r/>
      <w:bookmarkStart w:id="142" w:name="_Toc20710"/>
      <w:r>
        <w:rPr>
          <w:rFonts w:hint="eastAsia" w:ascii="宋体" w:hAnsi="宋体" w:eastAsia="宋体" w:cs="宋体"/>
          <w:b/>
          <w:bCs w:val="0"/>
          <w:color w:val="auto"/>
          <w:sz w:val="21"/>
          <w:szCs w:val="21"/>
          <w:highlight w:val="none"/>
          <w:lang w:eastAsia="zh-CN"/>
        </w:rPr>
        <w:t xml:space="preserve">5 材料和工程设备</w:t>
      </w:r>
      <w:bookmarkEnd w:id="138"/>
      <w:r/>
      <w:bookmarkEnd w:id="139"/>
      <w:r/>
      <w:bookmarkEnd w:id="140"/>
      <w:r/>
      <w:bookmarkEnd w:id="141"/>
      <w:r/>
      <w:bookmarkEnd w:id="142"/>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5.1 承包人提供的材料和工程设备</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w:t>
      </w:r>
      <w:r>
        <w:rPr>
          <w:rFonts w:hint="eastAsia" w:ascii="宋体" w:hAnsi="宋体" w:eastAsia="宋体" w:cs="宋体"/>
          <w:color w:val="auto"/>
          <w:spacing w:val="2"/>
          <w:szCs w:val="21"/>
          <w:highlight w:val="none"/>
          <w:u w:val="single"/>
        </w:rPr>
        <w:t xml:space="preserve">承包人采购材料的性能、规格、质量应符合</w:t>
      </w:r>
      <w:r>
        <w:rPr>
          <w:rFonts w:hint="eastAsia" w:ascii="宋体" w:hAnsi="宋体" w:eastAsia="宋体" w:cs="宋体"/>
          <w:color w:val="auto"/>
          <w:szCs w:val="21"/>
          <w:highlight w:val="none"/>
          <w:u w:val="single"/>
        </w:rPr>
        <w:t xml:space="preserve">国家规范和</w:t>
      </w:r>
      <w:r>
        <w:rPr>
          <w:rFonts w:hint="eastAsia" w:ascii="宋体" w:hAnsi="宋体" w:eastAsia="宋体" w:cs="宋体"/>
          <w:color w:val="auto"/>
          <w:spacing w:val="2"/>
          <w:szCs w:val="21"/>
          <w:highlight w:val="none"/>
          <w:u w:val="single"/>
        </w:rPr>
        <w:t xml:space="preserve">设计要求，且不能低于发包人所提供的材料的性能、规格、质量、颜色要求的标准，</w:t>
      </w:r>
      <w:r>
        <w:rPr>
          <w:rFonts w:hint="eastAsia" w:ascii="宋体" w:hAnsi="宋体" w:eastAsia="宋体" w:cs="宋体"/>
          <w:color w:val="auto"/>
          <w:szCs w:val="21"/>
          <w:highlight w:val="none"/>
          <w:u w:val="single"/>
        </w:rPr>
        <w:t xml:space="preserve">并按规定向发包人或监理工程师提供产品合格证、产品质量检验资料</w:t>
      </w:r>
      <w:r>
        <w:rPr>
          <w:rFonts w:hint="eastAsia" w:ascii="宋体" w:hAnsi="宋体" w:eastAsia="宋体" w:cs="宋体"/>
          <w:color w:val="auto"/>
          <w:spacing w:val="2"/>
          <w:szCs w:val="21"/>
          <w:highlight w:val="none"/>
          <w:u w:val="single"/>
        </w:rPr>
        <w:t xml:space="preserve">。</w:t>
      </w:r>
      <w:r>
        <w:rPr>
          <w:rFonts w:hint="eastAsia" w:ascii="宋体" w:hAnsi="宋体" w:eastAsia="宋体" w:cs="宋体"/>
          <w:color w:val="auto"/>
          <w:szCs w:val="21"/>
          <w:highlight w:val="none"/>
          <w:u w:val="single"/>
        </w:rPr>
        <w:t xml:space="preserve">承包人采购的材料设备在使用前，承包人应按工程师的要求进行检验或试验，不合格的不得使用，检验或试验费用由承包人承担。</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（4）承包人需要使用代用材料时，应经发包人书面认可后才能使用。</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ind w:firstLine="42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（6）</w:t>
      </w:r>
      <w:r>
        <w:rPr>
          <w:rFonts w:hint="eastAsia" w:ascii="宋体" w:hAnsi="宋体" w:eastAsia="宋体" w:cs="宋体"/>
          <w:color w:val="auto"/>
          <w:szCs w:val="21"/>
          <w:highlight w:val="none"/>
          <w:u w:val="single"/>
        </w:rPr>
        <w:t xml:space="preserve">承包人</w:t>
      </w:r>
      <w:r>
        <w:rPr>
          <w:rFonts w:hint="eastAsia" w:ascii="宋体" w:hAnsi="宋体" w:eastAsia="宋体" w:cs="宋体"/>
          <w:color w:val="auto"/>
          <w:spacing w:val="2"/>
          <w:szCs w:val="21"/>
          <w:highlight w:val="none"/>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新建设，由此产生的经济损失和成本由承包人全部承担。</w:t>
      </w:r>
      <w:r/>
    </w:p>
    <w:p>
      <w:pPr>
        <w:ind w:firstLine="30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发包人提供的材料和工程设备：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3" w:name="_Toc23612"/>
      <w:r/>
      <w:bookmarkStart w:id="144" w:name="_Toc8195"/>
      <w:r/>
      <w:bookmarkStart w:id="145" w:name="_Toc22090"/>
      <w:r/>
      <w:bookmarkStart w:id="146" w:name="_Toc14326"/>
      <w:r/>
      <w:bookmarkStart w:id="147" w:name="_Toc13716"/>
      <w:r>
        <w:rPr>
          <w:rFonts w:hint="eastAsia" w:ascii="宋体" w:hAnsi="宋体" w:eastAsia="宋体" w:cs="宋体"/>
          <w:b/>
          <w:bCs w:val="0"/>
          <w:color w:val="auto"/>
          <w:sz w:val="21"/>
          <w:szCs w:val="21"/>
          <w:highlight w:val="none"/>
          <w:lang w:eastAsia="zh-CN"/>
        </w:rPr>
        <w:t xml:space="preserve">6交通运输</w:t>
      </w:r>
      <w:bookmarkEnd w:id="143"/>
      <w:r/>
      <w:bookmarkEnd w:id="144"/>
      <w:r/>
      <w:bookmarkEnd w:id="145"/>
      <w:r/>
      <w:bookmarkEnd w:id="146"/>
      <w:r/>
      <w:bookmarkEnd w:id="14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按相应通用条款执行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8" w:name="_Toc5766"/>
      <w:r/>
      <w:bookmarkStart w:id="149" w:name="_Toc12495"/>
      <w:r/>
      <w:bookmarkStart w:id="150" w:name="_Toc22171"/>
      <w:r/>
      <w:bookmarkStart w:id="151" w:name="_Toc32244"/>
      <w:r/>
      <w:bookmarkStart w:id="152" w:name="_Toc18120"/>
      <w:r>
        <w:rPr>
          <w:rFonts w:hint="eastAsia" w:ascii="宋体" w:hAnsi="宋体" w:eastAsia="宋体" w:cs="宋体"/>
          <w:b/>
          <w:bCs w:val="0"/>
          <w:color w:val="auto"/>
          <w:sz w:val="21"/>
          <w:szCs w:val="21"/>
          <w:highlight w:val="none"/>
          <w:lang w:eastAsia="zh-CN"/>
        </w:rPr>
        <w:t xml:space="preserve">7 测量放线</w:t>
      </w:r>
      <w:bookmarkEnd w:id="148"/>
      <w:r/>
      <w:bookmarkEnd w:id="149"/>
      <w:r/>
      <w:bookmarkEnd w:id="150"/>
      <w:r/>
      <w:bookmarkEnd w:id="151"/>
      <w:r/>
      <w:bookmarkEnd w:id="15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7.1 施工控制网</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b/>
          <w:color w:val="auto"/>
          <w:szCs w:val="21"/>
          <w:highlight w:val="none"/>
        </w:rPr>
        <w:t xml:space="preserve">7.1.1 </w:t>
      </w:r>
      <w:r>
        <w:rPr>
          <w:rFonts w:hint="eastAsia" w:ascii="宋体" w:hAnsi="宋体" w:eastAsia="宋体" w:cs="宋体"/>
          <w:color w:val="auto"/>
          <w:szCs w:val="21"/>
          <w:highlight w:val="none"/>
        </w:rPr>
        <w:t xml:space="preserve">监理人向承包人提供测量基准点、基准线和水准点及其书面资料的时间约定：</w:t>
      </w:r>
      <w:r>
        <w:rPr>
          <w:rFonts w:hint="eastAsia" w:ascii="宋体" w:hAnsi="宋体" w:eastAsia="宋体" w:cs="宋体"/>
          <w:color w:val="auto"/>
          <w:spacing w:val="-6"/>
          <w:szCs w:val="21"/>
          <w:highlight w:val="none"/>
          <w:u w:val="single"/>
        </w:rPr>
        <w:t xml:space="preserve">  开工前提供水准点与坐标控制点。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承包人向监理人报送施工控制网的时间约定：</w:t>
      </w:r>
      <w:r>
        <w:rPr>
          <w:rFonts w:hint="eastAsia" w:ascii="宋体" w:hAnsi="宋体" w:eastAsia="宋体" w:cs="宋体"/>
          <w:color w:val="auto"/>
          <w:szCs w:val="21"/>
          <w:highlight w:val="none"/>
          <w:u w:val="single"/>
        </w:rPr>
        <w:t xml:space="preserve">开工后十天。</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3" w:name="_Toc28035"/>
      <w:r/>
      <w:bookmarkStart w:id="154" w:name="_Toc15456"/>
      <w:r/>
      <w:bookmarkStart w:id="155" w:name="_Toc22774"/>
      <w:r/>
      <w:bookmarkStart w:id="156" w:name="_Toc7796"/>
      <w:r/>
      <w:bookmarkStart w:id="157" w:name="_Toc21219"/>
      <w:r>
        <w:rPr>
          <w:rFonts w:hint="eastAsia" w:ascii="宋体" w:hAnsi="宋体" w:eastAsia="宋体" w:cs="宋体"/>
          <w:b/>
          <w:bCs w:val="0"/>
          <w:color w:val="auto"/>
          <w:sz w:val="21"/>
          <w:szCs w:val="21"/>
          <w:highlight w:val="none"/>
          <w:lang w:eastAsia="zh-CN"/>
        </w:rPr>
        <w:t xml:space="preserve">8 施工安全、治安保卫和环境保护</w:t>
      </w:r>
      <w:bookmarkEnd w:id="153"/>
      <w:r/>
      <w:bookmarkEnd w:id="154"/>
      <w:r/>
      <w:bookmarkEnd w:id="155"/>
      <w:r/>
      <w:bookmarkEnd w:id="156"/>
      <w:r/>
      <w:bookmarkEnd w:id="15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8．1 发包人的施工安全责任</w:t>
      </w:r>
      <w:r/>
    </w:p>
    <w:p>
      <w:pPr>
        <w:ind w:firstLine="309"/>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8.1.1 发包人应履行的安全职责：</w:t>
      </w:r>
      <w:r>
        <w:rPr>
          <w:rFonts w:hint="eastAsia" w:ascii="宋体" w:hAnsi="宋体" w:eastAsia="宋体" w:cs="宋体"/>
          <w:color w:val="auto"/>
          <w:szCs w:val="21"/>
          <w:highlight w:val="none"/>
          <w:u w:val="singl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8.2 承包人的施工安全责任</w:t>
      </w:r>
      <w:r/>
    </w:p>
    <w:p>
      <w:pPr>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8.2.1 承包人应履行的安全职责</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按国家、省、市关于安全生产的规定执行。 </w:t>
      </w:r>
      <w:r>
        <w:rPr>
          <w:rFonts w:hint="eastAsia" w:ascii="宋体" w:hAnsi="宋体" w:eastAsia="宋体" w:cs="宋体"/>
          <w:b/>
          <w:color w:val="auto"/>
          <w:szCs w:val="21"/>
          <w:highlight w:val="none"/>
          <w:u w:val="single"/>
        </w:rPr>
        <w:t xml:space="preserve">施工安全由承包人全权负责。</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承包人编制的施工安全措施计划报送监理人的时间：</w:t>
      </w:r>
      <w:r>
        <w:rPr>
          <w:rFonts w:hint="eastAsia" w:ascii="宋体" w:hAnsi="宋体" w:eastAsia="宋体" w:cs="宋体"/>
          <w:color w:val="auto"/>
          <w:szCs w:val="21"/>
          <w:highlight w:val="none"/>
          <w:u w:val="single"/>
        </w:rPr>
        <w:t xml:space="preserve"> 开工后十天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8" w:name="_Toc30268"/>
      <w:r/>
      <w:bookmarkStart w:id="159" w:name="_Toc195"/>
      <w:r/>
      <w:bookmarkStart w:id="160" w:name="_Toc27439"/>
      <w:r/>
      <w:bookmarkStart w:id="161" w:name="_Toc962"/>
      <w:r/>
      <w:bookmarkStart w:id="162" w:name="_Toc22978"/>
      <w:r>
        <w:rPr>
          <w:rFonts w:hint="eastAsia" w:ascii="宋体" w:hAnsi="宋体" w:eastAsia="宋体" w:cs="宋体"/>
          <w:b/>
          <w:bCs w:val="0"/>
          <w:color w:val="auto"/>
          <w:sz w:val="21"/>
          <w:szCs w:val="21"/>
          <w:highlight w:val="none"/>
          <w:lang w:eastAsia="zh-CN"/>
        </w:rPr>
        <w:t xml:space="preserve">9进度计划</w:t>
      </w:r>
      <w:bookmarkEnd w:id="158"/>
      <w:r/>
      <w:bookmarkEnd w:id="159"/>
      <w:r/>
      <w:bookmarkEnd w:id="160"/>
      <w:r/>
      <w:bookmarkEnd w:id="161"/>
      <w:r/>
      <w:bookmarkEnd w:id="16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9.1 合同进度计划</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承包人编制详细施工进度计划和施工方案的内容、编制时间，报送监理人的时间约定：</w:t>
      </w:r>
      <w:r>
        <w:rPr>
          <w:rFonts w:hint="eastAsia" w:ascii="宋体" w:hAnsi="宋体" w:eastAsia="宋体" w:cs="宋体"/>
          <w:color w:val="auto"/>
          <w:spacing w:val="-6"/>
          <w:szCs w:val="21"/>
          <w:highlight w:val="none"/>
          <w:u w:val="single"/>
        </w:rPr>
        <w:t xml:space="preserve">技术交底后五天内应将施工组织设计和进度计划交工程师审查。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监理人批复或提出修改意见的时间约定：</w:t>
      </w:r>
      <w:r>
        <w:rPr>
          <w:rFonts w:hint="eastAsia" w:ascii="宋体" w:hAnsi="宋体" w:eastAsia="宋体" w:cs="宋体"/>
          <w:color w:val="auto"/>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3" w:name="_Toc23433"/>
      <w:r/>
      <w:bookmarkStart w:id="164" w:name="_Toc20717"/>
      <w:r/>
      <w:bookmarkStart w:id="165" w:name="_Toc14285"/>
      <w:r/>
      <w:bookmarkStart w:id="166" w:name="_Toc5456"/>
      <w:r/>
      <w:bookmarkStart w:id="167" w:name="_Toc24471"/>
      <w:r>
        <w:rPr>
          <w:rFonts w:hint="eastAsia" w:ascii="宋体" w:hAnsi="宋体" w:eastAsia="宋体" w:cs="宋体"/>
          <w:b/>
          <w:bCs w:val="0"/>
          <w:color w:val="auto"/>
          <w:sz w:val="21"/>
          <w:szCs w:val="21"/>
          <w:highlight w:val="none"/>
          <w:lang w:eastAsia="zh-CN"/>
        </w:rPr>
        <w:t xml:space="preserve">10 开工和竣工</w:t>
      </w:r>
      <w:bookmarkEnd w:id="163"/>
      <w:r/>
      <w:bookmarkEnd w:id="164"/>
      <w:r/>
      <w:bookmarkEnd w:id="165"/>
      <w:r/>
      <w:bookmarkEnd w:id="166"/>
      <w:r/>
      <w:bookmarkEnd w:id="16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10.1 工期延误</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因征地拆迁或发包人原因造成停工，导致工期延误，承包人应及时向发包人提出，商讨应对办法，双方按应对办法协商解决。</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10.2异常恶劣的气候条件</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异常恶劣气候条件是指：</w:t>
      </w:r>
      <w:r>
        <w:rPr>
          <w:rFonts w:hint="eastAsia" w:ascii="宋体" w:hAnsi="宋体" w:eastAsia="宋体" w:cs="宋体"/>
          <w:color w:val="auto"/>
          <w:szCs w:val="21"/>
          <w:highlight w:val="none"/>
          <w:u w:val="single"/>
        </w:rPr>
        <w:t xml:space="preserve">雷击、特大洪水灾害。异常气候条件发生，经发包人及监理书面同意后，承包人可以得到工期的顺延，但不得提出任何费用补偿要求，应把相关风险考虑到响应报价中。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10.3承包人的工期延误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由于承包人违约造成工期延误时，承包人应支付逾期竣工违约金的计算方法：</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本工程按合同工期推迟一天交付使用，每天按工程总造价5‰支付违约金，最多不超过总造价20%。</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双方约定工期顺延的其他情况：不可抗力，以及因发包人原因造成的，经发包人及监理工程师批准的，工期顺延，发包人无需给予承包人任何补偿或赔偿。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8" w:name="_Toc31395"/>
      <w:r/>
      <w:bookmarkStart w:id="169" w:name="_Toc24430"/>
      <w:r/>
      <w:bookmarkStart w:id="170" w:name="_Toc6681"/>
      <w:r/>
      <w:bookmarkStart w:id="171" w:name="_Toc31705"/>
      <w:r/>
      <w:bookmarkStart w:id="172" w:name="_Toc29753"/>
      <w:r>
        <w:rPr>
          <w:rFonts w:hint="eastAsia" w:ascii="宋体" w:hAnsi="宋体" w:eastAsia="宋体" w:cs="宋体"/>
          <w:b/>
          <w:bCs w:val="0"/>
          <w:color w:val="auto"/>
          <w:sz w:val="21"/>
          <w:szCs w:val="21"/>
          <w:highlight w:val="none"/>
          <w:lang w:eastAsia="zh-CN"/>
        </w:rPr>
        <w:t xml:space="preserve">11 暂停施工</w:t>
      </w:r>
      <w:bookmarkEnd w:id="168"/>
      <w:r/>
      <w:bookmarkEnd w:id="169"/>
      <w:r/>
      <w:bookmarkEnd w:id="170"/>
      <w:r/>
      <w:bookmarkEnd w:id="171"/>
      <w:r/>
      <w:bookmarkEnd w:id="17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11.1承包人暂停施工的责任</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按合同通用条款执行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3" w:name="_Toc15469"/>
      <w:r/>
      <w:bookmarkStart w:id="174" w:name="_Toc6290"/>
      <w:r/>
      <w:bookmarkStart w:id="175" w:name="_Toc11121"/>
      <w:r/>
      <w:bookmarkStart w:id="176" w:name="_Toc18974"/>
      <w:r/>
      <w:bookmarkStart w:id="177" w:name="_Toc20403"/>
      <w:r>
        <w:rPr>
          <w:rFonts w:hint="eastAsia" w:ascii="宋体" w:hAnsi="宋体" w:eastAsia="宋体" w:cs="宋体"/>
          <w:b/>
          <w:bCs w:val="0"/>
          <w:color w:val="auto"/>
          <w:sz w:val="21"/>
          <w:szCs w:val="21"/>
          <w:highlight w:val="none"/>
          <w:lang w:eastAsia="zh-CN"/>
        </w:rPr>
        <w:t xml:space="preserve">12 工程质量</w:t>
      </w:r>
      <w:bookmarkEnd w:id="173"/>
      <w:r/>
      <w:bookmarkEnd w:id="174"/>
      <w:r/>
      <w:bookmarkEnd w:id="175"/>
      <w:r/>
      <w:bookmarkEnd w:id="176"/>
      <w:r/>
      <w:bookmarkEnd w:id="17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12.1 工程质量要求</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12.1.1 工程质量要求：</w:t>
      </w:r>
      <w:r>
        <w:rPr>
          <w:rFonts w:hint="eastAsia" w:ascii="宋体" w:hAnsi="宋体" w:eastAsia="宋体" w:cs="宋体"/>
          <w:color w:val="auto"/>
          <w:szCs w:val="21"/>
          <w:highlight w:val="none"/>
          <w:u w:val="single"/>
        </w:rPr>
        <w:t xml:space="preserve">工程质量必须达到国家最新工程质量标准的规定，满足采购文件的要求，且通过发包人一次性验收合格。</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12.2 承包人的质量管理</w:t>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12.2.1 承包人向监理人报送工程质量保证措施文件的时间约定</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开工前一周。</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8" w:name="_Toc7646"/>
      <w:r/>
      <w:bookmarkStart w:id="179" w:name="_Toc13466"/>
      <w:r/>
      <w:bookmarkStart w:id="180" w:name="_Toc12704"/>
      <w:r/>
      <w:bookmarkStart w:id="181" w:name="_Toc8629"/>
      <w:r/>
      <w:bookmarkStart w:id="182" w:name="_Toc29597"/>
      <w:r>
        <w:rPr>
          <w:rFonts w:hint="eastAsia" w:ascii="宋体" w:hAnsi="宋体" w:eastAsia="宋体" w:cs="宋体"/>
          <w:b/>
          <w:bCs w:val="0"/>
          <w:color w:val="auto"/>
          <w:sz w:val="21"/>
          <w:szCs w:val="21"/>
          <w:highlight w:val="none"/>
          <w:lang w:eastAsia="zh-CN"/>
        </w:rPr>
        <w:t xml:space="preserve">13 工程质量检测</w:t>
      </w:r>
      <w:bookmarkEnd w:id="178"/>
      <w:r/>
      <w:bookmarkEnd w:id="179"/>
      <w:r/>
      <w:bookmarkEnd w:id="180"/>
      <w:r/>
      <w:bookmarkEnd w:id="181"/>
      <w:r/>
      <w:bookmarkEnd w:id="18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rPr>
          <w:rFonts w:hint="eastAsia" w:ascii="宋体" w:hAnsi="宋体" w:eastAsia="宋体" w:cs="宋体"/>
          <w:color w:val="auto"/>
          <w:spacing w:val="8"/>
          <w:szCs w:val="21"/>
          <w:highlight w:val="none"/>
        </w:rPr>
        <w:t xml:space="preserve">双方约定中间验收部位：</w:t>
      </w:r>
      <w:r>
        <w:rPr>
          <w:rFonts w:hint="eastAsia" w:ascii="宋体" w:hAnsi="宋体" w:eastAsia="宋体" w:cs="宋体"/>
          <w:color w:val="auto"/>
          <w:szCs w:val="21"/>
          <w:highlight w:val="none"/>
          <w:u w:val="single"/>
        </w:rPr>
        <w:t xml:space="preserve">发包人有权要求对本工程任何部位进行中间验收。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13.2 工程质量检测费用</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工程质量检测费用的约定：</w:t>
      </w:r>
      <w:r>
        <w:rPr>
          <w:rFonts w:hint="eastAsia" w:ascii="宋体" w:hAnsi="宋体" w:eastAsia="宋体" w:cs="宋体"/>
          <w:color w:val="auto"/>
          <w:szCs w:val="21"/>
          <w:highlight w:val="none"/>
          <w:u w:val="single"/>
        </w:rPr>
        <w:t xml:space="preserve">除发包人另行委托检测项目外，其余均由承包人承担工程质量检测费。</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3" w:name="_Toc32196"/>
      <w:r/>
      <w:bookmarkStart w:id="184" w:name="_Toc653"/>
      <w:r/>
      <w:bookmarkStart w:id="185" w:name="_Toc15908"/>
      <w:r/>
      <w:bookmarkStart w:id="186" w:name="_Toc16173"/>
      <w:r/>
      <w:bookmarkStart w:id="187" w:name="_Toc1495"/>
      <w:r>
        <w:rPr>
          <w:rFonts w:hint="eastAsia" w:ascii="宋体" w:hAnsi="宋体" w:eastAsia="宋体" w:cs="宋体"/>
          <w:b/>
          <w:bCs w:val="0"/>
          <w:color w:val="auto"/>
          <w:sz w:val="21"/>
          <w:szCs w:val="21"/>
          <w:highlight w:val="none"/>
          <w:lang w:eastAsia="zh-CN"/>
        </w:rPr>
        <w:t xml:space="preserve">14 工程变更</w:t>
      </w:r>
      <w:bookmarkEnd w:id="183"/>
      <w:r/>
      <w:bookmarkEnd w:id="184"/>
      <w:r/>
      <w:bookmarkEnd w:id="185"/>
      <w:r/>
      <w:bookmarkEnd w:id="186"/>
      <w:r/>
      <w:bookmarkEnd w:id="18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Cs w:val="21"/>
          <w:highlight w:val="none"/>
        </w:rPr>
        <w:t xml:space="preserve">14.1</w:t>
      </w:r>
      <w:r>
        <w:rPr>
          <w:rFonts w:hint="eastAsia" w:ascii="宋体" w:hAnsi="宋体" w:eastAsia="宋体" w:cs="宋体"/>
          <w:b/>
          <w:bCs/>
          <w:color w:val="auto"/>
          <w:spacing w:val="-6"/>
          <w:szCs w:val="21"/>
          <w:highlight w:val="none"/>
        </w:rPr>
        <w:t xml:space="preserve"> 工程变更和签证</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2、所有签证须经承包人项目经理、监理代表（若此项目有监理方）、发包人现场代表共同签字，并经发包人盖章认可后方可生效。工程变更引起造价变化的，需附带工程预算变化明细，报发包人和审计部门审核，根据最终审核意见在结算中予以计取。</w:t>
      </w:r>
      <w:r/>
    </w:p>
    <w:p>
      <w:pPr>
        <w:ind w:firstLine="428"/>
        <w:jc w:val="both"/>
        <w:spacing w:line="360" w:lineRule="auto"/>
        <w:widowControl w:val="off"/>
        <w:rPr>
          <w:rFonts w:hint="eastAsia" w:ascii="宋体" w:hAnsi="宋体" w:eastAsia="宋体" w:cs="宋体"/>
          <w:color w:val="auto"/>
          <w:spacing w:val="2"/>
          <w:sz w:val="21"/>
          <w:szCs w:val="21"/>
          <w:highlight w:val="none"/>
          <w:u w:val="single"/>
          <w:lang w:eastAsia="zh-CN"/>
        </w:rPr>
      </w:pPr>
      <w:r>
        <w:rPr>
          <w:rFonts w:hint="eastAsia" w:ascii="宋体" w:hAnsi="宋体" w:eastAsia="宋体" w:cs="宋体"/>
          <w:color w:val="auto"/>
          <w:spacing w:val="2"/>
          <w:sz w:val="21"/>
          <w:szCs w:val="21"/>
          <w:highlight w:val="none"/>
          <w:u w:val="single"/>
          <w:lang w:eastAsia="zh-CN"/>
        </w:rPr>
        <w:t xml:space="preserve">3、由于工程变更使得工程量增减的，按照合同专用条款约定的工程变更计价。</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8" w:name="_Toc21517"/>
      <w:r/>
      <w:bookmarkStart w:id="189" w:name="_Toc9391"/>
      <w:r/>
      <w:bookmarkStart w:id="190" w:name="_Toc30655"/>
      <w:r/>
      <w:bookmarkStart w:id="191" w:name="_Toc2888"/>
      <w:r/>
      <w:bookmarkStart w:id="192" w:name="_Toc29032"/>
      <w:r>
        <w:rPr>
          <w:rFonts w:hint="eastAsia" w:ascii="宋体" w:hAnsi="宋体" w:eastAsia="宋体" w:cs="宋体"/>
          <w:b/>
          <w:bCs w:val="0"/>
          <w:color w:val="auto"/>
          <w:sz w:val="21"/>
          <w:szCs w:val="21"/>
          <w:highlight w:val="none"/>
          <w:lang w:eastAsia="zh-CN"/>
        </w:rPr>
        <w:t xml:space="preserve">15 价差调整</w:t>
      </w:r>
      <w:bookmarkEnd w:id="188"/>
      <w:r/>
      <w:bookmarkEnd w:id="189"/>
      <w:r/>
      <w:bookmarkEnd w:id="190"/>
      <w:r/>
      <w:bookmarkEnd w:id="191"/>
      <w:r/>
      <w:bookmarkEnd w:id="192"/>
      <w:r/>
      <w:r/>
    </w:p>
    <w:p>
      <w:pPr>
        <w:ind w:firstLine="41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15.1物价波动引起的价差调整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不予调整</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3" w:name="_Toc30920"/>
      <w:r/>
      <w:bookmarkStart w:id="194" w:name="_Toc1685"/>
      <w:r/>
      <w:bookmarkStart w:id="195" w:name="_Toc26309"/>
      <w:r/>
      <w:bookmarkStart w:id="196" w:name="_Toc29796"/>
      <w:r/>
      <w:bookmarkStart w:id="197" w:name="_Toc667"/>
      <w:r>
        <w:rPr>
          <w:rFonts w:hint="eastAsia" w:ascii="宋体" w:hAnsi="宋体" w:eastAsia="宋体" w:cs="宋体"/>
          <w:b/>
          <w:bCs w:val="0"/>
          <w:color w:val="auto"/>
          <w:sz w:val="21"/>
          <w:szCs w:val="21"/>
          <w:highlight w:val="none"/>
          <w:lang w:eastAsia="zh-CN"/>
        </w:rPr>
        <w:t xml:space="preserve">16 计价、计量与支付</w:t>
      </w:r>
      <w:bookmarkEnd w:id="193"/>
      <w:r/>
      <w:bookmarkEnd w:id="194"/>
      <w:r/>
      <w:bookmarkEnd w:id="195"/>
      <w:r/>
      <w:bookmarkEnd w:id="196"/>
      <w:r/>
      <w:bookmarkEnd w:id="197"/>
      <w:r/>
      <w:r/>
    </w:p>
    <w:p>
      <w:pPr>
        <w:ind w:firstLine="10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16.1计价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16.1.1本工程采用计价方式的约定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本次采购内容采用总承包方式，固定单价合同。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响应报价应是采购文件所确定的采购范围内的全部工作内容的价格体现。其应包括但不限于施工机械、劳务、材料、设备、随设备提供的备</w:t>
      </w:r>
      <w:r>
        <w:rPr>
          <w:rFonts w:hint="eastAsia" w:ascii="宋体" w:hAnsi="宋体" w:eastAsia="宋体" w:cs="宋体"/>
          <w:color w:val="auto"/>
          <w:szCs w:val="21"/>
          <w:highlight w:val="none"/>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合同价款中包括的风险范围：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B、措施项目费。措施项目费是指为完成工程项目施工所必须发生的施工准备和施工过程中技术、生活、安全、环境保护等方面的非工程实体项目费用，由</w:t>
      </w:r>
      <w:r>
        <w:rPr>
          <w:rFonts w:hint="eastAsia" w:ascii="宋体" w:hAnsi="宋体" w:cs="宋体"/>
          <w:color w:val="auto"/>
          <w:szCs w:val="21"/>
          <w:highlight w:val="none"/>
          <w:lang w:val="en-US" w:eastAsia="zh-CN"/>
        </w:rPr>
        <w:t xml:space="preserve">通用</w:t>
      </w:r>
      <w:r>
        <w:rPr>
          <w:rFonts w:hint="eastAsia" w:ascii="宋体" w:hAnsi="宋体" w:eastAsia="宋体" w:cs="宋体"/>
          <w:color w:val="auto"/>
          <w:szCs w:val="21"/>
          <w:highlight w:val="none"/>
        </w:rPr>
        <w:t xml:space="preserve">措施项目和</w:t>
      </w:r>
      <w:r>
        <w:rPr>
          <w:rFonts w:hint="eastAsia" w:ascii="宋体" w:hAnsi="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措施项目组成。措施项目费用以包干形式计入，无论在合同价中是否单独列出均认为已含在合同价中，结算时与分部分项工程量变化、设计变更、现场签证等无关，不再调整，响应单位务必充分考虑此项风险。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（1）措施项目包括不限于安全</w:t>
      </w:r>
      <w:r>
        <w:rPr>
          <w:rFonts w:hint="eastAsia" w:ascii="宋体" w:hAnsi="宋体" w:cs="宋体"/>
          <w:color w:val="auto"/>
          <w:szCs w:val="21"/>
          <w:highlight w:val="none"/>
          <w:lang w:val="en-US" w:eastAsia="zh-CN"/>
        </w:rPr>
        <w:t xml:space="preserve">生产，</w:t>
      </w:r>
      <w:r>
        <w:rPr>
          <w:rFonts w:hint="eastAsia" w:ascii="宋体" w:hAnsi="宋体" w:eastAsia="宋体" w:cs="宋体"/>
          <w:color w:val="auto"/>
          <w:szCs w:val="21"/>
          <w:highlight w:val="none"/>
        </w:rPr>
        <w:t xml:space="preserve">文明施工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环境保护，临时设施，</w:t>
      </w:r>
      <w:r>
        <w:rPr>
          <w:rFonts w:hint="eastAsia" w:ascii="宋体" w:hAnsi="宋体" w:eastAsia="宋体" w:cs="宋体"/>
          <w:color w:val="auto"/>
          <w:szCs w:val="21"/>
          <w:highlight w:val="none"/>
        </w:rPr>
        <w:t xml:space="preserve">冬雨季施工增加费，夜间施工增加费，特殊地区施工增加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二次搬运费，</w:t>
      </w:r>
      <w:r>
        <w:rPr>
          <w:rFonts w:hint="eastAsia" w:ascii="宋体" w:hAnsi="宋体" w:cs="宋体"/>
          <w:color w:val="auto"/>
          <w:szCs w:val="21"/>
          <w:highlight w:val="none"/>
          <w:lang w:val="en-US" w:eastAsia="zh-CN"/>
        </w:rPr>
        <w:t xml:space="preserve">已完工程及设备保护，既有建(构)筑物、设施保护，按质论价，建筑工人实名制，特殊施工降效，协管，脚手架，垂直运输，其他大型机械进出场及安拆，施工排水，施工降水</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高（中）考、节假日、市内重大活动期间、省市各级领导对工地现场进行视察等引起的工效降低，各级政府相关管理部门对施工现场进行的有关建筑工程安全防护、文明施工的各种检查而发生的费用等等。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承包服务费及施工配合费。响应单位响应报价中应包含与本工程业主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（3）除上述措施项目费和</w:t>
      </w:r>
      <w:r>
        <w:rPr>
          <w:rFonts w:hint="eastAsia" w:ascii="宋体" w:hAnsi="宋体" w:cs="宋体"/>
          <w:color w:val="auto"/>
          <w:szCs w:val="21"/>
          <w:highlight w:val="none"/>
          <w:lang w:val="en-US" w:eastAsia="zh-CN"/>
        </w:rPr>
        <w:t xml:space="preserve">总承包服务</w:t>
      </w:r>
      <w:r>
        <w:rPr>
          <w:rFonts w:hint="eastAsia" w:ascii="宋体" w:hAnsi="宋体" w:eastAsia="宋体" w:cs="宋体"/>
          <w:color w:val="auto"/>
          <w:szCs w:val="21"/>
          <w:highlight w:val="none"/>
        </w:rPr>
        <w:t xml:space="preserve">费以外，合同价中还包括采购文件、工程量清单和合同条款中包括的其他所有费用等及响应单位考虑全面施工本项目时应增加的潜在其它措施费及风险费用等。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2、风险范围以外合同价格的调整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（1）调整范围①经发包人确认的设计变更；②发包人和监理方均认可经审核后的签证；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（2）调整方法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①新增的工程量清单项目的项目特征与响应报价中项目相同的，按响应报价的综合单价计算。</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业主确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③响应报价中没有综合单价的新增的工程量清单项目，新增综合单价按</w:t>
      </w:r>
      <w:r>
        <w:rPr>
          <w:rFonts w:hint="eastAsia" w:ascii="宋体" w:hAnsi="宋体" w:eastAsia="宋体" w:cs="宋体"/>
          <w:color w:val="auto"/>
          <w:szCs w:val="21"/>
          <w:highlight w:val="none"/>
          <w:lang w:eastAsia="zh-CN"/>
        </w:rPr>
        <w:t xml:space="preserve">建设工程工程量清单计价标准（GB_T50500-2024）</w:t>
      </w:r>
      <w:r>
        <w:rPr>
          <w:rFonts w:hint="eastAsia" w:ascii="宋体" w:hAnsi="宋体" w:eastAsia="宋体" w:cs="宋体"/>
          <w:color w:val="auto"/>
          <w:szCs w:val="21"/>
          <w:highlight w:val="none"/>
        </w:rPr>
        <w:t xml:space="preserve">、《江苏省建筑与装饰工程消耗量》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《江苏省市政工程消耗量》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《江苏省通用安装工程消耗量》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《江苏省建设工程费用参考》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《江苏建设工程施工机具台班费用参考表》及</w:t>
      </w:r>
      <w:r>
        <w:rPr>
          <w:rFonts w:hint="eastAsia" w:ascii="宋体" w:hAnsi="宋体" w:cs="宋体"/>
          <w:color w:val="auto"/>
          <w:szCs w:val="21"/>
          <w:highlight w:val="none"/>
          <w:lang w:val="en-US" w:eastAsia="zh-CN"/>
        </w:rPr>
        <w:t xml:space="preserve">2009版</w:t>
      </w:r>
      <w:r>
        <w:rPr>
          <w:rFonts w:hint="eastAsia" w:ascii="宋体" w:hAnsi="宋体" w:eastAsia="宋体" w:cs="宋体"/>
          <w:color w:val="auto"/>
          <w:szCs w:val="21"/>
          <w:highlight w:val="none"/>
        </w:rPr>
        <w:t xml:space="preserve">《江苏省房屋修缮工程计价</w:t>
      </w:r>
      <w:r>
        <w:rPr>
          <w:rFonts w:hint="eastAsia" w:ascii="宋体" w:hAnsi="宋体" w:cs="宋体"/>
          <w:color w:val="auto"/>
          <w:szCs w:val="21"/>
          <w:highlight w:val="none"/>
          <w:lang w:val="en-US" w:eastAsia="zh-CN"/>
        </w:rPr>
        <w:t xml:space="preserve">表</w:t>
      </w:r>
      <w:r>
        <w:rPr>
          <w:rFonts w:hint="eastAsia" w:ascii="宋体" w:hAnsi="宋体" w:eastAsia="宋体" w:cs="宋体"/>
          <w:color w:val="auto"/>
          <w:szCs w:val="21"/>
          <w:highlight w:val="none"/>
        </w:rPr>
        <w:t xml:space="preserve">》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确定。</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8" w:name="_Toc19203"/>
      <w:r/>
      <w:bookmarkStart w:id="199" w:name="_Toc21795"/>
      <w:r/>
      <w:bookmarkStart w:id="200" w:name="_Toc18648"/>
      <w:r/>
      <w:bookmarkStart w:id="201" w:name="_Toc7269"/>
      <w:r/>
      <w:bookmarkStart w:id="202" w:name="_Toc21161"/>
      <w:r>
        <w:rPr>
          <w:rFonts w:hint="eastAsia" w:ascii="宋体" w:hAnsi="宋体" w:eastAsia="宋体" w:cs="宋体"/>
          <w:b/>
          <w:bCs w:val="0"/>
          <w:color w:val="auto"/>
          <w:sz w:val="21"/>
          <w:szCs w:val="21"/>
          <w:highlight w:val="none"/>
          <w:lang w:eastAsia="zh-CN"/>
        </w:rPr>
        <w:t xml:space="preserve">17预付款</w:t>
      </w:r>
      <w:bookmarkEnd w:id="198"/>
      <w:r/>
      <w:bookmarkEnd w:id="199"/>
      <w:r/>
      <w:bookmarkEnd w:id="200"/>
      <w:r/>
      <w:bookmarkEnd w:id="201"/>
      <w:r/>
      <w:bookmarkEnd w:id="202"/>
      <w:r/>
      <w:r/>
    </w:p>
    <w:p>
      <w:pPr>
        <w:ind w:firstLine="48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7.1 工程进度付款</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17.1.1 付款周期</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关于付款周期的约定：</w:t>
      </w:r>
      <w:r/>
    </w:p>
    <w:p>
      <w:pPr>
        <w:numPr>
          <w:ilvl w:val="0"/>
          <w:numId w:val="7"/>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7"/>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7"/>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ind w:firstLine="525"/>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发包人有权根据工程进度的要求调整工程付款的时间和比例，承包人不得因此而提出异议。</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所有工程支付款必须由监理签字确认有效工作量，签发付款单后，发包人才予办理工程款支付的手续；所有合同外增加的工作内容和工程变更调整的价款，一律不得作为进度款支付的计算基数，待竣工结算审核后与工程款同期结算。</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发包人支付工程预付款、工程进度款的同时，承包人必须提供相应的完税凭证。</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承包人应对合同中明确的付款账号作为本项目的专款专用账号，并对此进行承诺。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3" w:name="_Toc11137"/>
      <w:r/>
      <w:bookmarkStart w:id="204" w:name="_Toc15323"/>
      <w:r/>
      <w:bookmarkStart w:id="205" w:name="_Toc18348"/>
      <w:r/>
      <w:bookmarkStart w:id="206" w:name="_Toc2195"/>
      <w:r/>
      <w:bookmarkStart w:id="207" w:name="_Toc6521"/>
      <w:r>
        <w:rPr>
          <w:rFonts w:hint="eastAsia" w:ascii="宋体" w:hAnsi="宋体" w:eastAsia="宋体" w:cs="宋体"/>
          <w:b/>
          <w:bCs w:val="0"/>
          <w:color w:val="auto"/>
          <w:sz w:val="21"/>
          <w:szCs w:val="21"/>
          <w:highlight w:val="none"/>
          <w:lang w:eastAsia="zh-CN"/>
        </w:rPr>
        <w:t xml:space="preserve">18 竣工验收与结算</w:t>
      </w:r>
      <w:bookmarkEnd w:id="203"/>
      <w:r/>
      <w:bookmarkEnd w:id="204"/>
      <w:r/>
      <w:bookmarkEnd w:id="205"/>
      <w:r/>
      <w:bookmarkEnd w:id="206"/>
      <w:r/>
      <w:bookmarkEnd w:id="20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18.1 竣工验收</w:t>
      </w:r>
      <w:r/>
    </w:p>
    <w:p>
      <w:pPr>
        <w:ind w:firstLine="412"/>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2"/>
          <w:szCs w:val="21"/>
          <w:highlight w:val="none"/>
        </w:rPr>
        <w:t xml:space="preserve">18.1.1</w:t>
      </w:r>
      <w:r>
        <w:rPr>
          <w:rFonts w:hint="eastAsia" w:ascii="宋体" w:hAnsi="宋体" w:eastAsia="宋体" w:cs="宋体"/>
          <w:color w:val="auto"/>
          <w:spacing w:val="-6"/>
          <w:szCs w:val="21"/>
          <w:highlight w:val="none"/>
        </w:rPr>
        <w:t xml:space="preserve">项目验收时，承包人需提供结算送审价与合同价对比分析的结果，明确变化金额和原因，否则发包人不予通过验收，也不接收结算资料和支付竣工进度款。</w:t>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18.2 竣工结算</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18.2.1竣工结算必须在竣工资料通过发包人组织的验收或建设行政主管部门备案并移交工程后方可进行。</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18.2.2 竣工验收备案后，承包人应按发包人现行有关工程结算审核规定办理竣工结算。在发包人按程序相关审计部门评审后，相关审计部门最终评审结论作为双方结算工程款的有效依据。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18.2.3承包人竣工结算书必须按发包人监察审计部的要求进行编制，同时必须提供工程量计算底稿、完整的变更签证等相关的结算资料。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18.2.4</w:t>
      </w:r>
      <w:r>
        <w:rPr>
          <w:rFonts w:hint="eastAsia" w:ascii="宋体" w:hAnsi="宋体" w:eastAsia="宋体" w:cs="宋体"/>
          <w:color w:val="auto"/>
          <w:spacing w:val="-6"/>
          <w:szCs w:val="21"/>
          <w:highlight w:val="none"/>
        </w:rPr>
        <w:t xml:space="preserve">工程结算资料送发包方审核时，如发现签证资料签证人签字不全，此签证单不得返回补签，按作废处理。</w:t>
      </w:r>
      <w:r>
        <w:rPr>
          <w:rFonts w:hint="eastAsia" w:ascii="宋体" w:hAnsi="宋体" w:eastAsia="宋体" w:cs="宋体"/>
          <w:color w:val="auto"/>
          <w:szCs w:val="21"/>
          <w:highlight w:val="none"/>
        </w:rPr>
        <w:t xml:space="preserve">承包人送审的结算书中若有遗漏项目均作为让利给发包人，不作增加调整。</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18.2.5 工程结算方式</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（1）响应单价内已包含</w:t>
      </w:r>
      <w:r>
        <w:rPr>
          <w:rFonts w:hint="eastAsia" w:ascii="宋体" w:hAnsi="宋体" w:cs="宋体"/>
          <w:color w:val="auto"/>
          <w:spacing w:val="-6"/>
          <w:sz w:val="21"/>
          <w:szCs w:val="21"/>
          <w:highlight w:val="none"/>
          <w:lang w:val="en-US" w:eastAsia="zh-CN"/>
        </w:rPr>
        <w:t xml:space="preserve">措施项目（通用措施项目和专业措施项目）</w:t>
      </w:r>
      <w:r>
        <w:rPr>
          <w:rFonts w:hint="eastAsia" w:ascii="宋体" w:hAnsi="宋体" w:eastAsia="宋体" w:cs="宋体"/>
          <w:color w:val="auto"/>
          <w:spacing w:val="-6"/>
          <w:sz w:val="21"/>
          <w:szCs w:val="21"/>
          <w:highlight w:val="none"/>
          <w:lang w:eastAsia="zh-CN"/>
        </w:rPr>
        <w:t xml:space="preserve">等相关费用。如根据政府造价文件规定需计入工程总造价但实际上由发包人代缴的费用，发包人在结算时扣除。</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（2）因物价波动引起的价差变化按合同专用条款第15条调整。</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（3）</w:t>
      </w:r>
      <w:r>
        <w:rPr>
          <w:rFonts w:hint="eastAsia" w:ascii="宋体" w:hAnsi="宋体" w:eastAsia="宋体" w:cs="宋体"/>
          <w:color w:val="auto"/>
          <w:szCs w:val="21"/>
          <w:highlight w:val="none"/>
        </w:rPr>
        <w:t xml:space="preserve">变更工程价款按本合同专用条款第16条执行。</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18.2.6因发包人原因造成结算延误的，发包人不对承包人做任何补偿以及支付任何费用、赔偿。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8" w:name="_Toc719"/>
      <w:r/>
      <w:bookmarkStart w:id="209" w:name="_Toc19340"/>
      <w:r/>
      <w:bookmarkStart w:id="210" w:name="_Toc16581"/>
      <w:r/>
      <w:bookmarkStart w:id="211" w:name="_Toc23943"/>
      <w:r/>
      <w:bookmarkStart w:id="212" w:name="_Toc7530"/>
      <w:r>
        <w:rPr>
          <w:rFonts w:hint="eastAsia" w:ascii="宋体" w:hAnsi="宋体" w:eastAsia="宋体" w:cs="宋体"/>
          <w:b/>
          <w:bCs w:val="0"/>
          <w:color w:val="auto"/>
          <w:sz w:val="21"/>
          <w:szCs w:val="21"/>
          <w:highlight w:val="none"/>
          <w:lang w:eastAsia="zh-CN"/>
        </w:rPr>
        <w:t xml:space="preserve">19保险和担保</w:t>
      </w:r>
      <w:bookmarkEnd w:id="208"/>
      <w:r/>
      <w:bookmarkEnd w:id="209"/>
      <w:r/>
      <w:bookmarkEnd w:id="210"/>
      <w:r/>
      <w:bookmarkEnd w:id="211"/>
      <w:r/>
      <w:bookmarkEnd w:id="212"/>
      <w:r/>
      <w:r/>
    </w:p>
    <w:p>
      <w:pPr>
        <w:ind w:firstLine="396"/>
        <w:spacing w:line="360" w:lineRule="auto"/>
        <w:tabs>
          <w:tab w:val="left" w:pos="1440" w:leader="none"/>
        </w:tabs>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 xml:space="preserve">19.1 无需履约保证金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3" w:name="_Toc9582"/>
      <w:r/>
      <w:bookmarkStart w:id="214" w:name="_Toc1275"/>
      <w:r/>
      <w:bookmarkStart w:id="215" w:name="_Toc19707"/>
      <w:r/>
      <w:bookmarkStart w:id="216" w:name="_Toc30577"/>
      <w:r/>
      <w:bookmarkStart w:id="217" w:name="_Toc24944"/>
      <w:r>
        <w:rPr>
          <w:rFonts w:hint="eastAsia" w:ascii="宋体" w:hAnsi="宋体" w:eastAsia="宋体" w:cs="宋体"/>
          <w:b/>
          <w:bCs w:val="0"/>
          <w:color w:val="auto"/>
          <w:sz w:val="21"/>
          <w:szCs w:val="21"/>
          <w:highlight w:val="none"/>
          <w:lang w:eastAsia="zh-CN"/>
        </w:rPr>
        <w:t xml:space="preserve">20不可抗力</w:t>
      </w:r>
      <w:bookmarkEnd w:id="213"/>
      <w:r/>
      <w:bookmarkEnd w:id="214"/>
      <w:r/>
      <w:bookmarkEnd w:id="215"/>
      <w:r/>
      <w:bookmarkEnd w:id="216"/>
      <w:r/>
      <w:bookmarkEnd w:id="21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20.1不可抗力的确认</w:t>
      </w:r>
      <w:r/>
    </w:p>
    <w:p>
      <w:pPr>
        <w:ind w:firstLine="412"/>
        <w:spacing w:line="360" w:lineRule="auto"/>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20.1.1 不可抗力是指：</w:t>
      </w:r>
      <w:r>
        <w:rPr>
          <w:rFonts w:hint="eastAsia" w:ascii="宋体" w:hAnsi="宋体" w:eastAsia="宋体" w:cs="宋体"/>
          <w:color w:val="auto"/>
          <w:spacing w:val="-6"/>
          <w:szCs w:val="21"/>
          <w:highlight w:val="none"/>
        </w:rPr>
        <w:t xml:space="preserve">战争、地震、雷击、特大洪水灾害。</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8" w:name="_Toc6623"/>
      <w:r/>
      <w:bookmarkStart w:id="219" w:name="_Toc9133"/>
      <w:r/>
      <w:bookmarkStart w:id="220" w:name="_Toc21884"/>
      <w:r/>
      <w:bookmarkStart w:id="221" w:name="_Toc29096"/>
      <w:r/>
      <w:bookmarkStart w:id="222" w:name="_Toc12698"/>
      <w:r>
        <w:rPr>
          <w:rFonts w:hint="eastAsia" w:ascii="宋体" w:hAnsi="宋体" w:eastAsia="宋体" w:cs="宋体"/>
          <w:b/>
          <w:bCs w:val="0"/>
          <w:color w:val="auto"/>
          <w:sz w:val="21"/>
          <w:szCs w:val="21"/>
          <w:highlight w:val="none"/>
          <w:lang w:eastAsia="zh-CN"/>
        </w:rPr>
        <w:t xml:space="preserve">21 违约</w:t>
      </w:r>
      <w:bookmarkEnd w:id="218"/>
      <w:r/>
      <w:bookmarkEnd w:id="219"/>
      <w:r/>
      <w:bookmarkEnd w:id="220"/>
      <w:r/>
      <w:bookmarkEnd w:id="221"/>
      <w:r/>
      <w:bookmarkEnd w:id="222"/>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21.1本合同中关于双方违约的具体责任如下：</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本工程按合同工期推迟一天交付使用，承包人每天按工程总造价 5‰支付违约金，最多不超过总造价20%。</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2、双方约定的承包人其他违约责任：</w:t>
      </w:r>
      <w:r>
        <w:rPr>
          <w:rFonts w:hint="eastAsia" w:ascii="宋体" w:hAnsi="宋体" w:eastAsia="宋体" w:cs="宋体"/>
          <w:color w:val="auto"/>
          <w:spacing w:val="-6"/>
          <w:szCs w:val="21"/>
          <w:highlight w:val="none"/>
          <w:u w:val="single"/>
        </w:rPr>
        <w:t xml:space="preserve">因承包人不及时提供结算资料或没能提供合格竣工备案资料，发包人有权不予支付余下的工程款项。</w:t>
      </w:r>
      <w:r/>
    </w:p>
    <w:p>
      <w:pPr>
        <w:ind w:firstLine="396"/>
        <w:spacing w:line="360" w:lineRule="auto"/>
        <w:tabs>
          <w:tab w:val="left" w:pos="1440" w:leader="none"/>
        </w:tabs>
        <w:rPr>
          <w:rFonts w:hint="eastAsia" w:ascii="宋体" w:hAnsi="宋体" w:eastAsia="宋体" w:cs="宋体"/>
          <w:bCs/>
          <w:color w:val="auto"/>
          <w:spacing w:val="-6"/>
          <w:szCs w:val="21"/>
          <w:highlight w:val="none"/>
          <w:u w:val="single"/>
        </w:rPr>
      </w:pPr>
      <w:r>
        <w:rPr>
          <w:rFonts w:hint="eastAsia" w:ascii="宋体" w:hAnsi="宋体" w:eastAsia="宋体" w:cs="宋体"/>
          <w:color w:val="auto"/>
          <w:spacing w:val="-6"/>
          <w:szCs w:val="21"/>
          <w:highlight w:val="none"/>
        </w:rPr>
        <w:t xml:space="preserve">3、</w:t>
      </w:r>
      <w:r>
        <w:rPr>
          <w:rFonts w:hint="eastAsia" w:ascii="宋体" w:hAnsi="宋体" w:eastAsia="宋体" w:cs="宋体"/>
          <w:bCs/>
          <w:color w:val="auto"/>
          <w:spacing w:val="-6"/>
          <w:szCs w:val="21"/>
          <w:highlight w:val="none"/>
        </w:rPr>
        <w:t xml:space="preserve">如</w:t>
      </w:r>
      <w:r>
        <w:rPr>
          <w:rFonts w:hint="eastAsia" w:ascii="宋体" w:hAnsi="宋体" w:eastAsia="宋体" w:cs="宋体"/>
          <w:bCs/>
          <w:color w:val="auto"/>
          <w:spacing w:val="-6"/>
          <w:szCs w:val="21"/>
          <w:highlight w:val="none"/>
          <w:u w:val="single"/>
        </w:rPr>
        <w:t xml:space="preserve">果承包方按要求送达了完整的结算资料，发包方初审应按</w:t>
      </w:r>
      <w:r>
        <w:rPr>
          <w:rFonts w:hint="eastAsia" w:ascii="宋体" w:hAnsi="宋体" w:eastAsia="宋体" w:cs="宋体"/>
          <w:color w:val="auto"/>
          <w:szCs w:val="21"/>
          <w:highlight w:val="none"/>
          <w:u w:val="single"/>
        </w:rPr>
        <w:t xml:space="preserve">《工程审计工作暂行办法》</w:t>
      </w:r>
      <w:r>
        <w:rPr>
          <w:rFonts w:hint="eastAsia" w:ascii="宋体" w:hAnsi="宋体" w:eastAsia="宋体" w:cs="宋体"/>
          <w:bCs/>
          <w:color w:val="auto"/>
          <w:spacing w:val="-6"/>
          <w:szCs w:val="21"/>
          <w:highlight w:val="none"/>
          <w:u w:val="single"/>
        </w:rPr>
        <w:t xml:space="preserve">有关规定完成，由发包方造成的结算延误，发包方应视情况予以支付工程款。</w:t>
      </w:r>
      <w:r/>
    </w:p>
    <w:p>
      <w:pPr>
        <w:ind w:firstLine="396"/>
        <w:spacing w:line="360" w:lineRule="auto"/>
        <w:tabs>
          <w:tab w:val="left" w:pos="1440" w:leader="none"/>
        </w:tabs>
        <w:rPr>
          <w:rFonts w:hint="eastAsia" w:ascii="宋体" w:hAnsi="宋体" w:eastAsia="宋体" w:cs="宋体"/>
          <w:bCs/>
          <w:color w:val="auto"/>
          <w:spacing w:val="-6"/>
          <w:szCs w:val="21"/>
          <w:highlight w:val="none"/>
        </w:rPr>
      </w:pPr>
      <w:r>
        <w:rPr>
          <w:rFonts w:hint="eastAsia" w:ascii="宋体" w:hAnsi="宋体" w:eastAsia="宋体" w:cs="宋体"/>
          <w:color w:val="auto"/>
          <w:spacing w:val="-6"/>
          <w:szCs w:val="21"/>
          <w:highlight w:val="none"/>
        </w:rPr>
        <w:t xml:space="preserve">4、</w:t>
      </w:r>
      <w:r>
        <w:rPr>
          <w:rFonts w:hint="eastAsia" w:ascii="宋体" w:hAnsi="宋体" w:eastAsia="宋体" w:cs="宋体"/>
          <w:bCs/>
          <w:color w:val="auto"/>
          <w:spacing w:val="-6"/>
          <w:szCs w:val="21"/>
          <w:highlight w:val="none"/>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left="0"/>
        <w:jc w:val="both"/>
        <w:spacing w:line="360" w:lineRule="auto"/>
        <w:widowControl w:val="off"/>
        <w:rPr>
          <w:rFonts w:hint="eastAsia" w:ascii="宋体" w:hAnsi="宋体" w:eastAsia="宋体" w:cs="宋体"/>
          <w:b/>
          <w:color w:val="auto"/>
          <w:position w:val="-10"/>
          <w:sz w:val="24"/>
          <w:szCs w:val="21"/>
          <w:highlight w:val="none"/>
          <w:lang w:eastAsia="zh-CN"/>
        </w:rPr>
      </w:pPr>
      <w:r>
        <w:rPr>
          <w:rFonts w:hint="eastAsia" w:ascii="宋体" w:hAnsi="宋体" w:eastAsia="宋体" w:cs="宋体"/>
          <w:b/>
          <w:color w:val="auto"/>
          <w:position w:val="-10"/>
          <w:sz w:val="24"/>
          <w:szCs w:val="21"/>
          <w:highlight w:val="none"/>
          <w:lang w:eastAsia="zh-CN"/>
        </w:rPr>
        <w:t xml:space="preserve">21.2双方约定的承包人其他违约责任：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3" w:name="_Toc32526"/>
      <w:r/>
      <w:bookmarkStart w:id="224" w:name="_Toc5673"/>
      <w:r>
        <w:rPr>
          <w:rFonts w:hint="eastAsia" w:ascii="宋体" w:hAnsi="宋体" w:eastAsia="宋体" w:cs="宋体"/>
          <w:b/>
          <w:bCs w:val="0"/>
          <w:color w:val="auto"/>
          <w:sz w:val="21"/>
          <w:szCs w:val="21"/>
          <w:highlight w:val="none"/>
          <w:lang w:eastAsia="zh-CN"/>
        </w:rPr>
        <w:t xml:space="preserve">22.工程分包</w:t>
      </w:r>
      <w:bookmarkEnd w:id="223"/>
      <w:r/>
      <w:bookmarkEnd w:id="224"/>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分包施工单位为：由承包人及发包人共同确定，资质等级符合要求。</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5" w:name="_Toc10670"/>
      <w:r/>
      <w:bookmarkStart w:id="226" w:name="_Toc15659"/>
      <w:r/>
      <w:bookmarkStart w:id="227" w:name="_Toc18781"/>
      <w:r/>
      <w:bookmarkStart w:id="228" w:name="_Toc16811"/>
      <w:r/>
      <w:bookmarkStart w:id="229" w:name="_Toc13388"/>
      <w:r>
        <w:rPr>
          <w:rFonts w:hint="eastAsia" w:ascii="宋体" w:hAnsi="宋体" w:eastAsia="宋体" w:cs="宋体"/>
          <w:b/>
          <w:bCs w:val="0"/>
          <w:color w:val="auto"/>
          <w:sz w:val="21"/>
          <w:szCs w:val="21"/>
          <w:highlight w:val="none"/>
          <w:lang w:eastAsia="zh-CN"/>
        </w:rPr>
        <w:t xml:space="preserve">23 争议</w:t>
      </w:r>
      <w:bookmarkEnd w:id="225"/>
      <w:r/>
      <w:bookmarkEnd w:id="226"/>
      <w:r/>
      <w:bookmarkEnd w:id="227"/>
      <w:r/>
      <w:bookmarkEnd w:id="228"/>
      <w:r/>
      <w:bookmarkEnd w:id="2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23.1争议的解决方式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双方约定，在履行合同过程中产生争议时，依法向工程所在地人民法院提起诉讼。</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0" w:name="_Toc28047"/>
      <w:r/>
      <w:bookmarkStart w:id="231" w:name="_Toc13898"/>
      <w:r/>
      <w:bookmarkStart w:id="232" w:name="_Toc18207"/>
      <w:r/>
      <w:bookmarkStart w:id="233" w:name="_Toc14835"/>
      <w:r/>
      <w:bookmarkStart w:id="234" w:name="_Toc26159"/>
      <w:r>
        <w:rPr>
          <w:rFonts w:hint="eastAsia" w:ascii="宋体" w:hAnsi="宋体" w:eastAsia="宋体" w:cs="宋体"/>
          <w:b/>
          <w:bCs w:val="0"/>
          <w:color w:val="auto"/>
          <w:sz w:val="21"/>
          <w:szCs w:val="21"/>
          <w:highlight w:val="none"/>
          <w:lang w:eastAsia="zh-CN"/>
        </w:rPr>
        <w:t xml:space="preserve">24 补充条款</w:t>
      </w:r>
      <w:bookmarkEnd w:id="230"/>
      <w:r/>
      <w:bookmarkEnd w:id="231"/>
      <w:r/>
      <w:bookmarkEnd w:id="232"/>
      <w:r/>
      <w:bookmarkEnd w:id="233"/>
      <w:r/>
      <w:bookmarkEnd w:id="234"/>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承包人须使用有牌照、手续齐全的运输车辆，如因承包人擅自使用黑头车所造成的一切后果由承包人自负。</w:t>
      </w:r>
      <w:r/>
    </w:p>
    <w:p>
      <w:pPr>
        <w:ind w:firstLine="396"/>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2）承包人保证不拖欠民工工资。</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4）本工程要求项目经理本人每周5天，每天8小时在驻守现场，且在工程项目未竣工交付使用前不得更换项目经理。若未经发包人同意承包人私自更换项目经理，承包人承担5%的违约金。项目经理驻守现场每少一天扣承包人工程款2000元；连续10天不在现场的，发包人有权解除合同，并追究承包人不能履约的违约责任。如承包人建造师无法履行合同，则发包方有权进行停工处理，直至解除合同。进场施工人员必须有相应上岗证。</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5）本</w:t>
      </w:r>
      <w:r>
        <w:rPr>
          <w:rFonts w:hint="eastAsia" w:ascii="宋体" w:hAnsi="宋体" w:eastAsia="宋体" w:cs="宋体"/>
          <w:color w:val="auto"/>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8)工程所需水、电全部费用均由承包人承担，配电箱、电表、水表由承包人自备。</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w:t>
      </w:r>
      <w:r>
        <w:rPr>
          <w:rFonts w:hint="eastAsia" w:ascii="宋体" w:hAnsi="宋体" w:cs="宋体"/>
          <w:color w:val="auto"/>
          <w:spacing w:val="-6"/>
          <w:szCs w:val="21"/>
          <w:highlight w:val="none"/>
          <w:u w:val="single"/>
          <w:lang w:val="en-US" w:eastAsia="zh-CN"/>
        </w:rPr>
        <w:t xml:space="preserve">市场价</w:t>
      </w:r>
      <w:r>
        <w:rPr>
          <w:rFonts w:hint="eastAsia" w:ascii="宋体" w:hAnsi="宋体" w:eastAsia="宋体" w:cs="宋体"/>
          <w:color w:val="auto"/>
          <w:spacing w:val="-6"/>
          <w:szCs w:val="21"/>
          <w:highlight w:val="none"/>
          <w:u w:val="single"/>
        </w:rPr>
        <w:t xml:space="preserve">内水电费计算扣回；</w:t>
      </w:r>
      <w:r>
        <w:rPr>
          <w:rFonts w:hint="eastAsia" w:ascii="宋体" w:hAnsi="宋体" w:cs="宋体"/>
          <w:color w:val="auto"/>
          <w:spacing w:val="-6"/>
          <w:szCs w:val="21"/>
          <w:highlight w:val="none"/>
          <w:u w:val="single"/>
          <w:lang w:val="en-US" w:eastAsia="zh-CN"/>
        </w:rPr>
        <w:t xml:space="preserve">消耗量</w:t>
      </w:r>
      <w:r>
        <w:rPr>
          <w:rFonts w:hint="eastAsia" w:ascii="宋体" w:hAnsi="宋体" w:eastAsia="宋体" w:cs="宋体"/>
          <w:color w:val="auto"/>
          <w:spacing w:val="-6"/>
          <w:szCs w:val="21"/>
          <w:highlight w:val="none"/>
          <w:u w:val="single"/>
        </w:rPr>
        <w:t xml:space="preserve">内无法明确水电含量时，按照审定价的3‰扣回。</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9_)双方就下列标准承担审计机构的审计费用：审计核减率超过5%的，其审计费用全部由承包人承担，并由发包人从承包人工程款中扣除（下同）；审计核减率在5%及其以下的，其审计费用由发包人承担。承包人提供的所有资料需满足工程备案要求。</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10）在履行合同过程中，承包人应遵守国家或地方的法律、法规、法令，或任何对工程有管理权的部门的规章，并按要求支付有关费用。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spacing w:line="360" w:lineRule="auto"/>
        <w:tabs>
          <w:tab w:val="left" w:pos="1440" w:leader="none"/>
        </w:tabs>
        <w:rPr>
          <w:rFonts w:hint="eastAsia" w:ascii="宋体" w:hAnsi="宋体" w:eastAsia="宋体" w:cs="宋体"/>
          <w:b/>
          <w:color w:val="auto"/>
          <w:spacing w:val="-6"/>
          <w:szCs w:val="21"/>
          <w:highlight w:val="none"/>
          <w:u w:val="single"/>
        </w:rPr>
      </w:pPr>
      <w:r>
        <w:rPr>
          <w:rFonts w:hint="eastAsia" w:ascii="宋体" w:hAnsi="宋体" w:eastAsia="宋体" w:cs="宋体"/>
          <w:color w:val="auto"/>
          <w:spacing w:val="-6"/>
          <w:szCs w:val="21"/>
          <w:highlight w:val="none"/>
        </w:rPr>
        <w:t xml:space="preserve">14）</w:t>
      </w:r>
      <w:r>
        <w:rPr>
          <w:rFonts w:hint="eastAsia" w:ascii="宋体" w:hAnsi="宋体" w:eastAsia="宋体" w:cs="宋体"/>
          <w:color w:val="auto"/>
          <w:spacing w:val="-6"/>
          <w:szCs w:val="21"/>
          <w:highlight w:val="none"/>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eastAsia="宋体" w:cs="宋体"/>
          <w:color w:val="auto"/>
          <w:szCs w:val="21"/>
          <w:highlight w:val="none"/>
          <w:u w:val="single"/>
        </w:rPr>
        <w:t xml:space="preserve">施工前和施工后工程量测量数据请发包人（或者现场监理）签字确认，结算时提供工程量计算明细并附带经发包人确认的原始测量记录，工程量按实调整。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15）合同款包含为保证施工期间工作人员、财产安全所采取的一切必要措施的费用。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16）由于施工带来的投诉、行政处罚、罚款等责任及后果均由承包人全权负责。</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17）通用条款与专用条款不一致时，以专用条款为准。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18）本次采购范围为暂定，响应单位成交后，发包人根据工程实际情况有权对工程量清单进行调整，承包人对此不得提出任何异议和费用索赔要求。</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u w:val="single"/>
        </w:rPr>
        <w:t xml:space="preserve">19）</w:t>
      </w:r>
      <w:r>
        <w:rPr>
          <w:rFonts w:hint="eastAsia" w:ascii="宋体" w:hAnsi="宋体" w:eastAsia="宋体" w:cs="宋体"/>
          <w:color w:val="auto"/>
          <w:szCs w:val="21"/>
          <w:highlight w:val="none"/>
        </w:rPr>
        <w:t xml:space="preserve">本项目涉及的楼宇施工单位必须保证项目相关师生员工的人身及财产的安全，包括但不限于以下方面响应单位已于投标时给予充分考虑：</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要充分考虑实际情况，合理调配施工人员和进度，确保按时完工。施工区域和时间由发包人现场管理人员和监理确定，施工方必须无条件服从。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（2）投标时应充分考虑工程施工时对周边绿化、设备、建筑、居民等的保护，保护费用应包含在报价中。</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w:t>
      </w:r>
      <w:r>
        <w:rPr>
          <w:rFonts w:hint="eastAsia" w:ascii="宋体" w:hAnsi="宋体" w:eastAsia="宋体" w:cs="宋体"/>
          <w:color w:val="auto"/>
          <w:spacing w:val="-6"/>
          <w:szCs w:val="21"/>
          <w:highlight w:val="none"/>
          <w:u w:val="single"/>
        </w:rPr>
        <w:t xml:space="preserve">已充分了解现场实际情况后进行报价，</w:t>
      </w:r>
      <w:r>
        <w:rPr>
          <w:rFonts w:hint="eastAsia" w:ascii="宋体" w:hAnsi="宋体" w:eastAsia="宋体" w:cs="宋体"/>
          <w:color w:val="auto"/>
          <w:szCs w:val="21"/>
          <w:highlight w:val="none"/>
          <w:u w:val="single"/>
        </w:rPr>
        <w:t xml:space="preserve">拆除费、措施费（垂直运输、吊篮等）、施工护栏、临时设施费含在报价内，结算时不调整。工程量清单中计量单位为项的项目，一次性报价，结算时不调整。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（9）工程暂列金额详见工程量清单，使用权和所有权归发包人。暂列金额是</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rPr>
        <w:t xml:space="preserve">暂定并用于支付合同履行中可能发生但暂时不能确定的项目的费用，所有权属于工程建设资金，仅用于本工程变更、索赔、零星增项；未使用完的暂列金额结算时直接扣除，归发包人。</w:t>
      </w:r>
      <w:r/>
    </w:p>
    <w:p>
      <w:pPr>
        <w:ind w:firstLine="376"/>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20）</w:t>
      </w:r>
      <w:r>
        <w:rPr>
          <w:rFonts w:hint="eastAsia" w:ascii="宋体" w:hAnsi="宋体" w:cs="宋体"/>
          <w:color w:val="auto"/>
          <w:spacing w:val="0"/>
          <w:szCs w:val="21"/>
          <w:highlight w:val="none"/>
          <w:u w:val="single"/>
          <w:lang w:val="en-US" w:eastAsia="zh-CN"/>
        </w:rPr>
        <w:t xml:space="preserve">本项目位于</w:t>
      </w:r>
      <w:r>
        <w:rPr>
          <w:rFonts w:hint="eastAsia" w:ascii="宋体" w:hAnsi="宋体" w:cs="宋体"/>
          <w:color w:val="auto"/>
          <w:sz w:val="21"/>
          <w:szCs w:val="21"/>
          <w:highlight w:val="none"/>
          <w:u w:val="single"/>
          <w:lang w:val="en-US" w:eastAsia="zh-CN"/>
        </w:rPr>
        <w:t xml:space="preserve">南京市栖霞区仙林大道169号南京体育学院仙林校区内</w:t>
      </w:r>
      <w:r>
        <w:rPr>
          <w:rFonts w:hint="eastAsia" w:ascii="宋体" w:hAnsi="宋体" w:eastAsia="宋体" w:cs="宋体"/>
          <w:color w:val="auto"/>
          <w:spacing w:val="-6"/>
          <w:szCs w:val="21"/>
          <w:highlight w:val="none"/>
          <w:u w:val="single"/>
          <w:lang w:val="zh-CN"/>
        </w:rPr>
        <w:t xml:space="preserve">,该区域内</w:t>
      </w:r>
      <w:r>
        <w:rPr>
          <w:rFonts w:hint="eastAsia" w:ascii="宋体" w:hAnsi="宋体" w:cs="宋体"/>
          <w:color w:val="auto"/>
          <w:spacing w:val="-6"/>
          <w:szCs w:val="21"/>
          <w:highlight w:val="none"/>
          <w:u w:val="single"/>
          <w:lang w:val="en-US" w:eastAsia="zh-CN"/>
        </w:rPr>
        <w:t xml:space="preserve">可能有</w:t>
      </w:r>
      <w:r>
        <w:rPr>
          <w:rFonts w:hint="eastAsia" w:ascii="宋体" w:hAnsi="宋体" w:eastAsia="宋体" w:cs="宋体"/>
          <w:color w:val="auto"/>
          <w:spacing w:val="-6"/>
          <w:szCs w:val="21"/>
          <w:highlight w:val="none"/>
          <w:u w:val="single"/>
          <w:lang w:val="zh-CN"/>
        </w:rPr>
        <w:t xml:space="preserve">车辆通行禁区,</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pacing w:val="-6"/>
          <w:szCs w:val="21"/>
          <w:highlight w:val="none"/>
          <w:u w:val="single"/>
          <w:lang w:val="zh-CN"/>
        </w:rPr>
        <w:t xml:space="preserve">须充分考虑因车辆在禁区内通行所产生的相关费用,结算不得另行增加相关费</w:t>
      </w:r>
      <w:r>
        <w:rPr>
          <w:rFonts w:hint="eastAsia" w:ascii="宋体" w:hAnsi="宋体" w:eastAsia="宋体" w:cs="宋体"/>
          <w:color w:val="auto"/>
          <w:spacing w:val="-6"/>
          <w:szCs w:val="21"/>
          <w:highlight w:val="none"/>
          <w:u w:val="single"/>
        </w:rPr>
        <w:t xml:space="preserve">用。</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5" w:name="_Toc9560"/>
      <w:r/>
      <w:bookmarkStart w:id="236" w:name="_Toc27584"/>
      <w:r/>
      <w:bookmarkStart w:id="237" w:name="_Toc10806"/>
      <w:r/>
      <w:bookmarkStart w:id="238" w:name="_Toc1208"/>
      <w:r/>
      <w:bookmarkStart w:id="239" w:name="_Toc23541"/>
      <w:r>
        <w:rPr>
          <w:rFonts w:hint="eastAsia" w:ascii="宋体" w:hAnsi="宋体" w:eastAsia="宋体" w:cs="宋体"/>
          <w:b/>
          <w:bCs w:val="0"/>
          <w:color w:val="auto"/>
          <w:sz w:val="21"/>
          <w:szCs w:val="21"/>
          <w:highlight w:val="none"/>
          <w:lang w:eastAsia="zh-CN"/>
        </w:rPr>
        <w:t xml:space="preserve">25 工程建设农民工资保障金支付及扣回</w:t>
      </w:r>
      <w:bookmarkEnd w:id="235"/>
      <w:r/>
      <w:bookmarkEnd w:id="236"/>
      <w:r/>
      <w:bookmarkEnd w:id="237"/>
      <w:r/>
      <w:bookmarkEnd w:id="238"/>
      <w:r/>
      <w:bookmarkEnd w:id="239"/>
      <w:r/>
      <w:r/>
    </w:p>
    <w:p>
      <w:pPr>
        <w:ind w:firstLine="396"/>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24．1承包人根据江苏省、南京市劳动保障部门颁发的文件精神，保证此款项全部用于支付农民工工资。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40" w:name="_Toc18941"/>
      <w:r/>
      <w:bookmarkStart w:id="241" w:name="_Toc907"/>
      <w:r/>
      <w:bookmarkStart w:id="242" w:name="_Toc16721"/>
      <w:r/>
      <w:bookmarkStart w:id="243" w:name="_Toc26906"/>
      <w:r/>
      <w:bookmarkStart w:id="244" w:name="_Toc6428"/>
      <w:r>
        <w:rPr>
          <w:rFonts w:hint="eastAsia" w:ascii="宋体" w:hAnsi="宋体" w:eastAsia="宋体" w:cs="宋体"/>
          <w:b/>
          <w:bCs w:val="0"/>
          <w:color w:val="auto"/>
          <w:sz w:val="21"/>
          <w:szCs w:val="21"/>
          <w:highlight w:val="none"/>
          <w:lang w:eastAsia="zh-CN"/>
        </w:rPr>
        <w:t xml:space="preserve">26 安全防护、文明施工措施费支付计划</w:t>
      </w:r>
      <w:bookmarkEnd w:id="240"/>
      <w:r/>
      <w:bookmarkEnd w:id="241"/>
      <w:r/>
      <w:bookmarkEnd w:id="242"/>
      <w:r/>
      <w:bookmarkEnd w:id="243"/>
      <w:r/>
      <w:bookmarkEnd w:id="2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承包人在工程正式开工前完成如下正式工作：</w:t>
      </w:r>
      <w:r/>
    </w:p>
    <w:p>
      <w:pPr>
        <w:numPr>
          <w:ilvl w:val="0"/>
          <w:numId w:val="8"/>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安全警示标志牌；</w:t>
      </w:r>
      <w:r/>
    </w:p>
    <w:p>
      <w:pPr>
        <w:numPr>
          <w:ilvl w:val="0"/>
          <w:numId w:val="8"/>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施工现场围挡（采用封闭围挡，高度不低于1.8米，材料采用彩色定型钢板、砖、混凝土砌块等墙体）；</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3、五牌一图；</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4、施工现场办公、生活临时设施；</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5、施工现场临时用电及给排水。</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5" w:name="_Toc21534"/>
      <w:r/>
      <w:bookmarkStart w:id="246" w:name="_Toc6386"/>
      <w:r>
        <w:rPr>
          <w:rFonts w:hint="eastAsia" w:ascii="Times New Roman" w:hAnsi="Times New Roman" w:eastAsia="宋体" w:cs="Times New Roman"/>
          <w:b/>
          <w:bCs/>
          <w:color w:val="auto"/>
          <w:sz w:val="32"/>
          <w:szCs w:val="32"/>
          <w:highlight w:val="none"/>
          <w:lang w:eastAsia="zh-CN"/>
        </w:rPr>
        <w:t xml:space="preserve">附件1：</w:t>
      </w:r>
      <w:bookmarkEnd w:id="245"/>
      <w:r/>
      <w:bookmarkEnd w:id="246"/>
      <w:r/>
      <w:r/>
    </w:p>
    <w:p>
      <w:pPr>
        <w:ind w:firstLine="435"/>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 程 质 量 保 修 书</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发包人(全称)：</w:t>
      </w:r>
      <w:r>
        <w:rPr>
          <w:rFonts w:hint="eastAsia" w:ascii="微软雅黑" w:hAnsi="微软雅黑" w:eastAsia="宋体" w:cs="微软雅黑"/>
          <w:color w:val="auto"/>
          <w:szCs w:val="21"/>
          <w:highlight w:val="none"/>
          <w:u w:val="single"/>
        </w:rPr>
        <w:t xml:space="preserve"> 南京体育学院 </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承包人(全称)：_______________</w:t>
      </w:r>
      <w:r/>
    </w:p>
    <w:p>
      <w:pPr>
        <w:ind w:firstLine="560"/>
        <w:jc w:val="left"/>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为保证</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一、工程质量保修范围和内容</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质量保修范围根据国家有关规定进行，具体质量保修内容双方约定如下：本项目招标范围。</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二、质量保修期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质量保修期从工程经过发包人或发包人上级项目管理部门或工程质量管理部门验收合格后之日算起。分单项竣工验收的工程，按单项工程分别计算质量保修期。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双方根据国家有关规定，结合具体工程约定质量保修期如下：</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（一）基础设施工程、房屋建筑的地基基础工程和主体结构工程，为设计文件规定的该工程的合理使用年限；</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（二）屋面防水工程、有防水要求的卫生间、房间和外墙面的防渗漏，为</w:t>
      </w:r>
      <w:r>
        <w:rPr>
          <w:rFonts w:ascii="微软雅黑" w:hAnsi="微软雅黑" w:eastAsia="宋体" w:cs="微软雅黑"/>
          <w:color w:val="auto"/>
          <w:szCs w:val="21"/>
          <w:highlight w:val="none"/>
          <w:u w:val="single"/>
        </w:rPr>
        <w:t xml:space="preserve">5</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（三）供热与供冷系统，为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个采暖期、供冷期；</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（四）电气管线、给排水管道、设备安装和装修工程，为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bookmarkStart w:id="247" w:name="_Toc31984"/>
      <w:r/>
      <w:bookmarkStart w:id="248" w:name="_Toc18680"/>
      <w:r>
        <w:rPr>
          <w:rFonts w:hint="eastAsia" w:ascii="微软雅黑" w:hAnsi="微软雅黑" w:eastAsia="宋体" w:cs="微软雅黑"/>
          <w:color w:val="auto"/>
          <w:szCs w:val="21"/>
          <w:highlight w:val="none"/>
        </w:rPr>
        <w:t xml:space="preserve">（五）其他约定：本工程质量保修期从工程经过发包人或发包人上级项目管理部门或工程质量管理部门验收合格交付使用之日算起，截止时间以投标书为准并不得低于法定期限。</w:t>
      </w:r>
      <w:bookmarkEnd w:id="247"/>
      <w:r/>
      <w:bookmarkEnd w:id="248"/>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三、质量保修责任</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1.属于保修范围和内容的项目，承包人应在接到修理通知之日后</w:t>
      </w:r>
      <w:r>
        <w:rPr>
          <w:rFonts w:hint="eastAsia" w:ascii="微软雅黑" w:hAnsi="微软雅黑" w:cs="微软雅黑"/>
          <w:color w:val="auto"/>
          <w:szCs w:val="21"/>
          <w:highlight w:val="none"/>
          <w:lang w:val="en-US" w:eastAsia="zh-CN"/>
        </w:rPr>
        <w:t xml:space="preserve">7日</w:t>
      </w:r>
      <w:bookmarkStart w:id="360" w:name="_GoBack"/>
      <w:r/>
      <w:bookmarkEnd w:id="360"/>
      <w:r>
        <w:rPr>
          <w:rFonts w:hint="eastAsia" w:ascii="微软雅黑" w:hAnsi="微软雅黑" w:eastAsia="宋体" w:cs="微软雅黑"/>
          <w:color w:val="auto"/>
          <w:szCs w:val="21"/>
          <w:highlight w:val="none"/>
        </w:rPr>
        <w:t xml:space="preserve">内派人修理。承包人不在约定期限内，派人修理，发包人可委托其他人员修理，保修费用从质量保修金内扣除。</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四、质量保修金的支付</w:t>
      </w:r>
      <w:r/>
    </w:p>
    <w:p>
      <w:pPr>
        <w:ind w:firstLine="56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本工程约定的工程质量保修金为最终结算审核总价的 </w:t>
      </w:r>
      <w:r>
        <w:rPr>
          <w:rFonts w:hint="eastAsia" w:ascii="微软雅黑" w:hAnsi="微软雅黑" w:eastAsia="宋体" w:cs="微软雅黑"/>
          <w:b/>
          <w:color w:val="auto"/>
          <w:szCs w:val="21"/>
          <w:highlight w:val="none"/>
          <w:u w:val="single"/>
        </w:rPr>
        <w:t xml:space="preserve"> 3 ％</w:t>
      </w:r>
      <w:r>
        <w:rPr>
          <w:rFonts w:hint="eastAsia" w:ascii="微软雅黑" w:hAnsi="微软雅黑" w:eastAsia="宋体" w:cs="微软雅黑"/>
          <w:b/>
          <w:color w:val="auto"/>
          <w:szCs w:val="21"/>
          <w:highlight w:val="none"/>
        </w:rPr>
        <w:t xml:space="preserve"> 。</w:t>
      </w:r>
      <w:r/>
    </w:p>
    <w:p>
      <w:pPr>
        <w:ind w:firstLine="52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本工程双方约定承包人向发包人支付工程质量保修金金额为</w:t>
      </w:r>
      <w:r>
        <w:rPr>
          <w:rFonts w:hint="eastAsia" w:ascii="微软雅黑" w:hAnsi="微软雅黑" w:eastAsia="宋体" w:cs="微软雅黑"/>
          <w:color w:val="auto"/>
          <w:szCs w:val="21"/>
          <w:highlight w:val="none"/>
          <w:u w:val="single"/>
        </w:rPr>
        <w:t xml:space="preserve">     /       </w:t>
      </w:r>
      <w:r>
        <w:rPr>
          <w:rFonts w:hint="eastAsia" w:ascii="微软雅黑" w:hAnsi="微软雅黑" w:eastAsia="宋体" w:cs="微软雅黑"/>
          <w:color w:val="auto"/>
          <w:szCs w:val="21"/>
          <w:highlight w:val="none"/>
        </w:rPr>
        <w:t xml:space="preserve">（大写）。质量保修金银行利率为</w:t>
      </w:r>
      <w:r>
        <w:rPr>
          <w:rFonts w:hint="eastAsia" w:ascii="微软雅黑" w:hAnsi="微软雅黑" w:eastAsia="宋体" w:cs="微软雅黑"/>
          <w:color w:val="auto"/>
          <w:szCs w:val="21"/>
          <w:highlight w:val="none"/>
          <w:u w:val="single"/>
        </w:rPr>
        <w:t xml:space="preserve">       零         </w:t>
      </w:r>
      <w:r>
        <w:rPr>
          <w:rFonts w:hint="eastAsia" w:ascii="微软雅黑" w:hAnsi="微软雅黑" w:eastAsia="宋体" w:cs="微软雅黑"/>
          <w:color w:val="auto"/>
          <w:szCs w:val="21"/>
          <w:highlight w:val="none"/>
        </w:rPr>
        <w:t xml:space="preserve"> 。</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五、质量保修金的返还</w:t>
      </w:r>
      <w:r/>
    </w:p>
    <w:p>
      <w:pPr>
        <w:ind w:firstLine="560"/>
        <w:spacing w:line="440" w:lineRule="exact"/>
        <w:rPr>
          <w:rFonts w:hint="eastAsia" w:ascii="微软雅黑" w:hAnsi="微软雅黑" w:eastAsia="宋体" w:cs="微软雅黑"/>
          <w:color w:val="auto"/>
          <w:szCs w:val="21"/>
          <w:highlight w:val="none"/>
        </w:rPr>
      </w:pPr>
      <w:r>
        <w:rPr>
          <w:rFonts w:hint="eastAsia" w:ascii="宋体" w:hAnsi="宋体" w:eastAsia="宋体" w:cs="宋体"/>
          <w:color w:val="auto"/>
          <w:szCs w:val="21"/>
          <w:highlight w:val="none"/>
        </w:rPr>
        <w:t xml:space="preserve">结算审核总价的3%作为工程质量保证金，缺陷责任期（为期2年）期满后经承包人申请，发包人审核通过后，无息退还</w:t>
      </w:r>
      <w:r>
        <w:rPr>
          <w:rFonts w:hint="eastAsia" w:ascii="微软雅黑" w:hAnsi="微软雅黑" w:eastAsia="宋体" w:cs="微软雅黑"/>
          <w:color w:val="auto"/>
          <w:szCs w:val="21"/>
          <w:highlight w:val="none"/>
        </w:rPr>
        <w:t xml:space="preserve">。</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六、其他</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双方约定的其他工程质量保修事项：</w:t>
      </w:r>
      <w:r>
        <w:rPr>
          <w:rFonts w:hint="eastAsia" w:ascii="微软雅黑" w:hAnsi="微软雅黑" w:eastAsia="宋体" w:cs="微软雅黑"/>
          <w:color w:val="auto"/>
          <w:szCs w:val="21"/>
          <w:highlight w:val="none"/>
          <w:u w:val="single"/>
        </w:rPr>
        <w:t xml:space="preserve">见承包人响应文件</w:t>
      </w:r>
      <w:r>
        <w:rPr>
          <w:rFonts w:hint="eastAsia" w:ascii="微软雅黑" w:hAnsi="微软雅黑" w:eastAsia="宋体" w:cs="微软雅黑"/>
          <w:color w:val="auto"/>
          <w:szCs w:val="21"/>
          <w:highlight w:val="none"/>
        </w:rPr>
        <w:t xml:space="preserve">。</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本工程质量保修书作为施工合同附件，由施工合同发包人承包人双方共同签署。</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发  包  人(盖章)：                      承  包  人(盖章)：</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法定代表人或授权代表(签字)：              法定代表人或授权代表(签字)：</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both"/>
        <w:keepLines/>
        <w:keepNext/>
        <w:spacing w:before="260" w:after="260" w:line="416" w:lineRule="auto"/>
        <w:widowControl w:val="off"/>
        <w:rPr>
          <w:rFonts w:hint="eastAsia" w:ascii="微软雅黑" w:hAnsi="微软雅黑" w:eastAsia="宋体" w:cs="微软雅黑"/>
          <w:b/>
          <w:bCs/>
          <w:color w:val="auto"/>
          <w:sz w:val="32"/>
          <w:szCs w:val="21"/>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9" w:name="_Toc29305"/>
      <w:r/>
      <w:bookmarkStart w:id="250" w:name="_Toc20062"/>
      <w:r>
        <w:rPr>
          <w:rFonts w:hint="eastAsia" w:ascii="微软雅黑" w:hAnsi="微软雅黑" w:eastAsia="宋体" w:cs="微软雅黑"/>
          <w:b/>
          <w:bCs/>
          <w:color w:val="auto"/>
          <w:sz w:val="32"/>
          <w:szCs w:val="21"/>
          <w:highlight w:val="none"/>
          <w:lang w:eastAsia="zh-CN"/>
        </w:rPr>
        <w:t xml:space="preserve">附件2</w:t>
      </w:r>
      <w:bookmarkEnd w:id="249"/>
      <w:r/>
      <w:bookmarkEnd w:id="250"/>
      <w:r/>
      <w:r/>
    </w:p>
    <w:p>
      <w:pPr>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建设工程承发包安全管理协议</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发包单位：</w:t>
      </w:r>
      <w:r>
        <w:rPr>
          <w:rFonts w:hint="eastAsia" w:ascii="微软雅黑" w:hAnsi="微软雅黑" w:eastAsia="宋体" w:cs="微软雅黑"/>
          <w:color w:val="auto"/>
          <w:szCs w:val="21"/>
          <w:highlight w:val="none"/>
          <w:u w:val="single"/>
        </w:rPr>
        <w:t xml:space="preserve">南京体育学院（以下简称甲方）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承包单位：</w:t>
      </w:r>
      <w:r>
        <w:rPr>
          <w:rFonts w:hint="eastAsia" w:ascii="微软雅黑" w:hAnsi="微软雅黑" w:eastAsia="宋体" w:cs="微软雅黑"/>
          <w:color w:val="auto"/>
          <w:szCs w:val="21"/>
          <w:highlight w:val="none"/>
          <w:u w:val="single"/>
        </w:rPr>
        <w:t xml:space="preserve">                       （以下简称乙方）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一、承包施工项目：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工程项目名称：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工程地址</w:t>
      </w:r>
      <w:r>
        <w:rPr>
          <w:rFonts w:hint="eastAsia" w:ascii="微软雅黑" w:hAnsi="微软雅黑" w:eastAsia="宋体" w:cs="微软雅黑"/>
          <w:color w:val="auto"/>
          <w:szCs w:val="21"/>
          <w:highlight w:val="none"/>
          <w:u w:val="single"/>
        </w:rPr>
        <w:t xml:space="preserve">：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承包范围：</w:t>
      </w:r>
      <w:r>
        <w:rPr>
          <w:rFonts w:hint="eastAsia" w:ascii="微软雅黑" w:hAnsi="微软雅黑" w:eastAsia="宋体" w:cs="微软雅黑"/>
          <w:color w:val="auto"/>
          <w:szCs w:val="21"/>
          <w:highlight w:val="none"/>
          <w:u w:val="single"/>
        </w:rPr>
        <w:t xml:space="preserve">采购文件（具体以工程量清单和采购人要求为准）</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二、工程项目施工期限： </w:t>
      </w:r>
      <w:r>
        <w:rPr>
          <w:rFonts w:hint="eastAsia" w:ascii="微软雅黑" w:hAnsi="微软雅黑" w:eastAsia="宋体" w:cs="微软雅黑"/>
          <w:color w:val="auto"/>
          <w:szCs w:val="21"/>
          <w:highlight w:val="none"/>
        </w:rPr>
        <w:t xml:space="preserve">共</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个日历日（具体开工时间以甲方通知为准）</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三、协议内容：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1.甲乙双方必须认真贯彻国家、江苏省和上级劳动保护、安全生产主管部门颁发的有关安全生产、消防工作的方针、政策、严格执行有关劳动保护法规、条例、规定。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3.乙方在施工前要认真勘察现场：乙方进场后首先必须做好施工现场围护，防止闲杂人员进入施工现场，发生安全事故。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7.根据工程项目内容、特点，甲乙双方应做好安全技术交底，并有交底的书面材料，交底材料一式两份，由甲乙双方签字后各执一份。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8.施工期间，乙方指派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同志负责本工程项目的有关安全、防火工作；甲方指派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同志负责联系、检查督促乙方执行有关安全、防火规定。甲乙双方应经常联系，相互协助检查和处理工程施工有关的安全、防火工作，共同预防事故发生。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10.在生产操作过程中的乙方员工防护用品，由乙方自理，乙方都应督促施工现场人员自觉穿戴好防护用品。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19．本协议经双方签字、盖章有效。作为合同正本的附件一式</w:t>
      </w:r>
      <w:r>
        <w:rPr>
          <w:rFonts w:hint="eastAsia" w:ascii="微软雅黑" w:hAnsi="微软雅黑" w:cs="微软雅黑"/>
          <w:color w:val="auto"/>
          <w:szCs w:val="21"/>
          <w:highlight w:val="none"/>
          <w:lang w:val="en-US" w:eastAsia="zh-CN"/>
        </w:rPr>
        <w:t xml:space="preserve">陆</w:t>
      </w:r>
      <w:r>
        <w:rPr>
          <w:rFonts w:hint="eastAsia" w:ascii="微软雅黑" w:hAnsi="微软雅黑" w:eastAsia="宋体" w:cs="微软雅黑"/>
          <w:color w:val="auto"/>
          <w:szCs w:val="21"/>
          <w:highlight w:val="none"/>
        </w:rPr>
        <w:t xml:space="preserve">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20．本协议同工程合同正本同日生效，甲、乙双方必须严格执行，由于违反本协议而造成伤亡事故，由违约方承担一切经济损失。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w:t>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年    月     日                              年    月    日</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51" w:name="_Toc25176"/>
      <w:r/>
      <w:bookmarkStart w:id="252" w:name="_Toc24287"/>
      <w:r>
        <w:rPr>
          <w:rFonts w:hint="eastAsia" w:ascii="Times New Roman" w:hAnsi="Times New Roman" w:eastAsia="宋体" w:cs="Times New Roman"/>
          <w:b/>
          <w:bCs/>
          <w:color w:val="auto"/>
          <w:sz w:val="32"/>
          <w:szCs w:val="32"/>
          <w:highlight w:val="none"/>
          <w:lang w:eastAsia="zh-CN"/>
        </w:rPr>
        <w:t xml:space="preserve">附件3：</w:t>
      </w:r>
      <w:bookmarkEnd w:id="251"/>
      <w:r/>
      <w:bookmarkEnd w:id="252"/>
      <w:r/>
      <w:r/>
    </w:p>
    <w:p>
      <w:pPr>
        <w:jc w:val="center"/>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廉洁合作协议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甲方：南京体育学院</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为加强甲乙双方廉政建设，规范采购、采购、协议签订、协议履行等过程管理，保证双方工作人员公正廉洁，甲乙双方特订立如下协议：</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第一条甲乙双方共同履行的职责</w:t>
      </w:r>
      <w:r/>
    </w:p>
    <w:p>
      <w:pPr>
        <w:numPr>
          <w:ilvl w:val="0"/>
          <w:numId w:val="9"/>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严格遵守党和国家有关法律法规和有关党风廉政规定。</w:t>
      </w:r>
      <w:r/>
    </w:p>
    <w:p>
      <w:pPr>
        <w:numPr>
          <w:ilvl w:val="0"/>
          <w:numId w:val="9"/>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双方的业务活动坚持公平、公正、诚信的原则，不应损害国家和企业利益。</w:t>
      </w:r>
      <w:r/>
    </w:p>
    <w:p>
      <w:pPr>
        <w:numPr>
          <w:ilvl w:val="0"/>
          <w:numId w:val="9"/>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发现对方在业务活动中有违反廉政规定的行为，有及时提醒对方纠正的权利和义务。</w:t>
      </w:r>
      <w:r/>
    </w:p>
    <w:p>
      <w:pPr>
        <w:numPr>
          <w:ilvl w:val="0"/>
          <w:numId w:val="9"/>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发现对方严重违反本协议条款及其他违反党风廉政规定的行为，有向其单位有关部门举报并要求告知处理结果的权利。</w:t>
      </w:r>
      <w:r/>
    </w:p>
    <w:p>
      <w:pPr>
        <w:numPr>
          <w:ilvl w:val="0"/>
          <w:numId w:val="9"/>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本协议由双方经济合同谈判部门签订，双方单位的纪检监察部门负责监督落实情况。</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第二条甲方行为准则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（二）甲方工作人员不得参加乙方安排的可能影响公正执行公务的高消费宴请和娱乐活动。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（三）甲方的工作人员不得要求或者接受乙方为其进行住房装修，不得要求和接受由乙方出资为自己及其配偶、子女私自出国出境、旅游进行的安排等。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（四）甲方及工作人员不得从事违反党风廉政规定的其它活动。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（二）乙方不得以任何理由安排甲方工作人员参加影响公正执行公务的高消费宴请及娱乐活动。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（三）乙方及其工作人员不得为甲方人员进行住房装修，不得出资为甲方人员及其配偶、子女私自出国出境、旅游进行安排等。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（四）乙方发现甲方及其工作人员有违反本协议内容或违反党风廉政规定的行为应及时向甲方相关部门反映或举报。</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（六）乙方及时答复甲方征求意见函</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（二）乙方及其工作人员违反本协议行为准则，涉嫌犯罪的，移交司法机关追究刑事责任；给甲方单位造成经济损失的，应予以赔偿。</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第五条联系方式</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乙方及其工作人员发现甲方及其工作人员违反廉洁合作协议，应向甲方廉政举报中心反映情况。</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校党政办督查科电话：025-84755</w:t>
      </w:r>
      <w:r>
        <w:rPr>
          <w:rFonts w:hint="eastAsia" w:ascii="宋体" w:hAnsi="宋体" w:eastAsia="宋体" w:cs="宋体"/>
          <w:color w:val="auto"/>
          <w:szCs w:val="21"/>
          <w:highlight w:val="none"/>
          <w:lang w:val="en-US" w:eastAsia="zh-CN"/>
        </w:rPr>
        <w:t xml:space="preserve">111</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甲方及其工作人员发现乙方及其工作人员违反廉洁合作协议，应向乙方有关部门反映情况。</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乙方有关部门电话：</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firstLine="63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 </w:t>
      </w:r>
      <w:r/>
    </w:p>
    <w:p>
      <w:pPr>
        <w:pStyle w:val="1052"/>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ind w:firstLine="630"/>
        <w:spacing w:line="440" w:lineRule="exact"/>
        <w:rPr>
          <w:rFonts w:hint="eastAsia" w:ascii="宋体" w:hAnsi="宋体" w:eastAsia="宋体" w:cs="宋体"/>
          <w:color w:val="auto"/>
          <w:highlight w:val="none"/>
        </w:rPr>
      </w:pPr>
      <w:r>
        <w:rPr>
          <w:rFonts w:hint="eastAsia" w:ascii="微软雅黑" w:hAnsi="微软雅黑" w:eastAsia="宋体" w:cs="微软雅黑"/>
          <w:color w:val="auto"/>
          <w:szCs w:val="21"/>
          <w:highlight w:val="none"/>
        </w:rPr>
        <w:t xml:space="preserve">    年    月     日                            年    月     日</w:t>
      </w:r>
      <w:r/>
    </w:p>
    <w:p>
      <w:pPr>
        <w:ind w:firstLine="420"/>
        <w:jc w:val="right"/>
        <w:spacing w:before="27"/>
        <w:tabs>
          <w:tab w:val="left" w:pos="5280" w:leader="none"/>
        </w:tabs>
        <w:rPr>
          <w:color w:val="000000"/>
          <w:highlight w:val="none"/>
        </w:rPr>
      </w:pPr>
      <w:r>
        <w:rPr>
          <w:color w:val="000000"/>
          <w:highlight w:val="none"/>
        </w:rPr>
      </w:r>
      <w:r/>
    </w:p>
    <w:p>
      <w:pPr>
        <w:ind w:firstLine="4209"/>
        <w:tabs>
          <w:tab w:val="left" w:pos="1770" w:leader="none"/>
        </w:tabs>
        <w:rPr>
          <w:rFonts w:eastAsia="黑体"/>
          <w:color w:val="000000"/>
          <w:sz w:val="48"/>
          <w:szCs w:val="48"/>
          <w:highlight w:val="none"/>
        </w:rPr>
      </w:pPr>
      <w:r>
        <w:rPr>
          <w:rFonts w:eastAsia="黑体"/>
          <w:color w:val="000000"/>
          <w:sz w:val="48"/>
          <w:szCs w:val="48"/>
          <w:highlight w:val="none"/>
        </w:rPr>
      </w:r>
      <w:bookmarkEnd w:id="107"/>
      <w:r/>
      <w:bookmarkEnd w:id="108"/>
      <w:r/>
      <w:r/>
    </w:p>
    <w:p>
      <w:pPr>
        <w:pStyle w:val="998"/>
        <w:ind w:left="0" w:right="0" w:firstLine="420"/>
        <w:keepLines w:val="0"/>
        <w:keepNext w:val="0"/>
        <w:pageBreakBefore w:val="0"/>
        <w:spacing w:before="0" w:beforeAutospacing="0" w:after="0" w:afterAutospacing="0" w:line="360" w:lineRule="auto"/>
        <w:shd w:val="clear" w:color="auto" w:fill="ffffff"/>
        <w:widowControl/>
        <w:rPr>
          <w:color w:val="000000"/>
          <w:highlight w:val="none"/>
          <w:lang w:val="zh-CN"/>
        </w:rPr>
        <w:pBdr>
          <w:top w:val="none" w:color="000000" w:sz="0" w:space="0"/>
          <w:left w:val="none" w:color="000000" w:sz="0" w:space="0"/>
          <w:bottom w:val="none" w:color="000000" w:sz="0" w:space="0"/>
          <w:right w:val="none" w:color="000000" w:sz="0" w:space="0"/>
        </w:pBdr>
        <w:suppressLineNumbers w:val="0"/>
      </w:pPr>
      <w:r>
        <w:rPr>
          <w:color w:val="000000"/>
          <w:highlight w:val="none"/>
          <w:lang w:val="zh-CN"/>
        </w:rPr>
      </w:r>
      <w:r/>
    </w:p>
    <w:p>
      <w:pPr>
        <w:pStyle w:val="951"/>
        <w:jc w:val="center"/>
        <w:rPr>
          <w:rFonts w:hint="eastAsia" w:ascii="Microsoft New Tai Lue" w:hAnsi="Microsoft New Tai Lue" w:eastAsia="宋体" w:cs="Microsoft New Tai Lue"/>
          <w:b/>
          <w:bCs/>
          <w:color w:val="000000"/>
          <w:sz w:val="32"/>
          <w:szCs w:val="32"/>
          <w:highlight w:val="none"/>
          <w:lang w:val="en-US" w:eastAsia="zh-CN" w:bidi="ar-SA"/>
        </w:rPr>
      </w:pPr>
      <w:r/>
      <w:bookmarkStart w:id="253" w:name="_Toc91836565"/>
      <w:r/>
      <w:bookmarkStart w:id="254" w:name="_Toc107246273"/>
      <w:r/>
      <w:bookmarkStart w:id="255" w:name="_Toc7207"/>
      <w:r>
        <w:rPr>
          <w:rFonts w:ascii="Microsoft New Tai Lue" w:hAnsi="Microsoft New Tai Lue" w:eastAsia="宋体" w:cs="Microsoft New Tai Lue"/>
          <w:b/>
          <w:bCs/>
          <w:color w:val="000000"/>
          <w:sz w:val="32"/>
          <w:szCs w:val="32"/>
          <w:highlight w:val="none"/>
          <w:lang w:val="en-US" w:eastAsia="zh-CN" w:bidi="ar-SA"/>
        </w:rPr>
        <w:t xml:space="preserve">第六章 </w:t>
      </w:r>
      <w:bookmarkEnd w:id="253"/>
      <w:r>
        <w:rPr>
          <w:rFonts w:hint="eastAsia" w:ascii="Microsoft New Tai Lue" w:hAnsi="Microsoft New Tai Lue" w:eastAsia="宋体" w:cs="Microsoft New Tai Lue"/>
          <w:b/>
          <w:bCs/>
          <w:color w:val="000000"/>
          <w:sz w:val="32"/>
          <w:szCs w:val="32"/>
          <w:highlight w:val="none"/>
          <w:lang w:val="en-US" w:eastAsia="zh-CN" w:bidi="ar-SA"/>
        </w:rPr>
        <w:t xml:space="preserve">响应文件格式</w:t>
      </w:r>
      <w:bookmarkEnd w:id="254"/>
      <w:r/>
      <w:bookmarkEnd w:id="255"/>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注：请供应商按照以下文件的要求格式、内容，顺序制作响应文件，并请编制目录及页码，否则可能将影响对响应文件的评价。</w:t>
      </w:r>
      <w:r/>
    </w:p>
    <w:p>
      <w:pPr>
        <w:pStyle w:val="1025"/>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jc w:val="left"/>
        <w:spacing w:before="100" w:after="100" w:line="360" w:lineRule="auto"/>
        <w:rPr>
          <w:rFonts w:ascii="Microsoft New Tai Lue" w:hAnsi="Microsoft New Tai Lue" w:cs="Microsoft New Tai Lue"/>
          <w:b/>
          <w:color w:val="000000"/>
          <w:sz w:val="40"/>
          <w:szCs w:val="60"/>
          <w:highlight w:val="none"/>
        </w:rPr>
      </w:pPr>
      <w:r/>
      <w:bookmarkStart w:id="256"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p>
    <w:p>
      <w:pPr>
        <w:jc w:val="left"/>
        <w:spacing w:before="100" w:after="100" w:line="360" w:lineRule="auto"/>
        <w:rPr>
          <w:rFonts w:ascii="Microsoft New Tai Lue" w:hAnsi="Microsoft New Tai Lue" w:cs="Microsoft New Tai Lue"/>
          <w:b/>
          <w:color w:val="000000"/>
          <w:sz w:val="40"/>
          <w:szCs w:val="60"/>
          <w:highlight w:val="none"/>
        </w:rPr>
      </w:pPr>
      <w:r>
        <w:rPr>
          <w:rFonts w:ascii="Microsoft New Tai Lue" w:hAnsi="Microsoft New Tai Lue" w:cs="Microsoft New Tai Lue"/>
          <w:b/>
          <w:color w:val="000000"/>
          <w:sz w:val="40"/>
          <w:szCs w:val="60"/>
          <w:highlight w:val="none"/>
        </w:rPr>
      </w:r>
      <w:r/>
    </w:p>
    <w:p>
      <w:pPr>
        <w:jc w:val="center"/>
        <w:spacing w:before="100" w:after="100" w:line="360" w:lineRule="auto"/>
        <w:rPr>
          <w:rFonts w:hint="eastAsia" w:ascii="Microsoft New Tai Lue" w:hAnsi="Microsoft New Tai Lue" w:eastAsia="宋体" w:cs="Microsoft New Tai Lue"/>
          <w:b/>
          <w:color w:val="000000"/>
          <w:sz w:val="60"/>
          <w:szCs w:val="60"/>
          <w:highlight w:val="none"/>
          <w:lang w:eastAsia="zh-CN"/>
        </w:rPr>
      </w:pPr>
      <w:r>
        <w:rPr>
          <w:rFonts w:hint="eastAsia" w:ascii="Microsoft New Tai Lue" w:hAnsi="Microsoft New Tai Lue" w:cs="Microsoft New Tai Lue"/>
          <w:b/>
          <w:color w:val="000000"/>
          <w:sz w:val="60"/>
          <w:szCs w:val="60"/>
          <w:highlight w:val="none"/>
          <w:lang w:eastAsia="zh-CN"/>
        </w:rPr>
        <w:t xml:space="preserve">仙林校区学生公寓A楼宿舍维修消险改造工程</w:t>
      </w:r>
      <w:r/>
    </w:p>
    <w:p>
      <w:pPr>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80"/>
        <w:jc w:val="center"/>
        <w:rPr>
          <w:rFonts w:ascii="Microsoft New Tai Lue" w:hAnsi="Microsoft New Tai Lue" w:cs="Microsoft New Tai Lue"/>
          <w:b/>
          <w:color w:val="000000"/>
          <w:sz w:val="84"/>
          <w:szCs w:val="84"/>
          <w:highlight w:val="none"/>
        </w:rPr>
      </w:pPr>
      <w:r/>
      <w:bookmarkStart w:id="257" w:name="_Toc100905255"/>
      <w:r>
        <w:rPr>
          <w:rFonts w:hint="eastAsia" w:ascii="Microsoft New Tai Lue" w:hAnsi="Microsoft New Tai Lue" w:cs="Microsoft New Tai Lue"/>
          <w:b/>
          <w:color w:val="000000"/>
          <w:sz w:val="84"/>
          <w:szCs w:val="84"/>
          <w:highlight w:val="none"/>
        </w:rPr>
        <w:t xml:space="preserve">响 应</w:t>
      </w:r>
      <w:r>
        <w:rPr>
          <w:rFonts w:ascii="Microsoft New Tai Lue" w:hAnsi="Microsoft New Tai Lue" w:cs="Microsoft New Tai Lue"/>
          <w:b/>
          <w:color w:val="000000"/>
          <w:sz w:val="84"/>
          <w:szCs w:val="84"/>
          <w:highlight w:val="none"/>
        </w:rPr>
        <w:t xml:space="preserve"> 文 件</w:t>
      </w:r>
      <w:bookmarkEnd w:id="257"/>
      <w:r/>
      <w:r/>
    </w:p>
    <w:p>
      <w:pPr>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p>
    <w:p>
      <w:pPr>
        <w:pStyle w:val="980"/>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80"/>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80"/>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80"/>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80"/>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供应商名称：</w:t>
      </w:r>
      <w:r>
        <w:rPr>
          <w:rFonts w:ascii="Microsoft New Tai Lue" w:hAnsi="Microsoft New Tai Lue" w:cs="Microsoft New Tai Lue"/>
          <w:b/>
          <w:color w:val="000000"/>
          <w:sz w:val="32"/>
          <w:szCs w:val="32"/>
          <w:highlight w:val="none"/>
        </w:rPr>
        <w:t xml:space="preserve">_____________________</w:t>
      </w:r>
      <w:r/>
    </w:p>
    <w:p>
      <w:pPr>
        <w:pStyle w:val="980"/>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u w:val="single"/>
        </w:rPr>
        <w:t xml:space="preserve">   </w:t>
      </w:r>
      <w:r/>
    </w:p>
    <w:p>
      <w:pPr>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二O   年  月  日</w:t>
      </w:r>
      <w:r/>
    </w:p>
    <w:p>
      <w:pPr>
        <w:pStyle w:val="980"/>
        <w:jc w:val="center"/>
        <w:spacing w:before="156"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p>
    <w:p>
      <w:pPr>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（注：供应商根据附件顺序编制响应文件并制作目录（须生成页码））</w:t>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bookmarkEnd w:id="256"/>
      <w:r/>
      <w:r/>
    </w:p>
    <w:p>
      <w:pPr>
        <w:rPr>
          <w:color w:val="000000"/>
          <w:highlight w:val="none"/>
        </w:rPr>
      </w:pPr>
      <w:r/>
      <w:bookmarkStart w:id="258" w:name="_Toc104560893"/>
      <w:r/>
      <w:r/>
    </w:p>
    <w:p>
      <w:pPr>
        <w:rPr>
          <w:rFonts w:hint="eastAsia"/>
          <w:color w:val="000000"/>
          <w:highlight w:val="none"/>
        </w:rPr>
      </w:pPr>
      <w:r>
        <w:rPr>
          <w:rFonts w:hint="eastAsia"/>
          <w:color w:val="000000"/>
          <w:highlight w:val="none"/>
        </w:rPr>
      </w:r>
      <w:r/>
    </w:p>
    <w:p>
      <w:pPr>
        <w:pStyle w:val="999"/>
        <w:spacing w:before="0" w:line="280" w:lineRule="exact"/>
        <w:rPr>
          <w:rFonts w:ascii="Microsoft New Tai Lue" w:hAnsi="Microsoft New Tai Lue" w:cs="Microsoft New Tai Lue"/>
          <w:color w:val="000000"/>
          <w:sz w:val="28"/>
          <w:szCs w:val="24"/>
          <w:highlight w:val="none"/>
        </w:rPr>
      </w:pPr>
      <w:r/>
      <w:bookmarkStart w:id="259" w:name="_Toc107246275"/>
      <w:r>
        <w:rPr>
          <w:rFonts w:hint="eastAsia" w:ascii="Microsoft New Tai Lue" w:hAnsi="Microsoft New Tai Lue" w:cs="Microsoft New Tai Lue"/>
          <w:b w:val="0"/>
          <w:color w:val="000000"/>
          <w:sz w:val="24"/>
          <w:highlight w:val="none"/>
        </w:rPr>
        <w:br w:type="page" w:clear="all"/>
      </w:r>
      <w:bookmarkStart w:id="260" w:name="_Toc21649"/>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bookmarkEnd w:id="258"/>
      <w:r/>
      <w:bookmarkEnd w:id="259"/>
      <w:r/>
      <w:bookmarkEnd w:id="260"/>
      <w:r/>
      <w:r/>
    </w:p>
    <w:p>
      <w:pPr>
        <w:ind w:firstLine="420"/>
        <w:spacing w:before="156" w:line="360" w:lineRule="exact"/>
        <w:rPr>
          <w:color w:val="000000"/>
          <w:szCs w:val="21"/>
          <w:highlight w:val="none"/>
        </w:rPr>
      </w:pPr>
      <w:r/>
      <w:bookmarkStart w:id="261" w:name="_Toc103848580"/>
      <w:r/>
      <w:bookmarkStart w:id="262"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p>
    <w:p>
      <w:pPr>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996"/>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p>
    <w:p>
      <w:pPr>
        <w:pStyle w:val="996"/>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p>
    <w:p>
      <w:pPr>
        <w:pStyle w:val="996"/>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p>
    <w:p>
      <w:pPr>
        <w:pStyle w:val="996"/>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firstLine="315"/>
        <w:rPr>
          <w:color w:val="000000"/>
          <w:szCs w:val="21"/>
          <w:highlight w:val="none"/>
        </w:rPr>
      </w:pPr>
      <w:r>
        <w:rPr>
          <w:color w:val="000000"/>
          <w:szCs w:val="21"/>
          <w:highlight w:val="none"/>
        </w:rPr>
        <w:t xml:space="preserve">法定代表人（单位负责人）</w:t>
      </w:r>
      <w:r/>
    </w:p>
    <w:p>
      <w:pPr>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9"/>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3" w:name="_Toc103848583"/>
      <w:r/>
      <w:bookmarkStart w:id="264" w:name="_Toc104560898"/>
      <w:r/>
      <w:bookmarkStart w:id="265" w:name="_Toc107246276"/>
      <w:r/>
      <w:bookmarkStart w:id="266" w:name="_Toc13183"/>
      <w:r>
        <w:rPr>
          <w:rFonts w:ascii="Microsoft New Tai Lue" w:hAnsi="Microsoft New Tai Lue" w:cs="Microsoft New Tai Lue"/>
          <w:bCs w:val="0"/>
          <w:color w:val="000000"/>
          <w:sz w:val="24"/>
          <w:szCs w:val="24"/>
          <w:highlight w:val="none"/>
        </w:rPr>
        <w:t xml:space="preserve">（2）</w:t>
      </w:r>
      <w:bookmarkEnd w:id="263"/>
      <w:r/>
      <w:bookmarkEnd w:id="264"/>
      <w:r>
        <w:rPr>
          <w:rFonts w:hint="eastAsia" w:ascii="Microsoft New Tai Lue" w:hAnsi="Microsoft New Tai Lue" w:cs="Microsoft New Tai Lue"/>
          <w:bCs w:val="0"/>
          <w:color w:val="000000"/>
          <w:sz w:val="24"/>
          <w:szCs w:val="24"/>
          <w:highlight w:val="none"/>
        </w:rPr>
        <w:t xml:space="preserve">法定代表人（单位负责人）身份证明</w:t>
      </w:r>
      <w:bookmarkEnd w:id="265"/>
      <w:r/>
      <w:bookmarkEnd w:id="266"/>
      <w:r/>
      <w:r/>
    </w:p>
    <w:p>
      <w:pPr>
        <w:pStyle w:val="975"/>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5"/>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5"/>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975"/>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975"/>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p>
    <w:p>
      <w:pPr>
        <w:pStyle w:val="975"/>
        <w:ind w:firstLine="420"/>
        <w:spacing w:before="170"/>
        <w:rPr>
          <w:color w:val="000000"/>
          <w:highlight w:val="none"/>
        </w:rPr>
      </w:pPr>
      <w:r>
        <w:rPr>
          <w:color w:val="000000"/>
          <w:highlight w:val="none"/>
        </w:rPr>
        <w:t xml:space="preserve">特此证明。</w:t>
      </w:r>
      <w:r/>
    </w:p>
    <w:p>
      <w:pPr>
        <w:pStyle w:val="975"/>
        <w:ind w:left="1260"/>
        <w:rPr>
          <w:color w:val="000000"/>
          <w:sz w:val="20"/>
          <w:highlight w:val="none"/>
        </w:rPr>
      </w:pPr>
      <w:r>
        <w:rPr>
          <w:color w:val="000000"/>
          <w:sz w:val="20"/>
          <w:highlight w:val="none"/>
        </w:rPr>
      </w:r>
      <w:r/>
    </w:p>
    <w:p>
      <w:pPr>
        <w:pStyle w:val="975"/>
        <w:ind w:left="1260"/>
        <w:spacing w:before="10"/>
        <w:rPr>
          <w:color w:val="000000"/>
          <w:sz w:val="27"/>
          <w:highlight w:val="none"/>
        </w:rPr>
      </w:pPr>
      <w:r>
        <w:rPr>
          <w:color w:val="000000"/>
          <w:sz w:val="27"/>
          <w:highlight w:val="none"/>
        </w:rPr>
      </w:r>
      <w:r/>
    </w:p>
    <w:p>
      <w:pPr>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775"/>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5"/>
              <w:jc w:val="center"/>
              <w:rPr>
                <w:i/>
                <w:color w:val="000000"/>
                <w:sz w:val="20"/>
                <w:highlight w:val="none"/>
              </w:rPr>
            </w:pPr>
            <w:r>
              <w:rPr>
                <w:i/>
                <w:color w:val="000000"/>
                <w:sz w:val="24"/>
                <w:highlight w:val="none"/>
              </w:rPr>
              <w:t xml:space="preserve">身份证正面</w:t>
            </w:r>
            <w:r/>
          </w:p>
        </w:tc>
      </w:tr>
    </w:tbl>
    <w:p>
      <w:pPr>
        <w:pStyle w:val="975"/>
        <w:ind w:left="1260"/>
        <w:rPr>
          <w:color w:val="000000"/>
          <w:sz w:val="20"/>
          <w:highlight w:val="none"/>
        </w:rPr>
      </w:pPr>
      <w:r>
        <w:rPr>
          <w:color w:val="000000"/>
          <w:sz w:val="20"/>
          <w:highlight w:val="none"/>
        </w:rPr>
      </w:r>
      <w:r/>
    </w:p>
    <w:tbl>
      <w:tblPr>
        <w:tblStyle w:val="775"/>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5"/>
              <w:jc w:val="center"/>
              <w:rPr>
                <w:color w:val="000000"/>
                <w:sz w:val="20"/>
                <w:highlight w:val="none"/>
              </w:rPr>
            </w:pPr>
            <w:r>
              <w:rPr>
                <w:i/>
                <w:color w:val="000000"/>
                <w:sz w:val="24"/>
                <w:highlight w:val="none"/>
              </w:rPr>
              <w:t xml:space="preserve">身份证反面</w:t>
            </w:r>
            <w:r/>
          </w:p>
        </w:tc>
      </w:tr>
    </w:tbl>
    <w:p>
      <w:pPr>
        <w:pStyle w:val="975"/>
        <w:rPr>
          <w:rFonts w:hint="eastAsia"/>
          <w:color w:val="000000"/>
          <w:sz w:val="20"/>
          <w:highlight w:val="none"/>
        </w:rPr>
      </w:pPr>
      <w:r>
        <w:rPr>
          <w:rFonts w:hint="eastAsia"/>
          <w:color w:val="000000"/>
          <w:sz w:val="20"/>
          <w:highlight w:val="none"/>
        </w:rPr>
      </w:r>
      <w:r/>
    </w:p>
    <w:p>
      <w:pPr>
        <w:pStyle w:val="975"/>
        <w:rPr>
          <w:rFonts w:hint="eastAsia"/>
          <w:color w:val="000000"/>
          <w:sz w:val="20"/>
          <w:highlight w:val="none"/>
        </w:rPr>
      </w:pPr>
      <w:r>
        <w:rPr>
          <w:rFonts w:hint="eastAsia"/>
          <w:color w:val="000000"/>
          <w:sz w:val="20"/>
          <w:highlight w:val="none"/>
        </w:rPr>
      </w:r>
      <w:r/>
    </w:p>
    <w:p>
      <w:pPr>
        <w:pStyle w:val="975"/>
        <w:ind w:left="1260"/>
        <w:rPr>
          <w:color w:val="000000"/>
          <w:sz w:val="20"/>
          <w:highlight w:val="none"/>
        </w:rPr>
      </w:pPr>
      <w:r>
        <w:rPr>
          <w:color w:val="000000"/>
          <w:sz w:val="20"/>
          <w:highlight w:val="none"/>
        </w:rPr>
      </w:r>
      <w:r/>
    </w:p>
    <w:p>
      <w:pPr>
        <w:pStyle w:val="975"/>
        <w:ind w:left="1260"/>
        <w:spacing w:before="1"/>
        <w:rPr>
          <w:color w:val="000000"/>
          <w:sz w:val="22"/>
          <w:highlight w:val="none"/>
        </w:rPr>
      </w:pPr>
      <w:r>
        <w:rPr>
          <w:color w:val="000000"/>
          <w:sz w:val="22"/>
          <w:highlight w:val="none"/>
        </w:rPr>
      </w:r>
      <w:r/>
    </w:p>
    <w:p>
      <w:pPr>
        <w:pStyle w:val="975"/>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p>
    <w:p>
      <w:pPr>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9"/>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267" w:name="_Toc104560899"/>
      <w:r/>
      <w:bookmarkStart w:id="268" w:name="_Toc103848584"/>
      <w:r/>
      <w:bookmarkStart w:id="269" w:name="_Toc107246277"/>
      <w:r/>
      <w:bookmarkStart w:id="270" w:name="_Toc13156"/>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267"/>
      <w:r/>
      <w:bookmarkEnd w:id="268"/>
      <w:r/>
      <w:bookmarkEnd w:id="269"/>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bookmarkEnd w:id="270"/>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p>
    <w:p>
      <w:pPr>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p>
    <w:p>
      <w:pPr>
        <w:pStyle w:val="996"/>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6"/>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996"/>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p>
    <w:tbl>
      <w:tblPr>
        <w:tblStyle w:val="77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5"/>
              <w:jc w:val="center"/>
              <w:spacing w:line="300" w:lineRule="exact"/>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77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5"/>
              <w:jc w:val="center"/>
              <w:spacing w:line="300" w:lineRule="exact"/>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996"/>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p>
    <w:p>
      <w:pPr>
        <w:pStyle w:val="996"/>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96"/>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71" w:name="_Toc104560895"/>
      <w:r/>
      <w:bookmarkStart w:id="272" w:name="_Toc107246279"/>
      <w:r/>
      <w:r/>
    </w:p>
    <w:p>
      <w:pPr>
        <w:rPr>
          <w:rFonts w:ascii="Microsoft New Tai Lue" w:hAnsi="Microsoft New Tai Lue" w:cs="Microsoft New Tai Lue"/>
          <w:bCs w:val="0"/>
          <w:color w:val="000000"/>
          <w:sz w:val="24"/>
          <w:szCs w:val="24"/>
          <w:highlight w:val="none"/>
        </w:rPr>
      </w:pPr>
      <w:r/>
      <w:bookmarkStart w:id="273" w:name="_Toc104560900"/>
      <w:r/>
      <w:bookmarkStart w:id="274" w:name="_Toc107246278"/>
      <w:r/>
      <w:bookmarkStart w:id="275" w:name="_Toc103848585"/>
      <w:r>
        <w:rPr>
          <w:rFonts w:ascii="Microsoft New Tai Lue" w:hAnsi="Microsoft New Tai Lue" w:cs="Microsoft New Tai Lue"/>
          <w:bCs w:val="0"/>
          <w:color w:val="000000"/>
          <w:sz w:val="24"/>
          <w:szCs w:val="24"/>
          <w:highlight w:val="none"/>
        </w:rPr>
        <w:br w:type="page" w:clear="all"/>
      </w:r>
      <w:r/>
    </w:p>
    <w:p>
      <w:pPr>
        <w:pStyle w:val="999"/>
        <w:spacing w:before="0"/>
        <w:rPr>
          <w:rFonts w:ascii="Times New Roman" w:hAnsi="Times New Roman"/>
          <w:bCs w:val="0"/>
          <w:color w:val="000000"/>
          <w:sz w:val="21"/>
          <w:szCs w:val="24"/>
          <w:highlight w:val="none"/>
        </w:rPr>
      </w:pPr>
      <w:r/>
      <w:bookmarkStart w:id="276" w:name="_Toc32283"/>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73"/>
      <w:r/>
      <w:bookmarkEnd w:id="274"/>
      <w:r/>
      <w:bookmarkEnd w:id="275"/>
      <w:r/>
      <w:bookmarkEnd w:id="276"/>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p>
    <w:p>
      <w:pPr>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p>
    <w:p>
      <w:pPr>
        <w:pStyle w:val="996"/>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6"/>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p>
    <w:tbl>
      <w:tblPr>
        <w:tblStyle w:val="77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5"/>
              <w:jc w:val="center"/>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widowControl/>
              <w:rPr>
                <w:color w:val="000000"/>
                <w:sz w:val="20"/>
                <w:highlight w:val="none"/>
              </w:rPr>
            </w:pPr>
            <w:r>
              <w:rPr>
                <w:color w:val="000000"/>
                <w:sz w:val="20"/>
                <w:highlight w:val="none"/>
              </w:rPr>
            </w:r>
            <w:r/>
          </w:p>
        </w:tc>
        <w:tc>
          <w:tcPr>
            <w:tcW w:w="4677"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6"/>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p>
    <w:tbl>
      <w:tblPr>
        <w:tblStyle w:val="77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5"/>
              <w:jc w:val="center"/>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widowControl/>
              <w:rPr>
                <w:color w:val="000000"/>
                <w:sz w:val="20"/>
                <w:highlight w:val="none"/>
              </w:rPr>
            </w:pPr>
            <w:r>
              <w:rPr>
                <w:color w:val="000000"/>
                <w:sz w:val="20"/>
                <w:highlight w:val="none"/>
              </w:rPr>
            </w:r>
            <w:r/>
          </w:p>
        </w:tc>
        <w:tc>
          <w:tcPr>
            <w:tcW w:w="4695"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6"/>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6"/>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p>
    <w:p>
      <w:pPr>
        <w:pStyle w:val="977"/>
        <w:ind w:left="0"/>
        <w:rPr>
          <w:color w:val="000000"/>
          <w:highlight w:val="none"/>
        </w:rPr>
      </w:pPr>
      <w:r>
        <w:rPr>
          <w:color w:val="000000"/>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p>
    <w:p>
      <w:pPr>
        <w:pStyle w:val="999"/>
        <w:rPr>
          <w:rFonts w:ascii="Microsoft New Tai Lue" w:hAnsi="Microsoft New Tai Lue" w:cs="Microsoft New Tai Lue"/>
          <w:color w:val="000000"/>
          <w:sz w:val="28"/>
          <w:szCs w:val="24"/>
          <w:highlight w:val="none"/>
        </w:rPr>
      </w:pPr>
      <w:r/>
      <w:bookmarkStart w:id="277" w:name="_Toc7535"/>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1"/>
      <w:r/>
      <w:bookmarkEnd w:id="271"/>
      <w:r/>
      <w:bookmarkEnd w:id="272"/>
      <w:r/>
      <w:bookmarkEnd w:id="277"/>
      <w:r/>
      <w:r/>
    </w:p>
    <w:p>
      <w:pPr>
        <w:ind w:left="-120" w:firstLine="210"/>
        <w:spacing w:line="360" w:lineRule="auto"/>
        <w:rPr>
          <w:rFonts w:ascii="Microsoft New Tai Lue" w:hAnsi="Microsoft New Tai Lue" w:cs="Microsoft New Tai Lue"/>
          <w:color w:val="000000"/>
          <w:szCs w:val="21"/>
          <w:highlight w:val="none"/>
        </w:rPr>
      </w:pPr>
      <w:r/>
      <w:bookmarkStart w:id="278" w:name="_Toc103848581"/>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tbl>
      <w:tblPr>
        <w:tblStyle w:val="775"/>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工期</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日历天</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响应招标文件要求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免费质保期</w:t>
            </w:r>
            <w:r/>
          </w:p>
        </w:tc>
        <w:tc>
          <w:tcPr>
            <w:tcW w:w="6347" w:type="dxa"/>
            <w:vAlign w:val="center"/>
            <w:textDirection w:val="lrTb"/>
            <w:noWrap w:val="false"/>
          </w:tcPr>
          <w:p>
            <w:pPr>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工程质保期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bCs/>
                <w:color w:val="auto"/>
                <w:highlight w:val="none"/>
              </w:rPr>
              <w:t xml:space="preserve">防水</w:t>
            </w:r>
            <w:r>
              <w:rPr>
                <w:rFonts w:hint="eastAsia" w:ascii="宋体" w:hAnsi="宋体" w:cs="宋体"/>
                <w:bCs/>
                <w:color w:val="auto"/>
                <w:highlight w:val="none"/>
                <w:lang w:val="en-US" w:eastAsia="zh-CN"/>
              </w:rPr>
              <w:t xml:space="preserve">工程</w:t>
            </w:r>
            <w:r>
              <w:rPr>
                <w:rFonts w:hint="eastAsia" w:ascii="宋体" w:hAnsi="宋体" w:cs="宋体"/>
                <w:bCs/>
                <w:color w:val="auto"/>
                <w:highlight w:val="none"/>
              </w:rPr>
              <w:t xml:space="preserve">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p>
      <w:pPr>
        <w:ind w:left="-88" w:right="105" w:firstLine="420"/>
        <w:jc w:val="right"/>
        <w:rPr>
          <w:color w:val="000000"/>
          <w:szCs w:val="21"/>
          <w:highlight w:val="none"/>
        </w:rPr>
      </w:pPr>
      <w:r>
        <w:rPr>
          <w:color w:val="000000"/>
          <w:szCs w:val="21"/>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right="420" w:firstLine="4515"/>
        <w:spacing w:line="360" w:lineRule="auto"/>
        <w:rPr>
          <w:color w:val="000000"/>
          <w:szCs w:val="21"/>
          <w:highlight w:val="none"/>
        </w:rPr>
      </w:pPr>
      <w:r>
        <w:rPr>
          <w:color w:val="000000"/>
          <w:szCs w:val="21"/>
          <w:highlight w:val="none"/>
        </w:rPr>
        <w:t xml:space="preserve">法定代表人（单位负责人）</w:t>
      </w:r>
      <w:r/>
    </w:p>
    <w:p>
      <w:pPr>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43"/>
        <w:ind w:firstLine="426"/>
        <w:jc w:val="center"/>
        <w:spacing w:before="0"/>
        <w:rPr>
          <w:rFonts w:hint="eastAsia" w:ascii="宋体" w:hAnsi="宋体" w:eastAsia="宋体" w:cs="宋体"/>
          <w:color w:val="000000"/>
          <w:sz w:val="24"/>
          <w:szCs w:val="24"/>
          <w:highlight w:val="none"/>
          <w:lang w:eastAsia="zh-CN"/>
        </w:rPr>
      </w:pPr>
      <w:r>
        <w:rPr>
          <w:color w:val="000000"/>
          <w:highlight w:val="none"/>
        </w:rPr>
        <w:br w:type="page" w:clear="all"/>
      </w:r>
      <w:bookmarkStart w:id="279" w:name="_Toc25850"/>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4-2</w:t>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bookmarkEnd w:id="279"/>
      <w:r/>
      <w:r/>
    </w:p>
    <w:p>
      <w:pPr>
        <w:ind w:left="-120" w:firstLine="420"/>
        <w:spacing w:line="360" w:lineRule="auto"/>
        <w:rPr>
          <w:rFonts w:hint="eastAsia" w:ascii="Microsoft New Tai Lue" w:hAnsi="Microsoft New Tai Lue" w:cs="Microsoft New Tai Lue"/>
          <w:color w:val="auto"/>
          <w:szCs w:val="21"/>
          <w:highlight w:val="none"/>
        </w:rPr>
      </w:pPr>
      <w:r>
        <w:rPr>
          <w:rFonts w:hint="eastAsia" w:ascii="宋体" w:hAnsi="宋体" w:cs="宋体"/>
          <w:szCs w:val="21"/>
          <w:highlight w:val="none"/>
        </w:rPr>
        <w:t xml:space="preserve">★按</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文件提供的附件清单，执行</w:t>
      </w:r>
      <w:r>
        <w:rPr>
          <w:rFonts w:hint="eastAsia" w:ascii="宋体" w:hAnsi="宋体" w:cs="宋体"/>
          <w:szCs w:val="21"/>
          <w:highlight w:val="none"/>
          <w:lang w:eastAsia="zh-CN"/>
        </w:rPr>
        <w:t xml:space="preserve">建设工程工程量清单计价标准（GB_T50500-2024）</w:t>
      </w:r>
      <w:r>
        <w:rPr>
          <w:rFonts w:hint="eastAsia" w:ascii="宋体" w:hAnsi="宋体" w:cs="宋体"/>
          <w:szCs w:val="21"/>
          <w:highlight w:val="none"/>
        </w:rPr>
        <w:t xml:space="preserve">，编制报价表</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否则按无效投标处理。</w:t>
      </w:r>
      <w:r/>
    </w:p>
    <w:p>
      <w:pPr>
        <w:pStyle w:val="1045"/>
        <w:ind w:firstLine="373"/>
        <w:jc w:val="both"/>
        <w:spacing w:line="360" w:lineRule="exact"/>
        <w:rPr>
          <w:rFonts w:hint="eastAsia" w:ascii="宋体" w:hAnsi="宋体" w:eastAsia="宋体" w:cs="宋体"/>
          <w:b/>
          <w:bCs/>
          <w:sz w:val="24"/>
          <w:szCs w:val="24"/>
          <w:highlight w:val="none"/>
          <w:lang w:val="en-US" w:eastAsia="zh-CN"/>
        </w:rPr>
      </w:pPr>
      <w:r>
        <w:rPr>
          <w:rFonts w:hint="eastAsia" w:ascii="宋体" w:hAnsi="宋体" w:cs="宋体"/>
          <w:szCs w:val="21"/>
          <w:highlight w:val="none"/>
        </w:rPr>
        <w:t xml:space="preserve">★</w:t>
      </w:r>
      <w:r>
        <w:rPr>
          <w:rFonts w:hint="eastAsia" w:ascii="宋体" w:hAnsi="宋体" w:eastAsia="宋体" w:cs="宋体"/>
          <w:b/>
          <w:bCs/>
          <w:sz w:val="24"/>
          <w:szCs w:val="24"/>
          <w:highlight w:val="none"/>
          <w:lang w:val="en-US" w:eastAsia="zh-CN"/>
        </w:rPr>
        <w:t xml:space="preserve">根据苏建价〔2026〕76号</w:t>
      </w:r>
      <w:r>
        <w:rPr>
          <w:rFonts w:hint="eastAsia" w:ascii="宋体" w:hAnsi="宋体" w:cs="宋体"/>
          <w:b/>
          <w:bCs/>
          <w:sz w:val="24"/>
          <w:szCs w:val="24"/>
          <w:highlight w:val="none"/>
          <w:lang w:val="en-US" w:eastAsia="zh-CN"/>
        </w:rPr>
        <w:t xml:space="preserve">文发布的</w:t>
      </w:r>
      <w:r>
        <w:rPr>
          <w:rFonts w:hint="eastAsia" w:ascii="宋体" w:hAnsi="宋体" w:eastAsia="宋体" w:cs="宋体"/>
          <w:b/>
          <w:bCs/>
          <w:sz w:val="24"/>
          <w:szCs w:val="24"/>
          <w:highlight w:val="none"/>
          <w:lang w:val="en-US" w:eastAsia="zh-CN"/>
        </w:rPr>
        <w:t xml:space="preserve">《江苏省建设工程费用参考》</w:t>
      </w:r>
      <w:r>
        <w:rPr>
          <w:rFonts w:hint="eastAsia" w:ascii="宋体" w:hAnsi="宋体" w:cs="宋体"/>
          <w:b/>
          <w:bCs/>
          <w:sz w:val="24"/>
          <w:szCs w:val="24"/>
          <w:highlight w:val="none"/>
          <w:lang w:val="en-US" w:eastAsia="zh-CN"/>
        </w:rPr>
        <w:t xml:space="preserve">中的约定，</w:t>
      </w:r>
      <w:r>
        <w:rPr>
          <w:rFonts w:hint="eastAsia" w:ascii="宋体" w:hAnsi="宋体" w:eastAsia="宋体" w:cs="宋体"/>
          <w:b/>
          <w:bCs/>
          <w:sz w:val="24"/>
          <w:szCs w:val="24"/>
          <w:highlight w:val="none"/>
          <w:lang w:val="en-US" w:eastAsia="zh-CN"/>
        </w:rPr>
        <w:t xml:space="preserve">本项目</w:t>
      </w:r>
      <w:r>
        <w:rPr>
          <w:rFonts w:ascii="宋体" w:hAnsi="宋体" w:eastAsia="宋体" w:cs="宋体"/>
          <w:b/>
          <w:bCs/>
          <w:sz w:val="24"/>
          <w:szCs w:val="24"/>
          <w:highlight w:val="none"/>
        </w:rPr>
        <w:t xml:space="preserve">安全生产措施费的费率</w:t>
      </w:r>
      <w:r>
        <w:rPr>
          <w:rFonts w:hint="eastAsia" w:ascii="宋体" w:hAnsi="宋体" w:eastAsia="宋体" w:cs="宋体"/>
          <w:b/>
          <w:bCs/>
          <w:sz w:val="24"/>
          <w:szCs w:val="24"/>
          <w:highlight w:val="none"/>
          <w:lang w:val="en-US" w:eastAsia="zh-CN"/>
        </w:rPr>
        <w:t xml:space="preserve">3.8%</w:t>
      </w:r>
      <w:r>
        <w:rPr>
          <w:rFonts w:ascii="宋体" w:hAnsi="宋体" w:eastAsia="宋体" w:cs="宋体"/>
          <w:b/>
          <w:bCs/>
          <w:sz w:val="24"/>
          <w:szCs w:val="24"/>
          <w:highlight w:val="none"/>
        </w:rPr>
        <w:t xml:space="preserve">为下限值，</w:t>
      </w:r>
      <w:r>
        <w:rPr>
          <w:rFonts w:hint="eastAsia" w:ascii="宋体" w:hAnsi="宋体" w:eastAsia="宋体" w:cs="宋体"/>
          <w:b/>
          <w:bCs/>
          <w:sz w:val="24"/>
          <w:szCs w:val="24"/>
          <w:highlight w:val="none"/>
          <w:lang w:val="en-US" w:eastAsia="zh-CN"/>
        </w:rPr>
        <w:t xml:space="preserve">供应商</w:t>
      </w:r>
      <w:r>
        <w:rPr>
          <w:rFonts w:ascii="宋体" w:hAnsi="宋体" w:eastAsia="宋体" w:cs="宋体"/>
          <w:b/>
          <w:bCs/>
          <w:sz w:val="24"/>
          <w:szCs w:val="24"/>
          <w:highlight w:val="none"/>
        </w:rPr>
        <w:t xml:space="preserve">可根据项目实际确定费率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但不得低于3.8%，否则响应无效。</w:t>
      </w:r>
      <w:bookmarkEnd w:id="278"/>
      <w:r/>
      <w:r/>
    </w:p>
    <w:p>
      <w:pPr>
        <w:pStyle w:val="999"/>
        <w:spacing w:before="0"/>
        <w:rPr>
          <w:rFonts w:ascii="Microsoft New Tai Lue" w:hAnsi="Microsoft New Tai Lue" w:cs="Microsoft New Tai Lue"/>
          <w:color w:val="000000"/>
          <w:sz w:val="24"/>
          <w:szCs w:val="24"/>
          <w:highlight w:val="none"/>
        </w:rPr>
      </w:pPr>
      <w:r/>
      <w:bookmarkStart w:id="280" w:name="_Toc104560901"/>
      <w:r/>
      <w:bookmarkStart w:id="281" w:name="_Toc107246281"/>
      <w:r/>
      <w:bookmarkStart w:id="282" w:name="_Toc103848586"/>
      <w:r/>
      <w:bookmarkStart w:id="283" w:name="_Toc102117319"/>
      <w:r>
        <w:rPr>
          <w:rFonts w:ascii="Microsoft New Tai Lue" w:hAnsi="Microsoft New Tai Lue" w:cs="Microsoft New Tai Lue"/>
          <w:bCs w:val="0"/>
          <w:color w:val="000000"/>
          <w:sz w:val="24"/>
          <w:szCs w:val="24"/>
          <w:highlight w:val="none"/>
        </w:rPr>
        <w:br w:type="page" w:clear="all"/>
      </w:r>
      <w:bookmarkEnd w:id="280"/>
      <w:r/>
      <w:bookmarkEnd w:id="281"/>
      <w:r/>
      <w:bookmarkEnd w:id="282"/>
      <w:r/>
      <w:bookmarkStart w:id="284" w:name="_Toc25510"/>
      <w:r/>
      <w:bookmarkStart w:id="285" w:name="_Toc104560902"/>
      <w:r/>
      <w:bookmarkStart w:id="286" w:name="_Toc103848587"/>
      <w:r>
        <w:rPr>
          <w:rFonts w:ascii="Microsoft New Tai Lue" w:hAnsi="Microsoft New Tai Lue" w:cs="Microsoft New Tai Lue"/>
          <w:bCs w:val="0"/>
          <w:color w:val="000000"/>
          <w:sz w:val="24"/>
          <w:szCs w:val="24"/>
          <w:highlight w:val="none"/>
        </w:rPr>
        <w:t xml:space="preserve">（5）商务条款偏离表</w:t>
      </w:r>
      <w:bookmarkEnd w:id="284"/>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p>
        </w:tc>
        <w:tc>
          <w:tcPr>
            <w:tcW w:w="1134" w:type="dxa"/>
            <w:vAlign w:val="top"/>
            <w:textDirection w:val="lrTb"/>
            <w:noWrap w:val="false"/>
          </w:tcPr>
          <w:p>
            <w:pPr>
              <w:pStyle w:val="784"/>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6"/>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6"/>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996"/>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996"/>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ind w:firstLine="420"/>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99"/>
        <w:spacing w:line="240" w:lineRule="atLeast"/>
        <w:rPr>
          <w:rFonts w:ascii="Microsoft New Tai Lue" w:hAnsi="Microsoft New Tai Lue" w:cs="Microsoft New Tai Lue"/>
          <w:color w:val="000000"/>
          <w:highlight w:val="none"/>
        </w:rPr>
      </w:pPr>
      <w:r/>
      <w:bookmarkStart w:id="287" w:name="_Toc107246282"/>
      <w:r>
        <w:rPr>
          <w:rFonts w:ascii="Microsoft New Tai Lue" w:hAnsi="Microsoft New Tai Lue" w:cs="Microsoft New Tai Lue"/>
          <w:bCs w:val="0"/>
          <w:color w:val="000000"/>
          <w:sz w:val="24"/>
          <w:szCs w:val="24"/>
          <w:highlight w:val="none"/>
        </w:rPr>
        <w:br w:type="page" w:clear="all"/>
      </w:r>
      <w:bookmarkStart w:id="288" w:name="_Toc14939"/>
      <w:r>
        <w:rPr>
          <w:rFonts w:ascii="Microsoft New Tai Lue" w:hAnsi="Microsoft New Tai Lue" w:cs="Microsoft New Tai Lue"/>
          <w:bCs w:val="0"/>
          <w:color w:val="000000"/>
          <w:sz w:val="24"/>
          <w:szCs w:val="24"/>
          <w:highlight w:val="none"/>
        </w:rPr>
        <w:t xml:space="preserve">（6）供应商具备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85"/>
      <w:r/>
      <w:bookmarkEnd w:id="286"/>
      <w:r/>
      <w:bookmarkEnd w:id="287"/>
      <w:r/>
      <w:bookmarkEnd w:id="288"/>
      <w:r/>
      <w:r/>
    </w:p>
    <w:p>
      <w:pPr>
        <w:pStyle w:val="999"/>
        <w:spacing w:line="240" w:lineRule="atLeast"/>
        <w:rPr>
          <w:rFonts w:ascii="Microsoft New Tai Lue" w:hAnsi="Microsoft New Tai Lue" w:cs="Microsoft New Tai Lue"/>
          <w:bCs w:val="0"/>
          <w:color w:val="000000"/>
          <w:sz w:val="24"/>
          <w:szCs w:val="24"/>
          <w:highlight w:val="none"/>
        </w:rPr>
      </w:pPr>
      <w:r/>
      <w:bookmarkStart w:id="289" w:name="_Toc104560903"/>
      <w:r/>
      <w:bookmarkStart w:id="290" w:name="_Toc107246283"/>
      <w:r/>
      <w:bookmarkStart w:id="291" w:name="_Toc4556"/>
      <w:r/>
      <w:bookmarkStart w:id="292" w:name="_Toc103848588"/>
      <w:r>
        <w:rPr>
          <w:rFonts w:ascii="Microsoft New Tai Lue" w:hAnsi="Microsoft New Tai Lue" w:cs="Microsoft New Tai Lue"/>
          <w:bCs w:val="0"/>
          <w:color w:val="000000"/>
          <w:sz w:val="24"/>
          <w:szCs w:val="24"/>
          <w:highlight w:val="none"/>
        </w:rPr>
        <w:t xml:space="preserve">（6-1-1）营业执照复印件</w:t>
      </w:r>
      <w:bookmarkEnd w:id="283"/>
      <w:r>
        <w:rPr>
          <w:rFonts w:ascii="Microsoft New Tai Lue" w:hAnsi="Microsoft New Tai Lue" w:cs="Microsoft New Tai Lue"/>
          <w:bCs w:val="0"/>
          <w:color w:val="000000"/>
          <w:sz w:val="24"/>
          <w:szCs w:val="24"/>
          <w:highlight w:val="none"/>
        </w:rPr>
        <w:t xml:space="preserve">或自然人的身份证明复印件</w:t>
      </w:r>
      <w:bookmarkEnd w:id="289"/>
      <w:r/>
      <w:bookmarkEnd w:id="290"/>
      <w:r/>
      <w:bookmarkEnd w:id="291"/>
      <w:r/>
      <w:bookmarkEnd w:id="292"/>
      <w:r/>
      <w:r/>
    </w:p>
    <w:p>
      <w:pPr>
        <w:spacing w:line="360" w:lineRule="auto"/>
        <w:rPr>
          <w:rFonts w:ascii="Microsoft New Tai Lue" w:hAnsi="Microsoft New Tai Lue" w:cs="Microsoft New Tai Lue"/>
          <w:b/>
          <w:bCs/>
          <w:color w:val="000000"/>
          <w:highlight w:val="none"/>
        </w:rPr>
      </w:pPr>
      <w:r/>
      <w:bookmarkStart w:id="293" w:name="_Hlk33717720"/>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bookmarkEnd w:id="293"/>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99"/>
        <w:spacing w:line="240" w:lineRule="atLeast"/>
        <w:rPr>
          <w:rFonts w:ascii="Microsoft New Tai Lue" w:hAnsi="Microsoft New Tai Lue" w:eastAsia="黑体" w:cs="Microsoft New Tai Lue"/>
          <w:b w:val="0"/>
          <w:color w:val="000000"/>
          <w:highlight w:val="none"/>
        </w:rPr>
      </w:pPr>
      <w:r/>
      <w:bookmarkStart w:id="294" w:name="_Toc102117320"/>
      <w:r/>
      <w:bookmarkStart w:id="295" w:name="_Toc103848589"/>
      <w:r>
        <w:rPr>
          <w:rFonts w:ascii="Microsoft New Tai Lue" w:hAnsi="Microsoft New Tai Lue" w:cs="Microsoft New Tai Lue"/>
          <w:bCs w:val="0"/>
          <w:color w:val="000000"/>
          <w:sz w:val="24"/>
          <w:szCs w:val="24"/>
          <w:highlight w:val="none"/>
        </w:rPr>
        <w:br w:type="page" w:clear="all"/>
      </w:r>
      <w:bookmarkStart w:id="296" w:name="_Toc104560904"/>
      <w:r/>
      <w:bookmarkStart w:id="297" w:name="_Toc7164"/>
      <w:r/>
      <w:bookmarkStart w:id="298" w:name="_Toc107246284"/>
      <w:r>
        <w:rPr>
          <w:rFonts w:ascii="Microsoft New Tai Lue" w:hAnsi="Microsoft New Tai Lue" w:cs="Microsoft New Tai Lue"/>
          <w:bCs w:val="0"/>
          <w:color w:val="000000"/>
          <w:sz w:val="24"/>
          <w:szCs w:val="24"/>
          <w:highlight w:val="none"/>
        </w:rPr>
        <w:t xml:space="preserve">（6-1-2）工商变更登记文件（如需）</w:t>
      </w:r>
      <w:bookmarkEnd w:id="294"/>
      <w:r/>
      <w:bookmarkEnd w:id="295"/>
      <w:r/>
      <w:bookmarkEnd w:id="296"/>
      <w:r/>
      <w:bookmarkEnd w:id="297"/>
      <w:r/>
      <w:bookmarkEnd w:id="298"/>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p>
    <w:p>
      <w:pPr>
        <w:pStyle w:val="999"/>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99" w:name="_Toc8789"/>
      <w:r/>
      <w:bookmarkStart w:id="300" w:name="_Toc103848590"/>
      <w:r/>
      <w:bookmarkStart w:id="301" w:name="_Toc102117321"/>
      <w:r/>
      <w:bookmarkStart w:id="302" w:name="_Toc104560905"/>
      <w:r/>
      <w:bookmarkStart w:id="303" w:name="_Toc107246285"/>
      <w:r>
        <w:rPr>
          <w:rFonts w:ascii="Microsoft New Tai Lue" w:hAnsi="Microsoft New Tai Lue" w:cs="Microsoft New Tai Lue"/>
          <w:bCs w:val="0"/>
          <w:color w:val="000000"/>
          <w:sz w:val="24"/>
          <w:szCs w:val="24"/>
          <w:highlight w:val="none"/>
        </w:rPr>
        <w:t xml:space="preserve">（6-2）财务报表</w:t>
      </w:r>
      <w:bookmarkEnd w:id="299"/>
      <w:r/>
      <w:bookmarkEnd w:id="300"/>
      <w:r/>
      <w:bookmarkEnd w:id="301"/>
      <w:r/>
      <w:bookmarkEnd w:id="302"/>
      <w:r/>
      <w:bookmarkEnd w:id="303"/>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9"/>
        <w:jc w:val="left"/>
        <w:spacing w:line="240" w:lineRule="atLeast"/>
        <w:rPr>
          <w:rFonts w:ascii="Microsoft New Tai Lue" w:hAnsi="Microsoft New Tai Lue" w:cs="Microsoft New Tai Lue"/>
          <w:bCs w:val="0"/>
          <w:color w:val="000000"/>
          <w:sz w:val="24"/>
          <w:szCs w:val="24"/>
          <w:highlight w:val="none"/>
        </w:rPr>
      </w:pPr>
      <w:r/>
      <w:bookmarkStart w:id="304" w:name="_Toc102117322"/>
      <w:r/>
      <w:bookmarkStart w:id="305" w:name="_Toc103848593"/>
      <w:r/>
      <w:bookmarkStart w:id="306" w:name="_Toc104560908"/>
      <w:r>
        <w:rPr>
          <w:rFonts w:ascii="Microsoft New Tai Lue" w:hAnsi="Microsoft New Tai Lue" w:cs="Microsoft New Tai Lue"/>
          <w:bCs w:val="0"/>
          <w:color w:val="000000"/>
          <w:sz w:val="24"/>
          <w:szCs w:val="24"/>
          <w:highlight w:val="none"/>
        </w:rPr>
        <w:br w:type="page" w:clear="all"/>
      </w:r>
      <w:bookmarkStart w:id="307" w:name="_Toc23875"/>
      <w:r/>
      <w:bookmarkStart w:id="308" w:name="_Toc107246286"/>
      <w:r>
        <w:rPr>
          <w:rFonts w:ascii="Microsoft New Tai Lue" w:hAnsi="Microsoft New Tai Lue" w:cs="Microsoft New Tai Lue"/>
          <w:bCs w:val="0"/>
          <w:color w:val="000000"/>
          <w:sz w:val="24"/>
          <w:szCs w:val="24"/>
          <w:highlight w:val="none"/>
        </w:rPr>
        <w:t xml:space="preserve">（6-3）具有履行合同所必需的设备和专业技术能力的相关证明材料或承诺函（提供承诺函原件）</w:t>
      </w:r>
      <w:bookmarkEnd w:id="304"/>
      <w:r/>
      <w:bookmarkEnd w:id="305"/>
      <w:r/>
      <w:bookmarkEnd w:id="306"/>
      <w:r/>
      <w:bookmarkEnd w:id="307"/>
      <w:r/>
      <w:bookmarkEnd w:id="308"/>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7"/>
        <w:ind w:left="1260"/>
        <w:rPr>
          <w:color w:val="000000"/>
          <w:highlight w:val="none"/>
        </w:rPr>
      </w:pPr>
      <w:r>
        <w:rPr>
          <w:color w:val="000000"/>
          <w:highlight w:val="none"/>
        </w:rPr>
      </w:r>
      <w:r/>
    </w:p>
    <w:p>
      <w:pPr>
        <w:rPr>
          <w:color w:val="000000"/>
          <w:highlight w:val="none"/>
        </w:rPr>
      </w:pPr>
      <w:r>
        <w:rPr>
          <w:color w:val="000000"/>
          <w:highlight w:val="none"/>
        </w:rPr>
      </w:r>
      <w:r/>
    </w:p>
    <w:p>
      <w:pPr>
        <w:pStyle w:val="977"/>
        <w:ind w:left="1260"/>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276"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9"/>
        <w:spacing w:line="240" w:lineRule="atLeast"/>
        <w:rPr>
          <w:rFonts w:hint="eastAsia" w:ascii="Microsoft New Tai Lue" w:hAnsi="Microsoft New Tai Lue" w:eastAsia="黑体" w:cs="Microsoft New Tai Lue"/>
          <w:b w:val="0"/>
          <w:color w:val="000000"/>
          <w:highlight w:val="none"/>
        </w:rPr>
      </w:pPr>
      <w:r/>
      <w:bookmarkStart w:id="309" w:name="_Toc103848591"/>
      <w:r/>
      <w:bookmarkStart w:id="310" w:name="_Toc102117323"/>
      <w:r>
        <w:rPr>
          <w:rFonts w:ascii="Microsoft New Tai Lue" w:hAnsi="Microsoft New Tai Lue" w:cs="Microsoft New Tai Lue"/>
          <w:bCs w:val="0"/>
          <w:color w:val="000000"/>
          <w:sz w:val="24"/>
          <w:szCs w:val="24"/>
          <w:highlight w:val="none"/>
        </w:rPr>
        <w:br w:type="page" w:clear="all"/>
      </w:r>
      <w:bookmarkStart w:id="311" w:name="_Toc19580"/>
      <w:r/>
      <w:bookmarkStart w:id="312" w:name="_Toc107246287"/>
      <w:r/>
      <w:bookmarkStart w:id="313" w:name="_Toc104560906"/>
      <w:r>
        <w:rPr>
          <w:rFonts w:ascii="Microsoft New Tai Lue" w:hAnsi="Microsoft New Tai Lue" w:cs="Microsoft New Tai Lue"/>
          <w:bCs w:val="0"/>
          <w:color w:val="000000"/>
          <w:sz w:val="24"/>
          <w:szCs w:val="24"/>
          <w:highlight w:val="none"/>
        </w:rPr>
        <w:t xml:space="preserve">（6-4）依法缴纳税收的相关材料</w:t>
      </w:r>
      <w:bookmarkEnd w:id="309"/>
      <w:r/>
      <w:bookmarkEnd w:id="310"/>
      <w:r/>
      <w:bookmarkEnd w:id="311"/>
      <w:r/>
      <w:bookmarkEnd w:id="312"/>
      <w:r/>
      <w:bookmarkEnd w:id="313"/>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pStyle w:val="999"/>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314" w:name="_Toc104560907"/>
      <w:r/>
      <w:bookmarkStart w:id="315" w:name="_Toc102117324"/>
      <w:r/>
      <w:bookmarkStart w:id="316" w:name="_Toc107246288"/>
      <w:r/>
      <w:bookmarkStart w:id="317" w:name="_Toc16631"/>
      <w:r/>
      <w:bookmarkStart w:id="318" w:name="_Toc103848592"/>
      <w:r>
        <w:rPr>
          <w:rFonts w:ascii="Microsoft New Tai Lue" w:hAnsi="Microsoft New Tai Lue" w:cs="Microsoft New Tai Lue"/>
          <w:bCs w:val="0"/>
          <w:color w:val="000000"/>
          <w:sz w:val="24"/>
          <w:szCs w:val="24"/>
          <w:highlight w:val="none"/>
        </w:rPr>
        <w:t xml:space="preserve">（6-5）依法缴纳社会保障资金的相关材料</w:t>
      </w:r>
      <w:bookmarkEnd w:id="314"/>
      <w:r/>
      <w:bookmarkEnd w:id="315"/>
      <w:r/>
      <w:bookmarkEnd w:id="316"/>
      <w:r/>
      <w:bookmarkEnd w:id="317"/>
      <w:r/>
      <w:bookmarkEnd w:id="318"/>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9"/>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319" w:name="_Toc107246289"/>
      <w:r/>
      <w:bookmarkStart w:id="320" w:name="_Toc30337"/>
      <w:r/>
      <w:bookmarkStart w:id="321" w:name="_Toc104560909"/>
      <w:r/>
      <w:bookmarkStart w:id="322" w:name="_Toc102117325"/>
      <w:r/>
      <w:bookmarkStart w:id="323" w:name="_Toc103848594"/>
      <w:r>
        <w:rPr>
          <w:rFonts w:ascii="Microsoft New Tai Lue" w:hAnsi="Microsoft New Tai Lue" w:cs="Microsoft New Tai Lue"/>
          <w:bCs w:val="0"/>
          <w:color w:val="000000"/>
          <w:sz w:val="24"/>
          <w:szCs w:val="24"/>
          <w:highlight w:val="none"/>
        </w:rPr>
        <w:t xml:space="preserve">（6-6）没有重大违法记录的书面声明</w:t>
      </w:r>
      <w:bookmarkEnd w:id="319"/>
      <w:r/>
      <w:bookmarkEnd w:id="320"/>
      <w:r/>
      <w:bookmarkEnd w:id="321"/>
      <w:r/>
      <w:bookmarkEnd w:id="322"/>
      <w:r/>
      <w:bookmarkEnd w:id="323"/>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p>
    <w:p>
      <w:pPr>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99"/>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324" w:name="_Toc107246290"/>
      <w:r/>
      <w:bookmarkStart w:id="325" w:name="_Toc20646"/>
      <w:r/>
      <w:bookmarkStart w:id="326" w:name="_Toc10456091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6</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324"/>
      <w:r/>
      <w:bookmarkEnd w:id="325"/>
      <w:r/>
      <w:bookmarkEnd w:id="326"/>
      <w:r/>
      <w:r/>
    </w:p>
    <w:p>
      <w:pPr>
        <w:pStyle w:val="784"/>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p>
    <w:p>
      <w:pPr>
        <w:pStyle w:val="784"/>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p>
    <w:p>
      <w:pPr>
        <w:pStyle w:val="784"/>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p>
    <w:p>
      <w:pPr>
        <w:pStyle w:val="784"/>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p>
    <w:p>
      <w:pPr>
        <w:pStyle w:val="784"/>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p>
    <w:p>
      <w:pPr>
        <w:pStyle w:val="784"/>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8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4"/>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ind w:right="420" w:firstLine="3780"/>
        <w:spacing w:line="360" w:lineRule="auto"/>
        <w:rPr>
          <w:color w:val="000000"/>
          <w:highlight w:val="none"/>
          <w:u w:val="single"/>
        </w:rPr>
      </w:pPr>
      <w:r/>
      <w:bookmarkStart w:id="327" w:name="_Toc102117326"/>
      <w:r/>
      <w:bookmarkStart w:id="328" w:name="_Toc103848596"/>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pStyle w:val="999"/>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29" w:name="_Toc104560911"/>
      <w:r/>
      <w:bookmarkStart w:id="330" w:name="_Toc30426"/>
      <w:r/>
      <w:bookmarkStart w:id="331" w:name="_Toc107246291"/>
      <w:r>
        <w:rPr>
          <w:rFonts w:ascii="Microsoft New Tai Lue" w:hAnsi="Microsoft New Tai Lue" w:cs="Microsoft New Tai Lue"/>
          <w:bCs w:val="0"/>
          <w:color w:val="000000"/>
          <w:sz w:val="24"/>
          <w:szCs w:val="24"/>
          <w:highlight w:val="none"/>
        </w:rPr>
        <w:t xml:space="preserve">（6-8）</w:t>
      </w:r>
      <w:bookmarkEnd w:id="327"/>
      <w:r>
        <w:rPr>
          <w:rFonts w:ascii="Microsoft New Tai Lue" w:hAnsi="Microsoft New Tai Lue" w:cs="Microsoft New Tai Lue"/>
          <w:bCs w:val="0"/>
          <w:color w:val="000000"/>
          <w:sz w:val="24"/>
          <w:szCs w:val="24"/>
          <w:highlight w:val="none"/>
        </w:rPr>
        <w:t xml:space="preserve">磋商文件要求的其它实质性资格资信证明文件</w:t>
      </w:r>
      <w:bookmarkEnd w:id="329"/>
      <w:r/>
      <w:bookmarkEnd w:id="330"/>
      <w:r/>
      <w:bookmarkEnd w:id="331"/>
      <w:r/>
      <w:r/>
    </w:p>
    <w:p>
      <w:pPr>
        <w:pStyle w:val="977"/>
        <w:ind w:left="0"/>
        <w:rPr>
          <w:color w:val="000000"/>
          <w:highlight w:val="none"/>
        </w:rPr>
      </w:pPr>
      <w:r>
        <w:rPr>
          <w:color w:val="000000"/>
          <w:highlight w:val="none"/>
        </w:rPr>
      </w:r>
      <w:bookmarkEnd w:id="328"/>
      <w:r/>
      <w:r/>
    </w:p>
    <w:p>
      <w:pPr>
        <w:pStyle w:val="999"/>
        <w:spacing w:before="0"/>
        <w:rPr>
          <w:rFonts w:ascii="Microsoft New Tai Lue" w:hAnsi="Microsoft New Tai Lue" w:cs="Microsoft New Tai Lue"/>
          <w:bCs w:val="0"/>
          <w:color w:val="000000"/>
          <w:sz w:val="24"/>
          <w:szCs w:val="24"/>
          <w:highlight w:val="none"/>
        </w:rPr>
      </w:pPr>
      <w:r/>
      <w:bookmarkStart w:id="332" w:name="_Toc104560917"/>
      <w:r/>
      <w:bookmarkStart w:id="333" w:name="_Toc107246300"/>
      <w:r/>
      <w:bookmarkStart w:id="334" w:name="_Toc103848600"/>
      <w:r>
        <w:rPr>
          <w:rFonts w:ascii="Microsoft New Tai Lue" w:hAnsi="Microsoft New Tai Lue" w:cs="Microsoft New Tai Lue"/>
          <w:color w:val="000000"/>
          <w:sz w:val="24"/>
          <w:highlight w:val="none"/>
        </w:rPr>
        <w:br w:type="page" w:clear="all"/>
      </w:r>
      <w:bookmarkStart w:id="335" w:name="_Toc107246301"/>
      <w:r/>
      <w:bookmarkStart w:id="336" w:name="_Toc14214"/>
      <w:r/>
      <w:bookmarkStart w:id="337" w:name="_Toc103848601"/>
      <w:r/>
      <w:bookmarkStart w:id="338" w:name="_Toc10456091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35"/>
      <w:r/>
      <w:bookmarkEnd w:id="336"/>
      <w:r/>
      <w:bookmarkEnd w:id="337"/>
      <w:r/>
      <w:bookmarkEnd w:id="338"/>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p>
    <w:p>
      <w:pPr>
        <w:pStyle w:val="996"/>
        <w:spacing w:line="360" w:lineRule="exact"/>
        <w:rPr>
          <w:rFonts w:ascii="Times New Roman" w:hAnsi="Times New Roman"/>
          <w:b/>
          <w:bCs/>
          <w:color w:val="000000"/>
          <w:highlight w:val="none"/>
        </w:rPr>
      </w:pPr>
      <w:r>
        <w:rPr>
          <w:rFonts w:ascii="Times New Roman" w:hAnsi="Times New Roman"/>
          <w:b/>
          <w:bCs/>
          <w:color w:val="000000"/>
          <w:highlight w:val="none"/>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p>
        </w:tc>
        <w:tc>
          <w:tcPr>
            <w:tcW w:w="1134" w:type="dxa"/>
            <w:vAlign w:val="top"/>
            <w:textDirection w:val="lrTb"/>
            <w:noWrap w:val="false"/>
          </w:tcPr>
          <w:p>
            <w:pPr>
              <w:pStyle w:val="784"/>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6"/>
        <w:spacing w:line="360" w:lineRule="exact"/>
        <w:rPr>
          <w:rFonts w:ascii="Times New Roman" w:hAnsi="Times New Roman"/>
          <w:b/>
          <w:bCs/>
          <w:color w:val="000000"/>
          <w:highlight w:val="none"/>
        </w:rPr>
      </w:pPr>
      <w:r>
        <w:rPr>
          <w:rFonts w:ascii="Times New Roman" w:hAnsi="Times New Roman"/>
          <w:b/>
          <w:bCs/>
          <w:color w:val="000000"/>
          <w:highlight w:val="none"/>
        </w:rPr>
      </w:r>
      <w:r/>
    </w:p>
    <w:p>
      <w:pPr>
        <w:pStyle w:val="996"/>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6"/>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w:t>
      </w:r>
      <w:r>
        <w:rPr>
          <w:rFonts w:hint="eastAsia"/>
          <w:b/>
          <w:color w:val="000000"/>
          <w:highlight w:val="none"/>
        </w:rPr>
        <w:t xml:space="preserve">. </w:t>
      </w:r>
      <w:r>
        <w:rPr>
          <w:rFonts w:hint="eastAsia" w:ascii="Times New Roman" w:hAnsi="Times New Roman"/>
          <w:b/>
          <w:bCs/>
          <w:color w:val="000000"/>
          <w:highlight w:val="none"/>
        </w:rPr>
        <w:t xml:space="preserve">所有偏离必须在本表中列出，未在本偏离表中列出偏离，将视为供应商已完全接受磋商文件要求。如完全无偏离，也无其他说明，可在本表第一行填写“全部无偏离”。</w:t>
      </w:r>
      <w:r/>
    </w:p>
    <w:p>
      <w:pPr>
        <w:pStyle w:val="996"/>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996"/>
        <w:spacing w:line="360" w:lineRule="exact"/>
        <w:rPr>
          <w:rFonts w:hint="eastAsia" w:ascii="Times New Roman" w:hAnsi="Times New Roman"/>
          <w:b/>
          <w:bCs/>
          <w:color w:val="000000"/>
          <w:highlight w:val="none"/>
        </w:rPr>
      </w:pPr>
      <w:r>
        <w:rPr>
          <w:rFonts w:hint="eastAsia"/>
          <w:b/>
          <w:color w:val="000000"/>
          <w:highlight w:val="none"/>
        </w:rPr>
        <w:t xml:space="preserve">3. 如果行数不够，请自行增加。</w:t>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供应商名称(公章)：_________________</w:t>
      </w:r>
      <w:r/>
    </w:p>
    <w:p>
      <w:pPr>
        <w:pStyle w:val="78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p>
    <w:p>
      <w:pPr>
        <w:pStyle w:val="78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p>
    <w:p>
      <w:pPr>
        <w:pStyle w:val="784"/>
        <w:ind w:firstLine="3780"/>
        <w:rPr>
          <w:rFonts w:ascii="Microsoft New Tai Lue" w:hAnsi="Microsoft New Tai Lue" w:eastAsia="MingLiU_HKSCS" w:cs="Microsoft New Tai Lue"/>
          <w:color w:val="000000"/>
          <w:highlight w:val="none"/>
        </w:rPr>
      </w:pPr>
      <w:r>
        <w:rPr>
          <w:rFonts w:ascii="Microsoft New Tai Lue" w:hAnsi="Microsoft New Tai Lue" w:cs="Microsoft New Tai Lue"/>
          <w:color w:val="000000"/>
          <w:sz w:val="21"/>
          <w:szCs w:val="21"/>
          <w:highlight w:val="none"/>
        </w:rPr>
        <w:t xml:space="preserve">日期：______年____月____日</w:t>
      </w:r>
      <w:r/>
    </w:p>
    <w:p>
      <w:pPr>
        <w:pStyle w:val="999"/>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39" w:name="_Toc1026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实施</w:t>
      </w:r>
      <w:r>
        <w:rPr>
          <w:rFonts w:ascii="Microsoft New Tai Lue" w:hAnsi="Microsoft New Tai Lue" w:cs="Microsoft New Tai Lue"/>
          <w:bCs w:val="0"/>
          <w:color w:val="000000"/>
          <w:sz w:val="24"/>
          <w:szCs w:val="24"/>
          <w:highlight w:val="none"/>
        </w:rPr>
        <w:t xml:space="preserve">方案</w:t>
      </w:r>
      <w:bookmarkEnd w:id="332"/>
      <w:r/>
      <w:bookmarkEnd w:id="333"/>
      <w:r/>
      <w:bookmarkEnd w:id="334"/>
      <w:r/>
      <w:bookmarkEnd w:id="339"/>
      <w:r/>
      <w:r/>
    </w:p>
    <w:p>
      <w:pPr>
        <w:rPr>
          <w:color w:val="000000"/>
          <w:highlight w:val="none"/>
        </w:rPr>
      </w:pPr>
      <w:r>
        <w:rPr>
          <w:color w:val="000000"/>
          <w:highlight w:val="none"/>
        </w:rPr>
        <w:t xml:space="preserve"> </w:t>
      </w:r>
      <w:r/>
    </w:p>
    <w:p>
      <w:pPr>
        <w:pStyle w:val="784"/>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784"/>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p>
    <w:p>
      <w:pPr>
        <w:jc w:val="center"/>
        <w:rPr>
          <w:rFonts w:hint="eastAsia"/>
          <w:color w:val="000000"/>
          <w:highlight w:val="none"/>
          <w:lang w:val="en-US" w:eastAsia="zh-CN"/>
        </w:rPr>
      </w:pPr>
      <w:r>
        <w:rPr>
          <w:rFonts w:hint="eastAsia"/>
          <w:color w:val="000000"/>
          <w:highlight w:val="none"/>
          <w:lang w:val="en-US" w:eastAsia="zh-CN"/>
        </w:rPr>
      </w:r>
      <w:r/>
    </w:p>
    <w:p>
      <w:pPr>
        <w:pStyle w:val="999"/>
        <w:spacing w:before="0"/>
        <w:rPr>
          <w:rFonts w:ascii="Microsoft New Tai Lue" w:hAnsi="Microsoft New Tai Lue" w:eastAsia="宋体" w:cs="Microsoft New Tai Lue"/>
          <w:bCs w:val="0"/>
          <w:color w:val="000000"/>
          <w:sz w:val="24"/>
          <w:szCs w:val="24"/>
          <w:highlight w:val="none"/>
        </w:rPr>
      </w:pPr>
      <w:r>
        <w:rPr>
          <w:rFonts w:hint="eastAsia" w:ascii="宋体" w:hAnsi="宋体" w:eastAsia="宋体" w:cs="宋体"/>
          <w:color w:val="000000"/>
          <w:highlight w:val="none"/>
        </w:rPr>
        <w:br w:type="page" w:clear="all"/>
      </w:r>
      <w:bookmarkStart w:id="340" w:name="_Toc6475"/>
      <w:r>
        <w:rPr>
          <w:rFonts w:hint="eastAsia" w:ascii="Microsoft New Tai Lue" w:hAnsi="Microsoft New Tai Lue" w:eastAsia="宋体" w:cs="Microsoft New Tai Lue"/>
          <w:bCs w:val="0"/>
          <w:color w:val="000000"/>
          <w:sz w:val="24"/>
          <w:szCs w:val="24"/>
          <w:highlight w:val="none"/>
          <w:lang w:val="en-US"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hint="eastAsia" w:ascii="Microsoft New Tai Lue" w:hAnsi="Microsoft New Tai Lue" w:eastAsia="宋体" w:cs="Microsoft New Tai Lue"/>
          <w:bCs w:val="0"/>
          <w:color w:val="000000"/>
          <w:sz w:val="24"/>
          <w:szCs w:val="24"/>
          <w:highlight w:val="none"/>
          <w:lang w:val="en-US" w:eastAsia="zh-CN"/>
        </w:rPr>
        <w:t xml:space="preserve">）拟参与本项目人员一览表</w:t>
      </w:r>
      <w:bookmarkEnd w:id="340"/>
      <w:r/>
      <w:r/>
    </w:p>
    <w:p>
      <w:pPr>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项目</w:t>
      </w:r>
      <w:r>
        <w:rPr>
          <w:rFonts w:hint="eastAsia" w:ascii="宋体" w:hAnsi="宋体"/>
          <w:color w:val="000000"/>
          <w:sz w:val="24"/>
          <w:highlight w:val="none"/>
          <w:lang w:val="zh-CN"/>
        </w:rPr>
        <w:t xml:space="preserve">编号：</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p>
        </w:tc>
        <w:tc>
          <w:tcPr>
            <w:tcW w:w="89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p>
        </w:tc>
        <w:tc>
          <w:tcPr>
            <w:tcW w:w="663"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p>
        </w:tc>
        <w:tc>
          <w:tcPr>
            <w:tcW w:w="709"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p>
        </w:tc>
        <w:tc>
          <w:tcPr>
            <w:tcW w:w="862"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p>
        </w:tc>
        <w:tc>
          <w:tcPr>
            <w:tcW w:w="154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执业</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p>
        </w:tc>
        <w:tc>
          <w:tcPr>
            <w:tcW w:w="1511"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bl>
    <w:p>
      <w:pPr>
        <w:pStyle w:val="784"/>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84"/>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784"/>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784"/>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：_________________</w:t>
      </w:r>
      <w:r/>
    </w:p>
    <w:p>
      <w:pPr>
        <w:pStyle w:val="78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p>
    <w:p>
      <w:pPr>
        <w:pStyle w:val="78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p>
    <w:p>
      <w:pPr>
        <w:pStyle w:val="78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p>
    <w:p>
      <w:pPr>
        <w:pStyle w:val="999"/>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41" w:name="_Toc11490"/>
      <w:r/>
      <w:bookmarkStart w:id="342" w:name="_Toc103848604"/>
      <w:r/>
      <w:bookmarkStart w:id="343" w:name="_Toc104560921"/>
      <w:r/>
      <w:bookmarkStart w:id="344" w:name="_Toc10724630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0</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业绩一览表</w:t>
      </w:r>
      <w:bookmarkEnd w:id="341"/>
      <w:r/>
      <w:r/>
    </w:p>
    <w:p>
      <w:pPr>
        <w:jc w:val="left"/>
        <w:rPr>
          <w:rFonts w:ascii="宋体" w:hAnsi="宋体"/>
          <w:b/>
          <w:color w:val="000000"/>
          <w:sz w:val="32"/>
          <w:szCs w:val="32"/>
          <w:highlight w:val="none"/>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项目编号：</w:t>
      </w:r>
      <w:r/>
    </w:p>
    <w:tbl>
      <w:tblPr>
        <w:tblStyle w:val="775"/>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1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项目名称</w:t>
            </w:r>
            <w:r/>
          </w:p>
        </w:tc>
        <w:tc>
          <w:tcPr>
            <w:tcW w:w="9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合同签订日期</w:t>
            </w:r>
            <w:r/>
          </w:p>
        </w:tc>
        <w:tc>
          <w:tcPr>
            <w:tcW w:w="1878"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采购人名称</w:t>
            </w:r>
            <w:r/>
          </w:p>
        </w:tc>
        <w:tc>
          <w:tcPr>
            <w:tcW w:w="1494"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项目负责人</w:t>
            </w:r>
            <w:r/>
          </w:p>
        </w:tc>
        <w:tc>
          <w:tcPr>
            <w:tcW w:w="1236"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bl>
    <w:p>
      <w:pPr>
        <w:spacing w:line="240" w:lineRule="atLeast"/>
        <w:rPr>
          <w:color w:val="000000"/>
          <w:highlight w:val="none"/>
        </w:rPr>
      </w:pPr>
      <w:r>
        <w:rPr>
          <w:color w:val="000000"/>
          <w:highlight w:val="none"/>
        </w:rPr>
      </w:r>
      <w:r/>
    </w:p>
    <w:p>
      <w:pPr>
        <w:spacing w:before="65" w:line="227" w:lineRule="auto"/>
        <w:rPr>
          <w:rFonts w:ascii="宋体" w:hAnsi="宋体" w:cs="宋体"/>
          <w:color w:val="000000"/>
          <w:sz w:val="20"/>
          <w:szCs w:val="20"/>
          <w:highlight w:val="none"/>
        </w:rPr>
      </w:pPr>
      <w:r>
        <w:rPr>
          <w:rFonts w:hint="eastAsia" w:ascii="宋体" w:hAnsi="宋体" w:cs="宋体"/>
          <w:color w:val="000000"/>
          <w:spacing w:val="8"/>
          <w:sz w:val="20"/>
          <w:szCs w:val="20"/>
          <w:highlight w:val="none"/>
        </w:rPr>
        <w:t xml:space="preserve">供应商</w:t>
      </w:r>
      <w:r>
        <w:rPr>
          <w:rFonts w:ascii="宋体" w:hAnsi="宋体" w:cs="宋体"/>
          <w:color w:val="000000"/>
          <w:spacing w:val="8"/>
          <w:sz w:val="20"/>
          <w:szCs w:val="20"/>
          <w:highlight w:val="none"/>
        </w:rPr>
        <w:t xml:space="preserve">名称（公章</w:t>
      </w:r>
      <w:r>
        <w:rPr>
          <w:rFonts w:ascii="宋体" w:hAnsi="宋体" w:cs="宋体"/>
          <w:color w:val="000000"/>
          <w:spacing w:val="1"/>
          <w:sz w:val="20"/>
          <w:szCs w:val="20"/>
          <w:highlight w:val="none"/>
        </w:rPr>
        <w:t xml:space="preserve">）：</w:t>
      </w:r>
      <w:r/>
    </w:p>
    <w:p>
      <w:pPr>
        <w:jc w:val="left"/>
        <w:spacing w:before="15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jc w:val="left"/>
        <w:rPr>
          <w:rFonts w:ascii="宋体" w:hAnsi="宋体" w:cs="宋体"/>
          <w:color w:val="000000"/>
          <w:sz w:val="20"/>
          <w:szCs w:val="20"/>
          <w:highlight w:val="none"/>
        </w:rPr>
      </w:pPr>
      <w:r>
        <w:rPr>
          <w:rFonts w:ascii="Microsoft New Tai Lue" w:hAnsi="Microsoft New Tai Lue" w:cs="Microsoft New Tai Lue"/>
          <w:color w:val="000000"/>
          <w:szCs w:val="21"/>
          <w:highlight w:val="none"/>
        </w:rPr>
        <w:t xml:space="preserve">或其授权代表（签字或盖章）：</w:t>
      </w:r>
      <w:r/>
    </w:p>
    <w:p>
      <w:pPr>
        <w:spacing w:before="162" w:line="408" w:lineRule="exact"/>
        <w:rPr>
          <w:b/>
          <w:color w:val="000000"/>
          <w:highlight w:val="none"/>
        </w:rPr>
      </w:pPr>
      <w:r>
        <w:rPr>
          <w:rFonts w:ascii="宋体" w:hAnsi="宋体" w:cs="宋体"/>
          <w:color w:val="000000"/>
          <w:spacing w:val="-9"/>
          <w:position w:val="15"/>
          <w:sz w:val="20"/>
          <w:szCs w:val="20"/>
          <w:highlight w:val="none"/>
        </w:rPr>
        <w:t xml:space="preserve">日</w:t>
      </w:r>
      <w:r>
        <w:rPr>
          <w:rFonts w:hint="eastAsia" w:ascii="宋体" w:hAnsi="宋体" w:cs="宋体"/>
          <w:color w:val="000000"/>
          <w:spacing w:val="-9"/>
          <w:position w:val="15"/>
          <w:sz w:val="20"/>
          <w:szCs w:val="20"/>
          <w:highlight w:val="none"/>
        </w:rPr>
        <w:t xml:space="preserve">   </w:t>
      </w:r>
      <w:r>
        <w:rPr>
          <w:rFonts w:ascii="宋体" w:hAnsi="宋体" w:cs="宋体"/>
          <w:color w:val="000000"/>
          <w:spacing w:val="-9"/>
          <w:position w:val="15"/>
          <w:sz w:val="20"/>
          <w:szCs w:val="20"/>
          <w:highlight w:val="none"/>
        </w:rPr>
        <w:t xml:space="preserve">期：</w:t>
      </w:r>
      <w:bookmarkEnd w:id="262"/>
      <w:r/>
      <w:bookmarkEnd w:id="342"/>
      <w:r/>
      <w:bookmarkEnd w:id="343"/>
      <w:r/>
      <w:bookmarkEnd w:id="344"/>
      <w:r/>
      <w:r/>
    </w:p>
    <w:p>
      <w:pPr>
        <w:pStyle w:val="784"/>
        <w:ind w:firstLine="0"/>
        <w:rPr>
          <w:color w:val="000000"/>
          <w:highlight w:val="none"/>
        </w:rPr>
      </w:pPr>
      <w:r/>
      <w:bookmarkStart w:id="345" w:name="_Toc96347904"/>
      <w:r/>
      <w:r/>
    </w:p>
    <w:p>
      <w:pPr>
        <w:pStyle w:val="999"/>
        <w:spacing w:before="0"/>
        <w:rPr>
          <w:rFonts w:ascii="Microsoft New Tai Lue" w:hAnsi="Microsoft New Tai Lue" w:eastAsia="宋体" w:cs="Microsoft New Tai Lue"/>
          <w:bCs w:val="0"/>
          <w:color w:val="000000"/>
          <w:sz w:val="24"/>
          <w:szCs w:val="24"/>
          <w:highlight w:val="none"/>
        </w:rPr>
      </w:pPr>
      <w:r/>
      <w:bookmarkStart w:id="346" w:name="_Toc104560923"/>
      <w:r/>
      <w:bookmarkStart w:id="347" w:name="_Toc107246306"/>
      <w:r/>
      <w:bookmarkStart w:id="348" w:name="_Toc103848606"/>
      <w:r/>
      <w:bookmarkStart w:id="349" w:name="_Toc100905289"/>
      <w:r>
        <w:rPr>
          <w:rFonts w:ascii="Microsoft New Tai Lue" w:hAnsi="Microsoft New Tai Lue" w:cs="Microsoft New Tai Lue"/>
          <w:bCs w:val="0"/>
          <w:color w:val="000000"/>
          <w:sz w:val="24"/>
          <w:szCs w:val="24"/>
          <w:highlight w:val="none"/>
        </w:rPr>
        <w:br w:type="page" w:clear="all"/>
      </w:r>
      <w:bookmarkStart w:id="350" w:name="_Toc27843"/>
      <w:r>
        <w:rPr>
          <w:rFonts w:ascii="Microsoft New Tai Lue" w:hAnsi="Microsoft New Tai Lue" w:eastAsia="宋体"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eastAsia="宋体" w:cs="Microsoft New Tai Lue"/>
          <w:bCs w:val="0"/>
          <w:color w:val="000000"/>
          <w:sz w:val="24"/>
          <w:szCs w:val="24"/>
          <w:highlight w:val="none"/>
        </w:rPr>
        <w:t xml:space="preserve">）提供符合政府采购政策的证明材料</w:t>
      </w:r>
      <w:bookmarkEnd w:id="346"/>
      <w:r/>
      <w:bookmarkEnd w:id="347"/>
      <w:r/>
      <w:bookmarkEnd w:id="348"/>
      <w:r/>
      <w:bookmarkEnd w:id="349"/>
      <w:r/>
      <w:bookmarkEnd w:id="350"/>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1023"/>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采购活动，工程的施工单位全部为符合政策要求的中小企业。相关企业（含联合 体中的中小企业、签订分包意向协议的中小企业）的具体情 况如下：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rPr>
          <w:rFonts w:hint="eastAsia" w:ascii="宋体" w:hAnsi="宋体" w:cs="宋体"/>
          <w:color w:val="auto"/>
          <w:position w:val="-2"/>
          <w:szCs w:val="21"/>
          <w:highlight w:val="none"/>
          <w:u w:val="single"/>
        </w:rPr>
        <w:t xml:space="preserve">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left="214" w:firstLine="422"/>
        <w:spacing w:line="360" w:lineRule="auto"/>
        <w:rPr>
          <w:rFonts w:hint="eastAsia" w:ascii="宋体" w:hAnsi="宋体" w:eastAsia="宋体" w:cs="宋体"/>
          <w:szCs w:val="21"/>
          <w:highlight w:val="none"/>
          <w:lang w:val="en-US" w:bidi="ar-SA"/>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rPr>
          <w:color w:val="000000"/>
          <w:highlight w:val="none"/>
        </w:rPr>
      </w:pPr>
      <w:r>
        <w:rPr>
          <w:color w:val="000000"/>
          <w:highlight w:val="none"/>
        </w:rPr>
      </w:r>
      <w:r/>
    </w:p>
    <w:p>
      <w:pPr>
        <w:pStyle w:val="784"/>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p>
    <w:p>
      <w:pPr>
        <w:pStyle w:val="784"/>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4"/>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color w:val="000000"/>
          <w:highlight w:val="none"/>
        </w:rPr>
      </w:pPr>
      <w:r>
        <w:rPr>
          <w:color w:val="000000"/>
          <w:highlight w:val="none"/>
        </w:rPr>
      </w:r>
      <w:r/>
    </w:p>
    <w:p>
      <w:pPr>
        <w:pStyle w:val="784"/>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4"/>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bookmarkEnd w:id="345"/>
      <w:r/>
      <w:r/>
    </w:p>
    <w:p>
      <w:pPr>
        <w:pStyle w:val="784"/>
        <w:ind w:firstLine="198"/>
        <w:rPr>
          <w:rFonts w:hint="eastAsia" w:ascii="Microsoft New Tai Lue" w:hAnsi="Microsoft New Tai Lue" w:cs="Microsoft New Tai Lue"/>
          <w:b/>
          <w:color w:val="000000"/>
          <w:sz w:val="24"/>
          <w:szCs w:val="24"/>
          <w:highlight w:val="none"/>
        </w:rPr>
      </w:pPr>
      <w:r>
        <w:rPr>
          <w:rFonts w:hint="eastAsia" w:ascii="Microsoft New Tai Lue" w:hAnsi="Microsoft New Tai Lue" w:cs="Microsoft New Tai Lue"/>
          <w:b/>
          <w:color w:val="000000"/>
          <w:sz w:val="24"/>
          <w:szCs w:val="24"/>
          <w:highlight w:val="none"/>
        </w:rPr>
      </w:r>
      <w:r/>
    </w:p>
    <w:p>
      <w:pPr>
        <w:pStyle w:val="999"/>
        <w:spacing w:before="0"/>
        <w:rPr>
          <w:rFonts w:ascii="Microsoft New Tai Lue" w:hAnsi="Microsoft New Tai Lue" w:cs="Microsoft New Tai Lue"/>
          <w:bCs w:val="0"/>
          <w:color w:val="000000"/>
          <w:sz w:val="24"/>
          <w:szCs w:val="24"/>
          <w:highlight w:val="none"/>
        </w:rPr>
      </w:pPr>
      <w:r/>
      <w:bookmarkStart w:id="351" w:name="_Toc100905295"/>
      <w:r/>
      <w:bookmarkStart w:id="352" w:name="_Toc104560924"/>
      <w:r/>
      <w:bookmarkStart w:id="353" w:name="_Toc107246307"/>
      <w:r/>
      <w:bookmarkStart w:id="354" w:name="_Toc103848607"/>
      <w:r>
        <w:rPr>
          <w:rFonts w:ascii="Microsoft New Tai Lue" w:hAnsi="Microsoft New Tai Lue" w:cs="Microsoft New Tai Lue"/>
          <w:bCs w:val="0"/>
          <w:color w:val="000000"/>
          <w:sz w:val="24"/>
          <w:szCs w:val="24"/>
          <w:highlight w:val="none"/>
        </w:rPr>
        <w:br w:type="page" w:clear="all"/>
      </w:r>
      <w:bookmarkStart w:id="355" w:name="_Toc27810"/>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）供应商认为需提供的其他</w:t>
      </w:r>
      <w:bookmarkEnd w:id="351"/>
      <w:r>
        <w:rPr>
          <w:rFonts w:ascii="Microsoft New Tai Lue" w:hAnsi="Microsoft New Tai Lue" w:cs="Microsoft New Tai Lue"/>
          <w:bCs w:val="0"/>
          <w:color w:val="000000"/>
          <w:sz w:val="24"/>
          <w:szCs w:val="24"/>
          <w:highlight w:val="none"/>
        </w:rPr>
        <w:t xml:space="preserve">文件或证明材料</w:t>
      </w:r>
      <w:bookmarkEnd w:id="352"/>
      <w:r/>
      <w:bookmarkEnd w:id="353"/>
      <w:r/>
      <w:bookmarkEnd w:id="354"/>
      <w:r/>
      <w:bookmarkEnd w:id="355"/>
      <w:r/>
      <w:r/>
    </w:p>
    <w:p>
      <w:pPr>
        <w:pStyle w:val="999"/>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56" w:name="_Toc104560925"/>
      <w:r/>
      <w:bookmarkStart w:id="357" w:name="_Toc103848608"/>
      <w:r/>
      <w:bookmarkStart w:id="358" w:name="_Toc24628"/>
      <w:r/>
      <w:bookmarkStart w:id="359" w:name="_Toc10724630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3</w:t>
      </w:r>
      <w:r>
        <w:rPr>
          <w:rFonts w:ascii="Microsoft New Tai Lue" w:hAnsi="Microsoft New Tai Lue" w:cs="Microsoft New Tai Lue"/>
          <w:bCs w:val="0"/>
          <w:color w:val="000000"/>
          <w:sz w:val="24"/>
          <w:szCs w:val="24"/>
          <w:highlight w:val="none"/>
        </w:rPr>
        <w:t xml:space="preserve">）要求供应商提交的其他文件材料或证明材料</w:t>
      </w:r>
      <w:bookmarkEnd w:id="356"/>
      <w:r/>
      <w:bookmarkEnd w:id="357"/>
      <w:r/>
      <w:bookmarkEnd w:id="358"/>
      <w:r/>
      <w:bookmarkEnd w:id="359"/>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9"/>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仙林校区学生公寓A楼宿舍维修消险改造工程</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9"/>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仙林校区学生公寓A楼宿舍维修消险改造工程</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3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0"/>
  </w:num>
  <w:num w:numId="4">
    <w:abstractNumId w:val="7"/>
  </w:num>
  <w:num w:numId="5">
    <w:abstractNumId w:val="8"/>
  </w:num>
  <w:num w:numId="6">
    <w:abstractNumId w:val="1"/>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link w:val="10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name w:val="Heading 1"/>
    <w:basedOn w:val="764"/>
    <w:next w:val="764"/>
    <w:link w:val="80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0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0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07"/>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08"/>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09"/>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11"/>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12"/>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正文缩进11"/>
    <w:basedOn w:val="764"/>
    <w:uiPriority w:val="99"/>
    <w:qFormat/>
    <w:pPr>
      <w:ind w:firstLine="420"/>
    </w:pPr>
    <w:rPr>
      <w:szCs w:val="20"/>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4"/>
    <w:uiPriority w:val="99"/>
    <w:semiHidden/>
    <w:unhideWhenUsed/>
    <w:qFormat/>
    <w:pPr>
      <w:jc w:val="left"/>
    </w:pPr>
  </w:style>
  <w:style w:type="paragraph" w:styleId="780">
    <w:name w:val="Body Text"/>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81">
    <w:name w:val="Body Text Indent"/>
    <w:next w:val="764"/>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link w:val="1026"/>
    <w:uiPriority w:val="0"/>
    <w:qFormat/>
    <w:pPr>
      <w:ind w:firstLine="200"/>
      <w:spacing w:line="360" w:lineRule="auto"/>
    </w:pPr>
    <w:rPr>
      <w:rFonts w:ascii="宋体" w:hAnsi="Courier New"/>
      <w:sz w:val="20"/>
      <w:szCs w:val="20"/>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link w:val="949"/>
    <w:uiPriority w:val="99"/>
    <w:semiHidden/>
    <w:unhideWhenUsed/>
    <w:qFormat/>
    <w:pPr>
      <w:spacing w:after="0" w:line="240" w:lineRule="auto"/>
    </w:pPr>
    <w:rPr>
      <w:sz w:val="20"/>
    </w:rPr>
  </w:style>
  <w:style w:type="paragraph" w:styleId="787">
    <w:name w:val="Footer"/>
    <w:basedOn w:val="764"/>
    <w:link w:val="822"/>
    <w:uiPriority w:val="99"/>
    <w:unhideWhenUsed/>
    <w:qFormat/>
    <w:pPr>
      <w:spacing w:after="0" w:line="240" w:lineRule="auto"/>
      <w:tabs>
        <w:tab w:val="center" w:pos="7143" w:leader="none"/>
        <w:tab w:val="right" w:pos="14287" w:leader="none"/>
      </w:tabs>
    </w:pPr>
  </w:style>
  <w:style w:type="paragraph" w:styleId="788">
    <w:name w:val="Header"/>
    <w:basedOn w:val="764"/>
    <w:link w:val="820"/>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link w:val="815"/>
    <w:uiPriority w:val="11"/>
    <w:qFormat/>
    <w:pPr>
      <w:spacing w:before="200" w:after="200"/>
    </w:pPr>
    <w:rPr>
      <w:sz w:val="24"/>
      <w:szCs w:val="24"/>
    </w:rPr>
  </w:style>
  <w:style w:type="paragraph" w:styleId="792">
    <w:name w:val="footnote text"/>
    <w:basedOn w:val="764"/>
    <w:link w:val="948"/>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Title"/>
    <w:basedOn w:val="764"/>
    <w:next w:val="764"/>
    <w:link w:val="814"/>
    <w:uiPriority w:val="10"/>
    <w:qFormat/>
    <w:pPr>
      <w:contextualSpacing/>
      <w:spacing w:before="300" w:after="200"/>
    </w:pPr>
    <w:rPr>
      <w:sz w:val="48"/>
      <w:szCs w:val="48"/>
    </w:rPr>
  </w:style>
  <w:style w:type="paragraph" w:styleId="798">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正文文本111"/>
    <w:basedOn w:val="764"/>
    <w:uiPriority w:val="1"/>
    <w:qFormat/>
    <w:pPr>
      <w:spacing w:after="120"/>
    </w:pPr>
  </w:style>
  <w:style w:type="character" w:styleId="804" w:customStyle="1">
    <w:name w:val="Heading 1 Char"/>
    <w:link w:val="765"/>
    <w:uiPriority w:val="9"/>
    <w:qFormat/>
    <w:rPr>
      <w:rFonts w:ascii="Arial" w:hAnsi="Arial" w:eastAsia="Arial" w:cs="Arial"/>
      <w:sz w:val="40"/>
      <w:szCs w:val="40"/>
    </w:rPr>
  </w:style>
  <w:style w:type="character" w:styleId="805" w:customStyle="1">
    <w:name w:val="Heading 2 Char"/>
    <w:link w:val="766"/>
    <w:uiPriority w:val="9"/>
    <w:qFormat/>
    <w:rPr>
      <w:rFonts w:ascii="Arial" w:hAnsi="Arial" w:eastAsia="Arial" w:cs="Arial"/>
      <w:sz w:val="34"/>
    </w:rPr>
  </w:style>
  <w:style w:type="character" w:styleId="806" w:customStyle="1">
    <w:name w:val="Heading 3 Char"/>
    <w:link w:val="767"/>
    <w:uiPriority w:val="9"/>
    <w:qFormat/>
    <w:rPr>
      <w:rFonts w:ascii="Arial" w:hAnsi="Arial" w:eastAsia="Arial" w:cs="Arial"/>
      <w:sz w:val="30"/>
      <w:szCs w:val="30"/>
    </w:rPr>
  </w:style>
  <w:style w:type="character" w:styleId="807" w:customStyle="1">
    <w:name w:val="Heading 4 Char"/>
    <w:link w:val="768"/>
    <w:uiPriority w:val="9"/>
    <w:qFormat/>
    <w:rPr>
      <w:rFonts w:ascii="Arial" w:hAnsi="Arial" w:eastAsia="Arial" w:cs="Arial"/>
      <w:b/>
      <w:bCs/>
      <w:sz w:val="26"/>
      <w:szCs w:val="26"/>
    </w:rPr>
  </w:style>
  <w:style w:type="character" w:styleId="808" w:customStyle="1">
    <w:name w:val="Heading 5 Char"/>
    <w:link w:val="769"/>
    <w:uiPriority w:val="9"/>
    <w:qFormat/>
    <w:rPr>
      <w:rFonts w:ascii="Arial" w:hAnsi="Arial" w:eastAsia="Arial" w:cs="Arial"/>
      <w:b/>
      <w:bCs/>
      <w:sz w:val="24"/>
      <w:szCs w:val="24"/>
    </w:rPr>
  </w:style>
  <w:style w:type="character" w:styleId="809" w:customStyle="1">
    <w:name w:val="Heading 6 Char"/>
    <w:link w:val="770"/>
    <w:uiPriority w:val="9"/>
    <w:qFormat/>
    <w:rPr>
      <w:rFonts w:ascii="Arial" w:hAnsi="Arial" w:eastAsia="Arial" w:cs="Arial"/>
      <w:b/>
      <w:bCs/>
      <w:sz w:val="22"/>
      <w:szCs w:val="22"/>
    </w:rPr>
  </w:style>
  <w:style w:type="character" w:styleId="810" w:customStyle="1">
    <w:name w:val="Heading 7 Char"/>
    <w:link w:val="771"/>
    <w:uiPriority w:val="9"/>
    <w:qFormat/>
    <w:rPr>
      <w:rFonts w:ascii="Arial" w:hAnsi="Arial" w:eastAsia="Arial" w:cs="Arial"/>
      <w:b/>
      <w:bCs/>
      <w:i/>
      <w:iCs/>
      <w:sz w:val="22"/>
      <w:szCs w:val="22"/>
    </w:rPr>
  </w:style>
  <w:style w:type="character" w:styleId="811" w:customStyle="1">
    <w:name w:val="Heading 8 Char"/>
    <w:link w:val="772"/>
    <w:uiPriority w:val="9"/>
    <w:qFormat/>
    <w:rPr>
      <w:rFonts w:ascii="Arial" w:hAnsi="Arial" w:eastAsia="Arial" w:cs="Arial"/>
      <w:i/>
      <w:iCs/>
      <w:sz w:val="22"/>
      <w:szCs w:val="22"/>
    </w:rPr>
  </w:style>
  <w:style w:type="character" w:styleId="812" w:customStyle="1">
    <w:name w:val="Heading 9 Char"/>
    <w:link w:val="773"/>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7"/>
    <w:uiPriority w:val="10"/>
    <w:qFormat/>
    <w:rPr>
      <w:sz w:val="48"/>
      <w:szCs w:val="48"/>
    </w:rPr>
  </w:style>
  <w:style w:type="character" w:styleId="815" w:customStyle="1">
    <w:name w:val="Subtitle Char"/>
    <w:link w:val="791"/>
    <w:uiPriority w:val="11"/>
    <w:qFormat/>
    <w:rPr>
      <w:sz w:val="24"/>
      <w:szCs w:val="24"/>
    </w:rPr>
  </w:style>
  <w:style w:type="paragraph" w:styleId="816">
    <w:name w:val="Quote"/>
    <w:basedOn w:val="764"/>
    <w:next w:val="764"/>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4"/>
    <w:next w:val="764"/>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8"/>
    <w:uiPriority w:val="99"/>
    <w:qFormat/>
  </w:style>
  <w:style w:type="character" w:styleId="821" w:customStyle="1">
    <w:name w:val="Footer Char"/>
    <w:link w:val="787"/>
    <w:uiPriority w:val="99"/>
    <w:qFormat/>
  </w:style>
  <w:style w:type="character" w:styleId="822" w:customStyle="1">
    <w:name w:val="Caption Char"/>
    <w:link w:val="787"/>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2"/>
    <w:uiPriority w:val="99"/>
    <w:qFormat/>
    <w:rPr>
      <w:sz w:val="18"/>
    </w:rPr>
  </w:style>
  <w:style w:type="character" w:styleId="949" w:customStyle="1">
    <w:name w:val="Endnote Text Char"/>
    <w:link w:val="786"/>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4"/>
    <w:next w:val="764"/>
    <w:link w:val="961"/>
    <w:uiPriority w:val="0"/>
    <w:qFormat/>
    <w:pPr>
      <w:ind w:left="100" w:right="100"/>
      <w:keepLines/>
      <w:keepNext/>
      <w:spacing w:before="120" w:after="120"/>
      <w:outlineLvl w:val="0"/>
    </w:pPr>
    <w:rPr>
      <w:b/>
      <w:bCs/>
      <w:szCs w:val="44"/>
    </w:rPr>
  </w:style>
  <w:style w:type="paragraph" w:styleId="952" w:customStyle="1">
    <w:name w:val="标题 211"/>
    <w:basedOn w:val="764"/>
    <w:next w:val="764"/>
    <w:link w:val="962"/>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3" w:customStyle="1">
    <w:name w:val="标题 31"/>
    <w:basedOn w:val="764"/>
    <w:next w:val="764"/>
    <w:link w:val="963"/>
    <w:uiPriority w:val="9"/>
    <w:qFormat/>
    <w:pPr>
      <w:keepLines/>
      <w:keepNext/>
      <w:spacing w:before="260" w:after="260" w:line="416" w:lineRule="auto"/>
      <w:outlineLvl w:val="2"/>
    </w:pPr>
    <w:rPr>
      <w:b/>
      <w:bCs/>
      <w:sz w:val="32"/>
      <w:szCs w:val="32"/>
    </w:rPr>
  </w:style>
  <w:style w:type="paragraph" w:styleId="954" w:customStyle="1">
    <w:name w:val="标题 41"/>
    <w:basedOn w:val="764"/>
    <w:next w:val="764"/>
    <w:link w:val="964"/>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5" w:customStyle="1">
    <w:name w:val="标题 61"/>
    <w:basedOn w:val="764"/>
    <w:next w:val="764"/>
    <w:link w:val="965"/>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56" w:customStyle="1">
    <w:name w:val="标题 81"/>
    <w:basedOn w:val="764"/>
    <w:next w:val="764"/>
    <w:link w:val="966"/>
    <w:uiPriority w:val="0"/>
    <w:qFormat/>
    <w:pPr>
      <w:keepLines/>
      <w:keepNext/>
      <w:spacing w:before="240" w:after="64" w:line="320" w:lineRule="auto"/>
      <w:outlineLvl w:val="7"/>
    </w:pPr>
    <w:rPr>
      <w:rFonts w:ascii="等线 Light" w:hAnsi="等线 Light" w:eastAsia="等线 Light" w:cs="Times New Roman"/>
      <w:sz w:val="24"/>
    </w:rPr>
  </w:style>
  <w:style w:type="character" w:styleId="957" w:customStyle="1">
    <w:name w:val="默认段落字体1"/>
    <w:link w:val="764"/>
    <w:uiPriority w:val="0"/>
    <w:semiHidden/>
    <w:qFormat/>
  </w:style>
  <w:style w:type="table" w:styleId="958"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9" w:customStyle="1">
    <w:name w:val="正文首行缩进 21"/>
    <w:basedOn w:val="960"/>
    <w:uiPriority w:val="0"/>
    <w:qFormat/>
    <w:pPr>
      <w:ind w:firstLine="420"/>
      <w:spacing w:line="360" w:lineRule="auto"/>
    </w:pPr>
    <w:rPr>
      <w:rFonts w:ascii="宋体" w:hAnsi="宋体" w:eastAsia="宋体"/>
      <w:sz w:val="21"/>
      <w:szCs w:val="20"/>
    </w:rPr>
  </w:style>
  <w:style w:type="paragraph" w:styleId="960" w:customStyle="1">
    <w:name w:val="正文文本缩进1"/>
    <w:basedOn w:val="764"/>
    <w:next w:val="959"/>
    <w:uiPriority w:val="0"/>
    <w:qFormat/>
    <w:pPr>
      <w:ind w:left="420"/>
      <w:spacing w:after="120"/>
    </w:pPr>
  </w:style>
  <w:style w:type="character" w:styleId="961" w:customStyle="1">
    <w:name w:val="标题 1 字符"/>
    <w:link w:val="951"/>
    <w:uiPriority w:val="0"/>
    <w:qFormat/>
    <w:rPr>
      <w:b/>
      <w:bCs/>
      <w:sz w:val="21"/>
      <w:szCs w:val="44"/>
    </w:rPr>
  </w:style>
  <w:style w:type="character" w:styleId="962" w:customStyle="1">
    <w:name w:val="标题 2 字符"/>
    <w:link w:val="952"/>
    <w:uiPriority w:val="0"/>
    <w:semiHidden/>
    <w:qFormat/>
    <w:rPr>
      <w:rFonts w:ascii="等线 Light" w:hAnsi="等线 Light" w:eastAsia="等线 Light" w:cs="Times New Roman"/>
      <w:b/>
      <w:bCs/>
      <w:sz w:val="32"/>
      <w:szCs w:val="32"/>
    </w:rPr>
  </w:style>
  <w:style w:type="character" w:styleId="963" w:customStyle="1">
    <w:name w:val="标题 3 字符"/>
    <w:link w:val="953"/>
    <w:uiPriority w:val="9"/>
    <w:qFormat/>
    <w:rPr>
      <w:rFonts w:eastAsia="宋体"/>
      <w:b/>
      <w:bCs/>
      <w:sz w:val="32"/>
      <w:szCs w:val="32"/>
      <w:lang w:val="en-US" w:eastAsia="zh-CN" w:bidi="ar-SA"/>
    </w:rPr>
  </w:style>
  <w:style w:type="character" w:styleId="964" w:customStyle="1">
    <w:name w:val="标题 4 字符"/>
    <w:link w:val="954"/>
    <w:uiPriority w:val="0"/>
    <w:semiHidden/>
    <w:qFormat/>
    <w:rPr>
      <w:rFonts w:ascii="等线 Light" w:hAnsi="等线 Light" w:eastAsia="等线 Light" w:cs="Times New Roman"/>
      <w:b/>
      <w:bCs/>
      <w:sz w:val="28"/>
      <w:szCs w:val="28"/>
    </w:rPr>
  </w:style>
  <w:style w:type="character" w:styleId="965" w:customStyle="1">
    <w:name w:val="标题 6 字符"/>
    <w:link w:val="955"/>
    <w:uiPriority w:val="0"/>
    <w:qFormat/>
    <w:rPr>
      <w:rFonts w:ascii="等线 Light" w:hAnsi="等线 Light" w:eastAsia="等线 Light" w:cs="Times New Roman"/>
      <w:b/>
      <w:bCs/>
      <w:sz w:val="24"/>
      <w:szCs w:val="24"/>
    </w:rPr>
  </w:style>
  <w:style w:type="character" w:styleId="966" w:customStyle="1">
    <w:name w:val="标题 8 字符"/>
    <w:link w:val="956"/>
    <w:uiPriority w:val="0"/>
    <w:semiHidden/>
    <w:qFormat/>
    <w:rPr>
      <w:rFonts w:ascii="等线 Light" w:hAnsi="等线 Light" w:eastAsia="等线 Light" w:cs="Times New Roman"/>
      <w:sz w:val="24"/>
      <w:szCs w:val="24"/>
    </w:rPr>
  </w:style>
  <w:style w:type="paragraph" w:styleId="967" w:customStyle="1">
    <w:name w:val="列表 31"/>
    <w:basedOn w:val="764"/>
    <w:uiPriority w:val="0"/>
    <w:qFormat/>
    <w:pPr>
      <w:contextualSpacing/>
      <w:ind w:left="100" w:hanging="200"/>
      <w:jc w:val="left"/>
      <w:widowControl/>
    </w:pPr>
    <w:rPr>
      <w:sz w:val="20"/>
      <w:szCs w:val="20"/>
    </w:rPr>
  </w:style>
  <w:style w:type="paragraph" w:styleId="968" w:customStyle="1">
    <w:name w:val="目录 71"/>
    <w:basedOn w:val="764"/>
    <w:next w:val="764"/>
    <w:uiPriority w:val="39"/>
    <w:unhideWhenUsed/>
    <w:qFormat/>
    <w:pPr>
      <w:ind w:left="2520"/>
    </w:pPr>
    <w:rPr>
      <w:rFonts w:ascii="等线" w:hAnsi="等线" w:eastAsia="等线" w:cs="Times New Roman"/>
      <w:szCs w:val="22"/>
    </w:rPr>
  </w:style>
  <w:style w:type="paragraph" w:styleId="969" w:customStyle="1">
    <w:name w:val="正文缩进111"/>
    <w:basedOn w:val="764"/>
    <w:link w:val="970"/>
    <w:uiPriority w:val="99"/>
    <w:qFormat/>
    <w:pPr>
      <w:ind w:firstLine="420"/>
    </w:pPr>
    <w:rPr>
      <w:szCs w:val="20"/>
    </w:rPr>
  </w:style>
  <w:style w:type="character" w:styleId="970" w:customStyle="1">
    <w:name w:val="正文缩进 字符"/>
    <w:link w:val="969"/>
    <w:uiPriority w:val="0"/>
    <w:qFormat/>
    <w:rPr>
      <w:sz w:val="21"/>
    </w:rPr>
  </w:style>
  <w:style w:type="paragraph" w:styleId="971" w:customStyle="1">
    <w:name w:val="文档结构图1"/>
    <w:basedOn w:val="764"/>
    <w:link w:val="972"/>
    <w:uiPriority w:val="0"/>
    <w:qFormat/>
    <w:pPr>
      <w:shd w:val="clear" w:color="auto" w:fill="000080"/>
    </w:pPr>
  </w:style>
  <w:style w:type="character" w:styleId="972" w:customStyle="1">
    <w:name w:val="文档结构图 字符"/>
    <w:link w:val="971"/>
    <w:uiPriority w:val="0"/>
    <w:qFormat/>
    <w:rPr>
      <w:sz w:val="21"/>
      <w:szCs w:val="24"/>
      <w:shd w:val="clear" w:color="auto" w:fill="000080"/>
    </w:rPr>
  </w:style>
  <w:style w:type="paragraph" w:styleId="973" w:customStyle="1">
    <w:name w:val="批注文字1"/>
    <w:basedOn w:val="764"/>
    <w:link w:val="974"/>
    <w:uiPriority w:val="0"/>
    <w:qFormat/>
    <w:pPr>
      <w:jc w:val="left"/>
    </w:pPr>
  </w:style>
  <w:style w:type="character" w:styleId="974" w:customStyle="1">
    <w:name w:val="批注文字 字符"/>
    <w:link w:val="973"/>
    <w:uiPriority w:val="0"/>
    <w:qFormat/>
    <w:rPr>
      <w:sz w:val="21"/>
      <w:szCs w:val="24"/>
    </w:rPr>
  </w:style>
  <w:style w:type="paragraph" w:styleId="975" w:customStyle="1">
    <w:name w:val="正文文本1"/>
    <w:basedOn w:val="764"/>
    <w:link w:val="976"/>
    <w:uiPriority w:val="1"/>
    <w:qFormat/>
    <w:pPr>
      <w:spacing w:after="120"/>
    </w:pPr>
  </w:style>
  <w:style w:type="character" w:styleId="976" w:customStyle="1">
    <w:name w:val="正文文本 字符"/>
    <w:link w:val="975"/>
    <w:uiPriority w:val="1"/>
    <w:qFormat/>
    <w:rPr>
      <w:sz w:val="21"/>
      <w:szCs w:val="24"/>
    </w:rPr>
  </w:style>
  <w:style w:type="paragraph" w:styleId="977" w:customStyle="1">
    <w:name w:val="索引 411"/>
    <w:basedOn w:val="764"/>
    <w:next w:val="764"/>
    <w:uiPriority w:val="99"/>
    <w:unhideWhenUsed/>
    <w:qFormat/>
    <w:pPr>
      <w:ind w:left="600"/>
    </w:pPr>
    <w:rPr>
      <w:rFonts w:ascii="宋体"/>
      <w:b/>
      <w:position w:val="-10"/>
      <w:sz w:val="24"/>
      <w:szCs w:val="20"/>
    </w:rPr>
  </w:style>
  <w:style w:type="paragraph" w:styleId="978" w:customStyle="1">
    <w:name w:val="目录 51"/>
    <w:basedOn w:val="764"/>
    <w:next w:val="764"/>
    <w:uiPriority w:val="39"/>
    <w:unhideWhenUsed/>
    <w:qFormat/>
    <w:pPr>
      <w:ind w:left="1680"/>
    </w:pPr>
    <w:rPr>
      <w:rFonts w:ascii="等线" w:hAnsi="等线" w:eastAsia="等线" w:cs="Times New Roman"/>
      <w:szCs w:val="22"/>
    </w:rPr>
  </w:style>
  <w:style w:type="paragraph" w:styleId="979" w:customStyle="1">
    <w:name w:val="目录 31"/>
    <w:basedOn w:val="764"/>
    <w:next w:val="764"/>
    <w:uiPriority w:val="39"/>
    <w:unhideWhenUsed/>
    <w:qFormat/>
    <w:pPr>
      <w:ind w:left="440"/>
      <w:jc w:val="left"/>
      <w:spacing w:after="100" w:line="259" w:lineRule="auto"/>
      <w:widowControl/>
    </w:pPr>
    <w:rPr>
      <w:rFonts w:ascii="等线" w:hAnsi="等线" w:eastAsia="等线"/>
      <w:sz w:val="22"/>
      <w:szCs w:val="22"/>
    </w:rPr>
  </w:style>
  <w:style w:type="paragraph" w:styleId="980" w:customStyle="1">
    <w:name w:val="纯文本11"/>
    <w:basedOn w:val="764"/>
    <w:link w:val="981"/>
    <w:uiPriority w:val="0"/>
    <w:qFormat/>
    <w:rPr>
      <w:rFonts w:ascii="宋体" w:hAnsi="Courier New" w:cs="Courier New"/>
      <w:szCs w:val="21"/>
    </w:rPr>
  </w:style>
  <w:style w:type="character" w:styleId="981" w:customStyle="1">
    <w:name w:val="纯文本 字符"/>
    <w:link w:val="980"/>
    <w:uiPriority w:val="0"/>
    <w:qFormat/>
    <w:rPr>
      <w:rFonts w:ascii="宋体" w:hAnsi="Courier New" w:cs="Courier New"/>
      <w:sz w:val="21"/>
      <w:szCs w:val="21"/>
    </w:rPr>
  </w:style>
  <w:style w:type="paragraph" w:styleId="982" w:customStyle="1">
    <w:name w:val="目录 81"/>
    <w:basedOn w:val="764"/>
    <w:next w:val="764"/>
    <w:uiPriority w:val="39"/>
    <w:unhideWhenUsed/>
    <w:qFormat/>
    <w:pPr>
      <w:ind w:left="2940"/>
    </w:pPr>
    <w:rPr>
      <w:rFonts w:ascii="等线" w:hAnsi="等线" w:eastAsia="等线" w:cs="Times New Roman"/>
      <w:szCs w:val="22"/>
    </w:rPr>
  </w:style>
  <w:style w:type="paragraph" w:styleId="983" w:customStyle="1">
    <w:name w:val="日期1"/>
    <w:basedOn w:val="764"/>
    <w:next w:val="764"/>
    <w:link w:val="984"/>
    <w:uiPriority w:val="0"/>
    <w:qFormat/>
    <w:rPr>
      <w:sz w:val="24"/>
      <w:szCs w:val="20"/>
    </w:rPr>
  </w:style>
  <w:style w:type="character" w:styleId="984" w:customStyle="1">
    <w:name w:val="日期 字符"/>
    <w:link w:val="983"/>
    <w:uiPriority w:val="0"/>
    <w:qFormat/>
    <w:rPr>
      <w:sz w:val="24"/>
    </w:rPr>
  </w:style>
  <w:style w:type="paragraph" w:styleId="985" w:customStyle="1">
    <w:name w:val="批注框文本1"/>
    <w:basedOn w:val="764"/>
    <w:link w:val="986"/>
    <w:uiPriority w:val="0"/>
    <w:qFormat/>
    <w:rPr>
      <w:sz w:val="18"/>
      <w:szCs w:val="18"/>
    </w:rPr>
  </w:style>
  <w:style w:type="character" w:styleId="986" w:customStyle="1">
    <w:name w:val="批注框文本 字符"/>
    <w:link w:val="985"/>
    <w:uiPriority w:val="0"/>
    <w:qFormat/>
    <w:rPr>
      <w:sz w:val="18"/>
      <w:szCs w:val="18"/>
    </w:rPr>
  </w:style>
  <w:style w:type="paragraph" w:styleId="987" w:customStyle="1">
    <w:name w:val="页脚1"/>
    <w:basedOn w:val="764"/>
    <w:link w:val="988"/>
    <w:uiPriority w:val="0"/>
    <w:qFormat/>
    <w:pPr>
      <w:jc w:val="left"/>
      <w:tabs>
        <w:tab w:val="center" w:pos="4153" w:leader="none"/>
        <w:tab w:val="right" w:pos="8306" w:leader="none"/>
      </w:tabs>
    </w:pPr>
    <w:rPr>
      <w:sz w:val="18"/>
      <w:szCs w:val="18"/>
    </w:rPr>
  </w:style>
  <w:style w:type="character" w:styleId="988" w:customStyle="1">
    <w:name w:val="页脚 字符"/>
    <w:link w:val="987"/>
    <w:uiPriority w:val="99"/>
    <w:qFormat/>
    <w:rPr>
      <w:sz w:val="18"/>
      <w:szCs w:val="18"/>
    </w:rPr>
  </w:style>
  <w:style w:type="paragraph" w:styleId="989" w:customStyle="1">
    <w:name w:val="页眉1"/>
    <w:basedOn w:val="764"/>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字符"/>
    <w:link w:val="989"/>
    <w:uiPriority w:val="99"/>
    <w:qFormat/>
    <w:rPr>
      <w:sz w:val="18"/>
      <w:szCs w:val="18"/>
    </w:rPr>
  </w:style>
  <w:style w:type="paragraph" w:styleId="991" w:customStyle="1">
    <w:name w:val="目录 11"/>
    <w:basedOn w:val="764"/>
    <w:next w:val="764"/>
    <w:uiPriority w:val="39"/>
    <w:qFormat/>
    <w:rPr>
      <w:rFonts w:ascii="仿宋_GB2312" w:eastAsia="仿宋_GB2312"/>
      <w:sz w:val="24"/>
    </w:rPr>
  </w:style>
  <w:style w:type="paragraph" w:styleId="992" w:customStyle="1">
    <w:name w:val="目录 41"/>
    <w:basedOn w:val="764"/>
    <w:next w:val="764"/>
    <w:uiPriority w:val="39"/>
    <w:unhideWhenUsed/>
    <w:qFormat/>
    <w:pPr>
      <w:ind w:left="1260"/>
    </w:pPr>
    <w:rPr>
      <w:rFonts w:ascii="等线" w:hAnsi="等线" w:eastAsia="等线" w:cs="Times New Roman"/>
      <w:szCs w:val="22"/>
    </w:rPr>
  </w:style>
  <w:style w:type="paragraph" w:styleId="993" w:customStyle="1">
    <w:name w:val="目录 61"/>
    <w:basedOn w:val="764"/>
    <w:next w:val="764"/>
    <w:uiPriority w:val="39"/>
    <w:unhideWhenUsed/>
    <w:qFormat/>
    <w:pPr>
      <w:ind w:left="2100"/>
    </w:pPr>
    <w:rPr>
      <w:rFonts w:ascii="等线" w:hAnsi="等线" w:eastAsia="等线" w:cs="Times New Roman"/>
      <w:szCs w:val="22"/>
    </w:rPr>
  </w:style>
  <w:style w:type="paragraph" w:styleId="994" w:customStyle="1">
    <w:name w:val="目录 21"/>
    <w:basedOn w:val="764"/>
    <w:next w:val="764"/>
    <w:uiPriority w:val="39"/>
    <w:unhideWhenUsed/>
    <w:qFormat/>
    <w:pPr>
      <w:ind w:left="220"/>
      <w:jc w:val="left"/>
      <w:spacing w:after="100" w:line="259" w:lineRule="auto"/>
      <w:widowControl/>
    </w:pPr>
    <w:rPr>
      <w:rFonts w:ascii="等线" w:hAnsi="等线" w:eastAsia="等线"/>
      <w:sz w:val="22"/>
      <w:szCs w:val="22"/>
    </w:rPr>
  </w:style>
  <w:style w:type="paragraph" w:styleId="995" w:customStyle="1">
    <w:name w:val="目录 91"/>
    <w:basedOn w:val="764"/>
    <w:next w:val="764"/>
    <w:uiPriority w:val="39"/>
    <w:unhideWhenUsed/>
    <w:qFormat/>
    <w:pPr>
      <w:ind w:left="3360"/>
    </w:pPr>
    <w:rPr>
      <w:rFonts w:ascii="等线" w:hAnsi="等线" w:eastAsia="等线" w:cs="Times New Roman"/>
      <w:szCs w:val="22"/>
    </w:rPr>
  </w:style>
  <w:style w:type="paragraph" w:styleId="996" w:customStyle="1">
    <w:name w:val="正文文本 211"/>
    <w:basedOn w:val="764"/>
    <w:link w:val="997"/>
    <w:uiPriority w:val="0"/>
    <w:qFormat/>
    <w:pPr>
      <w:spacing w:after="120" w:line="480" w:lineRule="auto"/>
    </w:pPr>
    <w:rPr>
      <w:rFonts w:ascii="Calibri" w:hAnsi="Calibri" w:eastAsia="宋体" w:cs="Times New Roman"/>
    </w:rPr>
  </w:style>
  <w:style w:type="character" w:styleId="997" w:customStyle="1">
    <w:name w:val="正文文本 2 字符"/>
    <w:link w:val="996"/>
    <w:uiPriority w:val="0"/>
    <w:qFormat/>
    <w:rPr>
      <w:rFonts w:ascii="Calibri" w:hAnsi="Calibri"/>
      <w:sz w:val="21"/>
      <w:szCs w:val="24"/>
    </w:rPr>
  </w:style>
  <w:style w:type="paragraph" w:styleId="998" w:customStyle="1">
    <w:name w:val="普通(网站)1"/>
    <w:basedOn w:val="764"/>
    <w:uiPriority w:val="99"/>
    <w:qFormat/>
    <w:pPr>
      <w:jc w:val="left"/>
      <w:spacing w:before="100" w:beforeAutospacing="1" w:after="100" w:afterAutospacing="1"/>
      <w:widowControl/>
    </w:pPr>
    <w:rPr>
      <w:sz w:val="24"/>
    </w:rPr>
  </w:style>
  <w:style w:type="paragraph" w:styleId="999" w:customStyle="1">
    <w:name w:val="标题11"/>
    <w:basedOn w:val="764"/>
    <w:next w:val="764"/>
    <w:link w:val="1000"/>
    <w:uiPriority w:val="0"/>
    <w:qFormat/>
    <w:pPr>
      <w:jc w:val="center"/>
      <w:spacing w:before="240" w:after="60"/>
      <w:outlineLvl w:val="0"/>
    </w:pPr>
    <w:rPr>
      <w:rFonts w:ascii="等线 Light" w:hAnsi="等线 Light" w:cs="Times New Roman"/>
      <w:b/>
      <w:bCs/>
      <w:sz w:val="32"/>
      <w:szCs w:val="32"/>
    </w:rPr>
  </w:style>
  <w:style w:type="character" w:styleId="1000" w:customStyle="1">
    <w:name w:val="标题 字符"/>
    <w:link w:val="999"/>
    <w:uiPriority w:val="0"/>
    <w:qFormat/>
    <w:rPr>
      <w:rFonts w:ascii="等线 Light" w:hAnsi="等线 Light" w:cs="Times New Roman"/>
      <w:b/>
      <w:bCs/>
      <w:sz w:val="32"/>
      <w:szCs w:val="32"/>
    </w:rPr>
  </w:style>
  <w:style w:type="paragraph" w:styleId="1001" w:customStyle="1">
    <w:name w:val="批注主题1"/>
    <w:basedOn w:val="973"/>
    <w:next w:val="973"/>
    <w:link w:val="1002"/>
    <w:uiPriority w:val="0"/>
    <w:qFormat/>
    <w:rPr>
      <w:b/>
      <w:bCs/>
    </w:rPr>
  </w:style>
  <w:style w:type="character" w:styleId="1002" w:customStyle="1">
    <w:name w:val="批注主题 字符"/>
    <w:link w:val="1001"/>
    <w:uiPriority w:val="0"/>
    <w:qFormat/>
    <w:rPr>
      <w:b/>
      <w:bCs/>
      <w:sz w:val="21"/>
      <w:szCs w:val="24"/>
    </w:rPr>
  </w:style>
  <w:style w:type="table" w:styleId="1003" w:customStyle="1">
    <w:name w:val="网格型1"/>
    <w:basedOn w:val="958"/>
    <w:uiPriority w:val="0"/>
    <w:qFormat/>
    <w:pPr>
      <w:jc w:val="both"/>
      <w:widowControl w:val="off"/>
    </w:pPr>
    <w:tblPr/>
  </w:style>
  <w:style w:type="character" w:styleId="1004" w:customStyle="1">
    <w:name w:val="要点1"/>
    <w:link w:val="764"/>
    <w:uiPriority w:val="0"/>
    <w:qFormat/>
    <w:rPr>
      <w:b/>
      <w:bCs/>
    </w:rPr>
  </w:style>
  <w:style w:type="character" w:styleId="1005" w:customStyle="1">
    <w:name w:val="页码1"/>
    <w:link w:val="764"/>
    <w:uiPriority w:val="0"/>
    <w:qFormat/>
  </w:style>
  <w:style w:type="character" w:styleId="1006" w:customStyle="1">
    <w:name w:val="强调1"/>
    <w:link w:val="764"/>
    <w:uiPriority w:val="0"/>
    <w:qFormat/>
    <w:rPr>
      <w:i/>
      <w:iCs/>
    </w:rPr>
  </w:style>
  <w:style w:type="character" w:styleId="1007" w:customStyle="1">
    <w:name w:val="超链接1"/>
    <w:link w:val="764"/>
    <w:uiPriority w:val="99"/>
    <w:qFormat/>
    <w:rPr>
      <w:color w:val="000000"/>
      <w:u w:val="none"/>
    </w:rPr>
  </w:style>
  <w:style w:type="character" w:styleId="1008" w:customStyle="1">
    <w:name w:val="批注引用1"/>
    <w:link w:val="764"/>
    <w:uiPriority w:val="0"/>
    <w:qFormat/>
    <w:rPr>
      <w:sz w:val="21"/>
      <w:szCs w:val="21"/>
    </w:rPr>
  </w:style>
  <w:style w:type="character" w:styleId="1009" w:customStyle="1">
    <w:name w:val="p0 Char"/>
    <w:link w:val="1010"/>
    <w:uiPriority w:val="0"/>
    <w:qFormat/>
    <w:rPr>
      <w:rFonts w:eastAsia="宋体"/>
      <w:sz w:val="21"/>
      <w:szCs w:val="21"/>
      <w:lang w:val="en-US" w:eastAsia="zh-CN" w:bidi="ar-SA"/>
    </w:rPr>
  </w:style>
  <w:style w:type="paragraph" w:styleId="1010" w:customStyle="1">
    <w:name w:val="p0"/>
    <w:basedOn w:val="764"/>
    <w:link w:val="1009"/>
    <w:uiPriority w:val="0"/>
    <w:qFormat/>
    <w:pPr>
      <w:widowControl/>
    </w:pPr>
    <w:rPr>
      <w:szCs w:val="21"/>
    </w:rPr>
  </w:style>
  <w:style w:type="character" w:styleId="1011" w:customStyle="1">
    <w:name w:val="标题 2 Char Char Char"/>
    <w:link w:val="764"/>
    <w:uiPriority w:val="0"/>
    <w:qFormat/>
    <w:rPr>
      <w:rFonts w:ascii="Arial" w:hAnsi="Arial" w:eastAsia="黑体"/>
      <w:b/>
      <w:bCs/>
      <w:sz w:val="32"/>
      <w:szCs w:val="32"/>
      <w:lang w:val="en-US" w:eastAsia="zh-CN" w:bidi="ar-SA"/>
    </w:rPr>
  </w:style>
  <w:style w:type="character" w:styleId="1012" w:customStyle="1">
    <w:name w:val="NormalCharacter1"/>
    <w:link w:val="764"/>
    <w:uiPriority w:val="0"/>
    <w:semiHidden/>
    <w:qFormat/>
  </w:style>
  <w:style w:type="paragraph" w:styleId="1013" w:customStyle="1">
    <w:name w:val="Heading21"/>
    <w:basedOn w:val="764"/>
    <w:next w:val="764"/>
    <w:uiPriority w:val="0"/>
    <w:qFormat/>
    <w:pPr>
      <w:jc w:val="center"/>
      <w:keepNext/>
      <w:widowControl/>
    </w:pPr>
    <w:rPr>
      <w:rFonts w:ascii="楷体_GB2312" w:eastAsia="楷体_GB2312"/>
      <w:sz w:val="18"/>
      <w:szCs w:val="20"/>
    </w:rPr>
  </w:style>
  <w:style w:type="paragraph" w:styleId="1014" w:customStyle="1">
    <w:name w:val="TOC 标题"/>
    <w:basedOn w:val="951"/>
    <w:next w:val="764"/>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5"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样式1"/>
    <w:basedOn w:val="951"/>
    <w:link w:val="1017"/>
    <w:uiPriority w:val="0"/>
    <w:qFormat/>
    <w:pPr>
      <w:ind w:left="210" w:right="210"/>
    </w:pPr>
  </w:style>
  <w:style w:type="character" w:styleId="1017" w:customStyle="1">
    <w:name w:val="样式1 字符"/>
    <w:link w:val="1016"/>
    <w:uiPriority w:val="0"/>
    <w:qFormat/>
  </w:style>
  <w:style w:type="paragraph" w:styleId="1018" w:customStyle="1">
    <w:name w:val="标题 21"/>
    <w:basedOn w:val="764"/>
    <w:next w:val="7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9" w:customStyle="1">
    <w:name w:val="列表段落"/>
    <w:basedOn w:val="764"/>
    <w:uiPriority w:val="1"/>
    <w:qFormat/>
    <w:pPr>
      <w:ind w:left="400" w:firstLine="420"/>
      <w:jc w:val="left"/>
    </w:pPr>
    <w:rPr>
      <w:rFonts w:ascii="宋体" w:hAnsi="宋体" w:cs="宋体"/>
      <w:sz w:val="22"/>
      <w:szCs w:val="22"/>
      <w:lang w:val="zh-CN" w:bidi="zh-CN"/>
    </w:rPr>
  </w:style>
  <w:style w:type="paragraph" w:styleId="1020" w:customStyle="1">
    <w:name w:val="Table Paragraph"/>
    <w:basedOn w:val="764"/>
    <w:uiPriority w:val="1"/>
    <w:qFormat/>
    <w:pPr>
      <w:jc w:val="left"/>
    </w:pPr>
    <w:rPr>
      <w:rFonts w:ascii="宋体" w:hAnsi="宋体" w:cs="宋体"/>
      <w:sz w:val="22"/>
      <w:szCs w:val="22"/>
      <w:lang w:val="zh-CN" w:bidi="zh-CN"/>
    </w:rPr>
  </w:style>
  <w:style w:type="character" w:styleId="1021" w:customStyle="1">
    <w:name w:val="ask-title2"/>
    <w:link w:val="764"/>
    <w:uiPriority w:val="0"/>
    <w:qFormat/>
  </w:style>
  <w:style w:type="paragraph" w:styleId="1022" w:customStyle="1">
    <w:name w:val="列出段落2"/>
    <w:basedOn w:val="764"/>
    <w:uiPriority w:val="99"/>
    <w:unhideWhenUsed/>
    <w:qFormat/>
    <w:pPr>
      <w:ind w:firstLine="420"/>
      <w:jc w:val="left"/>
    </w:pPr>
    <w:rPr>
      <w:rFonts w:ascii="宋体"/>
      <w:sz w:val="20"/>
      <w:szCs w:val="20"/>
    </w:rPr>
  </w:style>
  <w:style w:type="paragraph" w:styleId="1023" w:customStyle="1">
    <w:name w:val="纯文本1"/>
    <w:basedOn w:val="764"/>
    <w:uiPriority w:val="0"/>
    <w:qFormat/>
    <w:rPr>
      <w:rFonts w:ascii="宋体" w:hAnsi="Courier New"/>
      <w:sz w:val="20"/>
      <w:szCs w:val="21"/>
    </w:rPr>
  </w:style>
  <w:style w:type="character" w:styleId="1024" w:customStyle="1">
    <w:name w:val="纯文本 Char2"/>
    <w:link w:val="764"/>
    <w:uiPriority w:val="0"/>
    <w:qFormat/>
    <w:rPr>
      <w:rFonts w:ascii="宋体" w:hAnsi="Courier New"/>
      <w:sz w:val="21"/>
    </w:rPr>
  </w:style>
  <w:style w:type="paragraph" w:styleId="1025" w:customStyle="1">
    <w:name w:val="列出段落1"/>
    <w:basedOn w:val="764"/>
    <w:uiPriority w:val="0"/>
    <w:qFormat/>
    <w:pPr>
      <w:ind w:firstLine="420"/>
      <w:spacing w:line="0" w:lineRule="atLeast"/>
    </w:pPr>
    <w:rPr>
      <w:rFonts w:eastAsia="微软雅黑"/>
      <w:sz w:val="20"/>
      <w:szCs w:val="20"/>
    </w:rPr>
  </w:style>
  <w:style w:type="character" w:styleId="1026" w:customStyle="1">
    <w:name w:val="纯文本 Char"/>
    <w:link w:val="784"/>
    <w:uiPriority w:val="0"/>
    <w:qFormat/>
    <w:rPr>
      <w:rFonts w:ascii="宋体" w:hAnsi="Courier New"/>
    </w:rPr>
  </w:style>
  <w:style w:type="character" w:styleId="1027" w:customStyle="1">
    <w:name w:val="页脚 Char"/>
    <w:link w:val="764"/>
    <w:uiPriority w:val="0"/>
    <w:qFormat/>
    <w:rPr>
      <w:sz w:val="18"/>
      <w:szCs w:val="18"/>
    </w:rPr>
  </w:style>
  <w:style w:type="paragraph" w:styleId="1028" w:customStyle="1">
    <w:name w:val="_Style 83"/>
    <w:basedOn w:val="764"/>
    <w:next w:val="1019"/>
    <w:uiPriority w:val="99"/>
    <w:qFormat/>
    <w:pPr>
      <w:ind w:firstLine="420"/>
    </w:pPr>
  </w:style>
  <w:style w:type="character" w:styleId="1029" w:customStyle="1">
    <w:name w:val="正文2 Char Char"/>
    <w:link w:val="1030"/>
    <w:uiPriority w:val="0"/>
    <w:qFormat/>
    <w:rPr>
      <w:sz w:val="24"/>
    </w:rPr>
  </w:style>
  <w:style w:type="paragraph" w:styleId="1030" w:customStyle="1">
    <w:name w:val="正文2"/>
    <w:basedOn w:val="764"/>
    <w:link w:val="1029"/>
    <w:uiPriority w:val="0"/>
    <w:qFormat/>
    <w:pPr>
      <w:ind w:firstLine="510"/>
      <w:spacing w:before="156" w:line="360" w:lineRule="auto"/>
    </w:pPr>
    <w:rPr>
      <w:sz w:val="24"/>
      <w:szCs w:val="20"/>
    </w:rPr>
  </w:style>
  <w:style w:type="paragraph" w:styleId="1031" w:customStyle="1">
    <w:name w:val="标题 5（有编号）（绿盟科技）"/>
    <w:basedOn w:val="764"/>
    <w:next w:val="103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32"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33" w:customStyle="1">
    <w:name w:val="0正文"/>
    <w:basedOn w:val="764"/>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34" w:customStyle="1">
    <w:name w:val="msolistparagraph"/>
    <w:basedOn w:val="764"/>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35" w:customStyle="1">
    <w:name w:val="Table Normal"/>
    <w:uiPriority w:val="0"/>
    <w:unhideWhenUsed/>
    <w:qFormat/>
    <w:rPr>
      <w:lang w:val="en-US" w:eastAsia="zh-CN" w:bidi="ar-SA"/>
    </w:rPr>
    <w:tblPr/>
  </w:style>
  <w:style w:type="paragraph" w:styleId="1036" w:customStyle="1">
    <w:name w:val="Table Text"/>
    <w:basedOn w:val="764"/>
    <w:uiPriority w:val="0"/>
    <w:semiHidden/>
    <w:qFormat/>
    <w:rPr>
      <w:rFonts w:ascii="Arial" w:hAnsi="Arial" w:eastAsia="Arial" w:cs="Arial"/>
      <w:sz w:val="21"/>
      <w:szCs w:val="21"/>
      <w:lang w:val="en-US" w:eastAsia="en-US" w:bidi="ar-SA"/>
    </w:rPr>
  </w:style>
  <w:style w:type="paragraph" w:styleId="1037" w:customStyle="1">
    <w:name w:val="样式4"/>
    <w:basedOn w:val="952"/>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8"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9">
    <w:name w:val="List Paragraph"/>
    <w:basedOn w:val="764"/>
    <w:next w:val="764"/>
    <w:uiPriority w:val="0"/>
    <w:qFormat/>
    <w:pPr>
      <w:ind w:firstLine="420"/>
    </w:pPr>
    <w:rPr>
      <w:rFonts w:ascii="Times New Roman" w:hAnsi="Times New Roman"/>
      <w:szCs w:val="21"/>
    </w:rPr>
  </w:style>
  <w:style w:type="paragraph" w:styleId="1040" w:customStyle="1">
    <w:name w:val="首行缩进"/>
    <w:basedOn w:val="1041"/>
    <w:uiPriority w:val="0"/>
    <w:qFormat/>
    <w:pPr>
      <w:ind w:firstLine="480"/>
      <w:jc w:val="left"/>
      <w:spacing w:line="360" w:lineRule="auto"/>
    </w:pPr>
    <w:rPr>
      <w:rFonts w:ascii="宋体" w:hAnsi="宋体" w:eastAsia="仿宋" w:cs="仿宋"/>
      <w:sz w:val="24"/>
      <w:lang w:val="zh-CN" w:bidi="zh-CN"/>
    </w:rPr>
  </w:style>
  <w:style w:type="paragraph" w:styleId="1041" w:customStyle="1">
    <w:name w:val="正文1"/>
    <w:next w:val="1040"/>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42" w:customStyle="1">
    <w:name w:val="正文缩进1"/>
    <w:basedOn w:val="764"/>
    <w:uiPriority w:val="0"/>
    <w:qFormat/>
    <w:pPr>
      <w:ind w:firstLine="420"/>
    </w:pPr>
    <w:rPr>
      <w:szCs w:val="20"/>
      <w:lang w:val="en-US"/>
    </w:rPr>
  </w:style>
  <w:style w:type="paragraph" w:styleId="1043" w:customStyle="1">
    <w:name w:val="标题1"/>
    <w:basedOn w:val="764"/>
    <w:next w:val="764"/>
    <w:uiPriority w:val="0"/>
    <w:qFormat/>
    <w:pPr>
      <w:jc w:val="center"/>
      <w:spacing w:before="240" w:after="60" w:line="360" w:lineRule="auto"/>
      <w:outlineLvl w:val="0"/>
    </w:pPr>
    <w:rPr>
      <w:rFonts w:ascii="等线 Light" w:hAnsi="等线 Light"/>
      <w:b/>
      <w:bCs/>
      <w:sz w:val="32"/>
      <w:szCs w:val="32"/>
    </w:rPr>
  </w:style>
  <w:style w:type="paragraph" w:styleId="1044" w:customStyle="1">
    <w:name w:val="纯文本2"/>
    <w:basedOn w:val="764"/>
    <w:uiPriority w:val="0"/>
    <w:qFormat/>
    <w:pPr>
      <w:ind w:firstLine="200"/>
      <w:spacing w:line="360" w:lineRule="auto"/>
    </w:pPr>
    <w:rPr>
      <w:rFonts w:ascii="宋体" w:hAnsi="Courier New"/>
      <w:sz w:val="20"/>
      <w:szCs w:val="20"/>
    </w:rPr>
  </w:style>
  <w:style w:type="paragraph" w:styleId="1045" w:customStyle="1">
    <w:name w:val="正文文本 21"/>
    <w:basedOn w:val="764"/>
    <w:uiPriority w:val="0"/>
    <w:qFormat/>
    <w:pPr>
      <w:spacing w:after="120" w:line="480" w:lineRule="auto"/>
    </w:pPr>
    <w:rPr>
      <w:rFonts w:ascii="Calibri" w:hAnsi="Calibri"/>
    </w:rPr>
  </w:style>
  <w:style w:type="paragraph" w:styleId="1046" w:customStyle="1">
    <w:name w:val="索引 41"/>
    <w:basedOn w:val="764"/>
    <w:next w:val="764"/>
    <w:uiPriority w:val="99"/>
    <w:unhideWhenUsed/>
    <w:qFormat/>
    <w:pPr>
      <w:ind w:left="600"/>
    </w:pPr>
    <w:rPr>
      <w:rFonts w:ascii="宋体"/>
      <w:b/>
      <w:position w:val="-10"/>
      <w:sz w:val="24"/>
      <w:szCs w:val="20"/>
    </w:rPr>
  </w:style>
  <w:style w:type="paragraph" w:styleId="1047" w:customStyle="1">
    <w:name w:val="null3"/>
    <w:uiPriority w:val="0"/>
    <w:qFormat/>
    <w:rPr>
      <w:rFonts w:hint="eastAsia" w:ascii="Calibri" w:hAnsi="Calibri" w:eastAsia="宋体" w:cs="Times New Roman"/>
      <w:lang w:val="en-US" w:eastAsia="en-US"/>
    </w:rPr>
  </w:style>
  <w:style w:type="character" w:styleId="1048" w:customStyle="1">
    <w:name w:val="rvts12"/>
    <w:uiPriority w:val="0"/>
    <w:qFormat/>
    <w:rPr>
      <w:sz w:val="21"/>
      <w:szCs w:val="24"/>
      <w:lang w:val="en-US" w:eastAsia="zh-CN" w:bidi="ar-SA"/>
    </w:rPr>
  </w:style>
  <w:style w:type="character" w:styleId="1049" w:customStyle="1">
    <w:name w:val="rvts10"/>
    <w:uiPriority w:val="0"/>
    <w:qFormat/>
    <w:rPr>
      <w:rFonts w:ascii="KNLe" w:hAnsi="KNLe"/>
    </w:rPr>
  </w:style>
  <w:style w:type="character" w:styleId="1050" w:customStyle="1">
    <w:name w:val="rvts13"/>
    <w:uiPriority w:val="0"/>
    <w:qFormat/>
    <w:rPr>
      <w:rFonts w:ascii="KNLe" w:hAnsi="KNLe"/>
      <w:color w:val="000000"/>
    </w:rPr>
  </w:style>
  <w:style w:type="character" w:styleId="1051" w:customStyle="1">
    <w:name w:val="rvts15"/>
    <w:uiPriority w:val="0"/>
    <w:qFormat/>
    <w:rPr>
      <w:rFonts w:ascii="KNLe" w:hAnsi="KNLe"/>
      <w:color w:val="0000ff"/>
      <w:u w:val="single"/>
    </w:rPr>
  </w:style>
  <w:style w:type="paragraph" w:styleId="1052" w:customStyle="1">
    <w:name w:val="文本块1"/>
    <w:next w:val="764"/>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r>
            <w:rPr>
              <w:rStyle w:val="1682"/>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r>
            <w:rPr>
              <w:rStyle w:val="1682"/>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r>
            <w:rPr>
              <w:rStyle w:val="1682"/>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r>
            <w:rPr>
              <w:rStyle w:val="1682"/>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r>
            <w:rPr>
              <w:rStyle w:val="168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02">
    <w:name w:val="Heading 1"/>
    <w:basedOn w:val="1680"/>
    <w:next w:val="1680"/>
    <w:link w:val="1503"/>
    <w:uiPriority w:val="9"/>
    <w:qFormat/>
    <w:pPr>
      <w:keepLines/>
      <w:keepNext/>
      <w:spacing w:before="480" w:after="200"/>
      <w:outlineLvl w:val="0"/>
    </w:pPr>
    <w:rPr>
      <w:rFonts w:ascii="Arial" w:hAnsi="Arial" w:eastAsia="Arial" w:cs="Arial"/>
      <w:sz w:val="40"/>
      <w:szCs w:val="40"/>
    </w:rPr>
  </w:style>
  <w:style w:type="character" w:styleId="1503">
    <w:name w:val="Heading 1 Char"/>
    <w:basedOn w:val="1681"/>
    <w:link w:val="1502"/>
    <w:uiPriority w:val="9"/>
    <w:rPr>
      <w:rFonts w:ascii="Arial" w:hAnsi="Arial" w:eastAsia="Arial" w:cs="Arial"/>
      <w:sz w:val="40"/>
      <w:szCs w:val="40"/>
    </w:rPr>
  </w:style>
  <w:style w:type="paragraph" w:styleId="1504">
    <w:name w:val="Heading 2"/>
    <w:basedOn w:val="1680"/>
    <w:next w:val="1680"/>
    <w:link w:val="1505"/>
    <w:uiPriority w:val="9"/>
    <w:unhideWhenUsed/>
    <w:qFormat/>
    <w:pPr>
      <w:keepLines/>
      <w:keepNext/>
      <w:spacing w:before="360" w:after="200"/>
      <w:outlineLvl w:val="1"/>
    </w:pPr>
    <w:rPr>
      <w:rFonts w:ascii="Arial" w:hAnsi="Arial" w:eastAsia="Arial" w:cs="Arial"/>
      <w:sz w:val="34"/>
    </w:rPr>
  </w:style>
  <w:style w:type="character" w:styleId="1505">
    <w:name w:val="Heading 2 Char"/>
    <w:basedOn w:val="1681"/>
    <w:link w:val="1504"/>
    <w:uiPriority w:val="9"/>
    <w:rPr>
      <w:rFonts w:ascii="Arial" w:hAnsi="Arial" w:eastAsia="Arial" w:cs="Arial"/>
      <w:sz w:val="34"/>
    </w:rPr>
  </w:style>
  <w:style w:type="paragraph" w:styleId="1506">
    <w:name w:val="Heading 3"/>
    <w:basedOn w:val="1680"/>
    <w:next w:val="1680"/>
    <w:link w:val="1507"/>
    <w:uiPriority w:val="9"/>
    <w:unhideWhenUsed/>
    <w:qFormat/>
    <w:pPr>
      <w:keepLines/>
      <w:keepNext/>
      <w:spacing w:before="320" w:after="200"/>
      <w:outlineLvl w:val="2"/>
    </w:pPr>
    <w:rPr>
      <w:rFonts w:ascii="Arial" w:hAnsi="Arial" w:eastAsia="Arial" w:cs="Arial"/>
      <w:sz w:val="30"/>
      <w:szCs w:val="30"/>
    </w:rPr>
  </w:style>
  <w:style w:type="character" w:styleId="1507">
    <w:name w:val="Heading 3 Char"/>
    <w:basedOn w:val="1681"/>
    <w:link w:val="1506"/>
    <w:uiPriority w:val="9"/>
    <w:rPr>
      <w:rFonts w:ascii="Arial" w:hAnsi="Arial" w:eastAsia="Arial" w:cs="Arial"/>
      <w:sz w:val="30"/>
      <w:szCs w:val="30"/>
    </w:rPr>
  </w:style>
  <w:style w:type="paragraph" w:styleId="1508">
    <w:name w:val="Heading 4"/>
    <w:basedOn w:val="1680"/>
    <w:next w:val="1680"/>
    <w:link w:val="1509"/>
    <w:uiPriority w:val="9"/>
    <w:unhideWhenUsed/>
    <w:qFormat/>
    <w:pPr>
      <w:keepLines/>
      <w:keepNext/>
      <w:spacing w:before="320" w:after="200"/>
      <w:outlineLvl w:val="3"/>
    </w:pPr>
    <w:rPr>
      <w:rFonts w:ascii="Arial" w:hAnsi="Arial" w:eastAsia="Arial" w:cs="Arial"/>
      <w:b/>
      <w:bCs/>
      <w:sz w:val="26"/>
      <w:szCs w:val="26"/>
    </w:rPr>
  </w:style>
  <w:style w:type="character" w:styleId="1509">
    <w:name w:val="Heading 4 Char"/>
    <w:basedOn w:val="1681"/>
    <w:link w:val="1508"/>
    <w:uiPriority w:val="9"/>
    <w:rPr>
      <w:rFonts w:ascii="Arial" w:hAnsi="Arial" w:eastAsia="Arial" w:cs="Arial"/>
      <w:b/>
      <w:bCs/>
      <w:sz w:val="26"/>
      <w:szCs w:val="26"/>
    </w:rPr>
  </w:style>
  <w:style w:type="paragraph" w:styleId="1510">
    <w:name w:val="Heading 5"/>
    <w:basedOn w:val="1680"/>
    <w:next w:val="1680"/>
    <w:link w:val="1511"/>
    <w:uiPriority w:val="9"/>
    <w:unhideWhenUsed/>
    <w:qFormat/>
    <w:pPr>
      <w:keepLines/>
      <w:keepNext/>
      <w:spacing w:before="320" w:after="200"/>
      <w:outlineLvl w:val="4"/>
    </w:pPr>
    <w:rPr>
      <w:rFonts w:ascii="Arial" w:hAnsi="Arial" w:eastAsia="Arial" w:cs="Arial"/>
      <w:b/>
      <w:bCs/>
      <w:sz w:val="24"/>
      <w:szCs w:val="24"/>
    </w:rPr>
  </w:style>
  <w:style w:type="character" w:styleId="1511">
    <w:name w:val="Heading 5 Char"/>
    <w:basedOn w:val="1681"/>
    <w:link w:val="1510"/>
    <w:uiPriority w:val="9"/>
    <w:rPr>
      <w:rFonts w:ascii="Arial" w:hAnsi="Arial" w:eastAsia="Arial" w:cs="Arial"/>
      <w:b/>
      <w:bCs/>
      <w:sz w:val="24"/>
      <w:szCs w:val="24"/>
    </w:rPr>
  </w:style>
  <w:style w:type="paragraph" w:styleId="1512">
    <w:name w:val="Heading 6"/>
    <w:basedOn w:val="1680"/>
    <w:next w:val="1680"/>
    <w:link w:val="1513"/>
    <w:uiPriority w:val="9"/>
    <w:unhideWhenUsed/>
    <w:qFormat/>
    <w:pPr>
      <w:keepLines/>
      <w:keepNext/>
      <w:spacing w:before="320" w:after="200"/>
      <w:outlineLvl w:val="5"/>
    </w:pPr>
    <w:rPr>
      <w:rFonts w:ascii="Arial" w:hAnsi="Arial" w:eastAsia="Arial" w:cs="Arial"/>
      <w:b/>
      <w:bCs/>
      <w:sz w:val="22"/>
      <w:szCs w:val="22"/>
    </w:rPr>
  </w:style>
  <w:style w:type="character" w:styleId="1513">
    <w:name w:val="Heading 6 Char"/>
    <w:basedOn w:val="1681"/>
    <w:link w:val="1512"/>
    <w:uiPriority w:val="9"/>
    <w:rPr>
      <w:rFonts w:ascii="Arial" w:hAnsi="Arial" w:eastAsia="Arial" w:cs="Arial"/>
      <w:b/>
      <w:bCs/>
      <w:sz w:val="22"/>
      <w:szCs w:val="22"/>
    </w:rPr>
  </w:style>
  <w:style w:type="paragraph" w:styleId="1514">
    <w:name w:val="Heading 7"/>
    <w:basedOn w:val="1680"/>
    <w:next w:val="1680"/>
    <w:link w:val="1515"/>
    <w:uiPriority w:val="9"/>
    <w:unhideWhenUsed/>
    <w:qFormat/>
    <w:pPr>
      <w:keepLines/>
      <w:keepNext/>
      <w:spacing w:before="320" w:after="200"/>
      <w:outlineLvl w:val="6"/>
    </w:pPr>
    <w:rPr>
      <w:rFonts w:ascii="Arial" w:hAnsi="Arial" w:eastAsia="Arial" w:cs="Arial"/>
      <w:b/>
      <w:bCs/>
      <w:i/>
      <w:iCs/>
      <w:sz w:val="22"/>
      <w:szCs w:val="22"/>
    </w:rPr>
  </w:style>
  <w:style w:type="character" w:styleId="1515">
    <w:name w:val="Heading 7 Char"/>
    <w:basedOn w:val="1681"/>
    <w:link w:val="1514"/>
    <w:uiPriority w:val="9"/>
    <w:rPr>
      <w:rFonts w:ascii="Arial" w:hAnsi="Arial" w:eastAsia="Arial" w:cs="Arial"/>
      <w:b/>
      <w:bCs/>
      <w:i/>
      <w:iCs/>
      <w:sz w:val="22"/>
      <w:szCs w:val="22"/>
    </w:rPr>
  </w:style>
  <w:style w:type="paragraph" w:styleId="1516">
    <w:name w:val="Heading 8"/>
    <w:basedOn w:val="1680"/>
    <w:next w:val="1680"/>
    <w:link w:val="1517"/>
    <w:uiPriority w:val="9"/>
    <w:unhideWhenUsed/>
    <w:qFormat/>
    <w:pPr>
      <w:keepLines/>
      <w:keepNext/>
      <w:spacing w:before="320" w:after="200"/>
      <w:outlineLvl w:val="7"/>
    </w:pPr>
    <w:rPr>
      <w:rFonts w:ascii="Arial" w:hAnsi="Arial" w:eastAsia="Arial" w:cs="Arial"/>
      <w:i/>
      <w:iCs/>
      <w:sz w:val="22"/>
      <w:szCs w:val="22"/>
    </w:rPr>
  </w:style>
  <w:style w:type="character" w:styleId="1517">
    <w:name w:val="Heading 8 Char"/>
    <w:basedOn w:val="1681"/>
    <w:link w:val="1516"/>
    <w:uiPriority w:val="9"/>
    <w:rPr>
      <w:rFonts w:ascii="Arial" w:hAnsi="Arial" w:eastAsia="Arial" w:cs="Arial"/>
      <w:i/>
      <w:iCs/>
      <w:sz w:val="22"/>
      <w:szCs w:val="22"/>
    </w:rPr>
  </w:style>
  <w:style w:type="paragraph" w:styleId="1518">
    <w:name w:val="Heading 9"/>
    <w:basedOn w:val="1680"/>
    <w:next w:val="1680"/>
    <w:link w:val="1519"/>
    <w:uiPriority w:val="9"/>
    <w:unhideWhenUsed/>
    <w:qFormat/>
    <w:pPr>
      <w:keepLines/>
      <w:keepNext/>
      <w:spacing w:before="320" w:after="200"/>
      <w:outlineLvl w:val="8"/>
    </w:pPr>
    <w:rPr>
      <w:rFonts w:ascii="Arial" w:hAnsi="Arial" w:eastAsia="Arial" w:cs="Arial"/>
      <w:i/>
      <w:iCs/>
      <w:sz w:val="21"/>
      <w:szCs w:val="21"/>
    </w:rPr>
  </w:style>
  <w:style w:type="character" w:styleId="1519">
    <w:name w:val="Heading 9 Char"/>
    <w:basedOn w:val="1681"/>
    <w:link w:val="1518"/>
    <w:uiPriority w:val="9"/>
    <w:rPr>
      <w:rFonts w:ascii="Arial" w:hAnsi="Arial" w:eastAsia="Arial" w:cs="Arial"/>
      <w:i/>
      <w:iCs/>
      <w:sz w:val="21"/>
      <w:szCs w:val="21"/>
    </w:rPr>
  </w:style>
  <w:style w:type="paragraph" w:styleId="1520">
    <w:name w:val="List Paragraph"/>
    <w:basedOn w:val="1680"/>
    <w:uiPriority w:val="34"/>
    <w:qFormat/>
    <w:pPr>
      <w:contextualSpacing/>
      <w:ind w:left="720"/>
    </w:pPr>
  </w:style>
  <w:style w:type="paragraph" w:styleId="1521">
    <w:name w:val="No Spacing"/>
    <w:uiPriority w:val="1"/>
    <w:qFormat/>
    <w:pPr>
      <w:spacing w:before="0" w:after="0" w:line="240" w:lineRule="auto"/>
    </w:pPr>
  </w:style>
  <w:style w:type="paragraph" w:styleId="1522">
    <w:name w:val="Title"/>
    <w:basedOn w:val="1680"/>
    <w:next w:val="1680"/>
    <w:link w:val="1523"/>
    <w:uiPriority w:val="10"/>
    <w:qFormat/>
    <w:pPr>
      <w:contextualSpacing/>
      <w:spacing w:before="300" w:after="200"/>
    </w:pPr>
    <w:rPr>
      <w:sz w:val="48"/>
      <w:szCs w:val="48"/>
    </w:rPr>
  </w:style>
  <w:style w:type="character" w:styleId="1523">
    <w:name w:val="Title Char"/>
    <w:basedOn w:val="1681"/>
    <w:link w:val="1522"/>
    <w:uiPriority w:val="10"/>
    <w:rPr>
      <w:sz w:val="48"/>
      <w:szCs w:val="48"/>
    </w:rPr>
  </w:style>
  <w:style w:type="paragraph" w:styleId="1524">
    <w:name w:val="Subtitle"/>
    <w:basedOn w:val="1680"/>
    <w:next w:val="1680"/>
    <w:link w:val="1525"/>
    <w:uiPriority w:val="11"/>
    <w:qFormat/>
    <w:pPr>
      <w:spacing w:before="200" w:after="200"/>
    </w:pPr>
    <w:rPr>
      <w:sz w:val="24"/>
      <w:szCs w:val="24"/>
    </w:rPr>
  </w:style>
  <w:style w:type="character" w:styleId="1525">
    <w:name w:val="Subtitle Char"/>
    <w:basedOn w:val="1681"/>
    <w:link w:val="1524"/>
    <w:uiPriority w:val="11"/>
    <w:rPr>
      <w:sz w:val="24"/>
      <w:szCs w:val="24"/>
    </w:rPr>
  </w:style>
  <w:style w:type="paragraph" w:styleId="1526">
    <w:name w:val="Quote"/>
    <w:basedOn w:val="1680"/>
    <w:next w:val="1680"/>
    <w:link w:val="1527"/>
    <w:uiPriority w:val="29"/>
    <w:qFormat/>
    <w:pPr>
      <w:ind w:left="720" w:right="720"/>
    </w:pPr>
    <w:rPr>
      <w:i/>
    </w:rPr>
  </w:style>
  <w:style w:type="character" w:styleId="1527">
    <w:name w:val="Quote Char"/>
    <w:link w:val="1526"/>
    <w:uiPriority w:val="29"/>
    <w:rPr>
      <w:i/>
    </w:rPr>
  </w:style>
  <w:style w:type="paragraph" w:styleId="1528">
    <w:name w:val="Intense Quote"/>
    <w:basedOn w:val="1680"/>
    <w:next w:val="1680"/>
    <w:link w:val="15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9">
    <w:name w:val="Intense Quote Char"/>
    <w:link w:val="1528"/>
    <w:uiPriority w:val="30"/>
    <w:rPr>
      <w:i/>
    </w:rPr>
  </w:style>
  <w:style w:type="paragraph" w:styleId="1530">
    <w:name w:val="Header"/>
    <w:basedOn w:val="1680"/>
    <w:link w:val="1531"/>
    <w:uiPriority w:val="99"/>
    <w:unhideWhenUsed/>
    <w:pPr>
      <w:spacing w:after="0" w:line="240" w:lineRule="auto"/>
      <w:tabs>
        <w:tab w:val="center" w:pos="7143" w:leader="none"/>
        <w:tab w:val="right" w:pos="14287" w:leader="none"/>
      </w:tabs>
    </w:pPr>
  </w:style>
  <w:style w:type="character" w:styleId="1531">
    <w:name w:val="Header Char"/>
    <w:basedOn w:val="1681"/>
    <w:link w:val="1530"/>
    <w:uiPriority w:val="99"/>
  </w:style>
  <w:style w:type="paragraph" w:styleId="1532">
    <w:name w:val="Footer"/>
    <w:basedOn w:val="1680"/>
    <w:link w:val="1535"/>
    <w:uiPriority w:val="99"/>
    <w:unhideWhenUsed/>
    <w:pPr>
      <w:spacing w:after="0" w:line="240" w:lineRule="auto"/>
      <w:tabs>
        <w:tab w:val="center" w:pos="7143" w:leader="none"/>
        <w:tab w:val="right" w:pos="14287" w:leader="none"/>
      </w:tabs>
    </w:pPr>
  </w:style>
  <w:style w:type="character" w:styleId="1533">
    <w:name w:val="Footer Char"/>
    <w:basedOn w:val="1681"/>
    <w:link w:val="1532"/>
    <w:uiPriority w:val="99"/>
  </w:style>
  <w:style w:type="paragraph" w:styleId="1534">
    <w:name w:val="Caption"/>
    <w:basedOn w:val="1680"/>
    <w:next w:val="1680"/>
    <w:uiPriority w:val="35"/>
    <w:semiHidden/>
    <w:unhideWhenUsed/>
    <w:qFormat/>
    <w:pPr>
      <w:spacing w:line="276" w:lineRule="auto"/>
    </w:pPr>
    <w:rPr>
      <w:b/>
      <w:bCs/>
      <w:color w:val="4f81bd" w:themeColor="accent1"/>
      <w:sz w:val="18"/>
      <w:szCs w:val="18"/>
    </w:rPr>
  </w:style>
  <w:style w:type="character" w:styleId="1535">
    <w:name w:val="Caption Char"/>
    <w:basedOn w:val="1534"/>
    <w:link w:val="1532"/>
    <w:uiPriority w:val="99"/>
  </w:style>
  <w:style w:type="table" w:styleId="15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62">
    <w:name w:val="Hyperlink"/>
    <w:uiPriority w:val="99"/>
    <w:unhideWhenUsed/>
    <w:rPr>
      <w:color w:val="0000ff" w:themeColor="hyperlink"/>
      <w:u w:val="single"/>
    </w:rPr>
  </w:style>
  <w:style w:type="paragraph" w:styleId="1663">
    <w:name w:val="footnote text"/>
    <w:basedOn w:val="1680"/>
    <w:link w:val="1664"/>
    <w:uiPriority w:val="99"/>
    <w:semiHidden/>
    <w:unhideWhenUsed/>
    <w:pPr>
      <w:spacing w:after="40" w:line="240" w:lineRule="auto"/>
    </w:pPr>
    <w:rPr>
      <w:sz w:val="18"/>
    </w:rPr>
  </w:style>
  <w:style w:type="character" w:styleId="1664">
    <w:name w:val="Footnote Text Char"/>
    <w:link w:val="1663"/>
    <w:uiPriority w:val="99"/>
    <w:rPr>
      <w:sz w:val="18"/>
    </w:rPr>
  </w:style>
  <w:style w:type="character" w:styleId="1665">
    <w:name w:val="footnote reference"/>
    <w:basedOn w:val="1681"/>
    <w:uiPriority w:val="99"/>
    <w:unhideWhenUsed/>
    <w:rPr>
      <w:vertAlign w:val="superscript"/>
    </w:rPr>
  </w:style>
  <w:style w:type="paragraph" w:styleId="1666">
    <w:name w:val="endnote text"/>
    <w:basedOn w:val="1680"/>
    <w:link w:val="1667"/>
    <w:uiPriority w:val="99"/>
    <w:semiHidden/>
    <w:unhideWhenUsed/>
    <w:pPr>
      <w:spacing w:after="0" w:line="240" w:lineRule="auto"/>
    </w:pPr>
    <w:rPr>
      <w:sz w:val="20"/>
    </w:rPr>
  </w:style>
  <w:style w:type="character" w:styleId="1667">
    <w:name w:val="Endnote Text Char"/>
    <w:link w:val="1666"/>
    <w:uiPriority w:val="99"/>
    <w:rPr>
      <w:sz w:val="20"/>
    </w:rPr>
  </w:style>
  <w:style w:type="character" w:styleId="1668">
    <w:name w:val="endnote reference"/>
    <w:basedOn w:val="1681"/>
    <w:uiPriority w:val="99"/>
    <w:semiHidden/>
    <w:unhideWhenUsed/>
    <w:rPr>
      <w:vertAlign w:val="superscript"/>
    </w:rPr>
  </w:style>
  <w:style w:type="paragraph" w:styleId="1669">
    <w:name w:val="toc 1"/>
    <w:basedOn w:val="1680"/>
    <w:next w:val="1680"/>
    <w:uiPriority w:val="39"/>
    <w:unhideWhenUsed/>
    <w:pPr>
      <w:ind w:left="0" w:right="0" w:firstLine="0"/>
      <w:spacing w:after="57"/>
    </w:pPr>
  </w:style>
  <w:style w:type="paragraph" w:styleId="1670">
    <w:name w:val="toc 2"/>
    <w:basedOn w:val="1680"/>
    <w:next w:val="1680"/>
    <w:uiPriority w:val="39"/>
    <w:unhideWhenUsed/>
    <w:pPr>
      <w:ind w:left="283" w:right="0" w:firstLine="0"/>
      <w:spacing w:after="57"/>
    </w:pPr>
  </w:style>
  <w:style w:type="paragraph" w:styleId="1671">
    <w:name w:val="toc 3"/>
    <w:basedOn w:val="1680"/>
    <w:next w:val="1680"/>
    <w:uiPriority w:val="39"/>
    <w:unhideWhenUsed/>
    <w:pPr>
      <w:ind w:left="567" w:right="0" w:firstLine="0"/>
      <w:spacing w:after="57"/>
    </w:pPr>
  </w:style>
  <w:style w:type="paragraph" w:styleId="1672">
    <w:name w:val="toc 4"/>
    <w:basedOn w:val="1680"/>
    <w:next w:val="1680"/>
    <w:uiPriority w:val="39"/>
    <w:unhideWhenUsed/>
    <w:pPr>
      <w:ind w:left="850" w:right="0" w:firstLine="0"/>
      <w:spacing w:after="57"/>
    </w:pPr>
  </w:style>
  <w:style w:type="paragraph" w:styleId="1673">
    <w:name w:val="toc 5"/>
    <w:basedOn w:val="1680"/>
    <w:next w:val="1680"/>
    <w:uiPriority w:val="39"/>
    <w:unhideWhenUsed/>
    <w:pPr>
      <w:ind w:left="1134" w:right="0" w:firstLine="0"/>
      <w:spacing w:after="57"/>
    </w:pPr>
  </w:style>
  <w:style w:type="paragraph" w:styleId="1674">
    <w:name w:val="toc 6"/>
    <w:basedOn w:val="1680"/>
    <w:next w:val="1680"/>
    <w:uiPriority w:val="39"/>
    <w:unhideWhenUsed/>
    <w:pPr>
      <w:ind w:left="1417" w:right="0" w:firstLine="0"/>
      <w:spacing w:after="57"/>
    </w:pPr>
  </w:style>
  <w:style w:type="paragraph" w:styleId="1675">
    <w:name w:val="toc 7"/>
    <w:basedOn w:val="1680"/>
    <w:next w:val="1680"/>
    <w:uiPriority w:val="39"/>
    <w:unhideWhenUsed/>
    <w:pPr>
      <w:ind w:left="1701" w:right="0" w:firstLine="0"/>
      <w:spacing w:after="57"/>
    </w:pPr>
  </w:style>
  <w:style w:type="paragraph" w:styleId="1676">
    <w:name w:val="toc 8"/>
    <w:basedOn w:val="1680"/>
    <w:next w:val="1680"/>
    <w:uiPriority w:val="39"/>
    <w:unhideWhenUsed/>
    <w:pPr>
      <w:ind w:left="1984" w:right="0" w:firstLine="0"/>
      <w:spacing w:after="57"/>
    </w:pPr>
  </w:style>
  <w:style w:type="paragraph" w:styleId="1677">
    <w:name w:val="toc 9"/>
    <w:basedOn w:val="1680"/>
    <w:next w:val="1680"/>
    <w:uiPriority w:val="39"/>
    <w:unhideWhenUsed/>
    <w:pPr>
      <w:ind w:left="2268" w:right="0" w:firstLine="0"/>
      <w:spacing w:after="57"/>
    </w:pPr>
  </w:style>
  <w:style w:type="paragraph" w:styleId="1678">
    <w:name w:val="TOC Heading"/>
    <w:uiPriority w:val="39"/>
    <w:unhideWhenUsed/>
  </w:style>
  <w:style w:type="paragraph" w:styleId="1679">
    <w:name w:val="table of figures"/>
    <w:basedOn w:val="1680"/>
    <w:next w:val="1680"/>
    <w:uiPriority w:val="99"/>
    <w:unhideWhenUsed/>
    <w:pPr>
      <w:spacing w:after="0" w:afterAutospacing="0"/>
    </w:pPr>
  </w:style>
  <w:style w:type="paragraph" w:styleId="168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81" w:default="1">
    <w:name w:val="Default Paragraph Font"/>
    <w:uiPriority w:val="1"/>
    <w:semiHidden/>
    <w:unhideWhenUsed/>
    <w:qFormat/>
  </w:style>
  <w:style w:type="character" w:styleId="1682">
    <w:name w:val="Placeholder Text"/>
    <w:basedOn w:val="1681"/>
    <w:uiPriority w:val="99"/>
    <w:unhideWhenUsed/>
    <w:qFormat/>
    <w:rPr>
      <w:color w:val="808080"/>
    </w:rPr>
  </w:style>
  <w:style w:type="numbering" w:styleId="1683" w:default="1">
    <w:name w:val="No List"/>
    <w:uiPriority w:val="99"/>
    <w:semiHidden/>
    <w:unhideWhenUsed/>
  </w:style>
  <w:style w:type="table" w:styleId="168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9</cp:revision>
  <dcterms:created xsi:type="dcterms:W3CDTF">2024-06-18T06:04:00Z</dcterms:created>
  <dcterms:modified xsi:type="dcterms:W3CDTF">2026-06-29T06:24:28Z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2052-12.1.0.26895</vt:lpwstr>
  </property>
  <property fmtid="{D5CDD505-2E9C-101B-9397-08002B2CF9AE}" pid="4" name="ICV">
    <vt:lpwstr>076B1C4B7B884C4F854A9074ECA126EC_13</vt:lpwstr>
  </property>
</Properties>
</file>