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5"/>
        <w:spacing w:line="360" w:lineRule="auto"/>
        <w:rPr>
          <w:sz w:val="60"/>
          <w:szCs w:val="60"/>
        </w:rPr>
      </w:pPr>
      <w:r>
        <w:rPr>
          <w:sz w:val="60"/>
          <w:szCs w:val="60"/>
        </w:rPr>
      </w:r>
      <w:r/>
    </w:p>
    <w:p>
      <w:pPr>
        <w:pStyle w:val="925"/>
        <w:jc w:val="center"/>
        <w:rPr>
          <w:b/>
          <w:bCs/>
          <w:sz w:val="60"/>
          <w:szCs w:val="60"/>
        </w:rPr>
      </w:pPr>
      <w:r>
        <w:rPr>
          <w:b/>
          <w:bCs/>
          <w:sz w:val="60"/>
          <w:szCs w:val="60"/>
        </w:rPr>
        <w:t xml:space="preserve">常州市政府采购项目</w:t>
      </w:r>
      <w:r>
        <w:rPr>
          <w:b/>
          <w:bCs/>
          <w:sz w:val="60"/>
          <w:szCs w:val="60"/>
        </w:rPr>
      </w:r>
      <w:r/>
    </w:p>
    <w:p>
      <w:pPr>
        <w:pStyle w:val="925"/>
        <w:jc w:val="center"/>
        <w:rPr>
          <w:b/>
          <w:bCs/>
          <w:sz w:val="84"/>
          <w:szCs w:val="84"/>
        </w:rPr>
      </w:pPr>
      <w:r>
        <w:rPr>
          <w:b/>
          <w:bCs/>
          <w:sz w:val="60"/>
          <w:szCs w:val="60"/>
        </w:rPr>
        <w:t xml:space="preserve">竞争性磋商文件</w:t>
      </w:r>
      <w:r>
        <w:rPr>
          <w:b/>
          <w:bCs/>
          <w:sz w:val="84"/>
          <w:szCs w:val="84"/>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ind w:left="2832" w:hanging="1900"/>
        <w:jc w:val="left"/>
        <w:spacing w:line="360" w:lineRule="auto"/>
        <w:tabs>
          <w:tab w:val="left" w:pos="5609" w:leader="none"/>
        </w:tabs>
        <w:rPr>
          <w:rFonts w:hint="eastAsia"/>
          <w:bCs/>
          <w:sz w:val="36"/>
          <w:szCs w:val="36"/>
        </w:rPr>
      </w:pPr>
      <w:r>
        <w:rPr>
          <w:bCs/>
          <w:sz w:val="36"/>
          <w:szCs w:val="36"/>
        </w:rPr>
        <w:t xml:space="preserve">项目名称：</w:t>
      </w:r>
      <w:r>
        <w:rPr>
          <w:rFonts w:hint="eastAsia"/>
          <w:bCs/>
          <w:spacing w:val="-10"/>
          <w:sz w:val="36"/>
          <w:szCs w:val="36"/>
        </w:rPr>
        <w:t xml:space="preserve">2026年常州市普通国省道路网运行监测设施及桥梁视频监控建设工程施工项目</w:t>
      </w:r>
      <w:r>
        <w:rPr>
          <w:rFonts w:hint="eastAsia"/>
          <w:bCs/>
          <w:sz w:val="36"/>
          <w:szCs w:val="36"/>
        </w:rPr>
      </w:r>
      <w:r/>
    </w:p>
    <w:p>
      <w:pPr>
        <w:pStyle w:val="925"/>
        <w:ind w:left="2832" w:hanging="1900"/>
        <w:jc w:val="left"/>
        <w:spacing w:line="360" w:lineRule="auto"/>
        <w:tabs>
          <w:tab w:val="left" w:pos="3240" w:leader="none"/>
          <w:tab w:val="left" w:pos="3420" w:leader="none"/>
        </w:tabs>
        <w:rPr>
          <w:rFonts w:hint="eastAsia" w:eastAsia="宋体"/>
          <w:bCs/>
          <w:spacing w:val="-10"/>
          <w:sz w:val="36"/>
          <w:szCs w:val="36"/>
          <w:lang w:eastAsia="zh-CN"/>
        </w:rPr>
      </w:pPr>
      <w:r>
        <w:rPr>
          <w:bCs/>
          <w:sz w:val="36"/>
          <w:szCs w:val="36"/>
        </w:rPr>
        <w:t xml:space="preserve">项目编号/包号：</w:t>
      </w:r>
      <w:r>
        <w:rPr>
          <w:rFonts w:hint="eastAsia"/>
          <w:bCs/>
          <w:color w:val="000000"/>
          <w:spacing w:val="-10"/>
          <w:sz w:val="36"/>
          <w:szCs w:val="36"/>
          <w:lang w:eastAsia="zh-CN"/>
        </w:rPr>
        <w:t xml:space="preserve">JSZC-320400-CZCR-C2026-0002</w:t>
      </w:r>
      <w:r>
        <w:rPr>
          <w:rFonts w:hint="eastAsia" w:eastAsia="宋体"/>
          <w:bCs/>
          <w:spacing w:val="-10"/>
          <w:sz w:val="36"/>
          <w:szCs w:val="36"/>
          <w:lang w:eastAsia="zh-CN"/>
        </w:rPr>
      </w:r>
      <w:r/>
    </w:p>
    <w:p>
      <w:pPr>
        <w:pStyle w:val="925"/>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常州市公路事业发展中心</w:t>
      </w:r>
      <w:r>
        <w:rPr>
          <w:bCs/>
          <w:sz w:val="36"/>
          <w:szCs w:val="36"/>
        </w:rPr>
      </w:r>
      <w:r/>
    </w:p>
    <w:p>
      <w:pPr>
        <w:pStyle w:val="925"/>
        <w:ind w:left="2832" w:hanging="1900"/>
        <w:jc w:val="left"/>
        <w:spacing w:line="360" w:lineRule="auto"/>
        <w:tabs>
          <w:tab w:val="left" w:pos="3240" w:leader="none"/>
          <w:tab w:val="left" w:pos="3420" w:leader="none"/>
        </w:tabs>
        <w:rPr>
          <w:rFonts w:hint="eastAsia"/>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常州市长润工程咨询有限公司</w:t>
      </w:r>
      <w:r>
        <w:rPr>
          <w:rFonts w:hint="eastAsia"/>
          <w:bCs/>
          <w:sz w:val="36"/>
          <w:szCs w:val="36"/>
        </w:rPr>
      </w:r>
      <w:r/>
    </w:p>
    <w:p>
      <w:pPr>
        <w:pStyle w:val="925"/>
        <w:jc w:val="left"/>
        <w:widowControl/>
        <w:rPr>
          <w:sz w:val="24"/>
        </w:rPr>
      </w:pPr>
      <w:r>
        <w:rPr>
          <w:b/>
          <w:bCs/>
          <w:sz w:val="44"/>
        </w:rPr>
        <w:br w:type="page" w:clear="all"/>
      </w:r>
      <w:r>
        <w:rPr>
          <w:sz w:val="24"/>
        </w:rPr>
      </w:r>
      <w:r/>
    </w:p>
    <w:p>
      <w:pPr>
        <w:pStyle w:val="925"/>
        <w:jc w:val="left"/>
        <w:widowControl/>
        <w:rPr>
          <w:sz w:val="24"/>
        </w:rPr>
      </w:pPr>
      <w:r>
        <w:rPr>
          <w:sz w:val="24"/>
        </w:rPr>
      </w:r>
      <w:r/>
    </w:p>
    <w:p>
      <w:pPr>
        <w:pStyle w:val="1103"/>
        <w:spacing w:line="360" w:lineRule="auto"/>
        <w:rPr>
          <w:rFonts w:ascii="Times New Roman" w:hAnsi="Times New Roman" w:cs="Times New Roman"/>
          <w:color w:val="000000"/>
        </w:rPr>
      </w:pPr>
      <w:r>
        <w:rPr>
          <w:rFonts w:ascii="Times New Roman" w:hAnsi="Times New Roman" w:cs="Times New Roman"/>
          <w:color w:val="000000"/>
        </w:rPr>
      </w:r>
      <w:r/>
    </w:p>
    <w:p>
      <w:pPr>
        <w:pStyle w:val="92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5"/>
      </w:pPr>
      <w:r/>
      <w:r/>
    </w:p>
    <w:p>
      <w:pPr>
        <w:pStyle w:val="925"/>
      </w:pPr>
      <w:r/>
      <w:r/>
    </w:p>
    <w:p>
      <w:pPr>
        <w:pStyle w:val="925"/>
      </w:pPr>
      <w:r/>
      <w:r/>
    </w:p>
    <w:p>
      <w:pPr>
        <w:pStyle w:val="977"/>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"_Toc104818925"</w:instrText>
      </w:r>
      <w:r>
        <w:rPr>
          <w:rStyle w:val="1000"/>
          <w:color w:val="000000"/>
        </w:rPr>
        <w:instrText xml:space="preserve"> </w:instrText>
      </w:r>
      <w:r>
        <w:rPr>
          <w:rStyle w:val="1000"/>
          <w:color w:val="000000"/>
        </w:rPr>
        <w:fldChar w:fldCharType="separate"/>
      </w:r>
      <w:r>
        <w:rPr>
          <w:rStyle w:val="1000"/>
          <w:rFonts w:hint="eastAsia"/>
          <w:color w:val="000000"/>
        </w:rPr>
        <w:t xml:space="preserve">第一章</w:t>
      </w:r>
      <w:r>
        <w:rPr>
          <w:rStyle w:val="1000"/>
          <w:color w:val="000000"/>
        </w:rPr>
        <w:t xml:space="preserve">   </w:t>
      </w:r>
      <w:r>
        <w:rPr>
          <w:rStyle w:val="100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"_Toc104818926"</w:instrText>
      </w:r>
      <w:r>
        <w:rPr>
          <w:rStyle w:val="1000"/>
          <w:color w:val="000000"/>
        </w:rPr>
        <w:instrText xml:space="preserve"> </w:instrText>
      </w:r>
      <w:r>
        <w:rPr>
          <w:rStyle w:val="1000"/>
          <w:color w:val="000000"/>
        </w:rPr>
        <w:fldChar w:fldCharType="separate"/>
      </w:r>
      <w:r>
        <w:rPr>
          <w:rStyle w:val="1000"/>
          <w:rFonts w:hint="eastAsia"/>
          <w:color w:val="000000"/>
        </w:rPr>
        <w:t xml:space="preserve">第二章</w:t>
      </w:r>
      <w:r>
        <w:rPr>
          <w:rStyle w:val="1000"/>
          <w:color w:val="000000"/>
        </w:rPr>
        <w:t xml:space="preserve">   </w:t>
      </w:r>
      <w:r>
        <w:rPr>
          <w:rStyle w:val="1000"/>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"_Toc104818927"</w:instrText>
      </w:r>
      <w:r>
        <w:rPr>
          <w:rStyle w:val="1000"/>
          <w:color w:val="000000"/>
        </w:rPr>
        <w:instrText xml:space="preserve"> </w:instrText>
      </w:r>
      <w:r>
        <w:rPr>
          <w:rStyle w:val="1000"/>
          <w:color w:val="000000"/>
        </w:rPr>
        <w:fldChar w:fldCharType="separate"/>
      </w:r>
      <w:r>
        <w:rPr>
          <w:rStyle w:val="1000"/>
          <w:rFonts w:hint="eastAsia"/>
          <w:color w:val="000000"/>
        </w:rPr>
        <w:t xml:space="preserve">第三章</w:t>
      </w:r>
      <w:r>
        <w:rPr>
          <w:rStyle w:val="1000"/>
          <w:color w:val="000000"/>
        </w:rPr>
        <w:t xml:space="preserve">   </w:t>
      </w:r>
      <w:r>
        <w:rPr>
          <w:rStyle w:val="100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"_Toc104818928"</w:instrText>
      </w:r>
      <w:r>
        <w:rPr>
          <w:rStyle w:val="1000"/>
          <w:color w:val="000000"/>
        </w:rPr>
        <w:instrText xml:space="preserve"> </w:instrText>
      </w:r>
      <w:r>
        <w:rPr>
          <w:rStyle w:val="1000"/>
          <w:color w:val="000000"/>
        </w:rPr>
        <w:fldChar w:fldCharType="separate"/>
      </w:r>
      <w:r>
        <w:rPr>
          <w:rStyle w:val="1000"/>
          <w:rFonts w:hint="eastAsia"/>
          <w:color w:val="000000"/>
        </w:rPr>
        <w:t xml:space="preserve">第四章</w:t>
      </w:r>
      <w:r>
        <w:rPr>
          <w:rStyle w:val="1000"/>
          <w:color w:val="000000"/>
        </w:rPr>
        <w:t xml:space="preserve">   </w:t>
      </w:r>
      <w:r>
        <w:rPr>
          <w:rStyle w:val="1000"/>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"_Toc104818929"</w:instrText>
      </w:r>
      <w:r>
        <w:rPr>
          <w:rStyle w:val="1000"/>
          <w:color w:val="000000"/>
        </w:rPr>
        <w:instrText xml:space="preserve"> </w:instrText>
      </w:r>
      <w:r>
        <w:rPr>
          <w:rStyle w:val="1000"/>
          <w:color w:val="000000"/>
        </w:rPr>
        <w:fldChar w:fldCharType="separate"/>
      </w:r>
      <w:r>
        <w:rPr>
          <w:rStyle w:val="1000"/>
          <w:rFonts w:hint="eastAsia"/>
          <w:color w:val="000000"/>
        </w:rPr>
        <w:t xml:space="preserve">第五章</w:t>
      </w:r>
      <w:r>
        <w:rPr>
          <w:rStyle w:val="1000"/>
          <w:color w:val="000000"/>
        </w:rPr>
        <w:t xml:space="preserve">   </w:t>
      </w:r>
      <w:r>
        <w:rPr>
          <w:rStyle w:val="1000"/>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"_Toc104818930"</w:instrText>
      </w:r>
      <w:r>
        <w:rPr>
          <w:rStyle w:val="1000"/>
          <w:color w:val="000000"/>
        </w:rPr>
        <w:instrText xml:space="preserve"> </w:instrText>
      </w:r>
      <w:r>
        <w:rPr>
          <w:rStyle w:val="1000"/>
          <w:color w:val="000000"/>
        </w:rPr>
        <w:fldChar w:fldCharType="separate"/>
      </w:r>
      <w:r>
        <w:rPr>
          <w:rStyle w:val="1000"/>
          <w:rFonts w:hint="eastAsia"/>
          <w:color w:val="000000"/>
        </w:rPr>
        <w:t xml:space="preserve">第六章</w:t>
      </w:r>
      <w:r>
        <w:rPr>
          <w:rStyle w:val="1000"/>
          <w:color w:val="000000"/>
        </w:rPr>
        <w:t xml:space="preserve">   </w:t>
      </w:r>
      <w:r>
        <w:rPr>
          <w:rStyle w:val="1000"/>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7"/>
        <w:spacing w:line="360" w:lineRule="auto"/>
        <w:tabs>
          <w:tab w:val="left" w:pos="1050" w:leader="none"/>
          <w:tab w:val="right" w:pos="8937" w:leader="dot"/>
        </w:tabs>
        <w:rPr>
          <w:b w:val="0"/>
          <w:sz w:val="36"/>
          <w:szCs w:val="36"/>
        </w:rPr>
      </w:pPr>
      <w:r>
        <w:rPr>
          <w:b w:val="0"/>
          <w:sz w:val="36"/>
          <w:szCs w:val="36"/>
        </w:rPr>
      </w:r>
      <w:r/>
    </w:p>
    <w:p>
      <w:pPr>
        <w:pStyle w:val="925"/>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925"/>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Hlk24379207"/>
      <w:r/>
      <w:bookmarkStart w:id="4" w:name="_Toc28359002"/>
      <w:r/>
      <w:bookmarkStart w:id="5" w:name="_Toc35393621"/>
      <w:r/>
      <w:bookmarkStart w:id="6" w:name="_Toc28359079"/>
      <w:r>
        <w:rPr>
          <w:b/>
          <w:sz w:val="36"/>
          <w:szCs w:val="36"/>
        </w:rPr>
      </w:r>
      <w:r/>
    </w:p>
    <w:p>
      <w:pPr>
        <w:pStyle w:val="925"/>
        <w:ind w:firstLine="200"/>
        <w:spacing w:line="360" w:lineRule="auto"/>
        <w:rPr>
          <w:sz w:val="10"/>
          <w:szCs w:val="10"/>
        </w:rPr>
      </w:pPr>
      <w:r>
        <w:rPr>
          <w:sz w:val="10"/>
          <w:szCs w:val="10"/>
        </w:rPr>
      </w:r>
      <w:r/>
    </w:p>
    <w:p>
      <w:pPr>
        <w:pStyle w:val="926"/>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60930665"/>
      <w:r/>
      <w:bookmarkStart w:id="8" w:name="_Toc28359001"/>
      <w:r/>
      <w:bookmarkStart w:id="9" w:name="_Toc35393789"/>
      <w:r/>
      <w:bookmarkStart w:id="10" w:name="_Toc393194378"/>
      <w:r/>
      <w:bookmarkStart w:id="11" w:name="_Toc27546"/>
      <w:r/>
      <w:bookmarkStart w:id="12" w:name="_Toc329009661"/>
      <w:r/>
      <w:bookmarkStart w:id="13" w:name="_Toc2959"/>
      <w:r/>
      <w:bookmarkStart w:id="14" w:name="_Toc15655"/>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617"/>
        </w:trPr>
        <w:tc>
          <w:tcPr>
            <w:tcW w:w="9854" w:type="dxa"/>
            <w:vAlign w:val="top"/>
            <w:textDirection w:val="lrTb"/>
            <w:noWrap w:val="false"/>
          </w:tcPr>
          <w:p>
            <w:pPr>
              <w:pStyle w:val="925"/>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u w:val="single"/>
              </w:rPr>
              <w:t xml:space="preserve">2026年常州市普通国省道路网运行监测设施及桥梁视频监控建设工程施工项目</w:t>
            </w:r>
            <w:r>
              <w:rPr>
                <w:rFonts w:hint="eastAsia" w:ascii="宋体" w:hAnsi="宋体"/>
                <w:bCs/>
                <w:color w:val="000000"/>
                <w:szCs w:val="21"/>
                <w:u w:val="single"/>
                <w:lang w:eastAsia="zh-CN"/>
              </w:rPr>
              <w:t xml:space="preserve">JSZC-320400-CZCR-C2026-0002</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rPr>
              <w:t xml:space="preserve">2026年6月</w:t>
            </w:r>
            <w:r>
              <w:rPr>
                <w:rFonts w:hint="eastAsia" w:ascii="宋体" w:hAnsi="宋体"/>
                <w:bCs/>
                <w:color w:val="000000"/>
                <w:szCs w:val="21"/>
                <w:u w:val="single"/>
                <w:lang w:val="en-US" w:eastAsia="zh-CN"/>
              </w:rPr>
              <w:t xml:space="preserve">2</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日14:30（北京时间）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5"/>
        <w:jc w:val="left"/>
        <w:spacing w:line="360" w:lineRule="auto"/>
        <w:rPr>
          <w:rFonts w:ascii="宋体" w:hAnsi="宋体"/>
          <w:bCs/>
          <w:szCs w:val="21"/>
        </w:rPr>
      </w:pPr>
      <w:r>
        <w:rPr>
          <w:rFonts w:hint="eastAsia" w:ascii="宋体" w:hAnsi="宋体"/>
          <w:bCs/>
          <w:szCs w:val="21"/>
        </w:rPr>
        <w:t xml:space="preserve">一、项目基本情况</w:t>
      </w:r>
      <w:r>
        <w:rPr>
          <w:rFonts w:ascii="宋体" w:hAnsi="宋体"/>
          <w:bCs/>
          <w:szCs w:val="21"/>
        </w:rPr>
      </w:r>
      <w:r/>
    </w:p>
    <w:p>
      <w:pPr>
        <w:pStyle w:val="925"/>
        <w:ind w:firstLine="420"/>
        <w:jc w:val="left"/>
        <w:spacing w:line="360" w:lineRule="auto"/>
        <w:rPr>
          <w:rFonts w:hint="eastAsia" w:ascii="宋体" w:hAnsi="宋体" w:eastAsia="宋体"/>
          <w:bCs/>
          <w:color w:val="000000"/>
          <w:szCs w:val="21"/>
          <w:lang w:eastAsia="zh-CN"/>
        </w:rPr>
      </w:pPr>
      <w:r>
        <w:rPr>
          <w:rFonts w:hint="eastAsia" w:ascii="宋体" w:hAnsi="宋体"/>
          <w:bCs/>
          <w:szCs w:val="21"/>
        </w:rPr>
        <w:t xml:space="preserve">1.项目编号：</w:t>
      </w:r>
      <w:r>
        <w:rPr>
          <w:rFonts w:hint="eastAsia" w:ascii="宋体" w:hAnsi="宋体"/>
          <w:bCs/>
          <w:color w:val="000000"/>
          <w:szCs w:val="21"/>
          <w:u w:val="single"/>
          <w:lang w:eastAsia="zh-CN"/>
        </w:rPr>
        <w:t xml:space="preserve">JSZC-320400-CZCR-C2026-0002</w:t>
      </w:r>
      <w:r>
        <w:rPr>
          <w:rFonts w:hint="eastAsia" w:ascii="宋体" w:hAnsi="宋体" w:eastAsia="宋体"/>
          <w:bCs/>
          <w:color w:val="000000"/>
          <w:szCs w:val="21"/>
          <w:lang w:eastAsia="zh-CN"/>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2.项目名称：</w:t>
      </w:r>
      <w:r>
        <w:rPr>
          <w:rFonts w:hint="eastAsia" w:ascii="宋体" w:hAnsi="宋体"/>
          <w:bCs/>
          <w:szCs w:val="21"/>
          <w:u w:val="single"/>
        </w:rPr>
        <w:t xml:space="preserve">2026年常州市普通国省道路网运行监测设施及桥梁视频监控建设工程施工项目</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4.预算金额：</w:t>
      </w:r>
      <w:r>
        <w:rPr>
          <w:rFonts w:hint="eastAsia" w:ascii="宋体" w:hAnsi="宋体"/>
          <w:bCs/>
          <w:szCs w:val="21"/>
          <w:u w:val="single"/>
        </w:rPr>
        <w:t xml:space="preserve">260万元</w:t>
      </w:r>
      <w:r>
        <w:rPr>
          <w:rFonts w:ascii="宋体" w:hAnsi="宋体"/>
          <w:bCs/>
          <w:szCs w:val="21"/>
        </w:rPr>
      </w:r>
      <w:r/>
    </w:p>
    <w:p>
      <w:pPr>
        <w:pStyle w:val="925"/>
        <w:ind w:firstLine="420"/>
        <w:jc w:val="left"/>
        <w:spacing w:line="360" w:lineRule="auto"/>
        <w:rPr>
          <w:rFonts w:ascii="宋体" w:hAnsi="宋体"/>
          <w:bCs/>
          <w:color w:val="000000"/>
          <w:szCs w:val="21"/>
        </w:rPr>
      </w:pPr>
      <w:r>
        <w:rPr>
          <w:rFonts w:hint="eastAsia" w:ascii="宋体" w:hAnsi="宋体"/>
          <w:bCs/>
          <w:szCs w:val="21"/>
        </w:rPr>
        <w:t xml:space="preserve">5.最高限价：</w:t>
      </w:r>
      <w:r>
        <w:rPr>
          <w:rFonts w:hint="eastAsia" w:ascii="宋体" w:hAnsi="宋体"/>
          <w:bCs/>
          <w:color w:val="000000"/>
          <w:szCs w:val="21"/>
          <w:u w:val="single"/>
        </w:rPr>
        <w:t xml:space="preserve">259</w:t>
      </w:r>
      <w:r>
        <w:rPr>
          <w:rFonts w:hint="eastAsia" w:ascii="宋体" w:hAnsi="宋体"/>
          <w:bCs/>
          <w:color w:val="000000"/>
          <w:szCs w:val="21"/>
          <w:u w:val="single"/>
          <w:lang w:val="en-US" w:eastAsia="zh-CN"/>
        </w:rPr>
        <w:t xml:space="preserve">.</w:t>
      </w:r>
      <w:r>
        <w:rPr>
          <w:rFonts w:hint="eastAsia" w:ascii="宋体" w:hAnsi="宋体"/>
          <w:bCs/>
          <w:color w:val="000000"/>
          <w:szCs w:val="21"/>
          <w:u w:val="single"/>
        </w:rPr>
        <w:t xml:space="preserve">733万元</w:t>
      </w:r>
      <w:r>
        <w:rPr>
          <w:rFonts w:ascii="宋体" w:hAnsi="宋体"/>
          <w:bCs/>
          <w:color w:val="000000"/>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6.采购需求：</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2026年常州市路网监测工程拟新建16个固定视频监测点、新建1个交调点、升级（移位）改造19个视频监测点、升级改造8个交调点，移位改造3个交调点，提高对路网事件监测与处置效率。</w:t>
      </w:r>
      <w:r>
        <w:rPr>
          <w:rFonts w:hint="eastAsia" w:ascii="宋体" w:hAnsi="宋体"/>
          <w:bCs/>
          <w:szCs w:val="21"/>
        </w:rPr>
      </w:r>
      <w:r/>
    </w:p>
    <w:p>
      <w:pPr>
        <w:pStyle w:val="925"/>
        <w:ind w:firstLine="420"/>
        <w:jc w:val="left"/>
        <w:spacing w:line="360" w:lineRule="auto"/>
        <w:rPr>
          <w:rFonts w:hint="eastAsia" w:ascii="宋体" w:hAnsi="宋体"/>
          <w:bCs/>
          <w:szCs w:val="21"/>
          <w:u w:val="single"/>
        </w:rPr>
      </w:pPr>
      <w:r>
        <w:rPr>
          <w:rFonts w:hint="eastAsia" w:ascii="宋体" w:hAnsi="宋体"/>
          <w:bCs/>
          <w:szCs w:val="21"/>
          <w:u w:val="single"/>
        </w:rPr>
        <w:t xml:space="preserve">本采购项目共设一个包。主要工作内容为交调站点、桥梁视频监控等的新建及升级改造施工，且包括施工方案深化设计、设备采购、运输、安装布线、调试、技术培训及缺陷修复。</w:t>
      </w:r>
      <w:r>
        <w:rPr>
          <w:rFonts w:hint="eastAsia" w:ascii="宋体" w:hAnsi="宋体"/>
          <w:bCs/>
          <w:szCs w:val="21"/>
          <w:u w:val="single"/>
        </w:rPr>
      </w:r>
      <w:r/>
    </w:p>
    <w:p>
      <w:pPr>
        <w:pStyle w:val="925"/>
        <w:ind w:firstLine="420"/>
        <w:jc w:val="left"/>
        <w:spacing w:line="360" w:lineRule="auto"/>
        <w:rPr>
          <w:rFonts w:hint="eastAsia" w:ascii="宋体" w:hAnsi="宋体"/>
          <w:bCs/>
          <w:szCs w:val="21"/>
        </w:rPr>
      </w:pPr>
      <w:r>
        <w:rPr>
          <w:rFonts w:hint="eastAsia" w:ascii="宋体" w:hAnsi="宋体"/>
          <w:bCs/>
          <w:color w:val="000000"/>
          <w:szCs w:val="21"/>
        </w:rPr>
        <w:t xml:space="preserve">7.</w:t>
      </w:r>
      <w:bookmarkStart w:id="16" w:name="_Hlk106462499"/>
      <w:r>
        <w:rPr>
          <w:rFonts w:hint="eastAsia" w:ascii="宋体" w:hAnsi="宋体"/>
          <w:bCs/>
          <w:szCs w:val="21"/>
        </w:rPr>
        <w:t xml:space="preserve">合同履行期限：</w:t>
      </w:r>
      <w:bookmarkEnd w:id="16"/>
      <w:r>
        <w:rPr>
          <w:rFonts w:hint="eastAsia" w:ascii="宋体" w:hAnsi="宋体"/>
          <w:bCs/>
          <w:szCs w:val="21"/>
        </w:rPr>
        <w:t xml:space="preserve">自合同签订之日起-2026年9月30日；</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试运行期：自完工之日起</w:t>
      </w:r>
      <w:r>
        <w:rPr>
          <w:rFonts w:hint="eastAsia" w:ascii="宋体" w:hAnsi="宋体"/>
          <w:bCs/>
          <w:szCs w:val="21"/>
          <w:lang w:val="en-US" w:eastAsia="zh-CN"/>
        </w:rPr>
        <w:t xml:space="preserve">1</w:t>
      </w:r>
      <w:r>
        <w:rPr>
          <w:rFonts w:hint="eastAsia" w:ascii="宋体" w:hAnsi="宋体"/>
          <w:bCs/>
          <w:szCs w:val="21"/>
          <w:lang w:val="en-US" w:eastAsia="zh-CN"/>
        </w:rPr>
        <w:t xml:space="preserve">个月</w:t>
      </w:r>
      <w:r>
        <w:rPr>
          <w:rFonts w:hint="eastAsia" w:ascii="宋体" w:hAnsi="宋体"/>
          <w:bCs/>
          <w:szCs w:val="21"/>
        </w:rPr>
        <w:t xml:space="preserve">；</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缺陷责任期：</w:t>
      </w:r>
      <w:r>
        <w:rPr>
          <w:rFonts w:hint="eastAsia" w:ascii="宋体" w:hAnsi="宋体"/>
          <w:bCs/>
          <w:sz w:val="21"/>
          <w:szCs w:val="21"/>
          <w:lang w:val="en-US" w:eastAsia="zh-CN" w:bidi="ar-SA"/>
        </w:rPr>
        <w:t xml:space="preserve">自验收合格后起</w:t>
      </w:r>
      <w:r>
        <w:rPr>
          <w:rFonts w:hint="eastAsia" w:ascii="宋体" w:hAnsi="宋体"/>
          <w:bCs/>
          <w:szCs w:val="21"/>
        </w:rPr>
        <w:t xml:space="preserve">12个月。</w:t>
      </w:r>
      <w:r>
        <w:rPr>
          <w:rFonts w:hint="eastAsia" w:ascii="宋体" w:hAnsi="宋体"/>
          <w:bCs/>
          <w:szCs w:val="21"/>
        </w:rPr>
      </w:r>
      <w:r/>
    </w:p>
    <w:p>
      <w:pPr>
        <w:pStyle w:val="925"/>
        <w:ind w:firstLine="420"/>
        <w:jc w:val="left"/>
        <w:spacing w:line="360" w:lineRule="auto"/>
        <w:rPr>
          <w:rFonts w:ascii="宋体" w:hAnsi="宋体"/>
          <w:bCs/>
          <w:szCs w:val="21"/>
          <w:lang w:val="en-US"/>
        </w:rPr>
      </w:pPr>
      <w:r>
        <w:rPr>
          <w:rFonts w:hint="eastAsia" w:ascii="宋体" w:hAnsi="宋体"/>
          <w:bCs/>
          <w:szCs w:val="21"/>
        </w:rPr>
        <w:t xml:space="preserve">8.本项目（是/否）接受联合体投标：</w:t>
      </w:r>
      <w:r>
        <w:rPr>
          <w:rFonts w:hint="eastAsia" w:ascii="宋体" w:hAnsi="宋体"/>
          <w:bCs/>
          <w:sz w:val="21"/>
          <w:szCs w:val="21"/>
          <w:lang w:val="en-US" w:eastAsia="zh-CN" w:bidi="ar-SA"/>
        </w:rPr>
        <w:t xml:space="preserve">否</w:t>
      </w:r>
      <w:r>
        <w:rPr>
          <w:rFonts w:ascii="宋体" w:hAnsi="宋体"/>
          <w:bCs/>
          <w:szCs w:val="21"/>
          <w:lang w:val="en-US"/>
        </w:rPr>
      </w:r>
      <w:r/>
    </w:p>
    <w:p>
      <w:pPr>
        <w:pStyle w:val="925"/>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1.1 满足《中华人民共和国政府采购法》第二十二条规定以及下列情形。</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2.1 中小企业政策：</w:t>
      </w:r>
      <w:r>
        <w:rPr>
          <w:rFonts w:hint="eastAsia" w:ascii="宋体" w:hAnsi="宋体"/>
          <w:b/>
          <w:szCs w:val="21"/>
        </w:rPr>
        <w:t xml:space="preserve">本项目专门面向中小微企业采购</w:t>
      </w:r>
      <w:r>
        <w:rPr>
          <w:rFonts w:hint="eastAsia" w:ascii="宋体" w:hAnsi="宋体"/>
          <w:bCs/>
          <w:szCs w:val="21"/>
        </w:rPr>
        <w:t xml:space="preserve">。即：提供的服务全部由符合政策要求的中小微企业承接。监狱企业、残疾性福利企业视同小微企业。</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3.1供应商具有独立法人资格，持有有效营业执照或事业单位法人证书。</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3.2具有行政主管部门核发的有效的公路交通工程专业承包（公路机电工程分项）二级及以上资质或电子与智能化工程专业承包二级及以上资质。</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3.3供应商具备省级及以上有关主管部门核发的有效的《安全生产许可证》。</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3.4本项目不接受分支机构参与响应。</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xinyongfuwu/zhongdashuishouweifaanjian/）、政府采购严重违法失信行为记录名单（http://www.ccgp.gov.cn/search/cr/）。</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1.自磋商文件公告发布之日起5个工作日。</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4.售价：0元</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四、响应文件提交</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截止时间：2026年</w:t>
      </w:r>
      <w:r>
        <w:rPr>
          <w:rFonts w:hint="eastAsia" w:ascii="宋体" w:hAnsi="宋体"/>
          <w:bCs/>
          <w:szCs w:val="21"/>
          <w:u w:val="single"/>
        </w:rPr>
        <w:t xml:space="preserve">6</w:t>
      </w:r>
      <w:r>
        <w:rPr>
          <w:rFonts w:hint="eastAsia" w:ascii="宋体" w:hAnsi="宋体"/>
          <w:bCs/>
          <w:szCs w:val="21"/>
        </w:rPr>
        <w:t xml:space="preserve">月</w:t>
      </w:r>
      <w:r>
        <w:rPr>
          <w:rFonts w:hint="eastAsia" w:ascii="宋体" w:hAnsi="宋体"/>
          <w:bCs/>
          <w:szCs w:val="21"/>
          <w:u w:val="single"/>
          <w:lang w:val="en-US" w:eastAsia="zh-CN"/>
        </w:rPr>
        <w:t xml:space="preserve">2</w:t>
      </w:r>
      <w:r>
        <w:rPr>
          <w:rFonts w:hint="eastAsia" w:ascii="宋体" w:hAnsi="宋体"/>
          <w:bCs/>
          <w:szCs w:val="21"/>
          <w:u w:val="single"/>
          <w:lang w:val="en-US" w:eastAsia="zh-CN"/>
        </w:rPr>
        <w:t xml:space="preserve">6</w:t>
      </w:r>
      <w:r>
        <w:rPr>
          <w:rFonts w:hint="eastAsia" w:ascii="宋体" w:hAnsi="宋体"/>
          <w:bCs/>
          <w:szCs w:val="21"/>
        </w:rPr>
        <w:t xml:space="preserve">日14时30分（北京时间）</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五、开启</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时间：2026年</w:t>
      </w:r>
      <w:r>
        <w:rPr>
          <w:rFonts w:hint="eastAsia" w:ascii="宋体" w:hAnsi="宋体"/>
          <w:bCs/>
          <w:szCs w:val="21"/>
          <w:u w:val="single"/>
        </w:rPr>
        <w:t xml:space="preserve">6</w:t>
      </w:r>
      <w:r>
        <w:rPr>
          <w:rFonts w:hint="eastAsia" w:ascii="宋体" w:hAnsi="宋体"/>
          <w:bCs/>
          <w:szCs w:val="21"/>
        </w:rPr>
        <w:t xml:space="preserve">月</w:t>
      </w:r>
      <w:r>
        <w:rPr>
          <w:rFonts w:hint="eastAsia" w:ascii="宋体" w:hAnsi="宋体"/>
          <w:bCs/>
          <w:szCs w:val="21"/>
          <w:u w:val="single"/>
          <w:lang w:val="en-US" w:eastAsia="zh-CN"/>
        </w:rPr>
        <w:t xml:space="preserve">2</w:t>
      </w:r>
      <w:r>
        <w:rPr>
          <w:rFonts w:hint="eastAsia" w:ascii="宋体" w:hAnsi="宋体"/>
          <w:bCs/>
          <w:szCs w:val="21"/>
          <w:u w:val="single"/>
          <w:lang w:val="en-US" w:eastAsia="zh-CN"/>
        </w:rPr>
        <w:t xml:space="preserve">6</w:t>
      </w:r>
      <w:r>
        <w:rPr>
          <w:rFonts w:hint="eastAsia" w:ascii="宋体" w:hAnsi="宋体"/>
          <w:bCs/>
          <w:szCs w:val="21"/>
        </w:rPr>
        <w:t xml:space="preserve">日14时30分（北京时间）</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1.磋商保证金</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5"/>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名称：常州市公路事业发展中心</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地址：常州市西林街道朱夏墅村委叶西村42号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联系人：张女士</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联系方式：0519-81661751</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名称：常州市长润工程咨询有限公司</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地址：常州市新北区太湖中路19号401室</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联系方式：0519-89580292</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项目联系人：张女士、徐萍</w:t>
      </w:r>
      <w:r>
        <w:rPr>
          <w:rFonts w:hint="eastAsia" w:ascii="宋体" w:hAnsi="宋体"/>
          <w:bCs/>
          <w:szCs w:val="21"/>
        </w:rPr>
      </w:r>
      <w:r/>
    </w:p>
    <w:p>
      <w:pPr>
        <w:pStyle w:val="925"/>
        <w:ind w:firstLine="420"/>
        <w:jc w:val="left"/>
        <w:spacing w:line="360" w:lineRule="auto"/>
        <w:rPr>
          <w:sz w:val="24"/>
        </w:rPr>
      </w:pPr>
      <w:r>
        <w:rPr>
          <w:rFonts w:hint="eastAsia" w:ascii="宋体" w:hAnsi="宋体"/>
          <w:bCs/>
          <w:szCs w:val="21"/>
        </w:rPr>
        <w:t xml:space="preserve">电话：0519-89580292</w:t>
      </w:r>
      <w:r>
        <w:rPr>
          <w:sz w:val="24"/>
        </w:rPr>
      </w:r>
      <w:r/>
    </w:p>
    <w:p>
      <w:pPr>
        <w:pStyle w:val="925"/>
        <w:jc w:val="center"/>
        <w:spacing w:line="360" w:lineRule="auto"/>
        <w:rPr>
          <w:sz w:val="24"/>
        </w:rPr>
        <w:outlineLvl w:val="0"/>
      </w:pPr>
      <w:r>
        <w:rPr>
          <w:sz w:val="24"/>
        </w:rPr>
        <w:br w:type="page" w:clear="all"/>
      </w:r>
      <w:bookmarkStart w:id="17" w:name="_Toc226965856"/>
      <w:r/>
      <w:bookmarkStart w:id="18" w:name="_Toc305158928"/>
      <w:r/>
      <w:bookmarkStart w:id="19" w:name="_Toc265228423"/>
      <w:r/>
      <w:bookmarkStart w:id="20" w:name="_Toc353873938"/>
      <w:r/>
      <w:bookmarkStart w:id="21" w:name="_Toc127151777"/>
      <w:r/>
      <w:bookmarkStart w:id="22" w:name="_Toc264969275"/>
      <w:r/>
      <w:bookmarkStart w:id="23" w:name="_Toc195842950"/>
      <w:r/>
      <w:bookmarkStart w:id="24" w:name="_Toc150774783"/>
      <w:r/>
      <w:bookmarkStart w:id="25" w:name="_Toc305158854"/>
      <w:r/>
      <w:bookmarkStart w:id="26" w:name="_Toc512937850"/>
      <w:r/>
      <w:bookmarkStart w:id="27" w:name="_Toc104818926"/>
      <w:r/>
      <w:bookmarkStart w:id="28" w:name="_Toc353825548"/>
      <w:r/>
      <w:bookmarkStart w:id="29" w:name="_Toc127161488"/>
      <w:r>
        <w:rPr>
          <w:sz w:val="24"/>
        </w:rPr>
      </w:r>
      <w:r/>
    </w:p>
    <w:p>
      <w:pPr>
        <w:pStyle w:val="925"/>
        <w:jc w:val="center"/>
        <w:spacing w:line="360" w:lineRule="auto"/>
        <w:rPr>
          <w:b/>
          <w:sz w:val="32"/>
          <w:szCs w:val="32"/>
        </w:rPr>
        <w:outlineLvl w:val="0"/>
      </w:pPr>
      <w:r>
        <w:rPr>
          <w:b/>
          <w:sz w:val="36"/>
          <w:szCs w:val="36"/>
        </w:rPr>
        <w:t xml:space="preserve">第二章   供应商须知</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rPr>
          <w:b/>
          <w:sz w:val="32"/>
          <w:szCs w:val="32"/>
        </w:rPr>
      </w:r>
      <w:r/>
    </w:p>
    <w:p>
      <w:pPr>
        <w:pStyle w:val="927"/>
        <w:spacing w:before="0" w:line="360" w:lineRule="auto"/>
        <w:tabs>
          <w:tab w:val="center" w:pos="4592" w:leader="none"/>
          <w:tab w:val="left" w:pos="7860" w:leader="none"/>
        </w:tabs>
        <w:rPr>
          <w:rFonts w:ascii="Times New Roman" w:hAnsi="Times New Roman" w:eastAsia="宋体"/>
          <w:b w:val="0"/>
          <w:sz w:val="28"/>
        </w:rPr>
      </w:pPr>
      <w:r/>
      <w:bookmarkStart w:id="30" w:name="_Toc226309763"/>
      <w:r/>
      <w:bookmarkStart w:id="31" w:name="_Toc520356144"/>
      <w:r/>
      <w:bookmarkStart w:id="32" w:name="_Toc151190146"/>
      <w:r/>
      <w:bookmarkStart w:id="33" w:name="_Toc226337215"/>
      <w:r/>
      <w:bookmarkStart w:id="34" w:name="_Toc164608633"/>
      <w:r/>
      <w:bookmarkStart w:id="35" w:name="_Toc164229360"/>
      <w:r/>
      <w:bookmarkStart w:id="36" w:name="_Toc195842884"/>
      <w:r/>
      <w:bookmarkStart w:id="37" w:name="_Toc151193907"/>
      <w:r/>
      <w:bookmarkStart w:id="38" w:name="_Toc150774724"/>
      <w:r/>
      <w:bookmarkStart w:id="39" w:name="_Toc164608788"/>
      <w:r/>
      <w:bookmarkStart w:id="40" w:name="_Toc151193761"/>
      <w:r/>
      <w:bookmarkStart w:id="41" w:name="_Toc127151720"/>
      <w:r/>
      <w:bookmarkStart w:id="42" w:name="_Toc127161433"/>
      <w:r/>
      <w:bookmarkStart w:id="43" w:name="_Toc150509270"/>
      <w:r/>
      <w:bookmarkStart w:id="44" w:name="_Toc164229214"/>
      <w:r/>
      <w:bookmarkStart w:id="45" w:name="_Toc151193689"/>
      <w:r/>
      <w:bookmarkStart w:id="46" w:name="_Toc150774619"/>
      <w:r/>
      <w:bookmarkStart w:id="47" w:name="_Toc142311021"/>
      <w:r/>
      <w:bookmarkStart w:id="48" w:name="_Toc226965792"/>
      <w:r/>
      <w:bookmarkStart w:id="49" w:name="_Toc151193617"/>
      <w:r/>
      <w:bookmarkStart w:id="50" w:name="_Toc226965709"/>
      <w:r/>
      <w:bookmarkStart w:id="51" w:name="_Toc151193833"/>
      <w:r/>
      <w:bookmarkStart w:id="52" w:name="_Toc164351613"/>
      <w:r/>
      <w:bookmarkStart w:id="53" w:name="_Toc149720812"/>
      <w:r/>
      <w:bookmarkStart w:id="54" w:name="_Toc127151519"/>
      <w:r/>
      <w:bookmarkStart w:id="55" w:name="_Toc150480757"/>
      <w:r>
        <w:rPr>
          <w:rFonts w:ascii="Times New Roman" w:hAnsi="Times New Roman" w:eastAsia="宋体"/>
          <w:sz w:val="28"/>
        </w:rPr>
        <w:t xml:space="preserve">供应商须知资料表</w:t>
      </w:r>
      <w:r>
        <w:rPr>
          <w:rFonts w:ascii="Times New Roman" w:hAnsi="Times New Roman" w:eastAsia="宋体"/>
          <w:b w:val="0"/>
          <w:sz w:val="28"/>
        </w:rPr>
      </w:r>
      <w:r/>
    </w:p>
    <w:p>
      <w:pPr>
        <w:pStyle w:val="925"/>
        <w:jc w:val="center"/>
        <w:rPr>
          <w:b/>
          <w:sz w:val="28"/>
          <w:szCs w:val="28"/>
        </w:rPr>
      </w:pPr>
      <w:r>
        <w:rPr>
          <w:b/>
          <w:sz w:val="28"/>
          <w:szCs w:val="28"/>
        </w:rPr>
      </w:r>
      <w:r/>
    </w:p>
    <w:p>
      <w:pPr>
        <w:pStyle w:val="92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5"/>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5"/>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5"/>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2.2</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项目属性</w:t>
            </w:r>
            <w:r>
              <w:rPr>
                <w:szCs w:val="21"/>
              </w:rPr>
            </w:r>
            <w:r/>
          </w:p>
        </w:tc>
        <w:tc>
          <w:tcPr>
            <w:tcW w:w="7253" w:type="dxa"/>
            <w:vAlign w:val="center"/>
            <w:textDirection w:val="lrTb"/>
            <w:noWrap w:val="false"/>
          </w:tcPr>
          <w:p>
            <w:pPr>
              <w:pStyle w:val="925"/>
              <w:jc w:val="left"/>
              <w:rPr>
                <w:szCs w:val="21"/>
              </w:rPr>
            </w:pPr>
            <w:r>
              <w:rPr>
                <w:szCs w:val="21"/>
              </w:rPr>
              <w:t xml:space="preserve">项目属性：</w:t>
            </w:r>
            <w:r>
              <w:rPr>
                <w:szCs w:val="21"/>
              </w:rPr>
            </w:r>
            <w:r/>
          </w:p>
          <w:p>
            <w:pPr>
              <w:pStyle w:val="925"/>
              <w:jc w:val="left"/>
              <w:rPr>
                <w:szCs w:val="21"/>
              </w:rPr>
            </w:pPr>
            <w:r>
              <w:rPr>
                <w:szCs w:val="21"/>
              </w:rPr>
              <w:t xml:space="preserve">□服务</w:t>
            </w:r>
            <w:r>
              <w:rPr>
                <w:szCs w:val="21"/>
              </w:rPr>
            </w:r>
            <w:r/>
          </w:p>
          <w:p>
            <w:pPr>
              <w:pStyle w:val="925"/>
              <w:jc w:val="left"/>
              <w:rPr>
                <w:szCs w:val="21"/>
              </w:rPr>
            </w:pPr>
            <w:r>
              <w:rPr>
                <w:szCs w:val="21"/>
              </w:rPr>
              <w:t xml:space="preserve">□货物</w:t>
            </w:r>
            <w:r>
              <w:rPr>
                <w:szCs w:val="21"/>
              </w:rPr>
            </w:r>
            <w:r/>
          </w:p>
          <w:p>
            <w:pPr>
              <w:pStyle w:val="925"/>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2.3</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科研仪器设备</w:t>
            </w:r>
            <w:r>
              <w:rPr>
                <w:szCs w:val="21"/>
              </w:rPr>
            </w:r>
            <w:r/>
          </w:p>
        </w:tc>
        <w:tc>
          <w:tcPr>
            <w:tcW w:w="7253" w:type="dxa"/>
            <w:vAlign w:val="center"/>
            <w:textDirection w:val="lrTb"/>
            <w:noWrap w:val="false"/>
          </w:tcPr>
          <w:p>
            <w:pPr>
              <w:pStyle w:val="925"/>
              <w:jc w:val="left"/>
              <w:rPr>
                <w:szCs w:val="21"/>
              </w:rPr>
            </w:pPr>
            <w:r>
              <w:rPr>
                <w:szCs w:val="21"/>
              </w:rPr>
              <w:t xml:space="preserve">是否属于科研仪器设备采购项目：</w:t>
            </w:r>
            <w:r>
              <w:rPr>
                <w:szCs w:val="21"/>
              </w:rPr>
            </w:r>
            <w:r/>
          </w:p>
          <w:p>
            <w:pPr>
              <w:pStyle w:val="925"/>
              <w:jc w:val="left"/>
              <w:rPr>
                <w:szCs w:val="21"/>
              </w:rPr>
            </w:pPr>
            <w:r>
              <w:rPr>
                <w:szCs w:val="21"/>
              </w:rPr>
              <w:t xml:space="preserve">□是</w:t>
            </w:r>
            <w:r>
              <w:rPr>
                <w:szCs w:val="21"/>
              </w:rPr>
            </w:r>
            <w:r/>
          </w:p>
          <w:p>
            <w:pPr>
              <w:pStyle w:val="925"/>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3.1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现场考察</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不组织</w:t>
            </w:r>
            <w:r>
              <w:rPr>
                <w:szCs w:val="21"/>
              </w:rPr>
            </w:r>
            <w:r/>
          </w:p>
          <w:p>
            <w:pPr>
              <w:pStyle w:val="925"/>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4"/>
              <w:rPr>
                <w:rFonts w:ascii="Times New Roman" w:hAnsi="Times New Roman"/>
                <w:szCs w:val="21"/>
                <w:lang w:val="en-US" w:eastAsia="zh-CN"/>
              </w:rPr>
            </w:pPr>
            <w:r>
              <w:rPr>
                <w:rFonts w:ascii="Times New Roman" w:hAnsi="Times New Roman"/>
                <w:szCs w:val="21"/>
                <w:lang w:val="en-US" w:eastAsia="zh-CN"/>
              </w:rPr>
              <w:t xml:space="preserve">考察地点：___________</w:t>
            </w:r>
            <w:r>
              <w:rPr>
                <w:rFonts w:ascii="Times New Roman" w:hAnsi="Times New Roman"/>
                <w:szCs w:val="21"/>
                <w:lang w:val="en-US" w:eastAsia="zh-CN"/>
              </w:rPr>
              <w:t xml:space="preserve">。</w:t>
            </w:r>
            <w:r>
              <w:rPr>
                <w:rFonts w:ascii="Times New Roman" w:hAnsi="Times New Roman"/>
                <w:szCs w:val="21"/>
                <w:lang w:val="en-US" w:eastAsia="zh-CN"/>
              </w:rPr>
            </w:r>
            <w:r/>
          </w:p>
        </w:tc>
      </w:tr>
      <w:tr>
        <w:trPr>
          <w:trHeight w:val="20"/>
        </w:trPr>
        <w:tc>
          <w:tcPr>
            <w:tcW w:w="988" w:type="dxa"/>
            <w:vAlign w:val="center"/>
            <w:vMerge w:val="continue"/>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磋商前答疑会</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不召开</w:t>
            </w:r>
            <w:r>
              <w:rPr>
                <w:szCs w:val="21"/>
              </w:rPr>
            </w:r>
            <w:r/>
          </w:p>
          <w:p>
            <w:pPr>
              <w:pStyle w:val="925"/>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5"/>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4.2.5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标的所属行业</w:t>
            </w:r>
            <w:r>
              <w:rPr>
                <w:szCs w:val="21"/>
              </w:rPr>
            </w:r>
            <w:r/>
          </w:p>
        </w:tc>
        <w:tc>
          <w:tcPr>
            <w:tcW w:w="7253" w:type="dxa"/>
            <w:vAlign w:val="center"/>
            <w:textDirection w:val="lrTb"/>
            <w:noWrap w:val="false"/>
          </w:tcPr>
          <w:p>
            <w:pPr>
              <w:pStyle w:val="925"/>
              <w:jc w:val="left"/>
              <w:rPr>
                <w:szCs w:val="21"/>
              </w:rPr>
            </w:pPr>
            <w:r>
              <w:rPr>
                <w:szCs w:val="21"/>
              </w:rPr>
              <w:t xml:space="preserve">本项目采购标的对应的中小企业划分标准所属行业：</w:t>
            </w:r>
            <w:r>
              <w:rPr>
                <w:rFonts w:hint="eastAsia"/>
                <w:szCs w:val="21"/>
                <w:u w:val="single"/>
              </w:rPr>
              <w:t xml:space="preserve">建筑业</w:t>
            </w:r>
            <w:r>
              <w:rPr>
                <w:rFonts w:hint="eastAsia"/>
                <w:szCs w:val="21"/>
              </w:rPr>
              <w:t xml:space="preserve">。</w:t>
            </w:r>
            <w:r>
              <w:rPr>
                <w:szCs w:val="21"/>
              </w:rPr>
            </w:r>
            <w:r/>
          </w:p>
        </w:tc>
      </w:tr>
      <w:tr>
        <w:trPr>
          <w:trHeight w:val="89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10.2</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报价</w:t>
            </w:r>
            <w:r>
              <w:rPr>
                <w:szCs w:val="21"/>
              </w:rPr>
            </w:r>
            <w:r/>
          </w:p>
        </w:tc>
        <w:tc>
          <w:tcPr>
            <w:tcW w:w="7253" w:type="dxa"/>
            <w:vAlign w:val="center"/>
            <w:textDirection w:val="lrTb"/>
            <w:noWrap w:val="false"/>
          </w:tcPr>
          <w:p>
            <w:pPr>
              <w:pStyle w:val="925"/>
              <w:jc w:val="left"/>
              <w:rPr>
                <w:szCs w:val="21"/>
              </w:rPr>
            </w:pPr>
            <w:r>
              <w:rPr>
                <w:szCs w:val="21"/>
              </w:rPr>
              <w:t xml:space="preserve">报价的特殊规定：</w:t>
            </w:r>
            <w:r>
              <w:rPr>
                <w:szCs w:val="21"/>
              </w:rPr>
            </w:r>
            <w:r/>
          </w:p>
          <w:p>
            <w:pPr>
              <w:pStyle w:val="925"/>
              <w:jc w:val="left"/>
              <w:rPr>
                <w:szCs w:val="21"/>
              </w:rPr>
            </w:pPr>
            <w:r>
              <w:rPr>
                <w:szCs w:val="21"/>
              </w:rPr>
              <w:t xml:space="preserve">□无</w:t>
            </w:r>
            <w:r>
              <w:rPr>
                <w:szCs w:val="21"/>
              </w:rPr>
            </w:r>
            <w:r/>
          </w:p>
          <w:p>
            <w:pPr>
              <w:pStyle w:val="925"/>
              <w:jc w:val="left"/>
              <w:rPr>
                <w:rFonts w:hint="eastAsia"/>
                <w:szCs w:val="21"/>
              </w:rPr>
            </w:pPr>
            <w:r>
              <w:rPr>
                <w:rFonts w:hint="eastAsia"/>
                <w:szCs w:val="21"/>
              </w:rPr>
              <w:t xml:space="preserve">■</w:t>
            </w:r>
            <w:r>
              <w:rPr>
                <w:szCs w:val="21"/>
              </w:rPr>
              <w:t xml:space="preserve">有，具体情形：</w:t>
            </w:r>
            <w:r>
              <w:rPr>
                <w:szCs w:val="21"/>
                <w:u w:val="single"/>
              </w:rPr>
              <w:t xml:space="preserve">详见</w:t>
            </w:r>
            <w:r>
              <w:rPr>
                <w:rFonts w:hint="eastAsia"/>
                <w:szCs w:val="21"/>
                <w:u w:val="single"/>
              </w:rPr>
              <w:t xml:space="preserve">清单报价</w:t>
            </w:r>
            <w:r>
              <w:rPr>
                <w:szCs w:val="21"/>
              </w:rPr>
              <w:t xml:space="preserve">。</w:t>
            </w:r>
            <w:r>
              <w:rPr>
                <w:rFonts w:hint="eastAsia"/>
                <w:szCs w:val="21"/>
              </w:rPr>
            </w:r>
            <w:r/>
          </w:p>
          <w:p>
            <w:pPr>
              <w:pStyle w:val="925"/>
              <w:jc w:val="left"/>
              <w:rPr>
                <w:rFonts w:hint="eastAsia"/>
                <w:szCs w:val="21"/>
              </w:rPr>
            </w:pPr>
            <w:r>
              <w:rPr>
                <w:rFonts w:hint="eastAsia"/>
                <w:szCs w:val="21"/>
              </w:rPr>
            </w:r>
            <w:r/>
          </w:p>
          <w:p>
            <w:pPr>
              <w:pStyle w:val="925"/>
              <w:jc w:val="left"/>
              <w:rPr>
                <w:rFonts w:hint="eastAsia" w:ascii="宋体" w:hAnsi="宋体"/>
                <w:szCs w:val="21"/>
              </w:rPr>
            </w:pPr>
            <w:r>
              <w:rPr>
                <w:rFonts w:hint="eastAsia"/>
                <w:szCs w:val="21"/>
              </w:rPr>
              <w:t xml:space="preserve">磋商报价次数：本项目采用二次报价，磋商响应文件报价一览表的报价作为首次报价，</w:t>
            </w:r>
            <w:r>
              <w:rPr>
                <w:rFonts w:hint="eastAsia" w:ascii="宋体" w:hAnsi="宋体"/>
                <w:szCs w:val="21"/>
              </w:rPr>
              <w:t xml:space="preserve">在磋商结束后，磋商小组应当要求所有实质性响应的供应商在规定时间内提交最后报价（仅填报总价），最后报价作为评分依据。</w:t>
            </w:r>
            <w:r>
              <w:rPr>
                <w:rFonts w:hint="eastAsia" w:ascii="宋体" w:hAnsi="宋体"/>
                <w:szCs w:val="21"/>
              </w:rPr>
            </w:r>
            <w:r/>
          </w:p>
          <w:p>
            <w:pPr>
              <w:pStyle w:val="925"/>
              <w:jc w:val="left"/>
              <w:rPr>
                <w:szCs w:val="21"/>
              </w:rPr>
            </w:pPr>
            <w:r>
              <w:rPr>
                <w:szCs w:val="21"/>
              </w:rPr>
            </w:r>
            <w:r/>
          </w:p>
          <w:p>
            <w:pPr>
              <w:pStyle w:val="925"/>
              <w:jc w:val="left"/>
              <w:rPr>
                <w:szCs w:val="21"/>
              </w:rPr>
            </w:pPr>
            <w:r>
              <w:rPr>
                <w:rFonts w:hint="eastAsia"/>
                <w:szCs w:val="21"/>
              </w:rPr>
              <w:t xml:space="preserve">成交单位应按照成交总价提供最终报价清单，</w:t>
            </w:r>
            <w:r>
              <w:rPr>
                <w:rFonts w:hint="eastAsia"/>
                <w:b/>
                <w:szCs w:val="21"/>
              </w:rPr>
              <w:t xml:space="preserve">该清单可竞争部分综合单价均不得超出对应首次报价清单中的综合单价。</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11.1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磋商保证金</w:t>
            </w:r>
            <w:r>
              <w:rPr>
                <w:szCs w:val="21"/>
              </w:rPr>
            </w:r>
            <w:r/>
          </w:p>
        </w:tc>
        <w:tc>
          <w:tcPr>
            <w:tcW w:w="7253" w:type="dxa"/>
            <w:vAlign w:val="center"/>
            <w:textDirection w:val="lrTb"/>
            <w:noWrap w:val="false"/>
          </w:tcPr>
          <w:p>
            <w:pPr>
              <w:pStyle w:val="925"/>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12.1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响应有效期</w:t>
            </w:r>
            <w:r>
              <w:rPr>
                <w:szCs w:val="21"/>
              </w:rPr>
            </w:r>
            <w:r/>
          </w:p>
        </w:tc>
        <w:tc>
          <w:tcPr>
            <w:tcW w:w="7253" w:type="dxa"/>
            <w:vAlign w:val="center"/>
            <w:textDirection w:val="lrTb"/>
            <w:noWrap w:val="false"/>
          </w:tcPr>
          <w:p>
            <w:pPr>
              <w:pStyle w:val="925"/>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23.5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分包</w:t>
            </w:r>
            <w:r>
              <w:rPr>
                <w:szCs w:val="21"/>
              </w:rPr>
            </w:r>
            <w:r/>
          </w:p>
        </w:tc>
        <w:tc>
          <w:tcPr>
            <w:tcW w:w="7253" w:type="dxa"/>
            <w:vAlign w:val="center"/>
            <w:textDirection w:val="lrTb"/>
            <w:noWrap w:val="false"/>
          </w:tcPr>
          <w:p>
            <w:pPr>
              <w:pStyle w:val="925"/>
              <w:jc w:val="left"/>
              <w:rPr>
                <w:szCs w:val="21"/>
              </w:rPr>
            </w:pPr>
            <w:r>
              <w:rPr>
                <w:szCs w:val="21"/>
              </w:rPr>
              <w:t xml:space="preserve">本项目是否允许分包：</w:t>
            </w:r>
            <w:r>
              <w:rPr>
                <w:szCs w:val="21"/>
              </w:rPr>
            </w:r>
            <w:r/>
          </w:p>
          <w:p>
            <w:pPr>
              <w:pStyle w:val="925"/>
              <w:jc w:val="left"/>
              <w:rPr>
                <w:szCs w:val="21"/>
              </w:rPr>
            </w:pPr>
            <w:r>
              <w:rPr>
                <w:rFonts w:hint="eastAsia"/>
                <w:szCs w:val="21"/>
              </w:rPr>
              <w:t xml:space="preserve">■</w:t>
            </w:r>
            <w:r>
              <w:rPr>
                <w:szCs w:val="21"/>
              </w:rPr>
              <w:t xml:space="preserve">不允许</w:t>
            </w:r>
            <w:r>
              <w:rPr>
                <w:szCs w:val="21"/>
              </w:rPr>
            </w:r>
            <w:r/>
          </w:p>
          <w:p>
            <w:pPr>
              <w:pStyle w:val="925"/>
              <w:jc w:val="left"/>
              <w:rPr>
                <w:szCs w:val="21"/>
              </w:rPr>
            </w:pPr>
            <w:r>
              <w:rPr>
                <w:szCs w:val="21"/>
              </w:rPr>
              <w:t xml:space="preserve">□允许，具体要求：_______。</w:t>
            </w:r>
            <w:r>
              <w:rPr>
                <w:szCs w:val="21"/>
              </w:rPr>
            </w:r>
            <w:r/>
          </w:p>
          <w:p>
            <w:pPr>
              <w:pStyle w:val="925"/>
              <w:jc w:val="left"/>
              <w:rPr>
                <w:szCs w:val="21"/>
              </w:rPr>
            </w:pPr>
            <w:r>
              <w:rPr>
                <w:szCs w:val="21"/>
              </w:rPr>
              <w:t xml:space="preserve">（1）可以分包履行的具体内容：_______；</w:t>
            </w:r>
            <w:r>
              <w:rPr>
                <w:szCs w:val="21"/>
              </w:rPr>
            </w:r>
            <w:r/>
          </w:p>
          <w:p>
            <w:pPr>
              <w:pStyle w:val="925"/>
              <w:jc w:val="left"/>
              <w:rPr>
                <w:szCs w:val="21"/>
              </w:rPr>
            </w:pPr>
            <w:r>
              <w:rPr>
                <w:szCs w:val="21"/>
              </w:rPr>
              <w:t xml:space="preserve">（2）允许分包的金额或者比例：_______；</w:t>
            </w:r>
            <w:r>
              <w:rPr>
                <w:szCs w:val="21"/>
              </w:rPr>
            </w:r>
            <w:r/>
          </w:p>
          <w:p>
            <w:pPr>
              <w:pStyle w:val="925"/>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24.1.1</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询问</w:t>
            </w:r>
            <w:r>
              <w:rPr>
                <w:szCs w:val="21"/>
              </w:rPr>
            </w:r>
            <w:r/>
          </w:p>
        </w:tc>
        <w:tc>
          <w:tcPr>
            <w:tcW w:w="7253" w:type="dxa"/>
            <w:vAlign w:val="center"/>
            <w:textDirection w:val="lrTb"/>
            <w:noWrap w:val="false"/>
          </w:tcPr>
          <w:p>
            <w:pPr>
              <w:pStyle w:val="925"/>
              <w:jc w:val="left"/>
              <w:rPr>
                <w:szCs w:val="21"/>
              </w:rPr>
            </w:pPr>
            <w:r>
              <w:rPr>
                <w:szCs w:val="21"/>
              </w:rPr>
              <w:t xml:space="preserve">询问送达形式：</w:t>
            </w:r>
            <w:r>
              <w:rPr>
                <w:rFonts w:hint="eastAsia"/>
                <w:szCs w:val="21"/>
              </w:rPr>
              <w:t xml:space="preserve">以书面形式提交或电子邮件至常州市长润工程咨询有限公司。邮箱：czcrzx@163.com。</w:t>
            </w:r>
            <w:r>
              <w:rPr>
                <w:szCs w:val="21"/>
              </w:rPr>
              <w:t xml:space="preserve">。</w:t>
            </w:r>
            <w:r>
              <w:rPr>
                <w:szCs w:val="21"/>
              </w:rPr>
            </w:r>
            <w:r/>
          </w:p>
        </w:tc>
      </w:tr>
      <w:tr>
        <w:trPr>
          <w:trHeight w:val="1217"/>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24.3</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联系方式</w:t>
            </w:r>
            <w:r>
              <w:rPr>
                <w:szCs w:val="21"/>
              </w:rPr>
            </w:r>
            <w:r/>
          </w:p>
        </w:tc>
        <w:tc>
          <w:tcPr>
            <w:tcW w:w="7253" w:type="dxa"/>
            <w:vAlign w:val="center"/>
            <w:textDirection w:val="lrTb"/>
            <w:noWrap w:val="false"/>
          </w:tcPr>
          <w:p>
            <w:pPr>
              <w:pStyle w:val="925"/>
              <w:jc w:val="left"/>
              <w:rPr>
                <w:szCs w:val="21"/>
              </w:rPr>
            </w:pPr>
            <w:r>
              <w:rPr>
                <w:rFonts w:hint="eastAsia"/>
                <w:szCs w:val="21"/>
                <w:lang w:eastAsia="zh-CN"/>
              </w:rPr>
              <w:t xml:space="preserve">接受</w:t>
            </w:r>
            <w:r>
              <w:rPr>
                <w:szCs w:val="21"/>
              </w:rPr>
              <w:t xml:space="preserve">询问和质疑的联系方式</w:t>
            </w:r>
            <w:r>
              <w:rPr>
                <w:szCs w:val="21"/>
              </w:rPr>
            </w:r>
            <w:r/>
          </w:p>
          <w:p>
            <w:pPr>
              <w:pStyle w:val="925"/>
              <w:jc w:val="left"/>
              <w:rPr>
                <w:szCs w:val="21"/>
              </w:rPr>
            </w:pPr>
            <w:r>
              <w:rPr>
                <w:szCs w:val="21"/>
              </w:rPr>
              <w:t xml:space="preserve">联系部门：</w:t>
            </w:r>
            <w:r>
              <w:rPr>
                <w:rFonts w:hint="eastAsia"/>
                <w:szCs w:val="21"/>
              </w:rPr>
              <w:t xml:space="preserve">常州市长润工程咨询有限公司</w:t>
            </w:r>
            <w:r>
              <w:rPr>
                <w:szCs w:val="21"/>
              </w:rPr>
              <w:t xml:space="preserve">；</w:t>
            </w:r>
            <w:r>
              <w:rPr>
                <w:szCs w:val="21"/>
              </w:rPr>
            </w:r>
            <w:r/>
          </w:p>
          <w:p>
            <w:pPr>
              <w:pStyle w:val="925"/>
              <w:jc w:val="left"/>
              <w:rPr>
                <w:szCs w:val="21"/>
              </w:rPr>
            </w:pPr>
            <w:r>
              <w:rPr>
                <w:szCs w:val="21"/>
              </w:rPr>
              <w:t xml:space="preserve">联系电话：</w:t>
            </w:r>
            <w:r>
              <w:rPr>
                <w:rFonts w:hint="eastAsia"/>
                <w:szCs w:val="21"/>
              </w:rPr>
              <w:t xml:space="preserve">0519-89580292</w:t>
            </w:r>
            <w:r>
              <w:rPr>
                <w:szCs w:val="21"/>
              </w:rPr>
              <w:t xml:space="preserve">；</w:t>
            </w:r>
            <w:r>
              <w:rPr>
                <w:szCs w:val="21"/>
              </w:rPr>
            </w:r>
            <w:r/>
          </w:p>
          <w:p>
            <w:pPr>
              <w:pStyle w:val="925"/>
              <w:jc w:val="left"/>
              <w:rPr>
                <w:szCs w:val="21"/>
              </w:rPr>
            </w:pPr>
            <w:r>
              <w:rPr>
                <w:szCs w:val="21"/>
              </w:rPr>
              <w:t xml:space="preserve">通讯地址：</w:t>
            </w:r>
            <w:r>
              <w:rPr>
                <w:rFonts w:hint="eastAsia"/>
                <w:szCs w:val="21"/>
              </w:rPr>
              <w:t xml:space="preserve">常州市新北区太湖中路19号401室</w:t>
            </w:r>
            <w:r>
              <w:rPr>
                <w:szCs w:val="21"/>
              </w:rPr>
              <w:t xml:space="preserve">。</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lang w:val="en-US" w:eastAsia="zh-CN"/>
              </w:rPr>
            </w:pPr>
            <w:r>
              <w:rPr>
                <w:rFonts w:ascii="Times New Roman" w:hAnsi="Times New Roman"/>
                <w:szCs w:val="21"/>
                <w:lang w:val="en-US" w:eastAsia="zh-CN"/>
              </w:rPr>
              <w:t xml:space="preserve">25</w:t>
            </w:r>
            <w:r>
              <w:rPr>
                <w:rFonts w:ascii="Times New Roman" w:hAnsi="Times New Roman"/>
                <w:szCs w:val="21"/>
                <w:lang w:val="en-US" w:eastAsia="zh-CN"/>
              </w:rPr>
            </w:r>
            <w:r/>
          </w:p>
        </w:tc>
        <w:tc>
          <w:tcPr>
            <w:tcW w:w="1701" w:type="dxa"/>
            <w:vAlign w:val="center"/>
            <w:textDirection w:val="lrTb"/>
            <w:noWrap w:val="false"/>
          </w:tcPr>
          <w:p>
            <w:pPr>
              <w:pStyle w:val="925"/>
              <w:jc w:val="center"/>
              <w:rPr>
                <w:szCs w:val="21"/>
              </w:rPr>
            </w:pPr>
            <w:r>
              <w:rPr>
                <w:szCs w:val="21"/>
              </w:rPr>
              <w:t xml:space="preserve">代理费</w:t>
            </w:r>
            <w:r>
              <w:rPr>
                <w:szCs w:val="21"/>
              </w:rPr>
            </w:r>
            <w:r/>
          </w:p>
        </w:tc>
        <w:tc>
          <w:tcPr>
            <w:tcW w:w="7253" w:type="dxa"/>
            <w:vAlign w:val="center"/>
            <w:textDirection w:val="lrTb"/>
            <w:noWrap w:val="false"/>
          </w:tcPr>
          <w:p>
            <w:pPr>
              <w:pStyle w:val="925"/>
              <w:jc w:val="left"/>
              <w:rPr>
                <w:szCs w:val="21"/>
              </w:rPr>
            </w:pPr>
            <w:r>
              <w:rPr>
                <w:szCs w:val="21"/>
              </w:rPr>
              <w:t xml:space="preserve">收费对象：</w:t>
            </w:r>
            <w:r>
              <w:rPr>
                <w:szCs w:val="21"/>
              </w:rPr>
            </w:r>
            <w:r/>
          </w:p>
          <w:p>
            <w:pPr>
              <w:pStyle w:val="925"/>
              <w:jc w:val="left"/>
              <w:rPr>
                <w:szCs w:val="21"/>
              </w:rPr>
            </w:pPr>
            <w:r>
              <w:rPr>
                <w:rFonts w:hint="eastAsia"/>
                <w:szCs w:val="21"/>
              </w:rPr>
              <w:t xml:space="preserve">□</w:t>
            </w:r>
            <w:r>
              <w:rPr>
                <w:szCs w:val="21"/>
              </w:rPr>
              <w:t xml:space="preserve">采购人</w:t>
            </w:r>
            <w:r>
              <w:rPr>
                <w:szCs w:val="21"/>
              </w:rPr>
            </w:r>
            <w:r/>
          </w:p>
          <w:p>
            <w:pPr>
              <w:pStyle w:val="925"/>
              <w:jc w:val="left"/>
              <w:rPr>
                <w:szCs w:val="21"/>
              </w:rPr>
            </w:pPr>
            <w:r>
              <w:rPr>
                <w:rFonts w:hint="eastAsia"/>
                <w:szCs w:val="21"/>
              </w:rPr>
              <w:t xml:space="preserve">■</w:t>
            </w:r>
            <w:r>
              <w:rPr>
                <w:szCs w:val="21"/>
              </w:rPr>
              <w:t xml:space="preserve">成交供应商</w:t>
            </w:r>
            <w:r>
              <w:rPr>
                <w:szCs w:val="21"/>
              </w:rPr>
            </w:r>
            <w:r/>
          </w:p>
          <w:p>
            <w:pPr>
              <w:pStyle w:val="925"/>
              <w:jc w:val="left"/>
              <w:rPr>
                <w:szCs w:val="21"/>
              </w:rPr>
            </w:pPr>
            <w:r>
              <w:rPr>
                <w:szCs w:val="21"/>
              </w:rPr>
              <w:t xml:space="preserve">代理费收费标准：</w:t>
            </w:r>
            <w:r>
              <w:rPr>
                <w:rFonts w:hint="eastAsia"/>
                <w:szCs w:val="21"/>
              </w:rPr>
              <w:t xml:space="preserve">根据“苏招协[2022]002号”收费标准：计算基数为中标金额，50万元以下（含50万元）：1万元；50万元-400万元（含400万元）：1.5%。按差额定率累进法计算金额×63%计取（不足5000元的按5000元计）。中标人在收到中标通知书后向招标代理机构一次性支付。</w:t>
            </w:r>
            <w:r>
              <w:rPr>
                <w:szCs w:val="21"/>
              </w:rPr>
            </w:r>
            <w:r/>
          </w:p>
          <w:p>
            <w:pPr>
              <w:pStyle w:val="925"/>
              <w:jc w:val="left"/>
              <w:rPr>
                <w:rFonts w:hint="eastAsia"/>
                <w:szCs w:val="21"/>
              </w:rPr>
            </w:pPr>
            <w:r>
              <w:rPr>
                <w:rFonts w:hint="eastAsia"/>
                <w:szCs w:val="21"/>
              </w:rPr>
            </w:r>
            <w:r/>
          </w:p>
          <w:p>
            <w:pPr>
              <w:pStyle w:val="925"/>
              <w:jc w:val="left"/>
              <w:rPr>
                <w:rFonts w:hint="eastAsia"/>
                <w:szCs w:val="21"/>
              </w:rPr>
            </w:pPr>
            <w:r>
              <w:rPr>
                <w:rFonts w:hint="eastAsia"/>
                <w:szCs w:val="21"/>
              </w:rPr>
              <w:t xml:space="preserve">造价咨询费根据“苏建价协〔2022〕7号”江苏省工程造价管理协会关于印发《江苏省工程造价咨询服务收费指导意见》的通知收费标准：计费基数为最高投标限价，0-500万元（含500万元）：0.45%；按差额定率累进法计算的金额×63%计取（不足5000元的按5000元计）</w:t>
            </w:r>
            <w:r>
              <w:rPr>
                <w:rFonts w:hint="eastAsia"/>
                <w:szCs w:val="21"/>
              </w:rPr>
            </w:r>
            <w:r/>
          </w:p>
          <w:p>
            <w:pPr>
              <w:pStyle w:val="925"/>
              <w:jc w:val="left"/>
              <w:rPr>
                <w:rFonts w:hint="eastAsia"/>
                <w:szCs w:val="21"/>
              </w:rPr>
            </w:pPr>
            <w:r>
              <w:rPr>
                <w:rFonts w:hint="eastAsia"/>
                <w:szCs w:val="21"/>
              </w:rPr>
            </w:r>
            <w:r/>
          </w:p>
          <w:p>
            <w:pPr>
              <w:pStyle w:val="925"/>
              <w:jc w:val="left"/>
              <w:rPr>
                <w:rFonts w:hint="eastAsia"/>
                <w:szCs w:val="21"/>
              </w:rPr>
            </w:pPr>
            <w:r>
              <w:rPr>
                <w:rFonts w:hint="eastAsia"/>
                <w:szCs w:val="21"/>
                <w:lang w:eastAsia="zh-CN"/>
              </w:rPr>
              <w:t xml:space="preserve">账户</w:t>
            </w:r>
            <w:r>
              <w:rPr>
                <w:rFonts w:hint="eastAsia"/>
                <w:szCs w:val="21"/>
              </w:rPr>
              <w:t xml:space="preserve">：</w:t>
            </w:r>
            <w:r>
              <w:rPr>
                <w:rFonts w:hint="eastAsia"/>
                <w:szCs w:val="21"/>
              </w:rPr>
            </w:r>
            <w:r/>
          </w:p>
          <w:p>
            <w:pPr>
              <w:pStyle w:val="925"/>
              <w:jc w:val="left"/>
              <w:rPr>
                <w:rFonts w:hint="eastAsia"/>
                <w:szCs w:val="21"/>
              </w:rPr>
            </w:pPr>
            <w:r>
              <w:rPr>
                <w:rFonts w:hint="eastAsia"/>
                <w:szCs w:val="21"/>
              </w:rPr>
              <w:t xml:space="preserve">收款单位：常州市长润工程咨询有限公司</w:t>
            </w:r>
            <w:r>
              <w:rPr>
                <w:rFonts w:hint="eastAsia"/>
                <w:szCs w:val="21"/>
              </w:rPr>
            </w:r>
            <w:r/>
          </w:p>
          <w:p>
            <w:pPr>
              <w:pStyle w:val="925"/>
              <w:jc w:val="left"/>
              <w:rPr>
                <w:rFonts w:hint="eastAsia"/>
                <w:szCs w:val="21"/>
              </w:rPr>
            </w:pPr>
            <w:r>
              <w:rPr>
                <w:rFonts w:hint="eastAsia"/>
                <w:szCs w:val="21"/>
              </w:rPr>
              <w:t xml:space="preserve">开户银行：兴业银行常州分行营业部</w:t>
            </w:r>
            <w:r>
              <w:rPr>
                <w:rFonts w:hint="eastAsia"/>
                <w:szCs w:val="21"/>
              </w:rPr>
            </w:r>
            <w:r/>
          </w:p>
          <w:p>
            <w:pPr>
              <w:pStyle w:val="925"/>
              <w:jc w:val="left"/>
              <w:rPr>
                <w:szCs w:val="21"/>
              </w:rPr>
            </w:pPr>
            <w:r>
              <w:rPr>
                <w:rFonts w:hint="eastAsia"/>
                <w:szCs w:val="21"/>
              </w:rPr>
              <w:t xml:space="preserve">银行账号：406010100100794745</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lang w:val="en-US" w:eastAsia="zh-CN"/>
              </w:rPr>
            </w:pPr>
            <w:r>
              <w:rPr>
                <w:rFonts w:hint="eastAsia" w:ascii="Times New Roman" w:hAnsi="Times New Roman"/>
                <w:b/>
                <w:bCs/>
                <w:szCs w:val="21"/>
                <w:lang w:val="en-US" w:eastAsia="zh-CN"/>
              </w:rPr>
              <w:t xml:space="preserve">26</w:t>
            </w:r>
            <w:r>
              <w:rPr>
                <w:rFonts w:ascii="Times New Roman" w:hAnsi="Times New Roman"/>
                <w:szCs w:val="21"/>
                <w:lang w:val="en-US" w:eastAsia="zh-CN"/>
              </w:rPr>
            </w:r>
            <w:r/>
          </w:p>
        </w:tc>
        <w:tc>
          <w:tcPr>
            <w:gridSpan w:val="2"/>
            <w:tcW w:w="8954" w:type="dxa"/>
            <w:vAlign w:val="center"/>
            <w:textDirection w:val="lrTb"/>
            <w:noWrap w:val="false"/>
          </w:tcPr>
          <w:p>
            <w:pPr>
              <w:pStyle w:val="925"/>
              <w:jc w:val="left"/>
              <w:rPr>
                <w:rFonts w:hint="eastAsia"/>
                <w:szCs w:val="21"/>
              </w:rPr>
            </w:pPr>
            <w:r>
              <w:rPr>
                <w:rFonts w:hint="eastAsia"/>
                <w:b/>
                <w:bCs/>
                <w:szCs w:val="21"/>
                <w:lang w:val="en-US" w:eastAsia="zh-CN"/>
              </w:rPr>
              <w:t xml:space="preserve">本项目不适用本国产品政策功能。</w:t>
            </w:r>
            <w:r>
              <w:rPr>
                <w:rFonts w:hint="eastAsia"/>
                <w:szCs w:val="21"/>
              </w:rPr>
            </w:r>
            <w:r/>
          </w:p>
        </w:tc>
      </w:tr>
    </w:tbl>
    <w:p>
      <w:pPr>
        <w:pStyle w:val="925"/>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5"/>
        <w:jc w:val="center"/>
        <w:spacing w:before="240" w:after="240"/>
        <w:rPr>
          <w:b/>
          <w:sz w:val="28"/>
          <w:szCs w:val="28"/>
        </w:rPr>
      </w:pPr>
      <w:r>
        <w:rPr>
          <w:b/>
          <w:sz w:val="28"/>
          <w:szCs w:val="28"/>
        </w:rPr>
        <w:t xml:space="preserve">供应商须知</w:t>
      </w:r>
      <w:r>
        <w:rPr>
          <w:b/>
          <w:sz w:val="28"/>
          <w:szCs w:val="28"/>
        </w:rPr>
      </w:r>
      <w:r/>
    </w:p>
    <w:p>
      <w:pPr>
        <w:pStyle w:val="927"/>
        <w:jc w:val="left"/>
        <w:spacing w:before="0" w:line="360" w:lineRule="auto"/>
        <w:tabs>
          <w:tab w:val="center" w:pos="4592" w:leader="none"/>
          <w:tab w:val="left" w:pos="7860" w:leader="none"/>
        </w:tabs>
        <w:rPr>
          <w:rFonts w:ascii="Times New Roman" w:hAnsi="Times New Roman" w:eastAsia="宋体"/>
          <w:sz w:val="21"/>
          <w:szCs w:val="21"/>
        </w:rPr>
      </w:pPr>
      <w:r/>
      <w:bookmarkStart w:id="56" w:name="_Toc520356143"/>
      <w:r/>
      <w:bookmarkStart w:id="57" w:name="_Toc127151518"/>
      <w:r>
        <w:rPr>
          <w:rFonts w:ascii="Times New Roman" w:hAnsi="Times New Roman" w:eastAsia="宋体"/>
          <w:sz w:val="21"/>
          <w:szCs w:val="21"/>
        </w:rPr>
        <w:tab/>
      </w:r>
      <w:bookmarkStart w:id="58" w:name="_Toc151190145"/>
      <w:r/>
      <w:bookmarkStart w:id="59" w:name="_Toc195842883"/>
      <w:r/>
      <w:bookmarkStart w:id="60" w:name="_Toc142311020"/>
      <w:r/>
      <w:bookmarkStart w:id="61" w:name="_Toc151193906"/>
      <w:r/>
      <w:bookmarkStart w:id="62" w:name="_Toc150774723"/>
      <w:r/>
      <w:bookmarkStart w:id="63" w:name="_Toc305158860"/>
      <w:r/>
      <w:bookmarkStart w:id="64" w:name="_Toc151193832"/>
      <w:r/>
      <w:bookmarkStart w:id="65" w:name="_Toc226337214"/>
      <w:r/>
      <w:bookmarkStart w:id="66" w:name="_Toc265228356"/>
      <w:r/>
      <w:bookmarkStart w:id="67" w:name="_Toc305158786"/>
      <w:r/>
      <w:bookmarkStart w:id="68" w:name="_Toc226965791"/>
      <w:r/>
      <w:bookmarkStart w:id="69" w:name="_Toc150509269"/>
      <w:r/>
      <w:bookmarkStart w:id="70" w:name="_Toc264969208"/>
      <w:r/>
      <w:bookmarkStart w:id="71" w:name="_Toc150774618"/>
      <w:r/>
      <w:bookmarkStart w:id="72" w:name="_Toc150480756"/>
      <w:r/>
      <w:bookmarkStart w:id="73" w:name="_Toc226965708"/>
      <w:r/>
      <w:bookmarkStart w:id="74" w:name="_Toc226309762"/>
      <w:r/>
      <w:bookmarkStart w:id="75" w:name="_Toc151193688"/>
      <w:r/>
      <w:bookmarkStart w:id="76" w:name="_Toc151193760"/>
      <w:r/>
      <w:bookmarkStart w:id="77" w:name="_Toc151193616"/>
      <w:r>
        <w:rPr>
          <w:rFonts w:ascii="Times New Roman" w:hAnsi="Times New Roman" w:eastAsia="宋体"/>
          <w:sz w:val="21"/>
          <w:szCs w:val="21"/>
        </w:rPr>
        <w:t xml:space="preserve">一   说  明</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ascii="Times New Roman" w:hAnsi="Times New Roman" w:eastAsia="宋体"/>
          <w:sz w:val="21"/>
          <w:szCs w:val="21"/>
        </w:rPr>
        <w:tab/>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s>
        <w:rPr>
          <w:szCs w:val="21"/>
        </w:rPr>
        <w:outlineLvl w:val="1"/>
      </w:pPr>
      <w:r/>
      <w:bookmarkStart w:id="78" w:name="_Toc305158787"/>
      <w:r/>
      <w:bookmarkStart w:id="79" w:name="_Toc264969209"/>
      <w:r/>
      <w:bookmarkStart w:id="80" w:name="_Toc305158861"/>
      <w:r/>
      <w:bookmarkStart w:id="81" w:name="_Toc265228357"/>
      <w:r>
        <w:rPr>
          <w:szCs w:val="21"/>
        </w:rPr>
        <w:t xml:space="preserve">采购人、采购代理机构、供应商</w:t>
      </w:r>
      <w:bookmarkEnd w:id="78"/>
      <w:r/>
      <w:bookmarkEnd w:id="79"/>
      <w:r/>
      <w:bookmarkEnd w:id="80"/>
      <w:r/>
      <w:bookmarkEnd w:id="81"/>
      <w:r>
        <w:rPr>
          <w:szCs w:val="21"/>
        </w:rPr>
        <w:t xml:space="preserve">、联合体</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5"/>
        <w:numPr>
          <w:ilvl w:val="0"/>
          <w:numId w:val="1"/>
        </w:numPr>
        <w:ind w:left="357" w:hanging="357"/>
        <w:spacing w:line="360" w:lineRule="auto"/>
        <w:tabs>
          <w:tab w:val="left" w:pos="360" w:leader="none"/>
        </w:tabs>
        <w:rPr>
          <w:szCs w:val="21"/>
        </w:rPr>
        <w:outlineLvl w:val="1"/>
      </w:pPr>
      <w:r/>
      <w:bookmarkStart w:id="82" w:name="_Toc142311022"/>
      <w:r/>
      <w:bookmarkStart w:id="83" w:name="_Toc127151721"/>
      <w:r/>
      <w:bookmarkStart w:id="84" w:name="_Toc195842885"/>
      <w:r/>
      <w:bookmarkStart w:id="85" w:name="_Toc164351614"/>
      <w:r/>
      <w:bookmarkStart w:id="86" w:name="_Toc151193690"/>
      <w:r/>
      <w:bookmarkStart w:id="87" w:name="_Toc150480758"/>
      <w:r/>
      <w:bookmarkStart w:id="88" w:name="_Toc265228358"/>
      <w:r/>
      <w:bookmarkStart w:id="89" w:name="_Toc305158788"/>
      <w:r/>
      <w:bookmarkStart w:id="90" w:name="_Toc305158862"/>
      <w:r/>
      <w:bookmarkStart w:id="91" w:name="_Toc164229215"/>
      <w:r/>
      <w:bookmarkStart w:id="92" w:name="_Toc151193908"/>
      <w:r/>
      <w:bookmarkStart w:id="93" w:name="_Toc226965793"/>
      <w:r/>
      <w:bookmarkStart w:id="94" w:name="_Toc164608789"/>
      <w:r/>
      <w:bookmarkStart w:id="95" w:name="_Toc164229361"/>
      <w:r/>
      <w:bookmarkStart w:id="96" w:name="_Toc151190147"/>
      <w:r/>
      <w:bookmarkStart w:id="97" w:name="_Toc150774620"/>
      <w:r/>
      <w:bookmarkStart w:id="98" w:name="_Toc226337216"/>
      <w:r/>
      <w:bookmarkStart w:id="99" w:name="_Toc151193762"/>
      <w:r/>
      <w:bookmarkStart w:id="100" w:name="_Toc164608634"/>
      <w:r/>
      <w:bookmarkStart w:id="101" w:name="_Toc151193618"/>
      <w:r/>
      <w:bookmarkStart w:id="102" w:name="_Toc151193834"/>
      <w:r/>
      <w:bookmarkStart w:id="103" w:name="_Toc127161434"/>
      <w:r/>
      <w:bookmarkStart w:id="104" w:name="_Toc127151520"/>
      <w:r/>
      <w:bookmarkStart w:id="105" w:name="_Toc149720813"/>
      <w:r/>
      <w:bookmarkStart w:id="106" w:name="_Toc226309764"/>
      <w:r/>
      <w:bookmarkStart w:id="107" w:name="_Toc150509271"/>
      <w:r/>
      <w:bookmarkStart w:id="108" w:name="_Toc226965710"/>
      <w:r/>
      <w:bookmarkStart w:id="109" w:name="_Toc150774725"/>
      <w:r/>
      <w:bookmarkStart w:id="110" w:name="_Toc264969210"/>
      <w:r>
        <w:rPr>
          <w:szCs w:val="21"/>
        </w:rPr>
        <w:t xml:space="preserve">资金来源</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szCs w:val="21"/>
        </w:rPr>
        <w:t xml:space="preserve">、项目属性、科研仪器设备采购</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1" w:name="_Toc151193692"/>
      <w:r/>
      <w:bookmarkStart w:id="112" w:name="_Toc150509273"/>
      <w:r/>
      <w:bookmarkStart w:id="113" w:name="_Toc150480760"/>
      <w:r/>
      <w:bookmarkStart w:id="114" w:name="_Toc151193764"/>
      <w:r/>
      <w:bookmarkStart w:id="115" w:name="_Toc305158790"/>
      <w:r/>
      <w:bookmarkStart w:id="116" w:name="_Toc226965712"/>
      <w:r/>
      <w:bookmarkStart w:id="117" w:name="_Toc520356146"/>
      <w:r/>
      <w:bookmarkStart w:id="118" w:name="_Toc226309766"/>
      <w:r/>
      <w:bookmarkStart w:id="119" w:name="_Toc151193620"/>
      <w:r/>
      <w:bookmarkStart w:id="120" w:name="_Toc195842887"/>
      <w:r/>
      <w:bookmarkStart w:id="121" w:name="_Toc150774727"/>
      <w:r/>
      <w:bookmarkStart w:id="122" w:name="_Toc265228360"/>
      <w:r/>
      <w:bookmarkStart w:id="123" w:name="_Toc151190149"/>
      <w:r/>
      <w:bookmarkStart w:id="124" w:name="_Toc226965795"/>
      <w:r/>
      <w:bookmarkStart w:id="125" w:name="_Toc142311024"/>
      <w:r/>
      <w:bookmarkStart w:id="126" w:name="_Toc150774622"/>
      <w:r/>
      <w:bookmarkStart w:id="127" w:name="_Toc305158864"/>
      <w:r/>
      <w:bookmarkStart w:id="128" w:name="_Toc151193910"/>
      <w:r/>
      <w:bookmarkStart w:id="129" w:name="_Toc127151522"/>
      <w:r/>
      <w:bookmarkStart w:id="130" w:name="_Toc264969212"/>
      <w:r/>
      <w:bookmarkStart w:id="131" w:name="_Toc226337218"/>
      <w:r/>
      <w:bookmarkStart w:id="132" w:name="_Toc151193836"/>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5"/>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5"/>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5"/>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5"/>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5"/>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5"/>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5"/>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5"/>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5"/>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5"/>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5"/>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5"/>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5"/>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5"/>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5"/>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5"/>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5"/>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5"/>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5"/>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政府采购中实施本国产品标准及相关政策</w:t>
      </w:r>
      <w:r>
        <w:rPr>
          <w:rFonts w:hint="eastAsia" w:ascii="Times New Roman" w:hAnsi="Times New Roman" w:eastAsia="宋体" w:cs="Times New Roman"/>
          <w:szCs w:val="21"/>
        </w:rPr>
      </w:r>
      <w:r/>
    </w:p>
    <w:p>
      <w:pPr>
        <w:pStyle w:val="925"/>
        <w:numPr>
          <w:ilvl w:val="2"/>
          <w:numId w:val="1"/>
        </w:numPr>
        <w:spacing w:line="360" w:lineRule="auto"/>
        <w:tabs>
          <w:tab w:val="left" w:pos="1980"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Times New Roman" w:hAnsi="Times New Roman" w:eastAsia="宋体" w:cs="Times New Roman"/>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5"/>
        <w:ind w:left="1080"/>
        <w:spacing w:line="360" w:lineRule="auto"/>
        <w:tabs>
          <w:tab w:val="left" w:pos="1080" w:leader="none"/>
        </w:tabs>
        <w:rPr>
          <w:szCs w:val="21"/>
        </w:rPr>
      </w:pPr>
      <w:r/>
      <w:bookmarkStart w:id="133" w:name="_1.8_计量单位"/>
      <w:r/>
      <w:bookmarkEnd w:id="133"/>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34" w:name="_Toc151193765"/>
      <w:r/>
      <w:bookmarkStart w:id="135" w:name="_Toc265228361"/>
      <w:r/>
      <w:bookmarkStart w:id="136" w:name="_Toc195842888"/>
      <w:r/>
      <w:bookmarkStart w:id="137" w:name="_Toc520356147"/>
      <w:r/>
      <w:bookmarkStart w:id="138" w:name="_Toc151193693"/>
      <w:r/>
      <w:bookmarkStart w:id="139" w:name="_Toc164351617"/>
      <w:r/>
      <w:bookmarkStart w:id="140" w:name="_Toc150774728"/>
      <w:r/>
      <w:bookmarkStart w:id="141" w:name="_Toc150509274"/>
      <w:r/>
      <w:bookmarkStart w:id="142" w:name="_Toc264969213"/>
      <w:r/>
      <w:bookmarkStart w:id="143" w:name="_Toc127161437"/>
      <w:r/>
      <w:bookmarkStart w:id="144" w:name="_Toc150480761"/>
      <w:r/>
      <w:bookmarkStart w:id="145" w:name="_Toc127151523"/>
      <w:r/>
      <w:bookmarkStart w:id="146" w:name="_Toc164608637"/>
      <w:r/>
      <w:bookmarkStart w:id="147" w:name="_Toc151193837"/>
      <w:r/>
      <w:bookmarkStart w:id="148" w:name="_Toc150774623"/>
      <w:r/>
      <w:bookmarkStart w:id="149" w:name="_Toc127151724"/>
      <w:r/>
      <w:bookmarkStart w:id="150" w:name="_Toc226965713"/>
      <w:r/>
      <w:bookmarkStart w:id="151" w:name="_Toc142311025"/>
      <w:r/>
      <w:bookmarkStart w:id="152" w:name="_Toc164229364"/>
      <w:r/>
      <w:bookmarkStart w:id="153" w:name="_Toc164229218"/>
      <w:r/>
      <w:bookmarkStart w:id="154" w:name="_Toc151190150"/>
      <w:r/>
      <w:bookmarkStart w:id="155" w:name="_Toc151193621"/>
      <w:r/>
      <w:bookmarkStart w:id="156" w:name="_Toc164608792"/>
      <w:r/>
      <w:bookmarkStart w:id="157" w:name="_Toc226965796"/>
      <w:r/>
      <w:bookmarkStart w:id="158" w:name="_Toc305158791"/>
      <w:r/>
      <w:bookmarkStart w:id="159" w:name="_Toc226309767"/>
      <w:r/>
      <w:bookmarkStart w:id="160" w:name="_Toc226337219"/>
      <w:r/>
      <w:bookmarkStart w:id="161" w:name="_Toc149720816"/>
      <w:r/>
      <w:bookmarkStart w:id="162" w:name="_Toc151193911"/>
      <w:r/>
      <w:bookmarkStart w:id="163" w:name="_Toc305158865"/>
      <w:r>
        <w:rPr>
          <w:szCs w:val="21"/>
        </w:rPr>
        <w:t xml:space="preserve">竞争性磋商文件构</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szCs w:val="21"/>
        </w:rPr>
        <w:t xml:space="preserve">成</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5"/>
        <w:ind w:left="1080"/>
        <w:spacing w:line="360" w:lineRule="auto"/>
        <w:tabs>
          <w:tab w:val="left" w:pos="1080" w:leader="none"/>
          <w:tab w:val="left" w:pos="1561" w:leader="none"/>
        </w:tabs>
        <w:rPr>
          <w:szCs w:val="21"/>
        </w:rPr>
      </w:pPr>
      <w:r/>
      <w:bookmarkStart w:id="164" w:name="_Toc151193914"/>
      <w:r/>
      <w:bookmarkStart w:id="165" w:name="_Toc305158868"/>
      <w:r/>
      <w:bookmarkStart w:id="166" w:name="_Toc151190153"/>
      <w:r/>
      <w:bookmarkStart w:id="167" w:name="_Toc151193768"/>
      <w:r/>
      <w:bookmarkStart w:id="168" w:name="_Toc195842891"/>
      <w:r/>
      <w:bookmarkStart w:id="169" w:name="_Toc127151526"/>
      <w:r/>
      <w:bookmarkStart w:id="170" w:name="_Toc142311028"/>
      <w:r/>
      <w:bookmarkStart w:id="171" w:name="_Toc150774626"/>
      <w:r/>
      <w:bookmarkStart w:id="172" w:name="_Toc264969216"/>
      <w:r/>
      <w:bookmarkStart w:id="173" w:name="_Toc150774731"/>
      <w:r/>
      <w:bookmarkStart w:id="174" w:name="_Toc305158794"/>
      <w:r/>
      <w:bookmarkStart w:id="175" w:name="_Toc226965799"/>
      <w:r/>
      <w:bookmarkStart w:id="176" w:name="_Toc226337222"/>
      <w:r/>
      <w:bookmarkStart w:id="177" w:name="_Toc226309770"/>
      <w:r/>
      <w:bookmarkStart w:id="178" w:name="_Toc151193624"/>
      <w:r/>
      <w:bookmarkStart w:id="179" w:name="_Toc520356150"/>
      <w:r/>
      <w:bookmarkStart w:id="180" w:name="_Toc150509277"/>
      <w:r/>
      <w:bookmarkStart w:id="181" w:name="_Toc265228364"/>
      <w:r/>
      <w:bookmarkStart w:id="182" w:name="_Toc226965716"/>
      <w:r/>
      <w:bookmarkStart w:id="183" w:name="_Toc151193840"/>
      <w:r/>
      <w:bookmarkStart w:id="184" w:name="_Toc150480764"/>
      <w:r/>
      <w:bookmarkStart w:id="185" w:name="_Toc151193696"/>
      <w:r/>
      <w:bookmarkStart w:id="186" w:name="_Toc516367020"/>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6"/>
      <w:r>
        <w:rPr>
          <w:rFonts w:ascii="Times New Roman" w:hAnsi="Times New Roman" w:eastAsia="宋体"/>
          <w:sz w:val="21"/>
          <w:szCs w:val="21"/>
        </w:rPr>
        <w:t xml:space="preserve">的编制</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87" w:name="_Toc164229368"/>
      <w:r/>
      <w:bookmarkStart w:id="188" w:name="_Toc151190154"/>
      <w:r/>
      <w:bookmarkStart w:id="189" w:name="_Toc305158869"/>
      <w:r/>
      <w:bookmarkStart w:id="190" w:name="_Toc264969217"/>
      <w:r/>
      <w:bookmarkStart w:id="191" w:name="_Toc226309771"/>
      <w:r/>
      <w:bookmarkStart w:id="192" w:name="_Toc305158795"/>
      <w:r/>
      <w:bookmarkStart w:id="193" w:name="_Toc150774732"/>
      <w:r/>
      <w:bookmarkStart w:id="194" w:name="_Toc127161441"/>
      <w:r/>
      <w:bookmarkStart w:id="195" w:name="_Toc149720820"/>
      <w:r/>
      <w:bookmarkStart w:id="196" w:name="_Toc164229222"/>
      <w:r/>
      <w:bookmarkStart w:id="197" w:name="_Toc151193625"/>
      <w:r/>
      <w:bookmarkStart w:id="198" w:name="_Toc164608796"/>
      <w:r/>
      <w:bookmarkStart w:id="199" w:name="_Toc226337223"/>
      <w:r/>
      <w:bookmarkStart w:id="200" w:name="_Toc226965800"/>
      <w:r/>
      <w:bookmarkStart w:id="201" w:name="_Toc127151728"/>
      <w:r/>
      <w:bookmarkStart w:id="202" w:name="_Toc150774627"/>
      <w:r/>
      <w:bookmarkStart w:id="203" w:name="_Toc520356151"/>
      <w:r/>
      <w:bookmarkStart w:id="204" w:name="_Toc516367021"/>
      <w:r/>
      <w:bookmarkStart w:id="205" w:name="_Toc151193915"/>
      <w:r/>
      <w:bookmarkStart w:id="206" w:name="_Toc164608641"/>
      <w:r/>
      <w:bookmarkStart w:id="207" w:name="_Toc226965717"/>
      <w:r/>
      <w:bookmarkStart w:id="208" w:name="_Toc265228365"/>
      <w:r/>
      <w:bookmarkStart w:id="209" w:name="_Toc195842892"/>
      <w:r/>
      <w:bookmarkStart w:id="210" w:name="_Toc150509278"/>
      <w:r/>
      <w:bookmarkStart w:id="211" w:name="_Toc127151527"/>
      <w:r/>
      <w:bookmarkStart w:id="212" w:name="_Toc151193697"/>
      <w:r/>
      <w:bookmarkStart w:id="213" w:name="_Toc150480765"/>
      <w:r/>
      <w:bookmarkStart w:id="214" w:name="_Toc151193769"/>
      <w:r/>
      <w:bookmarkStart w:id="215" w:name="_Toc151193841"/>
      <w:r/>
      <w:bookmarkStart w:id="216" w:name="_Toc142311029"/>
      <w:r/>
      <w:bookmarkStart w:id="217" w:name="_Toc164351621"/>
      <w:r>
        <w:rPr>
          <w:szCs w:val="21"/>
        </w:rPr>
        <w:t xml:space="preserve">响应范围、竞争性磋商文件中计量单位的使用</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Pr>
          <w:szCs w:val="21"/>
        </w:rPr>
        <w:t xml:space="preserve">及磋商语言</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18" w:name="_Toc226965718"/>
      <w:r/>
      <w:bookmarkStart w:id="219" w:name="_Toc226965801"/>
      <w:r/>
      <w:bookmarkStart w:id="220" w:name="_Toc195842893"/>
      <w:r/>
      <w:bookmarkStart w:id="221" w:name="_Toc164351622"/>
      <w:r/>
      <w:bookmarkStart w:id="222" w:name="_Toc127151528"/>
      <w:r/>
      <w:bookmarkStart w:id="223" w:name="_Toc142311030"/>
      <w:r/>
      <w:bookmarkStart w:id="224" w:name="_Toc164229223"/>
      <w:r/>
      <w:bookmarkStart w:id="225" w:name="_Ref467306676"/>
      <w:r/>
      <w:bookmarkStart w:id="226" w:name="_Ref467306195"/>
      <w:r/>
      <w:bookmarkStart w:id="227" w:name="_Toc516367022"/>
      <w:r/>
      <w:bookmarkStart w:id="228" w:name="_Toc150509279"/>
      <w:r/>
      <w:bookmarkStart w:id="229" w:name="_Toc264969218"/>
      <w:r/>
      <w:bookmarkStart w:id="230" w:name="_Toc127151729"/>
      <w:r/>
      <w:bookmarkStart w:id="231" w:name="_Toc150774628"/>
      <w:r/>
      <w:bookmarkStart w:id="232" w:name="_Toc164608642"/>
      <w:r/>
      <w:bookmarkStart w:id="233" w:name="_Toc150480766"/>
      <w:r/>
      <w:bookmarkStart w:id="234" w:name="_Toc151190155"/>
      <w:r/>
      <w:bookmarkStart w:id="235" w:name="_Toc150774733"/>
      <w:r/>
      <w:bookmarkStart w:id="236" w:name="_Toc265228366"/>
      <w:r/>
      <w:bookmarkStart w:id="237" w:name="_Toc151193770"/>
      <w:r/>
      <w:bookmarkStart w:id="238" w:name="_Toc305158870"/>
      <w:r/>
      <w:bookmarkStart w:id="239" w:name="_Toc151193626"/>
      <w:r/>
      <w:bookmarkStart w:id="240" w:name="_Toc164229369"/>
      <w:r/>
      <w:bookmarkStart w:id="241" w:name="_Toc151193916"/>
      <w:r/>
      <w:bookmarkStart w:id="242" w:name="_Toc151193842"/>
      <w:r/>
      <w:bookmarkStart w:id="243" w:name="_Toc127161442"/>
      <w:r/>
      <w:bookmarkStart w:id="244" w:name="_Toc226309772"/>
      <w:r/>
      <w:bookmarkStart w:id="245" w:name="_Toc164608797"/>
      <w:r/>
      <w:bookmarkStart w:id="246" w:name="_Toc305158796"/>
      <w:r/>
      <w:bookmarkStart w:id="247" w:name="_Toc520356152"/>
      <w:r/>
      <w:bookmarkStart w:id="248" w:name="_Toc151193698"/>
      <w:r/>
      <w:bookmarkStart w:id="249" w:name="_Toc149720821"/>
      <w:r/>
      <w:bookmarkStart w:id="250" w:name="_Toc226337224"/>
      <w:r>
        <w:rPr>
          <w:szCs w:val="21"/>
        </w:rPr>
        <w:t xml:space="preserve">响应文件</w:t>
      </w:r>
      <w:bookmarkEnd w:id="225"/>
      <w:r/>
      <w:bookmarkEnd w:id="226"/>
      <w:r/>
      <w:bookmarkEnd w:id="227"/>
      <w:r>
        <w:rPr>
          <w:szCs w:val="21"/>
        </w:rPr>
        <w:t xml:space="preserve">构成</w:t>
      </w:r>
      <w:bookmarkEnd w:id="218"/>
      <w:r/>
      <w:bookmarkEnd w:id="219"/>
      <w:r/>
      <w:bookmarkEnd w:id="220"/>
      <w:r/>
      <w:bookmarkEnd w:id="221"/>
      <w:r/>
      <w:bookmarkEnd w:id="222"/>
      <w:r/>
      <w:bookmarkEnd w:id="223"/>
      <w:r/>
      <w:bookmarkEnd w:id="224"/>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251"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1"/>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52" w:name="_Toc151193772"/>
      <w:r/>
      <w:bookmarkStart w:id="253" w:name="_Toc520356155"/>
      <w:r/>
      <w:bookmarkStart w:id="254" w:name="_Toc150480768"/>
      <w:r/>
      <w:bookmarkStart w:id="255" w:name="_Toc127161444"/>
      <w:r/>
      <w:bookmarkStart w:id="256" w:name="_Toc164608644"/>
      <w:r/>
      <w:bookmarkStart w:id="257" w:name="_Toc195842895"/>
      <w:r/>
      <w:bookmarkStart w:id="258" w:name="_Toc142311032"/>
      <w:r/>
      <w:bookmarkStart w:id="259" w:name="_Toc164229225"/>
      <w:r/>
      <w:bookmarkStart w:id="260" w:name="_Toc164351624"/>
      <w:r/>
      <w:bookmarkStart w:id="261" w:name="_Toc127151530"/>
      <w:r/>
      <w:bookmarkStart w:id="262" w:name="_Toc164608799"/>
      <w:r/>
      <w:bookmarkStart w:id="263" w:name="_Toc151193628"/>
      <w:r/>
      <w:bookmarkStart w:id="264" w:name="_Toc151193844"/>
      <w:r/>
      <w:bookmarkStart w:id="265" w:name="_Toc151193700"/>
      <w:r/>
      <w:bookmarkStart w:id="266" w:name="_Toc127151731"/>
      <w:r/>
      <w:bookmarkStart w:id="267" w:name="_Toc150774735"/>
      <w:r/>
      <w:bookmarkStart w:id="268" w:name="_Toc150509281"/>
      <w:r/>
      <w:bookmarkStart w:id="269" w:name="_Toc150774630"/>
      <w:r/>
      <w:bookmarkStart w:id="270" w:name="_Toc149720823"/>
      <w:r/>
      <w:bookmarkStart w:id="271" w:name="_Toc151193918"/>
      <w:r/>
      <w:bookmarkStart w:id="272" w:name="_Toc164229371"/>
      <w:r/>
      <w:bookmarkStart w:id="273" w:name="_Toc151190157"/>
      <w:r>
        <w:rPr>
          <w:szCs w:val="21"/>
        </w:rPr>
        <w:t xml:space="preserve">报价</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5"/>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5"/>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5"/>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5"/>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74" w:name="_Toc164351627"/>
      <w:r/>
      <w:bookmarkStart w:id="275" w:name="_Toc150509284"/>
      <w:r/>
      <w:bookmarkStart w:id="276" w:name="_Toc127161447"/>
      <w:r/>
      <w:bookmarkStart w:id="277" w:name="_Toc226965723"/>
      <w:r/>
      <w:bookmarkStart w:id="278" w:name="_Toc150774633"/>
      <w:r/>
      <w:bookmarkStart w:id="279" w:name="_Toc265228371"/>
      <w:r/>
      <w:bookmarkStart w:id="280" w:name="_Toc151193921"/>
      <w:r/>
      <w:bookmarkStart w:id="281" w:name="_Toc520356158"/>
      <w:r/>
      <w:bookmarkStart w:id="282" w:name="_Toc226337229"/>
      <w:r/>
      <w:bookmarkStart w:id="283" w:name="_Toc150774738"/>
      <w:r/>
      <w:bookmarkStart w:id="284" w:name="_Toc164229374"/>
      <w:r/>
      <w:bookmarkStart w:id="285" w:name="_Toc305158875"/>
      <w:r/>
      <w:bookmarkStart w:id="286" w:name="_Toc264969223"/>
      <w:r/>
      <w:bookmarkStart w:id="287" w:name="_Toc151190160"/>
      <w:r/>
      <w:bookmarkStart w:id="288" w:name="_Toc151193775"/>
      <w:r/>
      <w:bookmarkStart w:id="289" w:name="_Toc127151734"/>
      <w:r/>
      <w:bookmarkStart w:id="290" w:name="_Toc151193847"/>
      <w:r/>
      <w:bookmarkStart w:id="291" w:name="_Toc127151533"/>
      <w:r/>
      <w:bookmarkStart w:id="292" w:name="_Toc142311035"/>
      <w:r/>
      <w:bookmarkStart w:id="293" w:name="_Toc226309777"/>
      <w:r/>
      <w:bookmarkStart w:id="294" w:name="_Toc164608647"/>
      <w:r/>
      <w:bookmarkStart w:id="295" w:name="_Toc150480771"/>
      <w:r/>
      <w:bookmarkStart w:id="296" w:name="_Toc151193631"/>
      <w:r/>
      <w:bookmarkStart w:id="297" w:name="_Toc164608802"/>
      <w:r/>
      <w:bookmarkStart w:id="298" w:name="_Toc149720826"/>
      <w:r/>
      <w:bookmarkStart w:id="299" w:name="_Toc195842898"/>
      <w:r/>
      <w:bookmarkStart w:id="300" w:name="_Toc164229228"/>
      <w:r/>
      <w:bookmarkStart w:id="301" w:name="_Toc226965806"/>
      <w:r/>
      <w:bookmarkStart w:id="302" w:name="_Toc151193703"/>
      <w:r/>
      <w:bookmarkStart w:id="303" w:name="_Toc305158801"/>
      <w:r>
        <w:rPr>
          <w:szCs w:val="21"/>
        </w:rPr>
        <w:t xml:space="preserve">响应文件的签署</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szCs w:val="21"/>
        </w:rPr>
        <w:t xml:space="preserve">、盖章</w:t>
      </w:r>
      <w:r>
        <w:rPr>
          <w:szCs w:val="21"/>
        </w:rPr>
      </w:r>
      <w:r/>
    </w:p>
    <w:p>
      <w:pPr>
        <w:pStyle w:val="925"/>
        <w:numPr>
          <w:ilvl w:val="1"/>
          <w:numId w:val="1"/>
        </w:numPr>
        <w:spacing w:line="360" w:lineRule="auto"/>
        <w:tabs>
          <w:tab w:val="left" w:pos="1080" w:leader="none"/>
          <w:tab w:val="left" w:pos="1589" w:leader="none"/>
        </w:tabs>
        <w:rPr>
          <w:szCs w:val="21"/>
        </w:rPr>
      </w:pPr>
      <w:r/>
      <w:bookmarkStart w:id="304" w:name="_Toc305158802"/>
      <w:r/>
      <w:bookmarkStart w:id="305" w:name="_Toc151193704"/>
      <w:r/>
      <w:bookmarkStart w:id="306" w:name="_Toc151190161"/>
      <w:r/>
      <w:bookmarkStart w:id="307" w:name="_Toc151193632"/>
      <w:r/>
      <w:bookmarkStart w:id="308" w:name="_Toc226965724"/>
      <w:r/>
      <w:bookmarkStart w:id="309" w:name="_Toc150509285"/>
      <w:r/>
      <w:bookmarkStart w:id="310" w:name="_Toc264969224"/>
      <w:r/>
      <w:bookmarkStart w:id="311" w:name="_Toc150480772"/>
      <w:r/>
      <w:bookmarkStart w:id="312" w:name="_Toc305158876"/>
      <w:r/>
      <w:bookmarkStart w:id="313" w:name="_Toc226309778"/>
      <w:r/>
      <w:bookmarkStart w:id="314" w:name="_Toc150774739"/>
      <w:r/>
      <w:bookmarkStart w:id="315" w:name="_Toc150774634"/>
      <w:r/>
      <w:bookmarkStart w:id="316" w:name="_Toc265228372"/>
      <w:r/>
      <w:bookmarkStart w:id="317" w:name="_Toc226337230"/>
      <w:r/>
      <w:bookmarkStart w:id="318" w:name="_Toc142311036"/>
      <w:r/>
      <w:bookmarkStart w:id="319" w:name="_Toc151193848"/>
      <w:r/>
      <w:bookmarkStart w:id="320" w:name="_Toc127151534"/>
      <w:r/>
      <w:bookmarkStart w:id="321" w:name="_Toc195842899"/>
      <w:r/>
      <w:bookmarkStart w:id="322" w:name="_Toc151193776"/>
      <w:r/>
      <w:bookmarkStart w:id="323" w:name="_Toc226965807"/>
      <w:r/>
      <w:bookmarkStart w:id="324" w:name="_Toc151193922"/>
      <w:r/>
      <w:bookmarkStart w:id="325" w:name="_Toc520356159"/>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5"/>
        <w:ind w:left="357"/>
        <w:spacing w:line="360" w:lineRule="auto"/>
        <w:tabs>
          <w:tab w:val="left" w:pos="90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26" w:name="_Toc264969225"/>
      <w:r/>
      <w:bookmarkStart w:id="327" w:name="_Toc149720828"/>
      <w:r/>
      <w:bookmarkStart w:id="328" w:name="_Toc520356160"/>
      <w:r/>
      <w:bookmarkStart w:id="329" w:name="_Toc164351629"/>
      <w:r/>
      <w:bookmarkStart w:id="330" w:name="_Toc151193705"/>
      <w:r/>
      <w:bookmarkStart w:id="331" w:name="_Toc151193633"/>
      <w:r/>
      <w:bookmarkStart w:id="332" w:name="_Toc226337231"/>
      <w:r/>
      <w:bookmarkStart w:id="333" w:name="_Toc150509286"/>
      <w:r/>
      <w:bookmarkStart w:id="334" w:name="_Toc226965725"/>
      <w:r/>
      <w:bookmarkStart w:id="335" w:name="_Toc150480773"/>
      <w:r/>
      <w:bookmarkStart w:id="336" w:name="_Toc151193777"/>
      <w:r/>
      <w:bookmarkStart w:id="337" w:name="_Toc150774635"/>
      <w:r/>
      <w:bookmarkStart w:id="338" w:name="_Toc127151535"/>
      <w:r/>
      <w:bookmarkStart w:id="339" w:name="_Toc127151736"/>
      <w:r/>
      <w:bookmarkStart w:id="340" w:name="_Toc265228373"/>
      <w:r/>
      <w:bookmarkStart w:id="341" w:name="_Toc164229376"/>
      <w:r/>
      <w:bookmarkStart w:id="342" w:name="_Toc164608804"/>
      <w:r/>
      <w:bookmarkStart w:id="343" w:name="_Toc305158803"/>
      <w:r/>
      <w:bookmarkStart w:id="344" w:name="_Toc164229230"/>
      <w:r/>
      <w:bookmarkStart w:id="345" w:name="_Toc142311037"/>
      <w:r/>
      <w:bookmarkStart w:id="346" w:name="_Toc150774740"/>
      <w:r/>
      <w:bookmarkStart w:id="347" w:name="_Toc305158877"/>
      <w:r/>
      <w:bookmarkStart w:id="348" w:name="_Toc226309779"/>
      <w:r/>
      <w:bookmarkStart w:id="349" w:name="_Toc151193923"/>
      <w:r/>
      <w:bookmarkStart w:id="350" w:name="_Toc195842900"/>
      <w:r/>
      <w:bookmarkStart w:id="351" w:name="_Toc226965808"/>
      <w:r/>
      <w:bookmarkStart w:id="352" w:name="_Toc151193849"/>
      <w:r/>
      <w:bookmarkStart w:id="353" w:name="_Toc127161449"/>
      <w:r/>
      <w:bookmarkStart w:id="354" w:name="_Toc151190162"/>
      <w:r/>
      <w:bookmarkStart w:id="355" w:name="_Toc164608649"/>
      <w:r>
        <w:rPr>
          <w:szCs w:val="21"/>
        </w:rPr>
        <w:t xml:space="preserve">响应文件的</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szCs w:val="21"/>
        </w:rPr>
        <w:t xml:space="preserve">提交</w:t>
      </w:r>
      <w:r>
        <w:rPr>
          <w:szCs w:val="21"/>
        </w:rPr>
      </w:r>
      <w:r/>
    </w:p>
    <w:p>
      <w:pPr>
        <w:pStyle w:val="925"/>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56" w:name="_Toc305158804"/>
      <w:r/>
      <w:bookmarkStart w:id="357" w:name="_Toc164351630"/>
      <w:r/>
      <w:bookmarkStart w:id="358" w:name="_Toc164229377"/>
      <w:r/>
      <w:bookmarkStart w:id="359" w:name="_Toc151193850"/>
      <w:r/>
      <w:bookmarkStart w:id="360" w:name="_Toc151193778"/>
      <w:r/>
      <w:bookmarkStart w:id="361" w:name="_Toc149720829"/>
      <w:r/>
      <w:bookmarkStart w:id="362" w:name="_Toc226965726"/>
      <w:r/>
      <w:bookmarkStart w:id="363" w:name="_Toc127161450"/>
      <w:r/>
      <w:bookmarkStart w:id="364" w:name="_Toc150509287"/>
      <w:r/>
      <w:bookmarkStart w:id="365" w:name="_Toc150774636"/>
      <w:r/>
      <w:bookmarkStart w:id="366" w:name="_Toc151193706"/>
      <w:r/>
      <w:bookmarkStart w:id="367" w:name="_Toc142311038"/>
      <w:r/>
      <w:bookmarkStart w:id="368" w:name="_Toc226309780"/>
      <w:r/>
      <w:bookmarkStart w:id="369" w:name="_Toc164608650"/>
      <w:r/>
      <w:bookmarkStart w:id="370" w:name="_Toc195842901"/>
      <w:r/>
      <w:bookmarkStart w:id="371" w:name="_Toc150480774"/>
      <w:r/>
      <w:bookmarkStart w:id="372" w:name="_Toc264969226"/>
      <w:r/>
      <w:bookmarkStart w:id="373" w:name="_Toc127151536"/>
      <w:r/>
      <w:bookmarkStart w:id="374" w:name="_Toc151193924"/>
      <w:r/>
      <w:bookmarkStart w:id="375" w:name="_Toc151193634"/>
      <w:r/>
      <w:bookmarkStart w:id="376" w:name="_Toc151190163"/>
      <w:r/>
      <w:bookmarkStart w:id="377" w:name="_Toc305158878"/>
      <w:r/>
      <w:bookmarkStart w:id="378" w:name="_Toc150774741"/>
      <w:r/>
      <w:bookmarkStart w:id="379" w:name="_Toc226965809"/>
      <w:r/>
      <w:bookmarkStart w:id="380" w:name="_Toc265228374"/>
      <w:r/>
      <w:bookmarkStart w:id="381" w:name="_Toc164608805"/>
      <w:r/>
      <w:bookmarkStart w:id="382" w:name="_Toc127151737"/>
      <w:r/>
      <w:bookmarkStart w:id="383" w:name="_Toc226337232"/>
      <w:r/>
      <w:bookmarkStart w:id="384" w:name="_Toc520356161"/>
      <w:r/>
      <w:bookmarkStart w:id="385" w:name="_Toc164229231"/>
      <w:r>
        <w:rPr>
          <w:szCs w:val="21"/>
        </w:rPr>
        <w:t xml:space="preserve">响应文件截止</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szCs w:val="21"/>
        </w:rPr>
        <w:t xml:space="preserve">时间</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86" w:name="_Toc151193635"/>
      <w:r/>
      <w:bookmarkStart w:id="387" w:name="_Toc164608806"/>
      <w:r/>
      <w:bookmarkStart w:id="388" w:name="_Toc195842902"/>
      <w:r/>
      <w:bookmarkStart w:id="389" w:name="_Toc164351631"/>
      <w:r/>
      <w:bookmarkStart w:id="390" w:name="_Toc305158879"/>
      <w:r/>
      <w:bookmarkStart w:id="391" w:name="_Toc151193925"/>
      <w:r/>
      <w:bookmarkStart w:id="392" w:name="_Toc164229378"/>
      <w:r/>
      <w:bookmarkStart w:id="393" w:name="_Toc127151738"/>
      <w:r/>
      <w:bookmarkStart w:id="394" w:name="_Toc226309781"/>
      <w:r/>
      <w:bookmarkStart w:id="395" w:name="_Toc164229232"/>
      <w:r/>
      <w:bookmarkStart w:id="396" w:name="_Toc226965727"/>
      <w:r/>
      <w:bookmarkStart w:id="397" w:name="_Toc127161451"/>
      <w:r/>
      <w:bookmarkStart w:id="398" w:name="_Toc520356162"/>
      <w:r/>
      <w:bookmarkStart w:id="399" w:name="_Toc142311039"/>
      <w:r/>
      <w:bookmarkStart w:id="400" w:name="_Toc305158805"/>
      <w:r/>
      <w:bookmarkStart w:id="401" w:name="_Toc265228375"/>
      <w:r/>
      <w:bookmarkStart w:id="402" w:name="_Toc149720830"/>
      <w:r/>
      <w:bookmarkStart w:id="403" w:name="_Toc226965810"/>
      <w:r/>
      <w:bookmarkStart w:id="404" w:name="_Toc264969227"/>
      <w:r/>
      <w:bookmarkStart w:id="405" w:name="_Toc150774742"/>
      <w:r/>
      <w:bookmarkStart w:id="406" w:name="_Toc150509288"/>
      <w:r/>
      <w:bookmarkStart w:id="407" w:name="_Toc151193779"/>
      <w:r/>
      <w:bookmarkStart w:id="408" w:name="_Toc226337233"/>
      <w:r/>
      <w:bookmarkStart w:id="409" w:name="_Toc150480775"/>
      <w:r/>
      <w:bookmarkStart w:id="410" w:name="_Toc151193851"/>
      <w:r/>
      <w:bookmarkStart w:id="411" w:name="_Toc150774637"/>
      <w:r/>
      <w:bookmarkStart w:id="412" w:name="_Toc151190164"/>
      <w:r/>
      <w:bookmarkStart w:id="413" w:name="_Toc164608651"/>
      <w:r/>
      <w:bookmarkStart w:id="414" w:name="_Toc151193707"/>
      <w:r/>
      <w:bookmarkStart w:id="415" w:name="_Toc127151537"/>
      <w:r>
        <w:rPr>
          <w:szCs w:val="21"/>
        </w:rPr>
        <w:t xml:space="preserve">响应文件的修改与撤回</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5"/>
        <w:ind w:left="357"/>
        <w:spacing w:line="360" w:lineRule="auto"/>
        <w:tabs>
          <w:tab w:val="left" w:pos="900" w:leader="none"/>
          <w:tab w:val="left" w:pos="1080" w:leader="none"/>
          <w:tab w:val="left" w:pos="1589" w:leader="none"/>
        </w:tabs>
        <w:rPr>
          <w:szCs w:val="21"/>
        </w:rPr>
      </w:pPr>
      <w:r>
        <w:rPr>
          <w:szCs w:val="21"/>
        </w:rPr>
      </w:r>
      <w:r/>
    </w:p>
    <w:p>
      <w:pPr>
        <w:pStyle w:val="927"/>
        <w:spacing w:before="0" w:line="360" w:lineRule="auto"/>
        <w:rPr>
          <w:rFonts w:ascii="Times New Roman" w:hAnsi="Times New Roman" w:eastAsia="宋体"/>
          <w:sz w:val="21"/>
          <w:szCs w:val="21"/>
        </w:rPr>
      </w:pPr>
      <w:r/>
      <w:bookmarkStart w:id="416" w:name="_Toc226965811"/>
      <w:r/>
      <w:bookmarkStart w:id="417" w:name="_Toc264969228"/>
      <w:r/>
      <w:bookmarkStart w:id="418" w:name="_Toc305158806"/>
      <w:r/>
      <w:bookmarkStart w:id="419" w:name="_Toc151193636"/>
      <w:r/>
      <w:bookmarkStart w:id="420" w:name="_Toc151190165"/>
      <w:r/>
      <w:bookmarkStart w:id="421" w:name="_Toc151193708"/>
      <w:r/>
      <w:bookmarkStart w:id="422" w:name="_Toc150509289"/>
      <w:r/>
      <w:bookmarkStart w:id="423" w:name="_Toc151193780"/>
      <w:r/>
      <w:bookmarkStart w:id="424" w:name="_Toc305158880"/>
      <w:r/>
      <w:bookmarkStart w:id="425" w:name="_Toc195842903"/>
      <w:r/>
      <w:bookmarkStart w:id="426" w:name="_Toc226965728"/>
      <w:r/>
      <w:bookmarkStart w:id="427" w:name="_Toc150774638"/>
      <w:r/>
      <w:bookmarkStart w:id="428" w:name="_Toc226337234"/>
      <w:r/>
      <w:bookmarkStart w:id="429" w:name="_Toc151193926"/>
      <w:r/>
      <w:bookmarkStart w:id="430" w:name="_Toc150480776"/>
      <w:r/>
      <w:bookmarkStart w:id="431" w:name="_Toc150774743"/>
      <w:r/>
      <w:bookmarkStart w:id="432" w:name="_Toc127151538"/>
      <w:r/>
      <w:bookmarkStart w:id="433" w:name="_Toc226309782"/>
      <w:r/>
      <w:bookmarkStart w:id="434" w:name="_Toc142311040"/>
      <w:r/>
      <w:bookmarkStart w:id="435" w:name="_Toc520356163"/>
      <w:r/>
      <w:bookmarkStart w:id="436" w:name="_Toc151193852"/>
      <w:r/>
      <w:bookmarkStart w:id="437" w:name="_Toc265228376"/>
      <w:r>
        <w:rPr>
          <w:rFonts w:ascii="Times New Roman" w:hAnsi="Times New Roman" w:eastAsia="宋体"/>
          <w:sz w:val="21"/>
          <w:szCs w:val="21"/>
        </w:rPr>
        <w:t xml:space="preserve">五   </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ascii="Times New Roman" w:hAnsi="Times New Roman" w:eastAsia="宋体"/>
          <w:sz w:val="21"/>
          <w:szCs w:val="21"/>
        </w:rPr>
        <w:t xml:space="preserve">评审</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8" w:name="_Toc520356165"/>
      <w:r>
        <w:rPr>
          <w:szCs w:val="21"/>
        </w:rPr>
        <w:t xml:space="preserve">本项目不公开报价。</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5"/>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5"/>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5"/>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38"/>
      <w:r>
        <w:rPr>
          <w:szCs w:val="21"/>
        </w:rPr>
        <w:t xml:space="preserve">磋商小组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9" w:name="_Toc52035616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9"/>
      <w:r/>
      <w:bookmarkStart w:id="440" w:name="_Toc520356169"/>
      <w:r>
        <w:rPr>
          <w:szCs w:val="21"/>
        </w:rPr>
      </w:r>
      <w:r/>
    </w:p>
    <w:p>
      <w:pPr>
        <w:pStyle w:val="925"/>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5"/>
        <w:ind w:left="1080"/>
        <w:spacing w:line="360" w:lineRule="auto"/>
        <w:tabs>
          <w:tab w:val="left" w:pos="36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bookmarkStart w:id="441" w:name="_Toc150509296"/>
      <w:r/>
      <w:bookmarkStart w:id="442" w:name="_Toc305158887"/>
      <w:r/>
      <w:bookmarkStart w:id="443" w:name="_Toc151193715"/>
      <w:r/>
      <w:bookmarkStart w:id="444" w:name="_Toc265228383"/>
      <w:r/>
      <w:bookmarkStart w:id="445" w:name="_Toc226337241"/>
      <w:r/>
      <w:bookmarkStart w:id="446" w:name="_Toc226965735"/>
      <w:r/>
      <w:bookmarkStart w:id="447" w:name="_Toc127151545"/>
      <w:r/>
      <w:bookmarkStart w:id="448" w:name="_Toc150774645"/>
      <w:r/>
      <w:bookmarkStart w:id="449" w:name="_Toc264969235"/>
      <w:r/>
      <w:bookmarkStart w:id="450" w:name="_Toc226965818"/>
      <w:r/>
      <w:bookmarkStart w:id="451" w:name="_Toc195842910"/>
      <w:r/>
      <w:bookmarkStart w:id="452" w:name="_Toc151193859"/>
      <w:r/>
      <w:bookmarkStart w:id="453" w:name="_Toc142311047"/>
      <w:r/>
      <w:bookmarkStart w:id="454" w:name="_Toc151190172"/>
      <w:r/>
      <w:bookmarkStart w:id="455" w:name="_Toc226309789"/>
      <w:r/>
      <w:bookmarkStart w:id="456" w:name="_Toc151193643"/>
      <w:r/>
      <w:bookmarkStart w:id="457" w:name="_Toc305158813"/>
      <w:r/>
      <w:bookmarkStart w:id="458" w:name="_Toc150480783"/>
      <w:r/>
      <w:bookmarkStart w:id="459" w:name="_Toc151193787"/>
      <w:r/>
      <w:bookmarkStart w:id="460" w:name="_Toc150774750"/>
      <w:r/>
      <w:bookmarkStart w:id="461" w:name="_Toc151193933"/>
      <w:r>
        <w:rPr>
          <w:rFonts w:ascii="Times New Roman" w:hAnsi="Times New Roman" w:eastAsia="宋体"/>
          <w:sz w:val="21"/>
          <w:szCs w:val="21"/>
        </w:rPr>
        <w:t xml:space="preserve">六   </w:t>
      </w:r>
      <w:bookmarkEnd w:id="440"/>
      <w:r>
        <w:rPr>
          <w:rFonts w:ascii="Times New Roman" w:hAnsi="Times New Roman" w:eastAsia="宋体"/>
          <w:sz w:val="21"/>
          <w:szCs w:val="21"/>
        </w:rPr>
        <w:t xml:space="preserve">确定</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ascii="Times New Roman" w:hAnsi="Times New Roman" w:eastAsia="宋体"/>
          <w:sz w:val="21"/>
          <w:szCs w:val="21"/>
        </w:rPr>
        <w:t xml:space="preserve">成交</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62" w:name="_Toc150509298"/>
      <w:r/>
      <w:bookmarkStart w:id="463" w:name="_Toc127151748"/>
      <w:r/>
      <w:bookmarkStart w:id="464" w:name="_Toc226965737"/>
      <w:r/>
      <w:bookmarkStart w:id="465" w:name="_Toc226309791"/>
      <w:r/>
      <w:bookmarkStart w:id="466" w:name="_Toc195842912"/>
      <w:r/>
      <w:bookmarkStart w:id="467" w:name="_Toc149720840"/>
      <w:r/>
      <w:bookmarkStart w:id="468" w:name="_Toc150774647"/>
      <w:r/>
      <w:bookmarkStart w:id="469" w:name="_Toc151193935"/>
      <w:r/>
      <w:bookmarkStart w:id="470" w:name="_Toc151190174"/>
      <w:r/>
      <w:bookmarkStart w:id="471" w:name="_Toc226965820"/>
      <w:r/>
      <w:bookmarkStart w:id="472" w:name="_Toc151193861"/>
      <w:r/>
      <w:bookmarkStart w:id="473" w:name="_Toc164229388"/>
      <w:r/>
      <w:bookmarkStart w:id="474" w:name="_Toc226337243"/>
      <w:r/>
      <w:bookmarkStart w:id="475" w:name="_Toc127161461"/>
      <w:r/>
      <w:bookmarkStart w:id="476" w:name="_Toc150480785"/>
      <w:r/>
      <w:bookmarkStart w:id="477" w:name="_Toc305158889"/>
      <w:r/>
      <w:bookmarkStart w:id="478" w:name="_Toc151193645"/>
      <w:r/>
      <w:bookmarkStart w:id="479" w:name="_Toc151193789"/>
      <w:r/>
      <w:bookmarkStart w:id="480" w:name="_Toc264969237"/>
      <w:r/>
      <w:bookmarkStart w:id="481" w:name="_Toc164229242"/>
      <w:r/>
      <w:bookmarkStart w:id="482" w:name="_Toc164351641"/>
      <w:r/>
      <w:bookmarkStart w:id="483" w:name="_Toc164608661"/>
      <w:r/>
      <w:bookmarkStart w:id="484" w:name="_Toc150774752"/>
      <w:r/>
      <w:bookmarkStart w:id="485" w:name="_Toc151193717"/>
      <w:r/>
      <w:bookmarkStart w:id="486" w:name="_Toc305158815"/>
      <w:r/>
      <w:bookmarkStart w:id="487" w:name="_Toc265228385"/>
      <w:r/>
      <w:bookmarkStart w:id="488" w:name="_Toc142311049"/>
      <w:r/>
      <w:bookmarkStart w:id="489" w:name="_Toc164608816"/>
      <w:r/>
      <w:bookmarkStart w:id="490" w:name="_Toc127151547"/>
      <w:r>
        <w:rPr>
          <w:szCs w:val="21"/>
        </w:rPr>
        <w:t xml:space="preserve">确定成交供应商</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91" w:name="_Toc164229390"/>
      <w:r/>
      <w:bookmarkStart w:id="492" w:name="_Toc151190176"/>
      <w:r/>
      <w:bookmarkStart w:id="493" w:name="_Toc195842914"/>
      <w:r/>
      <w:bookmarkStart w:id="494" w:name="_Toc226965739"/>
      <w:r/>
      <w:bookmarkStart w:id="495" w:name="_Toc151193647"/>
      <w:r/>
      <w:bookmarkStart w:id="496" w:name="_Toc151193863"/>
      <w:r/>
      <w:bookmarkStart w:id="497" w:name="_Toc151193937"/>
      <w:r/>
      <w:bookmarkStart w:id="498" w:name="_Toc150480787"/>
      <w:r/>
      <w:bookmarkStart w:id="499" w:name="_Toc142311051"/>
      <w:r/>
      <w:bookmarkStart w:id="500" w:name="_Toc127161463"/>
      <w:r/>
      <w:bookmarkStart w:id="501" w:name="_Toc164608663"/>
      <w:r/>
      <w:bookmarkStart w:id="502" w:name="_Toc226309793"/>
      <w:r/>
      <w:bookmarkStart w:id="503" w:name="_Toc226337245"/>
      <w:r/>
      <w:bookmarkStart w:id="504" w:name="_Toc150509300"/>
      <w:r/>
      <w:bookmarkStart w:id="505" w:name="_Toc226965822"/>
      <w:r/>
      <w:bookmarkStart w:id="506" w:name="_Toc164608818"/>
      <w:r/>
      <w:bookmarkStart w:id="507" w:name="_Toc305158891"/>
      <w:r/>
      <w:bookmarkStart w:id="508" w:name="_Toc305158817"/>
      <w:r/>
      <w:bookmarkStart w:id="509" w:name="_Toc164351643"/>
      <w:r/>
      <w:bookmarkStart w:id="510" w:name="_Toc127151750"/>
      <w:r/>
      <w:bookmarkStart w:id="511" w:name="_Toc520356176"/>
      <w:r/>
      <w:bookmarkStart w:id="512" w:name="_Ref467306425"/>
      <w:r/>
      <w:bookmarkStart w:id="513" w:name="_Ref467307090"/>
      <w:r/>
      <w:bookmarkStart w:id="514" w:name="_Toc265228387"/>
      <w:r/>
      <w:bookmarkStart w:id="515" w:name="_Toc150774649"/>
      <w:r/>
      <w:bookmarkStart w:id="516" w:name="_Toc150774754"/>
      <w:r/>
      <w:bookmarkStart w:id="517" w:name="_Toc149720842"/>
      <w:r/>
      <w:bookmarkStart w:id="518" w:name="_Toc127151549"/>
      <w:r/>
      <w:bookmarkStart w:id="519" w:name="_Toc151193791"/>
      <w:r/>
      <w:bookmarkStart w:id="520" w:name="_Toc151193719"/>
      <w:r/>
      <w:bookmarkStart w:id="521" w:name="_Toc264969239"/>
      <w:r/>
      <w:bookmarkStart w:id="522" w:name="_Toc164229244"/>
      <w:r>
        <w:rPr>
          <w:szCs w:val="21"/>
        </w:rPr>
        <w:t xml:space="preserve">成交公告与成交通知书</w:t>
      </w:r>
      <w:bookmarkEnd w:id="507"/>
      <w:r/>
      <w:bookmarkEnd w:id="508"/>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5"/>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5"/>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5"/>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5"/>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9"/>
      <w:r/>
      <w:bookmarkEnd w:id="510"/>
      <w:r/>
      <w:bookmarkEnd w:id="514"/>
      <w:r/>
      <w:bookmarkEnd w:id="515"/>
      <w:r/>
      <w:bookmarkEnd w:id="516"/>
      <w:r/>
      <w:bookmarkEnd w:id="517"/>
      <w:r/>
      <w:bookmarkEnd w:id="518"/>
      <w:r/>
      <w:bookmarkEnd w:id="519"/>
      <w:r/>
      <w:bookmarkEnd w:id="520"/>
      <w:r/>
      <w:bookmarkEnd w:id="521"/>
      <w:r/>
      <w:bookmarkEnd w:id="522"/>
      <w:r/>
      <w:bookmarkStart w:id="523" w:name="_Toc150509301"/>
      <w:r/>
      <w:bookmarkStart w:id="524" w:name="_Toc264969240"/>
      <w:r/>
      <w:bookmarkStart w:id="525" w:name="_Toc265228388"/>
      <w:r/>
      <w:bookmarkStart w:id="526" w:name="_Toc226965823"/>
      <w:r/>
      <w:bookmarkStart w:id="527" w:name="_Toc127151751"/>
      <w:r/>
      <w:bookmarkStart w:id="528" w:name="_Toc127161464"/>
      <w:r/>
      <w:bookmarkStart w:id="529" w:name="_Ref467306978"/>
      <w:r/>
      <w:bookmarkStart w:id="530" w:name="_Toc520356175"/>
      <w:r/>
      <w:bookmarkStart w:id="531" w:name="_Ref467306377"/>
      <w:r/>
      <w:bookmarkStart w:id="532" w:name="_Toc226309794"/>
      <w:r/>
      <w:bookmarkStart w:id="533" w:name="_Toc305158818"/>
      <w:r/>
      <w:bookmarkStart w:id="534" w:name="_Toc164608819"/>
      <w:r/>
      <w:bookmarkStart w:id="535" w:name="_Ref467307204"/>
      <w:r/>
      <w:bookmarkStart w:id="536" w:name="_Toc226965740"/>
      <w:r/>
      <w:bookmarkStart w:id="537" w:name="_Toc164229391"/>
      <w:r/>
      <w:bookmarkStart w:id="538" w:name="_Toc151193720"/>
      <w:r/>
      <w:bookmarkStart w:id="539" w:name="_Toc151193648"/>
      <w:r/>
      <w:bookmarkStart w:id="540" w:name="_Toc142311052"/>
      <w:r/>
      <w:bookmarkStart w:id="541" w:name="_Toc127151550"/>
      <w:r/>
      <w:bookmarkStart w:id="542" w:name="_Toc151193864"/>
      <w:r/>
      <w:bookmarkStart w:id="543" w:name="_Toc150480788"/>
      <w:r/>
      <w:bookmarkStart w:id="544" w:name="_Toc151190177"/>
      <w:r/>
      <w:bookmarkStart w:id="545" w:name="_Toc164608664"/>
      <w:r/>
      <w:bookmarkStart w:id="546" w:name="_Ref467307062"/>
      <w:r/>
      <w:bookmarkStart w:id="547" w:name="_Toc164229245"/>
      <w:r/>
      <w:bookmarkStart w:id="548" w:name="_Toc150774755"/>
      <w:r/>
      <w:bookmarkStart w:id="549" w:name="_Toc305158892"/>
      <w:r/>
      <w:bookmarkStart w:id="550" w:name="_Toc149720843"/>
      <w:r/>
      <w:bookmarkStart w:id="551" w:name="_Toc226337246"/>
      <w:r/>
      <w:bookmarkStart w:id="552" w:name="_Toc164351644"/>
      <w:r/>
      <w:bookmarkStart w:id="553" w:name="_Toc151193938"/>
      <w:r/>
      <w:bookmarkStart w:id="554" w:name="_Toc150774650"/>
      <w:r/>
      <w:bookmarkStart w:id="555" w:name="_Toc151193792"/>
      <w:r/>
      <w:bookmarkStart w:id="556" w:name="_Toc195842915"/>
      <w:r>
        <w:rPr>
          <w:szCs w:val="21"/>
        </w:rPr>
        <w:t xml:space="preserve">签订合同</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511"/>
      <w:r/>
      <w:bookmarkEnd w:id="512"/>
      <w:r/>
      <w:bookmarkEnd w:id="513"/>
      <w:r>
        <w:rPr>
          <w:szCs w:val="21"/>
        </w:rPr>
        <w:t xml:space="preserve">询问与质疑</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5"/>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5"/>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5"/>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5"/>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5"/>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7" w:name="_Hlt100654014"/>
      <w:r>
        <w:rPr>
          <w:szCs w:val="21"/>
        </w:rPr>
        <w:t xml:space="preserve">s</w:t>
      </w:r>
      <w:bookmarkEnd w:id="557"/>
      <w:r>
        <w:rPr>
          <w:szCs w:val="21"/>
        </w:rPr>
        <w:t xml:space="preserve">.m</w:t>
      </w:r>
      <w:bookmarkStart w:id="558" w:name="_Hlt100653993"/>
      <w:r/>
      <w:bookmarkStart w:id="559" w:name="_Hlt100653994"/>
      <w:r>
        <w:rPr>
          <w:szCs w:val="21"/>
        </w:rPr>
        <w:t xml:space="preserve">o</w:t>
      </w:r>
      <w:bookmarkEnd w:id="558"/>
      <w:r/>
      <w:bookmarkEnd w:id="559"/>
      <w:r/>
      <w:bookmarkStart w:id="560" w:name="_Hlt101169156"/>
      <w:r>
        <w:rPr>
          <w:szCs w:val="21"/>
        </w:rPr>
        <w:t xml:space="preserve">f</w:t>
      </w:r>
      <w:bookmarkEnd w:id="560"/>
      <w:r>
        <w:rPr>
          <w:szCs w:val="21"/>
        </w:rPr>
        <w:t xml:space="preserve">.gov.cn/ztztz/zhengfucaigouguanli/201802/t20180201_2804589.htm</w:t>
      </w:r>
      <w:r>
        <w:rPr>
          <w:rFonts w:hint="eastAsia"/>
          <w:szCs w:val="21"/>
        </w:rPr>
        <w:t xml:space="preserve">）</w:t>
      </w:r>
      <w:r>
        <w:rPr>
          <w:szCs w:val="21"/>
        </w:rPr>
      </w:r>
      <w:r/>
    </w:p>
    <w:p>
      <w:pPr>
        <w:pStyle w:val="925"/>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5"/>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561" w:name="_Toc127151554"/>
      <w:r/>
      <w:bookmarkStart w:id="562" w:name="_Toc353873934"/>
      <w:r/>
      <w:bookmarkStart w:id="563" w:name="_Toc264969244"/>
      <w:r/>
      <w:bookmarkStart w:id="564" w:name="_Toc305158896"/>
      <w:r/>
      <w:bookmarkStart w:id="565" w:name="_Toc353825544"/>
      <w:r/>
      <w:bookmarkStart w:id="566" w:name="_Toc150774759"/>
      <w:r/>
      <w:bookmarkStart w:id="567" w:name="_Toc226965827"/>
      <w:r/>
      <w:bookmarkStart w:id="568" w:name="_Toc150480792"/>
      <w:r/>
      <w:bookmarkStart w:id="569" w:name="_Toc353873664"/>
      <w:r/>
      <w:bookmarkStart w:id="570" w:name="_Toc226337250"/>
      <w:r/>
      <w:bookmarkStart w:id="571" w:name="_Toc142311056"/>
      <w:r/>
      <w:bookmarkStart w:id="572" w:name="_Toc305158822"/>
      <w:r/>
      <w:bookmarkStart w:id="573" w:name="_Toc265228392"/>
      <w:r>
        <w:rPr>
          <w:rFonts w:hint="eastAsia"/>
          <w:szCs w:val="21"/>
        </w:rPr>
        <w:t xml:space="preserve">集中采购机构不收取代理费。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5"/>
        <w:jc w:val="center"/>
        <w:spacing w:line="360" w:lineRule="auto"/>
        <w:rPr>
          <w:b/>
          <w:sz w:val="36"/>
          <w:szCs w:val="36"/>
        </w:rPr>
        <w:outlineLvl w:val="0"/>
      </w:pPr>
      <w:r/>
      <w:bookmarkStart w:id="574" w:name="_Toc104818927"/>
      <w:r>
        <w:rPr>
          <w:b/>
          <w:sz w:val="36"/>
          <w:szCs w:val="36"/>
        </w:rPr>
      </w:r>
      <w:r/>
    </w:p>
    <w:p>
      <w:pPr>
        <w:pStyle w:val="925"/>
        <w:jc w:val="center"/>
        <w:spacing w:line="360" w:lineRule="auto"/>
        <w:rPr>
          <w:b/>
          <w:sz w:val="36"/>
          <w:szCs w:val="36"/>
        </w:rPr>
        <w:outlineLvl w:val="0"/>
      </w:pPr>
      <w:r>
        <w:rPr>
          <w:b/>
          <w:sz w:val="36"/>
          <w:szCs w:val="36"/>
        </w:rPr>
        <w:t xml:space="preserve">第三章   </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b/>
          <w:sz w:val="36"/>
          <w:szCs w:val="36"/>
        </w:rPr>
        <w:t xml:space="preserve">评审</w:t>
      </w:r>
      <w:r>
        <w:rPr>
          <w:rFonts w:hint="eastAsia"/>
          <w:b/>
          <w:sz w:val="36"/>
          <w:szCs w:val="36"/>
        </w:rPr>
        <w:t xml:space="preserve">程序、评审</w:t>
      </w:r>
      <w:r>
        <w:rPr>
          <w:b/>
          <w:sz w:val="36"/>
          <w:szCs w:val="36"/>
        </w:rPr>
        <w:t xml:space="preserve">方法和评审标准</w:t>
      </w:r>
      <w:bookmarkEnd w:id="574"/>
      <w:r/>
      <w:bookmarkStart w:id="575" w:name="_Toc487900382"/>
      <w:r>
        <w:rPr>
          <w:b/>
          <w:sz w:val="36"/>
          <w:szCs w:val="36"/>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5"/>
        <w:jc w:val="left"/>
        <w:tabs>
          <w:tab w:val="left" w:pos="1080" w:leader="none"/>
        </w:tabs>
        <w:rPr>
          <w:b/>
          <w:sz w:val="24"/>
        </w:rPr>
      </w:pPr>
      <w:r>
        <w:rPr>
          <w:b/>
          <w:sz w:val="24"/>
        </w:rPr>
        <w:tab/>
      </w:r>
      <w:r>
        <w:rPr>
          <w:b/>
          <w:sz w:val="24"/>
        </w:rPr>
      </w:r>
      <w:r/>
    </w:p>
    <w:p>
      <w:pPr>
        <w:pStyle w:val="925"/>
        <w:numPr>
          <w:ilvl w:val="0"/>
          <w:numId w:val="3"/>
        </w:numPr>
        <w:spacing w:line="360" w:lineRule="auto"/>
        <w:tabs>
          <w:tab w:val="left" w:pos="360" w:leader="none"/>
          <w:tab w:val="left" w:pos="900" w:leader="none"/>
        </w:tabs>
        <w:rPr>
          <w:szCs w:val="21"/>
        </w:rPr>
        <w:outlineLvl w:val="1"/>
      </w:pPr>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75"/>
      <w:r/>
      <w:bookmarkStart w:id="576" w:name="_Toc164608655"/>
      <w:r/>
      <w:bookmarkStart w:id="577" w:name="_Toc151193929"/>
      <w:r/>
      <w:bookmarkStart w:id="578" w:name="_Toc127151541"/>
      <w:r/>
      <w:bookmarkStart w:id="579" w:name="_Toc264969231"/>
      <w:r/>
      <w:bookmarkStart w:id="580" w:name="_Toc150774641"/>
      <w:r/>
      <w:bookmarkStart w:id="581" w:name="_Toc127161455"/>
      <w:r/>
      <w:bookmarkStart w:id="582" w:name="_Toc142311043"/>
      <w:r/>
      <w:bookmarkStart w:id="583" w:name="_Toc150509292"/>
      <w:r/>
      <w:bookmarkStart w:id="584" w:name="_Toc151190168"/>
      <w:r/>
      <w:bookmarkStart w:id="585" w:name="_Toc150480779"/>
      <w:r/>
      <w:bookmarkStart w:id="586" w:name="_Toc226965814"/>
      <w:r/>
      <w:bookmarkStart w:id="587" w:name="_Toc164229382"/>
      <w:r/>
      <w:bookmarkStart w:id="588" w:name="_Toc164229236"/>
      <w:r/>
      <w:bookmarkStart w:id="589" w:name="_Toc226309785"/>
      <w:r/>
      <w:bookmarkStart w:id="590" w:name="_Toc151193639"/>
      <w:r/>
      <w:bookmarkStart w:id="591" w:name="_Toc151193783"/>
      <w:r/>
      <w:bookmarkStart w:id="592" w:name="_Toc151193711"/>
      <w:r/>
      <w:bookmarkStart w:id="593" w:name="_Toc226965731"/>
      <w:r/>
      <w:bookmarkStart w:id="594" w:name="_Toc151193855"/>
      <w:r/>
      <w:bookmarkStart w:id="595" w:name="_Toc127151742"/>
      <w:r/>
      <w:bookmarkStart w:id="596" w:name="_Toc164351635"/>
      <w:r/>
      <w:bookmarkStart w:id="597" w:name="_Toc164608810"/>
      <w:r/>
      <w:bookmarkStart w:id="598" w:name="_Toc305158883"/>
      <w:r/>
      <w:bookmarkStart w:id="599" w:name="_Toc265228379"/>
      <w:r/>
      <w:bookmarkStart w:id="600" w:name="_Toc305158809"/>
      <w:r/>
      <w:bookmarkStart w:id="601" w:name="_Toc149720834"/>
      <w:r/>
      <w:bookmarkStart w:id="602" w:name="_Toc195842906"/>
      <w:r/>
      <w:bookmarkStart w:id="603" w:name="_Toc226337237"/>
      <w:r/>
      <w:bookmarkStart w:id="604" w:name="_Toc150774746"/>
      <w:r/>
      <w:bookmarkStart w:id="605" w:name="_Toc305158823"/>
      <w:r/>
      <w:bookmarkStart w:id="606" w:name="_Toc353873941"/>
      <w:r/>
      <w:bookmarkStart w:id="607" w:name="_Toc353825551"/>
      <w:r/>
      <w:bookmarkStart w:id="608" w:name="_Toc264969245"/>
      <w:r/>
      <w:bookmarkStart w:id="609" w:name="_Toc150480793"/>
      <w:r/>
      <w:bookmarkStart w:id="610" w:name="_Toc226965828"/>
      <w:r/>
      <w:bookmarkStart w:id="611" w:name="_Toc150774760"/>
      <w:r/>
      <w:bookmarkStart w:id="612" w:name="_Toc265228393"/>
      <w:r/>
      <w:bookmarkStart w:id="613" w:name="_Toc142311057"/>
      <w:r/>
      <w:bookmarkStart w:id="614" w:name="_Toc353873935"/>
      <w:r/>
      <w:bookmarkStart w:id="615" w:name="_Toc195842920"/>
      <w:r/>
      <w:bookmarkStart w:id="616" w:name="_Toc353825545"/>
      <w:r/>
      <w:bookmarkStart w:id="617" w:name="_Toc127151555"/>
      <w:r/>
      <w:bookmarkStart w:id="618" w:name="_Toc353873665"/>
      <w:r/>
      <w:bookmarkStart w:id="619" w:name="_Toc226337251"/>
      <w:r/>
      <w:bookmarkStart w:id="620" w:name="_Toc305158897"/>
      <w:r>
        <w:rPr>
          <w:szCs w:val="21"/>
        </w:rPr>
        <w:t xml:space="preserve">响应文件的</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szCs w:val="21"/>
        </w:rPr>
        <w:t xml:space="preserve">资格性检查和符合性审查</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5" w:type="dxa"/>
            <w:vAlign w:val="center"/>
            <w:textDirection w:val="lrTb"/>
            <w:noWrap w:val="false"/>
          </w:tcPr>
          <w:p>
            <w:pPr>
              <w:pStyle w:val="925"/>
              <w:jc w:val="center"/>
              <w:tabs>
                <w:tab w:val="left" w:pos="1080" w:leader="none"/>
              </w:tabs>
              <w:rPr>
                <w:b/>
                <w:szCs w:val="21"/>
              </w:rPr>
            </w:pPr>
            <w:r/>
            <w:bookmarkStart w:id="621" w:name="_Hlt487972895"/>
            <w:r/>
            <w:bookmarkEnd w:id="621"/>
            <w:r>
              <w:rPr>
                <w:b/>
                <w:szCs w:val="21"/>
              </w:rPr>
              <w:t xml:space="preserve">序号</w:t>
            </w:r>
            <w:r>
              <w:rPr>
                <w:b/>
                <w:szCs w:val="21"/>
              </w:rPr>
            </w:r>
            <w:r/>
          </w:p>
        </w:tc>
        <w:tc>
          <w:tcPr>
            <w:tcW w:w="1014" w:type="dxa"/>
            <w:vAlign w:val="center"/>
            <w:textDirection w:val="lrTb"/>
            <w:noWrap w:val="false"/>
          </w:tcPr>
          <w:p>
            <w:pPr>
              <w:pStyle w:val="925"/>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5"/>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5"/>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5"/>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5"/>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5"/>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5"/>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5"/>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5"/>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5"/>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5"/>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5"/>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5"/>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5"/>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bl>
    <w:p>
      <w:pPr>
        <w:pStyle w:val="925"/>
        <w:jc w:val="left"/>
        <w:widowControl/>
        <w:rPr>
          <w:sz w:val="24"/>
        </w:rPr>
      </w:pPr>
      <w:r>
        <w:rPr>
          <w:sz w:val="24"/>
        </w:rPr>
        <w:br w:type="page" w:clear="all"/>
      </w:r>
      <w:r>
        <w:rPr>
          <w:sz w:val="24"/>
        </w:rPr>
      </w:r>
      <w:r/>
    </w:p>
    <w:p>
      <w:pPr>
        <w:pStyle w:val="925"/>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925"/>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进口产品</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5"/>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5"/>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5"/>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5"/>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5"/>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其他：</w:t>
      </w:r>
      <w:r>
        <w:rPr>
          <w:szCs w:val="21"/>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根据苏财购〔2026〕36号《江苏省财政厅转发财政部关于推动解决政府采购异常低价问题的通知》规定：</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（一）政府采购评审中出现下列情形之一的，评审委员会应当启动异常低价投标（响应）审查程序：</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1、投标（响应）报价低于全部通过符合性审查供应商投标（响应）报价平均值50%的，即投标（响应）报价&lt;全部通过符合性审查供应商投标（响应）报价平均值×50%；</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2、投标（响应）报价低于通过符合性审查的次低报价供应商投标（响应）报价50%的，即投标（响应）报价&lt;通过符合性审查的次低报价供应商投标（响应）报价×50%；</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3、投标（响应）报价低于采购项目最高限价45%的，即投标（响应）报价&lt;采购项目最高限价×45%；</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4、评审委员会基于专业判断，认为供应商报价过低，有可能影响产品质量或者不能诚信履约的其他情形。</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szCs w:val="21"/>
          <w:highlight w:val="cyan"/>
          <w:u w:val="single"/>
        </w:rPr>
      </w:r>
      <w:r/>
    </w:p>
    <w:p>
      <w:pPr>
        <w:pStyle w:val="925"/>
        <w:ind w:left="357"/>
        <w:spacing w:line="360" w:lineRule="auto"/>
        <w:tabs>
          <w:tab w:val="left" w:pos="1080" w:leader="none"/>
        </w:tabs>
        <w:rPr>
          <w:rFonts w:hint="eastAsia"/>
          <w:b/>
          <w:bCs/>
          <w:szCs w:val="21"/>
          <w:highlight w:val="cyan"/>
          <w:u w:val="single"/>
        </w:rPr>
      </w:pPr>
      <w:r>
        <w:rPr>
          <w:rFonts w:hint="eastAsia"/>
          <w:b/>
          <w:bCs/>
          <w:szCs w:val="21"/>
          <w:highlight w:val="cyan"/>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b/>
          <w:bCs/>
          <w:szCs w:val="21"/>
          <w:highlight w:val="cyan"/>
          <w:u w:val="single"/>
        </w:rPr>
      </w:r>
      <w:r/>
    </w:p>
    <w:p>
      <w:pPr>
        <w:pStyle w:val="925"/>
        <w:ind w:left="357"/>
        <w:spacing w:line="360" w:lineRule="auto"/>
        <w:tabs>
          <w:tab w:val="left" w:pos="1080" w:leader="none"/>
        </w:tabs>
        <w:rPr>
          <w:szCs w:val="21"/>
        </w:rPr>
      </w:pPr>
      <w:r>
        <w:rPr>
          <w:rFonts w:hint="eastAsia"/>
          <w:b/>
          <w:bCs/>
          <w:szCs w:val="21"/>
          <w:highlight w:val="cyan"/>
          <w:u w:val="single"/>
        </w:rPr>
        <w:t xml:space="preserve">异常低价投标（响应）审查的启动原因、审查意见和审查结果应当在评审报告中记录，并随供应商提供的相关书面说明及证明材料，以及评审委员会有关互联网浏览、查询历史一并归档。</w:t>
      </w:r>
      <w:r>
        <w:rPr>
          <w:szCs w:val="21"/>
        </w:rPr>
      </w:r>
      <w:r/>
    </w:p>
    <w:p>
      <w:pPr>
        <w:pStyle w:val="925"/>
        <w:numPr>
          <w:ilvl w:val="0"/>
          <w:numId w:val="3"/>
        </w:numPr>
        <w:spacing w:line="360" w:lineRule="auto"/>
        <w:tabs>
          <w:tab w:val="left" w:pos="360" w:leader="none"/>
          <w:tab w:val="left" w:pos="900" w:leader="none"/>
        </w:tabs>
        <w:rPr>
          <w:szCs w:val="21"/>
        </w:rPr>
        <w:outlineLvl w:val="1"/>
      </w:pPr>
      <w:r/>
      <w:bookmarkEnd w:id="606"/>
      <w:r/>
      <w:bookmarkEnd w:id="607"/>
      <w:r>
        <w:rPr>
          <w:szCs w:val="21"/>
        </w:rPr>
        <w:t xml:space="preserve">评审方法和评审标准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确定</w:t>
      </w:r>
      <w:bookmarkStart w:id="622" w:name="_Toc127151546"/>
      <w:r/>
      <w:bookmarkStart w:id="623" w:name="_Toc265228384"/>
      <w:r/>
      <w:bookmarkStart w:id="624" w:name="_Toc151193788"/>
      <w:r/>
      <w:bookmarkStart w:id="625" w:name="_Toc164608815"/>
      <w:r/>
      <w:bookmarkStart w:id="626" w:name="_Toc195842911"/>
      <w:r/>
      <w:bookmarkStart w:id="627" w:name="_Toc151190173"/>
      <w:r/>
      <w:bookmarkStart w:id="628" w:name="_Toc164608660"/>
      <w:r/>
      <w:bookmarkStart w:id="629" w:name="_Toc164229387"/>
      <w:r/>
      <w:bookmarkStart w:id="630" w:name="_Toc127151747"/>
      <w:r/>
      <w:bookmarkStart w:id="631" w:name="_Toc151193860"/>
      <w:r/>
      <w:bookmarkStart w:id="632" w:name="_Toc150774751"/>
      <w:r/>
      <w:bookmarkStart w:id="633" w:name="_Toc142311048"/>
      <w:r/>
      <w:bookmarkStart w:id="634" w:name="_Toc226309790"/>
      <w:r/>
      <w:bookmarkStart w:id="635" w:name="_Toc226965819"/>
      <w:r/>
      <w:bookmarkStart w:id="636" w:name="_Ref467307010"/>
      <w:r/>
      <w:bookmarkStart w:id="637" w:name="_Toc164351640"/>
      <w:r/>
      <w:bookmarkStart w:id="638" w:name="_Toc520356170"/>
      <w:r/>
      <w:bookmarkStart w:id="639" w:name="_Toc164229241"/>
      <w:r/>
      <w:bookmarkStart w:id="640" w:name="_Toc226965736"/>
      <w:r/>
      <w:bookmarkStart w:id="641" w:name="_Toc226337242"/>
      <w:r/>
      <w:bookmarkStart w:id="642" w:name="_Toc305158888"/>
      <w:r/>
      <w:bookmarkStart w:id="643" w:name="_Toc150774646"/>
      <w:r/>
      <w:bookmarkStart w:id="644" w:name="_Toc149720839"/>
      <w:r/>
      <w:bookmarkStart w:id="645" w:name="_Toc127161460"/>
      <w:r/>
      <w:bookmarkStart w:id="646" w:name="_Toc150509297"/>
      <w:r/>
      <w:bookmarkStart w:id="647" w:name="_Toc151193644"/>
      <w:r/>
      <w:bookmarkStart w:id="648" w:name="_Toc151193934"/>
      <w:r/>
      <w:bookmarkStart w:id="649" w:name="_Toc151193716"/>
      <w:r/>
      <w:bookmarkStart w:id="650" w:name="_Toc305158814"/>
      <w:r/>
      <w:bookmarkStart w:id="651" w:name="_Toc264969236"/>
      <w:r/>
      <w:bookmarkStart w:id="652" w:name="_Toc150480784"/>
      <w:r>
        <w:rPr>
          <w:szCs w:val="21"/>
        </w:rPr>
        <w:t xml:space="preserve">成交候选人名单</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5"/>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519"/>
        <w:gridCol w:w="913"/>
        <w:gridCol w:w="3978"/>
        <w:gridCol w:w="8"/>
        <w:gridCol w:w="2580"/>
      </w:tblGrid>
      <w:tr>
        <w:trPr/>
        <w:tc>
          <w:tcPr>
            <w:tcW w:w="7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519"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588"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0分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40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技术实现方案和说明</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技术实现方案和说明（包括技术方案、深化设计；设备选型、产品性能参数及说明；现场安装、调试、联调方案及措施等）</w:t>
            </w:r>
            <w:r>
              <w:rPr>
                <w:rFonts w:ascii="宋体" w:hAnsi="宋体"/>
                <w:b/>
                <w:szCs w:val="21"/>
              </w:rPr>
            </w:r>
            <w:r/>
          </w:p>
          <w:p>
            <w:pPr>
              <w:pStyle w:val="925"/>
              <w:rPr>
                <w:rFonts w:ascii="宋体" w:hAnsi="宋体"/>
                <w:szCs w:val="21"/>
              </w:rPr>
            </w:pPr>
            <w:r>
              <w:rPr>
                <w:rFonts w:hint="eastAsia" w:ascii="宋体" w:hAnsi="宋体"/>
                <w:szCs w:val="21"/>
              </w:rPr>
              <w:t xml:space="preserve">内容完整，科学合理，切实可行得10分；</w:t>
            </w:r>
            <w:r>
              <w:rPr>
                <w:rFonts w:ascii="宋体" w:hAnsi="宋体"/>
                <w:szCs w:val="21"/>
              </w:rPr>
            </w:r>
            <w:r/>
          </w:p>
          <w:p>
            <w:pPr>
              <w:pStyle w:val="925"/>
              <w:rPr>
                <w:rFonts w:ascii="宋体" w:hAnsi="宋体"/>
                <w:szCs w:val="21"/>
              </w:rPr>
            </w:pPr>
            <w:r>
              <w:rPr>
                <w:rFonts w:hint="eastAsia" w:ascii="宋体" w:hAnsi="宋体"/>
                <w:szCs w:val="21"/>
              </w:rPr>
              <w:t xml:space="preserve">内容较完整，较科学合理，较切实可行得8分；</w:t>
            </w:r>
            <w:r>
              <w:rPr>
                <w:rFonts w:ascii="宋体" w:hAnsi="宋体"/>
                <w:szCs w:val="21"/>
              </w:rPr>
            </w:r>
            <w:r/>
          </w:p>
          <w:p>
            <w:pPr>
              <w:pStyle w:val="925"/>
              <w:rPr>
                <w:rFonts w:ascii="宋体" w:hAnsi="宋体"/>
                <w:szCs w:val="21"/>
              </w:rPr>
            </w:pPr>
            <w:r>
              <w:rPr>
                <w:rFonts w:hint="eastAsia" w:ascii="宋体" w:hAnsi="宋体"/>
                <w:szCs w:val="21"/>
              </w:rPr>
              <w:t xml:space="preserve">内容基本完整，可行性一般得6分；</w:t>
            </w:r>
            <w:r>
              <w:rPr>
                <w:rFonts w:ascii="宋体" w:hAnsi="宋体"/>
                <w:szCs w:val="21"/>
              </w:rPr>
            </w:r>
            <w:r/>
          </w:p>
          <w:p>
            <w:pPr>
              <w:pStyle w:val="925"/>
              <w:rPr>
                <w:rFonts w:ascii="宋体" w:hAnsi="宋体"/>
                <w:szCs w:val="21"/>
              </w:rPr>
            </w:pPr>
            <w:r>
              <w:rPr>
                <w:rFonts w:hint="eastAsia" w:ascii="宋体" w:hAnsi="宋体"/>
                <w:szCs w:val="21"/>
              </w:rPr>
              <w:t xml:space="preserve">内容较差，基本不可行得4分；</w:t>
            </w:r>
            <w:r>
              <w:rPr>
                <w:rFonts w:ascii="宋体" w:hAnsi="宋体"/>
                <w:szCs w:val="21"/>
              </w:rPr>
            </w:r>
            <w:r/>
          </w:p>
          <w:p>
            <w:pPr>
              <w:pStyle w:val="925"/>
              <w:rPr>
                <w:rFonts w:ascii="宋体" w:hAnsi="宋体"/>
                <w:szCs w:val="21"/>
              </w:rPr>
            </w:pPr>
            <w:r>
              <w:rPr>
                <w:rFonts w:hint="eastAsia" w:ascii="宋体" w:hAnsi="宋体"/>
                <w:szCs w:val="21"/>
              </w:rPr>
              <w:t xml:space="preserve">未提供则不得分。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项目施工组织设计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项目施工组织设计</w:t>
            </w:r>
            <w:r>
              <w:rPr>
                <w:rFonts w:ascii="宋体" w:hAnsi="宋体"/>
                <w:b/>
                <w:szCs w:val="21"/>
              </w:rPr>
            </w:r>
            <w:r/>
          </w:p>
          <w:p>
            <w:pPr>
              <w:pStyle w:val="925"/>
              <w:rPr>
                <w:rFonts w:ascii="宋体" w:hAnsi="宋体"/>
                <w:szCs w:val="21"/>
              </w:rPr>
            </w:pPr>
            <w:r>
              <w:rPr>
                <w:rFonts w:hint="eastAsia" w:ascii="宋体" w:hAnsi="宋体"/>
                <w:szCs w:val="21"/>
              </w:rPr>
              <w:t xml:space="preserve">施工组织设计详细完善，对项目特点、难点有详细阐述，施工过程规范，人员配备合理，有严格的质量监控程序，得10分；</w:t>
            </w:r>
            <w:r>
              <w:rPr>
                <w:rFonts w:ascii="宋体" w:hAnsi="宋体"/>
                <w:szCs w:val="21"/>
              </w:rPr>
            </w:r>
            <w:r/>
          </w:p>
          <w:p>
            <w:pPr>
              <w:pStyle w:val="925"/>
              <w:rPr>
                <w:rFonts w:ascii="宋体" w:hAnsi="宋体"/>
                <w:szCs w:val="21"/>
              </w:rPr>
            </w:pPr>
            <w:r>
              <w:rPr>
                <w:rFonts w:hint="eastAsia" w:ascii="宋体" w:hAnsi="宋体"/>
                <w:szCs w:val="21"/>
              </w:rPr>
              <w:t xml:space="preserve">施工组织设计较详细，对项目特点、难点阐述较详细，施工过程规范性较好，人员配备较强，质量监控程序较严格，得8分；</w:t>
            </w:r>
            <w:r>
              <w:rPr>
                <w:rFonts w:ascii="宋体" w:hAnsi="宋体"/>
                <w:szCs w:val="21"/>
              </w:rPr>
            </w:r>
            <w:r/>
          </w:p>
          <w:p>
            <w:pPr>
              <w:pStyle w:val="925"/>
              <w:rPr>
                <w:rFonts w:ascii="宋体" w:hAnsi="宋体"/>
                <w:szCs w:val="21"/>
              </w:rPr>
            </w:pPr>
            <w:r>
              <w:rPr>
                <w:rFonts w:hint="eastAsia" w:ascii="宋体" w:hAnsi="宋体"/>
                <w:szCs w:val="21"/>
              </w:rPr>
              <w:t xml:space="preserve">施工组织设计详细程度一般，对项目特点、难点有简单阐述，施工过程规范性一般，人员配备一般，有简单的质量监控程序，得6分；</w:t>
            </w:r>
            <w:r>
              <w:rPr>
                <w:rFonts w:ascii="宋体" w:hAnsi="宋体"/>
                <w:szCs w:val="21"/>
              </w:rPr>
            </w:r>
            <w:r/>
          </w:p>
          <w:p>
            <w:pPr>
              <w:pStyle w:val="925"/>
              <w:rPr>
                <w:rFonts w:ascii="宋体" w:hAnsi="宋体"/>
                <w:szCs w:val="21"/>
              </w:rPr>
            </w:pPr>
            <w:r>
              <w:rPr>
                <w:rFonts w:hint="eastAsia" w:ascii="宋体" w:hAnsi="宋体"/>
                <w:szCs w:val="21"/>
              </w:rPr>
              <w:t xml:space="preserve">施工组织设计简单，对项目中的特点、难点没有阐述，施工过程规范性差，人员配备不合理，没有质量监控程序，得4分；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供应商的培训计划、技术支持及各项承诺书</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10分</w:t>
            </w:r>
            <w:r>
              <w:rPr>
                <w:rFonts w:ascii="宋体" w:hAnsi="宋体"/>
                <w:szCs w:val="21"/>
              </w:rPr>
            </w:r>
            <w:r/>
          </w:p>
        </w:tc>
        <w:tc>
          <w:tcPr>
            <w:tcW w:w="3978" w:type="dxa"/>
            <w:vAlign w:val="center"/>
            <w:textDirection w:val="lrTb"/>
            <w:noWrap w:val="false"/>
          </w:tcPr>
          <w:p>
            <w:pPr>
              <w:pStyle w:val="925"/>
              <w:rPr>
                <w:rFonts w:ascii="宋体" w:hAnsi="宋体"/>
                <w:b/>
                <w:szCs w:val="21"/>
              </w:rPr>
            </w:pPr>
            <w:r>
              <w:rPr>
                <w:rFonts w:hint="eastAsia" w:ascii="宋体" w:hAnsi="宋体"/>
                <w:b/>
                <w:szCs w:val="21"/>
              </w:rPr>
              <w:t xml:space="preserve">供应商的培训计划、技术支持及各项承诺书</w:t>
            </w:r>
            <w:r>
              <w:rPr>
                <w:rFonts w:ascii="宋体" w:hAnsi="宋体"/>
                <w:b/>
                <w:szCs w:val="21"/>
              </w:rPr>
            </w:r>
            <w:r/>
          </w:p>
          <w:p>
            <w:pPr>
              <w:pStyle w:val="925"/>
              <w:rPr>
                <w:rFonts w:ascii="宋体" w:hAnsi="宋体"/>
                <w:szCs w:val="21"/>
              </w:rPr>
            </w:pPr>
            <w:r>
              <w:rPr>
                <w:rFonts w:hint="eastAsia" w:ascii="宋体" w:hAnsi="宋体"/>
                <w:szCs w:val="21"/>
              </w:rPr>
              <w:t xml:space="preserve">供应商的培训计划、技术支持及各项承诺书内容详实、计划安排合理，得10分；</w:t>
            </w:r>
            <w:r>
              <w:rPr>
                <w:rFonts w:ascii="宋体" w:hAnsi="宋体"/>
                <w:szCs w:val="21"/>
              </w:rPr>
            </w:r>
            <w:r/>
          </w:p>
          <w:p>
            <w:pPr>
              <w:pStyle w:val="925"/>
              <w:rPr>
                <w:rFonts w:ascii="宋体" w:hAnsi="宋体"/>
                <w:szCs w:val="21"/>
              </w:rPr>
            </w:pPr>
            <w:r>
              <w:rPr>
                <w:rFonts w:hint="eastAsia" w:ascii="宋体" w:hAnsi="宋体"/>
                <w:szCs w:val="21"/>
              </w:rPr>
              <w:t xml:space="preserve">培训内容较详实、计划安排较合理，得8分；</w:t>
            </w:r>
            <w:r>
              <w:rPr>
                <w:rFonts w:ascii="宋体" w:hAnsi="宋体"/>
                <w:szCs w:val="21"/>
              </w:rPr>
            </w:r>
            <w:r/>
          </w:p>
          <w:p>
            <w:pPr>
              <w:pStyle w:val="925"/>
              <w:rPr>
                <w:rFonts w:ascii="宋体" w:hAnsi="宋体"/>
                <w:szCs w:val="21"/>
              </w:rPr>
            </w:pPr>
            <w:r>
              <w:rPr>
                <w:rFonts w:hint="eastAsia" w:ascii="宋体" w:hAnsi="宋体"/>
                <w:szCs w:val="21"/>
              </w:rPr>
              <w:t xml:space="preserve">培训内容基本完整、计划安排合理性一般，得6分；</w:t>
            </w:r>
            <w:r>
              <w:rPr>
                <w:rFonts w:ascii="宋体" w:hAnsi="宋体"/>
                <w:szCs w:val="21"/>
              </w:rPr>
            </w:r>
            <w:r/>
          </w:p>
          <w:p>
            <w:pPr>
              <w:pStyle w:val="925"/>
              <w:rPr>
                <w:rFonts w:ascii="宋体" w:hAnsi="宋体"/>
                <w:szCs w:val="21"/>
              </w:rPr>
            </w:pPr>
            <w:r>
              <w:rPr>
                <w:rFonts w:hint="eastAsia" w:ascii="宋体" w:hAnsi="宋体"/>
                <w:szCs w:val="21"/>
              </w:rPr>
              <w:t xml:space="preserve">培训内容简单、计划安排乱，缺项漏项得4分；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2.4</w:t>
            </w:r>
            <w:r>
              <w:rPr>
                <w:rFonts w:ascii="宋体" w:hAnsi="宋体" w:eastAsia="宋体"/>
                <w:szCs w:val="21"/>
                <w:lang w:val="en-US" w:eastAsia="zh-CN"/>
              </w:rPr>
            </w:r>
            <w:r/>
          </w:p>
        </w:tc>
        <w:tc>
          <w:tcPr>
            <w:tcW w:w="1519"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应急保障及缺陷责任期保修方案</w:t>
            </w:r>
            <w:r>
              <w:rPr>
                <w:rFonts w:hint="eastAsia" w:ascii="宋体" w:hAnsi="宋体"/>
                <w:szCs w:val="21"/>
              </w:rPr>
            </w:r>
            <w:r/>
          </w:p>
        </w:tc>
        <w:tc>
          <w:tcPr>
            <w:tcW w:w="913"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10分</w:t>
            </w:r>
            <w:r>
              <w:rPr>
                <w:rFonts w:ascii="宋体" w:hAnsi="宋体" w:eastAsia="宋体"/>
                <w:szCs w:val="21"/>
                <w:lang w:val="en-US" w:eastAsia="zh-CN"/>
              </w:rPr>
            </w:r>
            <w:r/>
          </w:p>
        </w:tc>
        <w:tc>
          <w:tcPr>
            <w:tcW w:w="3978" w:type="dxa"/>
            <w:vAlign w:val="center"/>
            <w:textDirection w:val="lrTb"/>
            <w:noWrap w:val="false"/>
          </w:tcPr>
          <w:p>
            <w:pPr>
              <w:pStyle w:val="925"/>
              <w:rPr>
                <w:rFonts w:hint="eastAsia" w:ascii="宋体" w:hAnsi="宋体"/>
                <w:szCs w:val="21"/>
                <w:lang w:eastAsia="zh-CN"/>
              </w:rPr>
            </w:pPr>
            <w:r>
              <w:rPr>
                <w:rFonts w:hint="eastAsia" w:ascii="宋体" w:hAnsi="宋体"/>
                <w:szCs w:val="21"/>
              </w:rPr>
              <w:t xml:space="preserve">针对各类突发情况，制定应急预案;针对缺陷责任期制定保修方案</w:t>
            </w:r>
            <w:r>
              <w:rPr>
                <w:rFonts w:hint="eastAsia" w:ascii="宋体" w:hAnsi="宋体"/>
                <w:szCs w:val="21"/>
                <w:lang w:eastAsia="zh-CN"/>
              </w:rPr>
              <w:t xml:space="preserve">：</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方案完整、可行，能完全满足项目实施要求，得</w:t>
            </w:r>
            <w:r>
              <w:rPr>
                <w:rFonts w:hint="eastAsia" w:ascii="宋体" w:hAnsi="宋体"/>
                <w:szCs w:val="21"/>
                <w:lang w:val="en-US" w:eastAsia="zh-CN"/>
              </w:rPr>
              <w:t xml:space="preserve">10</w:t>
            </w:r>
            <w:r>
              <w:rPr>
                <w:rFonts w:hint="eastAsia" w:ascii="宋体" w:hAnsi="宋体"/>
                <w:szCs w:val="21"/>
                <w:lang w:eastAsia="zh-CN"/>
              </w:rPr>
              <w:t xml:space="preserve">分；</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方案较具体、可行，能基本满足项目实施要求，得</w:t>
            </w:r>
            <w:r>
              <w:rPr>
                <w:rFonts w:hint="eastAsia" w:ascii="宋体" w:hAnsi="宋体"/>
                <w:szCs w:val="21"/>
                <w:lang w:val="en-US" w:eastAsia="zh-CN"/>
              </w:rPr>
              <w:t xml:space="preserve">8</w:t>
            </w:r>
            <w:r>
              <w:rPr>
                <w:rFonts w:hint="eastAsia" w:ascii="宋体" w:hAnsi="宋体"/>
                <w:szCs w:val="21"/>
                <w:lang w:eastAsia="zh-CN"/>
              </w:rPr>
              <w:t xml:space="preserve">分；</w:t>
            </w:r>
            <w:r>
              <w:rPr>
                <w:rFonts w:hint="eastAsia" w:ascii="宋体" w:hAnsi="宋体"/>
                <w:szCs w:val="21"/>
                <w:lang w:eastAsia="zh-CN"/>
              </w:rPr>
            </w:r>
            <w:r/>
          </w:p>
          <w:p>
            <w:pPr>
              <w:pStyle w:val="925"/>
              <w:rPr>
                <w:rFonts w:hint="eastAsia" w:ascii="宋体" w:hAnsi="宋体"/>
                <w:szCs w:val="21"/>
                <w:lang w:eastAsia="zh-CN"/>
              </w:rPr>
            </w:pPr>
            <w:r>
              <w:rPr>
                <w:rFonts w:hint="eastAsia" w:ascii="宋体" w:hAnsi="宋体"/>
                <w:szCs w:val="21"/>
                <w:lang w:eastAsia="zh-CN"/>
              </w:rPr>
              <w:t xml:space="preserve">方案内容较简单，对项目实施要求响应一</w:t>
            </w:r>
            <w:r>
              <w:rPr>
                <w:rFonts w:hint="eastAsia" w:ascii="宋体" w:hAnsi="宋体"/>
                <w:szCs w:val="21"/>
                <w:lang w:val="en-US" w:eastAsia="zh-CN"/>
              </w:rPr>
              <w:t xml:space="preserve">般</w:t>
            </w:r>
            <w:r>
              <w:rPr>
                <w:rFonts w:hint="eastAsia" w:ascii="宋体" w:hAnsi="宋体"/>
                <w:szCs w:val="21"/>
                <w:lang w:eastAsia="zh-CN"/>
              </w:rPr>
              <w:t xml:space="preserve">，得</w:t>
            </w:r>
            <w:r>
              <w:rPr>
                <w:rFonts w:hint="eastAsia" w:ascii="宋体" w:hAnsi="宋体"/>
                <w:szCs w:val="21"/>
                <w:lang w:val="en-US" w:eastAsia="zh-CN"/>
              </w:rPr>
              <w:t xml:space="preserve">6</w:t>
            </w:r>
            <w:r>
              <w:rPr>
                <w:rFonts w:hint="eastAsia" w:ascii="宋体" w:hAnsi="宋体"/>
                <w:szCs w:val="21"/>
                <w:lang w:eastAsia="zh-CN"/>
              </w:rPr>
              <w:t xml:space="preserve">分；</w:t>
            </w:r>
            <w:r>
              <w:rPr>
                <w:rFonts w:hint="eastAsia" w:ascii="宋体" w:hAnsi="宋体"/>
                <w:szCs w:val="21"/>
                <w:lang w:eastAsia="zh-CN"/>
              </w:rPr>
            </w:r>
            <w:r/>
          </w:p>
          <w:p>
            <w:pPr>
              <w:pStyle w:val="925"/>
              <w:rPr>
                <w:rFonts w:ascii="宋体" w:hAnsi="宋体"/>
                <w:szCs w:val="21"/>
              </w:rPr>
            </w:pPr>
            <w:r>
              <w:rPr>
                <w:rFonts w:hint="eastAsia" w:ascii="宋体" w:hAnsi="宋体"/>
                <w:szCs w:val="21"/>
                <w:lang w:eastAsia="zh-CN"/>
              </w:rPr>
              <w:t xml:space="preserve">方案内容</w:t>
            </w:r>
            <w:r>
              <w:rPr>
                <w:rFonts w:hint="eastAsia" w:ascii="宋体" w:hAnsi="宋体"/>
                <w:szCs w:val="21"/>
                <w:lang w:val="en-US" w:eastAsia="zh-CN"/>
              </w:rPr>
              <w:t xml:space="preserve">单一</w:t>
            </w:r>
            <w:r>
              <w:rPr>
                <w:rFonts w:hint="eastAsia" w:ascii="宋体" w:hAnsi="宋体"/>
                <w:szCs w:val="21"/>
                <w:lang w:eastAsia="zh-CN"/>
              </w:rPr>
              <w:t xml:space="preserve">，对项目实施要求响应</w:t>
            </w:r>
            <w:r>
              <w:rPr>
                <w:rFonts w:hint="eastAsia" w:ascii="宋体" w:hAnsi="宋体"/>
                <w:szCs w:val="21"/>
                <w:lang w:val="en-US" w:eastAsia="zh-CN"/>
              </w:rPr>
              <w:t xml:space="preserve">差</w:t>
            </w:r>
            <w:r>
              <w:rPr>
                <w:rFonts w:hint="eastAsia" w:ascii="宋体" w:hAnsi="宋体"/>
                <w:szCs w:val="21"/>
              </w:rPr>
              <w:t xml:space="preserve">得4分；</w:t>
            </w:r>
            <w:r>
              <w:rPr>
                <w:rFonts w:ascii="宋体" w:hAnsi="宋体"/>
                <w:szCs w:val="21"/>
              </w:rPr>
            </w:r>
            <w:r/>
          </w:p>
          <w:p>
            <w:pPr>
              <w:pStyle w:val="925"/>
              <w:rPr>
                <w:rFonts w:hint="eastAsia" w:ascii="宋体" w:hAnsi="宋体"/>
                <w:szCs w:val="21"/>
                <w:lang w:eastAsia="zh-CN"/>
              </w:rPr>
            </w:pPr>
            <w:r>
              <w:rPr>
                <w:rFonts w:hint="eastAsia" w:ascii="宋体" w:hAnsi="宋体"/>
                <w:szCs w:val="21"/>
                <w:lang w:eastAsia="zh-CN"/>
              </w:rPr>
              <w:t xml:space="preserve">未提供不得分。</w:t>
            </w:r>
            <w:r>
              <w:rPr>
                <w:rFonts w:hint="eastAsia" w:ascii="宋体" w:hAnsi="宋体"/>
                <w:szCs w:val="21"/>
                <w:lang w:eastAsia="zh-CN"/>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4</w:t>
            </w:r>
            <w:r>
              <w:rPr>
                <w:rFonts w:hint="eastAsia" w:ascii="宋体" w:hAnsi="宋体"/>
                <w:szCs w:val="21"/>
                <w:lang w:val="en-US" w:eastAsia="zh-CN"/>
              </w:rPr>
              <w:t xml:space="preserve">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588"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3.1</w:t>
            </w:r>
            <w:r>
              <w:rPr>
                <w:rFonts w:ascii="宋体" w:hAnsi="宋体"/>
                <w:szCs w:val="21"/>
              </w:rPr>
            </w:r>
            <w:r/>
          </w:p>
        </w:tc>
        <w:tc>
          <w:tcPr>
            <w:tcW w:w="1519"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供应商拟投入的项目经理业绩</w:t>
            </w:r>
            <w:r>
              <w:rPr>
                <w:rFonts w:hint="eastAsia"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9分</w:t>
            </w:r>
            <w:r>
              <w:rPr>
                <w:rFonts w:ascii="宋体" w:hAnsi="宋体"/>
                <w:szCs w:val="21"/>
              </w:rPr>
            </w:r>
            <w:r/>
          </w:p>
        </w:tc>
        <w:tc>
          <w:tcPr>
            <w:tcW w:w="3978" w:type="dxa"/>
            <w:vAlign w:val="center"/>
            <w:textDirection w:val="lrTb"/>
            <w:noWrap w:val="false"/>
          </w:tcPr>
          <w:p>
            <w:pPr>
              <w:pStyle w:val="925"/>
              <w:rPr>
                <w:rFonts w:hint="eastAsia" w:ascii="宋体" w:hAnsi="宋体" w:cs="宋体"/>
                <w:color w:val="000000"/>
                <w:szCs w:val="21"/>
              </w:rPr>
            </w:pPr>
            <w:r>
              <w:rPr>
                <w:rFonts w:hint="eastAsia" w:ascii="宋体" w:hAnsi="宋体" w:cs="宋体"/>
                <w:color w:val="000000"/>
                <w:szCs w:val="21"/>
              </w:rPr>
              <w:t xml:space="preserve">①拟投入的项目经理2021年1月1日至今（以完工时间为准）担任过</w:t>
            </w:r>
            <w:r>
              <w:rPr>
                <w:rFonts w:hint="eastAsia" w:ascii="宋体" w:hAnsi="宋体" w:cs="宋体"/>
                <w:color w:val="000000"/>
                <w:szCs w:val="21"/>
                <w:lang w:val="en-US" w:eastAsia="zh-CN"/>
              </w:rPr>
              <w:t xml:space="preserve">公路或城市道路</w:t>
            </w:r>
            <w:r>
              <w:rPr>
                <w:rFonts w:hint="eastAsia" w:ascii="宋体" w:hAnsi="宋体" w:cs="宋体"/>
                <w:color w:val="000000"/>
                <w:szCs w:val="21"/>
              </w:rPr>
              <w:t xml:space="preserve">监控施工项目的项目经理或项目总工（均含副职），有一个得3分，最多得9分。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②拟投入的项目经理2021年1月1日至今（以完工时间为准）担任过国省道路网监测施工项目的项目经理或项目总工（均含副职），有一个得4.5分，最多得9分。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③本项最多得9分。</w:t>
            </w:r>
            <w:r>
              <w:rPr>
                <w:rFonts w:hint="eastAsia" w:ascii="宋体" w:hAnsi="宋体" w:cs="宋体"/>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b/>
                <w:color w:val="000000"/>
                <w:szCs w:val="21"/>
              </w:rPr>
              <w:t xml:space="preserve">（1）项目经理</w:t>
            </w:r>
            <w:r>
              <w:rPr>
                <w:rFonts w:hint="eastAsia" w:ascii="宋体" w:hAnsi="宋体" w:cs="宋体"/>
                <w:b/>
                <w:color w:val="000000"/>
                <w:szCs w:val="21"/>
              </w:rPr>
              <w:t xml:space="preserve">业绩评审以“拟投入项目经理业绩一览表”为准，未在表中填报的业绩不予评审。</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（2）同一项目在上述</w:t>
            </w:r>
            <w:r>
              <w:rPr>
                <w:rFonts w:hint="eastAsia" w:ascii="宋体" w:hAnsi="宋体" w:cs="宋体"/>
                <w:color w:val="000000"/>
                <w:szCs w:val="21"/>
              </w:rPr>
              <w:t xml:space="preserve">①和②</w:t>
            </w:r>
            <w:r>
              <w:rPr>
                <w:rFonts w:hint="eastAsia" w:ascii="宋体" w:hAnsi="宋体" w:cs="宋体"/>
                <w:b/>
                <w:color w:val="000000"/>
                <w:szCs w:val="21"/>
              </w:rPr>
              <w:t xml:space="preserve">评分项中不重复计分。</w:t>
            </w:r>
            <w:r>
              <w:rPr>
                <w:rFonts w:hint="eastAsia" w:ascii="宋体" w:hAnsi="宋体" w:cs="宋体"/>
                <w:b/>
                <w:color w:val="000000"/>
                <w:szCs w:val="21"/>
              </w:rPr>
            </w:r>
            <w:r/>
          </w:p>
          <w:p>
            <w:pPr>
              <w:pStyle w:val="925"/>
              <w:rPr>
                <w:rFonts w:ascii="宋体" w:hAnsi="宋体" w:cs="宋体"/>
                <w:b/>
                <w:color w:val="000000"/>
                <w:szCs w:val="21"/>
              </w:rPr>
            </w:pPr>
            <w:r>
              <w:rPr>
                <w:rFonts w:hint="eastAsia" w:ascii="宋体" w:hAnsi="宋体" w:cs="宋体"/>
                <w:b/>
                <w:color w:val="000000"/>
                <w:szCs w:val="21"/>
              </w:rPr>
              <w:t xml:space="preserve">（3）项目经理业绩与企业业绩可重复计分。</w:t>
            </w:r>
            <w:r>
              <w:rPr>
                <w:rFonts w:ascii="宋体" w:hAnsi="宋体" w:cs="宋体"/>
                <w:b/>
                <w:color w:val="000000"/>
                <w:szCs w:val="21"/>
              </w:rPr>
            </w:r>
            <w:r/>
          </w:p>
        </w:tc>
        <w:tc>
          <w:tcPr>
            <w:gridSpan w:val="2"/>
            <w:tcW w:w="2588" w:type="dxa"/>
            <w:vAlign w:val="center"/>
            <w:textDirection w:val="lrTb"/>
            <w:noWrap w:val="false"/>
          </w:tcPr>
          <w:p>
            <w:pPr>
              <w:pStyle w:val="925"/>
              <w:ind w:left="-38"/>
              <w:rPr>
                <w:rFonts w:ascii="宋体" w:hAnsi="宋体" w:cs="宋体"/>
                <w:color w:val="000000"/>
                <w:szCs w:val="21"/>
              </w:rPr>
            </w:pPr>
            <w:r>
              <w:rPr>
                <w:rFonts w:hint="eastAsia" w:ascii="宋体" w:hAnsi="宋体" w:cs="宋体"/>
                <w:color w:val="000000"/>
                <w:szCs w:val="21"/>
              </w:rPr>
              <w:t xml:space="preserve">1、应提供合同电子扫描件并加盖供应商公章。若提供资料不能完整反映要求的（如项目经理职务等），可提供中标通知书或业主单位加盖公章的证明材料电子扫描件并加盖供应商公章。</w:t>
            </w:r>
            <w:r>
              <w:rPr>
                <w:rFonts w:ascii="宋体" w:hAnsi="宋体" w:cs="宋体"/>
                <w:color w:val="000000"/>
                <w:szCs w:val="21"/>
              </w:rPr>
            </w:r>
            <w:r/>
          </w:p>
          <w:p>
            <w:pPr>
              <w:pStyle w:val="925"/>
              <w:ind w:left="-38"/>
              <w:rPr>
                <w:rFonts w:hint="eastAsia" w:ascii="宋体" w:hAnsi="宋体" w:cs="宋体"/>
                <w:color w:val="000000"/>
                <w:szCs w:val="21"/>
              </w:rPr>
            </w:pPr>
            <w:r>
              <w:rPr>
                <w:rFonts w:hint="eastAsia" w:ascii="宋体" w:hAnsi="宋体" w:cs="宋体"/>
                <w:color w:val="000000"/>
                <w:szCs w:val="21"/>
              </w:rPr>
              <w:t xml:space="preserve">2、完工时间以交工或竣工验收证书时间或业主单位加盖公章的证明材料为准，提供相应电子扫描件并加盖供应商公章。</w:t>
            </w:r>
            <w:r>
              <w:rPr>
                <w:rFonts w:hint="eastAsia" w:ascii="宋体" w:hAnsi="宋体" w:cs="宋体"/>
                <w:color w:val="000000"/>
                <w:szCs w:val="21"/>
              </w:rPr>
            </w:r>
            <w:r/>
          </w:p>
          <w:p>
            <w:pPr>
              <w:pStyle w:val="925"/>
              <w:ind w:left="-38"/>
              <w:rPr>
                <w:rFonts w:ascii="宋体" w:hAnsi="宋体" w:cs="宋体"/>
                <w:color w:val="000000"/>
                <w:szCs w:val="21"/>
              </w:rPr>
            </w:pPr>
            <w:r>
              <w:rPr>
                <w:rFonts w:hint="eastAsia" w:ascii="宋体" w:hAnsi="宋体" w:cs="宋体"/>
                <w:color w:val="000000"/>
                <w:szCs w:val="21"/>
              </w:rPr>
              <w:t xml:space="preserve">上述材料提供不全或未提供的不得分。</w:t>
            </w:r>
            <w:r>
              <w:rPr>
                <w:rFonts w:ascii="宋体" w:hAnsi="宋体" w:cs="宋体"/>
                <w:color w:val="000000"/>
                <w:szCs w:val="21"/>
              </w:rPr>
            </w:r>
            <w:r/>
          </w:p>
        </w:tc>
      </w:tr>
      <w:tr>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3.2</w:t>
            </w:r>
            <w:r>
              <w:rPr>
                <w:rFonts w:ascii="宋体" w:hAnsi="宋体"/>
                <w:szCs w:val="21"/>
              </w:rPr>
            </w:r>
            <w:r/>
          </w:p>
        </w:tc>
        <w:tc>
          <w:tcPr>
            <w:tcW w:w="1519" w:type="dxa"/>
            <w:vAlign w:val="center"/>
            <w:textDirection w:val="lrTb"/>
            <w:noWrap w:val="false"/>
          </w:tcPr>
          <w:p>
            <w:pPr>
              <w:pStyle w:val="925"/>
              <w:ind w:firstLine="28"/>
              <w:jc w:val="center"/>
              <w:rPr>
                <w:rFonts w:ascii="宋体" w:hAnsi="宋体"/>
                <w:szCs w:val="21"/>
              </w:rPr>
            </w:pPr>
            <w:r>
              <w:rPr>
                <w:rFonts w:hint="eastAsia" w:ascii="宋体" w:hAnsi="宋体" w:cs="宋体"/>
                <w:szCs w:val="21"/>
              </w:rPr>
              <w:t xml:space="preserve">拟投入的项目总工</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color w:val="000000"/>
                <w:szCs w:val="21"/>
              </w:rPr>
            </w:pPr>
            <w:r>
              <w:rPr>
                <w:rFonts w:hint="eastAsia" w:ascii="宋体" w:hAnsi="宋体" w:cs="宋体"/>
                <w:color w:val="000000"/>
                <w:szCs w:val="21"/>
              </w:rPr>
              <w:t xml:space="preserve">拟投入的项目总工具有工程师及以上技术职称得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ascii="宋体" w:hAnsi="宋体" w:cs="宋体"/>
                <w:color w:val="000000"/>
                <w:szCs w:val="21"/>
              </w:rPr>
            </w:r>
            <w:r/>
          </w:p>
        </w:tc>
        <w:tc>
          <w:tcPr>
            <w:gridSpan w:val="2"/>
            <w:tcW w:w="2588" w:type="dxa"/>
            <w:vAlign w:val="center"/>
            <w:textDirection w:val="lrTb"/>
            <w:noWrap w:val="false"/>
          </w:tcPr>
          <w:p>
            <w:pPr>
              <w:pStyle w:val="925"/>
              <w:ind w:left="-38"/>
              <w:rPr>
                <w:rFonts w:ascii="宋体" w:hAnsi="宋体" w:cs="宋体"/>
                <w:color w:val="000000"/>
                <w:szCs w:val="21"/>
              </w:rPr>
            </w:pPr>
            <w:r>
              <w:rPr>
                <w:rFonts w:hint="eastAsia" w:ascii="宋体" w:hAnsi="宋体" w:cs="宋体"/>
                <w:color w:val="000000"/>
                <w:szCs w:val="21"/>
              </w:rPr>
              <w:t xml:space="preserve">应提供人员证书复印件并加盖公章，上述材料提供不全或未提供的不得分。</w:t>
            </w:r>
            <w:r>
              <w:rPr>
                <w:rFonts w:ascii="宋体" w:hAnsi="宋体" w:cs="宋体"/>
                <w:color w:val="000000"/>
                <w:szCs w:val="21"/>
              </w:rPr>
            </w:r>
            <w:r/>
          </w:p>
        </w:tc>
      </w:tr>
      <w:tr>
        <w:trPr>
          <w:trHeight w:val="548"/>
        </w:trPr>
        <w:tc>
          <w:tcPr>
            <w:tcW w:w="778"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519" w:type="dxa"/>
            <w:vAlign w:val="center"/>
            <w:textDirection w:val="lrTb"/>
            <w:noWrap w:val="false"/>
          </w:tcPr>
          <w:p>
            <w:pPr>
              <w:pStyle w:val="92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12分</w:t>
            </w:r>
            <w:r>
              <w:rPr>
                <w:rFonts w:ascii="宋体" w:hAnsi="宋体"/>
                <w:szCs w:val="21"/>
              </w:rPr>
            </w:r>
            <w:r/>
          </w:p>
        </w:tc>
        <w:tc>
          <w:tcPr>
            <w:gridSpan w:val="2"/>
            <w:tcW w:w="3986" w:type="dxa"/>
            <w:vAlign w:val="center"/>
            <w:textDirection w:val="lrTb"/>
            <w:noWrap w:val="false"/>
          </w:tcPr>
          <w:p>
            <w:pPr>
              <w:pStyle w:val="925"/>
              <w:rPr>
                <w:rFonts w:hint="eastAsia" w:ascii="宋体" w:hAnsi="宋体" w:cs="宋体"/>
                <w:color w:val="000000"/>
                <w:szCs w:val="21"/>
              </w:rPr>
            </w:pPr>
            <w:r>
              <w:rPr>
                <w:rFonts w:hint="eastAsia" w:ascii="宋体" w:hAnsi="宋体" w:cs="宋体"/>
                <w:color w:val="000000"/>
                <w:szCs w:val="21"/>
              </w:rPr>
              <w:t xml:space="preserve">①2021年1月1日至今（以完工时间为准）完成过</w:t>
            </w:r>
            <w:r>
              <w:rPr>
                <w:rFonts w:hint="eastAsia" w:ascii="宋体" w:hAnsi="宋体" w:cs="宋体"/>
                <w:color w:val="000000"/>
                <w:szCs w:val="21"/>
                <w:lang w:val="en-US" w:eastAsia="zh-CN"/>
              </w:rPr>
              <w:t xml:space="preserve">公路或城市道路</w:t>
            </w:r>
            <w:r>
              <w:rPr>
                <w:rFonts w:hint="eastAsia" w:ascii="宋体" w:hAnsi="宋体" w:cs="宋体"/>
                <w:color w:val="000000"/>
                <w:szCs w:val="21"/>
              </w:rPr>
              <w:t xml:space="preserve">监控施工项目的，有一个得4分，最多得12分。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②2021年1月1日至今（以完工时间为准）完成过国省道路网监测施工项目的，有一个得6分，最多得12分。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③本项最多得12分。</w:t>
            </w:r>
            <w:r>
              <w:rPr>
                <w:rFonts w:hint="eastAsia" w:ascii="宋体" w:hAnsi="宋体" w:cs="宋体"/>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（1）企业业绩评审以“供应商业绩案例一览表”为准，未在表中填报的业绩不予评审。</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（2）同一项目在上述</w:t>
            </w:r>
            <w:r>
              <w:rPr>
                <w:rFonts w:hint="eastAsia" w:ascii="宋体" w:hAnsi="宋体" w:cs="宋体"/>
                <w:color w:val="000000"/>
                <w:szCs w:val="21"/>
              </w:rPr>
              <w:t xml:space="preserve">①和②</w:t>
            </w:r>
            <w:r>
              <w:rPr>
                <w:rFonts w:hint="eastAsia" w:ascii="宋体" w:hAnsi="宋体" w:cs="宋体"/>
                <w:b/>
                <w:color w:val="000000"/>
                <w:szCs w:val="21"/>
              </w:rPr>
              <w:t xml:space="preserve">评分项中不重复计分。</w:t>
            </w:r>
            <w:r>
              <w:rPr>
                <w:rFonts w:hint="eastAsia" w:ascii="宋体" w:hAnsi="宋体" w:cs="宋体"/>
                <w:b/>
                <w:color w:val="000000"/>
                <w:szCs w:val="21"/>
              </w:rPr>
            </w:r>
            <w:r/>
          </w:p>
          <w:p>
            <w:pPr>
              <w:pStyle w:val="925"/>
              <w:rPr>
                <w:rFonts w:hint="eastAsia" w:ascii="宋体" w:hAnsi="宋体" w:cs="宋体"/>
                <w:b/>
                <w:color w:val="000000"/>
                <w:szCs w:val="21"/>
              </w:rPr>
            </w:pPr>
            <w:r>
              <w:rPr>
                <w:rFonts w:hint="eastAsia" w:ascii="宋体" w:hAnsi="宋体" w:cs="宋体"/>
                <w:b/>
                <w:color w:val="000000"/>
                <w:szCs w:val="21"/>
              </w:rPr>
              <w:t xml:space="preserve">（3）项目经理业绩与企业业绩可重复计分。</w:t>
            </w:r>
            <w:r>
              <w:rPr>
                <w:rFonts w:hint="eastAsia" w:ascii="宋体" w:hAnsi="宋体" w:cs="宋体"/>
                <w:b/>
                <w:color w:val="000000"/>
                <w:szCs w:val="21"/>
              </w:rPr>
            </w:r>
            <w:r/>
          </w:p>
        </w:tc>
        <w:tc>
          <w:tcPr>
            <w:tcW w:w="2580"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1、应提供合同电子扫描件并加盖供应商公章。若提供资料不能完整反映要求的，可提供中标通知书或业主单位加盖公章的证明材料电子扫描件并加盖供应商公章。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2、完工时间以交工或竣工验收证书时间或业主单位加盖公章的证明材料为准，提供相应电子扫描件并加盖供应商公章。 </w:t>
            </w:r>
            <w:r>
              <w:rPr>
                <w:rFonts w:hint="eastAsia" w:ascii="宋体" w:hAnsi="宋体" w:cs="宋体"/>
                <w:szCs w:val="21"/>
              </w:rPr>
            </w:r>
            <w:r/>
          </w:p>
          <w:p>
            <w:pPr>
              <w:pStyle w:val="92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rHeight w:val="548"/>
        </w:trPr>
        <w:tc>
          <w:tcPr>
            <w:tcW w:w="778"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3.4</w:t>
            </w:r>
            <w:r>
              <w:rPr>
                <w:rFonts w:hint="eastAsia" w:ascii="宋体" w:hAnsi="宋体"/>
                <w:szCs w:val="21"/>
              </w:rPr>
            </w:r>
            <w:r/>
          </w:p>
        </w:tc>
        <w:tc>
          <w:tcPr>
            <w:tcW w:w="1519"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技术要求响应</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4</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5"/>
              <w:rPr>
                <w:rFonts w:ascii="宋体" w:hAnsi="宋体" w:cs="宋体"/>
                <w:szCs w:val="21"/>
              </w:rPr>
            </w:pPr>
            <w:r>
              <w:rPr>
                <w:rFonts w:hint="eastAsia" w:ascii="宋体" w:hAnsi="宋体" w:cs="宋体"/>
                <w:szCs w:val="21"/>
              </w:rPr>
              <w:t xml:space="preserve">响应文件中所投产品的技术参数全部满足磋商文件要求的得1</w:t>
            </w:r>
            <w:r>
              <w:rPr>
                <w:rFonts w:hint="eastAsia" w:ascii="宋体" w:hAnsi="宋体" w:cs="宋体"/>
                <w:szCs w:val="21"/>
                <w:lang w:val="en-US" w:eastAsia="zh-CN"/>
              </w:rPr>
              <w:t xml:space="preserve">4</w:t>
            </w:r>
            <w:r>
              <w:rPr>
                <w:rFonts w:hint="eastAsia" w:ascii="宋体" w:hAnsi="宋体" w:cs="宋体"/>
                <w:szCs w:val="21"/>
              </w:rPr>
              <w:t xml:space="preserve">分；打“▲”条款出现负偏离的，给予每条参数2分的扣分，扣完为止。如有提供虚假技术参数的，一经发现按无效投标处理。提供相关证明文件复印件加盖公章。</w:t>
            </w:r>
            <w:r>
              <w:rPr>
                <w:rFonts w:ascii="宋体" w:hAnsi="宋体" w:cs="宋体"/>
                <w:szCs w:val="21"/>
              </w:rPr>
            </w:r>
            <w:r/>
          </w:p>
        </w:tc>
        <w:tc>
          <w:tcPr>
            <w:tcW w:w="2580" w:type="dxa"/>
            <w:vAlign w:val="center"/>
            <w:textDirection w:val="lrTb"/>
            <w:noWrap w:val="false"/>
          </w:tcPr>
          <w:p>
            <w:pPr>
              <w:pStyle w:val="925"/>
              <w:jc w:val="left"/>
              <w:widowControl/>
              <w:rPr>
                <w:rFonts w:hint="eastAsia" w:ascii="宋体" w:hAnsi="宋体" w:cs="宋体"/>
                <w:szCs w:val="21"/>
              </w:rPr>
            </w:pPr>
            <w:r>
              <w:rPr>
                <w:rFonts w:hint="eastAsia" w:ascii="宋体" w:hAnsi="宋体" w:cs="宋体"/>
                <w:szCs w:val="21"/>
              </w:rPr>
              <w:t xml:space="preserve">按对应参数要求</w:t>
            </w:r>
            <w:r>
              <w:rPr>
                <w:rFonts w:hint="eastAsia" w:ascii="宋体" w:hAnsi="宋体"/>
              </w:rPr>
              <w:t xml:space="preserve">提供国家权威检测机构的检验检测报告(复印件加盖原厂公章）</w:t>
            </w:r>
            <w:r>
              <w:rPr>
                <w:rFonts w:hint="eastAsia" w:ascii="宋体" w:hAnsi="宋体" w:cs="宋体"/>
                <w:szCs w:val="21"/>
              </w:rPr>
              <w:t xml:space="preserve">为准。</w:t>
            </w:r>
            <w:r>
              <w:rPr>
                <w:rFonts w:hint="eastAsia" w:ascii="宋体" w:hAnsi="宋体" w:cs="宋体"/>
                <w:szCs w:val="21"/>
              </w:rPr>
            </w:r>
            <w:r/>
          </w:p>
        </w:tc>
      </w:tr>
      <w:tr>
        <w:trPr>
          <w:trHeight w:val="548"/>
        </w:trPr>
        <w:tc>
          <w:tcPr>
            <w:tcW w:w="778" w:type="dxa"/>
            <w:vAlign w:val="center"/>
            <w:textDirection w:val="lrTb"/>
            <w:noWrap w:val="false"/>
          </w:tcPr>
          <w:p>
            <w:pPr>
              <w:pStyle w:val="925"/>
              <w:ind w:firstLine="28"/>
              <w:jc w:val="center"/>
              <w:rPr>
                <w:rFonts w:hint="eastAsia" w:ascii="宋体" w:hAnsi="宋体"/>
                <w:szCs w:val="21"/>
              </w:rPr>
            </w:pPr>
            <w:r>
              <w:rPr>
                <w:rFonts w:hint="eastAsia" w:ascii="宋体" w:hAnsi="宋体"/>
                <w:szCs w:val="21"/>
              </w:rPr>
              <w:t xml:space="preserve">3.5</w:t>
            </w:r>
            <w:r>
              <w:rPr>
                <w:rFonts w:hint="eastAsia" w:ascii="宋体" w:hAnsi="宋体"/>
                <w:szCs w:val="21"/>
              </w:rPr>
            </w:r>
            <w:r/>
          </w:p>
        </w:tc>
        <w:tc>
          <w:tcPr>
            <w:tcW w:w="1519" w:type="dxa"/>
            <w:vAlign w:val="center"/>
            <w:textDirection w:val="lrTb"/>
            <w:noWrap w:val="false"/>
          </w:tcPr>
          <w:p>
            <w:pPr>
              <w:pStyle w:val="925"/>
              <w:jc w:val="center"/>
              <w:rPr>
                <w:rFonts w:ascii="宋体" w:hAnsi="宋体" w:cs="宋体"/>
                <w:szCs w:val="21"/>
              </w:rPr>
            </w:pPr>
            <w:r>
              <w:rPr>
                <w:rFonts w:hint="eastAsia" w:ascii="宋体" w:hAnsi="宋体" w:cs="宋体"/>
                <w:szCs w:val="21"/>
              </w:rPr>
              <w:t xml:space="preserve">售后服务</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szCs w:val="21"/>
              </w:rPr>
            </w:r>
            <w:r/>
          </w:p>
        </w:tc>
        <w:tc>
          <w:tcPr>
            <w:gridSpan w:val="2"/>
            <w:tcW w:w="3986" w:type="dxa"/>
            <w:vAlign w:val="center"/>
            <w:textDirection w:val="lrTb"/>
            <w:noWrap w:val="false"/>
          </w:tcPr>
          <w:p>
            <w:pPr>
              <w:pStyle w:val="925"/>
              <w:widowControl/>
              <w:rPr>
                <w:rFonts w:ascii="宋体" w:hAnsi="宋体" w:cs="宋体"/>
                <w:bCs/>
                <w:sz w:val="20"/>
                <w:szCs w:val="20"/>
              </w:rPr>
            </w:pPr>
            <w:r>
              <w:rPr>
                <w:rFonts w:hint="eastAsia" w:ascii="宋体" w:hAnsi="宋体" w:cs="宋体"/>
                <w:szCs w:val="21"/>
              </w:rPr>
              <w:t xml:space="preserve">本项目所涉及的道路监控设备提供原厂两年质保证明并加盖公章的得</w:t>
            </w:r>
            <w:r>
              <w:rPr>
                <w:rFonts w:hint="eastAsia" w:ascii="宋体" w:hAnsi="宋体" w:cs="宋体"/>
                <w:szCs w:val="21"/>
                <w:lang w:val="en-US" w:eastAsia="zh-CN"/>
              </w:rPr>
              <w:t xml:space="preserve">3</w:t>
            </w:r>
            <w:r>
              <w:rPr>
                <w:rFonts w:hint="eastAsia" w:ascii="宋体" w:hAnsi="宋体" w:cs="宋体"/>
                <w:szCs w:val="21"/>
              </w:rPr>
              <w:t xml:space="preserve">分。证明提供不全不得分。</w:t>
            </w:r>
            <w:r>
              <w:rPr>
                <w:rFonts w:ascii="宋体" w:hAnsi="宋体" w:cs="宋体"/>
                <w:bCs/>
                <w:sz w:val="20"/>
                <w:szCs w:val="20"/>
              </w:rPr>
            </w:r>
            <w:r/>
          </w:p>
        </w:tc>
        <w:tc>
          <w:tcPr>
            <w:tcW w:w="2580" w:type="dxa"/>
            <w:vAlign w:val="center"/>
            <w:textDirection w:val="lrTb"/>
            <w:noWrap w:val="false"/>
          </w:tcPr>
          <w:p>
            <w:pPr>
              <w:pStyle w:val="925"/>
              <w:jc w:val="left"/>
              <w:widowControl/>
              <w:rPr>
                <w:rFonts w:hint="eastAsia" w:ascii="宋体" w:hAnsi="宋体" w:cs="宋体"/>
                <w:szCs w:val="21"/>
              </w:rPr>
            </w:pPr>
            <w:r>
              <w:rPr>
                <w:rFonts w:hint="eastAsia" w:ascii="宋体" w:hAnsi="宋体" w:cs="宋体"/>
                <w:szCs w:val="21"/>
              </w:rPr>
            </w:r>
            <w:r/>
          </w:p>
        </w:tc>
      </w:tr>
      <w:tr>
        <w:trPr/>
        <w:tc>
          <w:tcPr>
            <w:gridSpan w:val="2"/>
            <w:tcW w:w="2297" w:type="dxa"/>
            <w:vAlign w:val="center"/>
            <w:textDirection w:val="lrTb"/>
            <w:noWrap w:val="false"/>
          </w:tcPr>
          <w:p>
            <w:pPr>
              <w:pStyle w:val="92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ascii="宋体" w:hAnsi="宋体"/>
                <w:szCs w:val="21"/>
              </w:rPr>
              <w:t xml:space="preserve">100分</w:t>
            </w:r>
            <w:r>
              <w:rPr>
                <w:rFonts w:ascii="宋体" w:hAnsi="宋体"/>
                <w:szCs w:val="21"/>
              </w:rPr>
            </w:r>
            <w:r/>
          </w:p>
        </w:tc>
        <w:tc>
          <w:tcPr>
            <w:gridSpan w:val="3"/>
            <w:tcW w:w="6566" w:type="dxa"/>
            <w:vAlign w:val="center"/>
            <w:textDirection w:val="lrTb"/>
            <w:noWrap w:val="false"/>
          </w:tcPr>
          <w:p>
            <w:pPr>
              <w:pStyle w:val="925"/>
              <w:rPr>
                <w:rFonts w:ascii="宋体" w:hAnsi="宋体"/>
                <w:szCs w:val="21"/>
              </w:rPr>
            </w:pPr>
            <w:r>
              <w:rPr>
                <w:rFonts w:ascii="宋体" w:hAnsi="宋体"/>
                <w:szCs w:val="21"/>
              </w:rPr>
            </w:r>
            <w:r/>
          </w:p>
        </w:tc>
      </w:tr>
    </w:tbl>
    <w:p>
      <w:pPr>
        <w:pStyle w:val="925"/>
        <w:spacing w:before="156" w:line="360" w:lineRule="auto"/>
        <w:tabs>
          <w:tab w:val="left" w:pos="360" w:leader="none"/>
          <w:tab w:val="left" w:pos="1080" w:leader="none"/>
        </w:tabs>
        <w:rPr>
          <w:rFonts w:hint="eastAsia"/>
          <w:b/>
          <w:sz w:val="24"/>
        </w:rPr>
      </w:pPr>
      <w:r>
        <w:rPr>
          <w:b/>
          <w:sz w:val="36"/>
          <w:szCs w:val="36"/>
        </w:rPr>
        <w:br w:type="page" w:clear="all"/>
      </w:r>
      <w:bookmarkStart w:id="653" w:name="_Toc104818928"/>
      <w:r>
        <w:rPr>
          <w:rFonts w:hint="eastAsia"/>
          <w:b/>
          <w:sz w:val="24"/>
        </w:rPr>
      </w:r>
      <w:r/>
    </w:p>
    <w:p>
      <w:pPr>
        <w:pStyle w:val="925"/>
        <w:numPr>
          <w:ilvl w:val="0"/>
          <w:numId w:val="4"/>
        </w:numPr>
        <w:jc w:val="center"/>
        <w:spacing w:line="360" w:lineRule="auto"/>
        <w:rPr>
          <w:b/>
          <w:sz w:val="36"/>
          <w:szCs w:val="36"/>
        </w:rPr>
        <w:outlineLvl w:val="0"/>
      </w:pPr>
      <w:r>
        <w:rPr>
          <w:b/>
          <w:sz w:val="36"/>
          <w:szCs w:val="36"/>
        </w:rPr>
        <w:t xml:space="preserve">  采购需求</w:t>
      </w:r>
      <w:bookmarkEnd w:id="653"/>
      <w:r>
        <w:rPr>
          <w:b/>
          <w:sz w:val="36"/>
          <w:szCs w:val="36"/>
        </w:rPr>
      </w:r>
      <w:r/>
    </w:p>
    <w:p>
      <w:pPr>
        <w:pStyle w:val="925"/>
        <w:jc w:val="center"/>
        <w:spacing w:line="360" w:lineRule="auto"/>
        <w:rPr>
          <w:b/>
          <w:sz w:val="36"/>
          <w:szCs w:val="36"/>
        </w:rPr>
        <w:outlineLvl w:val="0"/>
      </w:pPr>
      <w:r>
        <w:rPr>
          <w:b/>
          <w:sz w:val="36"/>
          <w:szCs w:val="36"/>
        </w:rPr>
      </w:r>
      <w:r/>
    </w:p>
    <w:p>
      <w:pPr>
        <w:pStyle w:val="925"/>
        <w:spacing w:line="440" w:lineRule="exact"/>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1．项目名称：2026年常州市普通国省道路网运行监测设施及桥梁视频监控建设工程施工项目</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2．预算金额：260万元</w:t>
      </w:r>
      <w:r>
        <w:rPr>
          <w:rFonts w:hint="eastAsia" w:ascii="宋体" w:hAnsi="宋体"/>
          <w:szCs w:val="21"/>
        </w:rPr>
      </w:r>
      <w:r/>
    </w:p>
    <w:p>
      <w:pPr>
        <w:pStyle w:val="925"/>
        <w:ind w:firstLine="420"/>
        <w:jc w:val="left"/>
        <w:spacing w:line="440" w:lineRule="exact"/>
        <w:rPr>
          <w:rFonts w:hint="eastAsia" w:ascii="宋体" w:hAnsi="宋体"/>
          <w:color w:val="000000"/>
          <w:szCs w:val="21"/>
        </w:rPr>
      </w:pPr>
      <w:r>
        <w:rPr>
          <w:rFonts w:hint="eastAsia" w:ascii="宋体" w:hAnsi="宋体"/>
          <w:szCs w:val="21"/>
        </w:rPr>
        <w:t xml:space="preserve">3．最高限价：</w:t>
      </w:r>
      <w:r>
        <w:rPr>
          <w:rFonts w:hint="eastAsia" w:ascii="宋体" w:hAnsi="宋体"/>
          <w:color w:val="000000"/>
          <w:szCs w:val="21"/>
        </w:rPr>
        <w:t xml:space="preserve">259.733万元</w:t>
      </w:r>
      <w:r>
        <w:rPr>
          <w:rFonts w:hint="eastAsia" w:ascii="宋体" w:hAnsi="宋体"/>
          <w:color w:val="000000"/>
          <w:szCs w:val="21"/>
        </w:rPr>
      </w:r>
      <w:r/>
    </w:p>
    <w:p>
      <w:pPr>
        <w:pStyle w:val="925"/>
        <w:ind w:firstLine="420"/>
        <w:jc w:val="left"/>
        <w:spacing w:line="360" w:lineRule="auto"/>
        <w:rPr>
          <w:rFonts w:hint="eastAsia" w:ascii="宋体" w:hAnsi="宋体"/>
          <w:bCs/>
          <w:szCs w:val="21"/>
        </w:rPr>
      </w:pPr>
      <w:r>
        <w:rPr>
          <w:rFonts w:hint="eastAsia" w:ascii="宋体" w:hAnsi="宋体"/>
          <w:szCs w:val="21"/>
        </w:rPr>
        <w:t xml:space="preserve">4．采购项目概况（简介）：</w:t>
      </w:r>
      <w:r>
        <w:rPr>
          <w:rFonts w:hint="eastAsia" w:ascii="宋体" w:hAnsi="宋体"/>
          <w:bCs/>
          <w:szCs w:val="21"/>
        </w:rPr>
        <w:t xml:space="preserve">2026年常州市路网监测工程拟新建16个固定视频监测点、新建1个交调点、升级（移位）改造19个视频监测点、升级改造8个交调点，移位改造3个交调点，提高对路网事件监测与处置效率。</w:t>
      </w:r>
      <w:r>
        <w:rPr>
          <w:rFonts w:hint="eastAsia" w:ascii="宋体" w:hAnsi="宋体"/>
          <w:bCs/>
          <w:szCs w:val="21"/>
        </w:rPr>
      </w:r>
      <w:r/>
    </w:p>
    <w:p>
      <w:pPr>
        <w:pStyle w:val="925"/>
        <w:ind w:firstLine="420"/>
        <w:jc w:val="left"/>
        <w:spacing w:line="360" w:lineRule="auto"/>
        <w:rPr>
          <w:rFonts w:hint="eastAsia" w:ascii="宋体" w:hAnsi="宋体"/>
          <w:bCs/>
          <w:szCs w:val="21"/>
          <w:u w:val="single"/>
        </w:rPr>
      </w:pPr>
      <w:r>
        <w:rPr>
          <w:rFonts w:hint="eastAsia" w:ascii="宋体" w:hAnsi="宋体"/>
          <w:bCs/>
          <w:szCs w:val="21"/>
          <w:u w:val="single"/>
        </w:rPr>
        <w:t xml:space="preserve">本采购项目共设一个包。主要工作内容为交调站点、桥梁视频监控等的新建及升级改造施工，且包括施工方案深化设计、设备采购、运输、安装布线、调试、技术培训及缺陷修复。</w:t>
      </w:r>
      <w:r>
        <w:rPr>
          <w:rFonts w:hint="eastAsia" w:ascii="宋体" w:hAnsi="宋体"/>
          <w:bCs/>
          <w:szCs w:val="21"/>
          <w:u w:val="single"/>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5．合同履行期限：自合同签订之日起-2026年9月30日；</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试运行期：自完工之日起1个月；</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缺陷责任期：自验收合格后起12个月。</w:t>
      </w:r>
      <w:r>
        <w:rPr>
          <w:rFonts w:hint="eastAsia" w:ascii="宋体" w:hAnsi="宋体"/>
          <w:color w:val="000000"/>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10．是/否专门面向中小企业预留采购份额：是</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1019"/>
        <w:contextualSpacing/>
        <w:ind w:firstLine="0"/>
        <w:spacing w:line="440" w:lineRule="exact"/>
        <w:rPr>
          <w:rFonts w:ascii="宋体" w:hAnsi="宋体"/>
          <w:b/>
          <w:szCs w:val="21"/>
        </w:rPr>
      </w:pPr>
      <w:r>
        <w:rPr>
          <w:rFonts w:hint="eastAsia" w:ascii="宋体" w:hAnsi="宋体"/>
          <w:b/>
          <w:szCs w:val="21"/>
        </w:rPr>
        <w:t xml:space="preserve">二、</w:t>
      </w:r>
      <w:r>
        <w:rPr>
          <w:rFonts w:ascii="宋体" w:hAnsi="宋体"/>
          <w:b/>
          <w:szCs w:val="21"/>
        </w:rPr>
        <w:t xml:space="preserve">商务要求</w:t>
      </w:r>
      <w:r>
        <w:rPr>
          <w:rFonts w:ascii="宋体" w:hAnsi="宋体"/>
          <w:b/>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1.实施的期限和范围：自合同签订之日起-2026年9月30日；试运行期：自完工之日起1个月；缺陷责任期：自验收合格后起12个月。</w:t>
      </w:r>
      <w:r>
        <w:rPr>
          <w:rFonts w:hint="eastAsia" w:ascii="宋体" w:hAnsi="宋体"/>
          <w:color w:val="000000"/>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2.付款条件</w:t>
      </w:r>
      <w:r>
        <w:rPr>
          <w:rFonts w:hint="eastAsia" w:ascii="宋体" w:hAnsi="宋体"/>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（1）合同签订并在监理人发出开工令后，按30%的签约合同价支付开工预付款；</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（2）本工程开工后按进度计量款的80%支付（同时预付款在进度付款中扣回，直至预付款全部扣回。）；</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（3）交工验收合格后支付至工程计量款的97%；</w:t>
      </w:r>
      <w:r>
        <w:rPr>
          <w:rFonts w:hint="eastAsia" w:ascii="宋体" w:hAnsi="宋体"/>
          <w:b/>
          <w:bCs/>
          <w:szCs w:val="21"/>
        </w:rPr>
      </w:r>
      <w:r/>
    </w:p>
    <w:p>
      <w:pPr>
        <w:pStyle w:val="925"/>
        <w:ind w:firstLine="422"/>
        <w:jc w:val="left"/>
        <w:spacing w:line="440" w:lineRule="exact"/>
        <w:rPr>
          <w:rFonts w:hint="eastAsia" w:ascii="宋体" w:hAnsi="宋体"/>
          <w:b/>
          <w:bCs/>
          <w:szCs w:val="21"/>
        </w:rPr>
      </w:pPr>
      <w:r>
        <w:rPr>
          <w:rFonts w:hint="eastAsia" w:ascii="宋体" w:hAnsi="宋体"/>
          <w:b/>
          <w:bCs/>
          <w:szCs w:val="21"/>
        </w:rPr>
        <w:t xml:space="preserve">（4）缺陷责任期结束后按审定价结清余款（不计利息）。</w:t>
      </w:r>
      <w:r>
        <w:rPr>
          <w:rFonts w:hint="eastAsia" w:ascii="宋体" w:hAnsi="宋体"/>
          <w:b/>
          <w:bCs/>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4．售后服务（质保期等）</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根据采购人要求提供相应后续服务，相关费用包含在报价内，不另行支付。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5．保险</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建筑工程一切险、第三者责任险等由承包人根据本工程的风险程度自行投保，其费用包括在清单报价内，不另行支付。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2"/>
        <w:jc w:val="left"/>
        <w:spacing w:line="440" w:lineRule="exact"/>
        <w:rPr>
          <w:rFonts w:hint="eastAsia" w:ascii="宋体" w:hAnsi="宋体"/>
          <w:szCs w:val="21"/>
        </w:rPr>
      </w:pP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szCs w:val="21"/>
        </w:rPr>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6．企业实力及拟投入人员要求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(1)供应商根据项目情况，针对技术实现方案和说明；项目施工组织设计；供应商的培训计划、技术支持及各项承诺书、应急保障及缺陷责任期保修方案等方面进行阐述，更优于项目开展。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(2)供应商具备与本项目相适应的类似业绩经历。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(3)本项目要求配备1名项目经理和1名项目总工。</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★（5）项目经理无在岗项目要求：</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①在项目投标截止时间之前，供应商拟投入的项目经理已在其他项目中作为项目经理或项目总工任职，包括在已发出中标通知书或者签定合约的其他项目中作为项目经理或项目总工的，应当视为有在岗项目；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②未在其他项目上作为项目经理或项目总工任职，或虽在其他项目上作为项目经理或项目总工任职、但在响应文件中提供了拟投入本项目中的项目经理在中标后可以从其他项目撤离的书面承诺，视为无在岗项目；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③供应商拟投入的项目经理在其他项目上作为项目经理或项目总工任职，虽然项目尚未交工但符合下列情形之一、并在投标文件中提供一旦中标可以从其他项目上撤离的书面承诺，视为无在岗项目：</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a.工程已经完工，经项目质量监督机构核验合格，项目经理或项目总工基本完成职责，非投标人原因尚未进行交工验收的；</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b.工程中标后半年内非中标人原因无法开工或停工半年以上无法复工等情况。</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(7)项目经理具有一定的相关经验。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(8)本项目需配备一定数量的项目组成员（除项目经理外），且具备一定的资历。</w:t>
      </w:r>
      <w:r/>
    </w:p>
    <w:p>
      <w:pPr>
        <w:pStyle w:val="925"/>
        <w:spacing w:line="440" w:lineRule="exact"/>
        <w:rPr>
          <w:rFonts w:hint="eastAsia" w:ascii="宋体" w:hAnsi="宋体" w:cs="宋体"/>
          <w:b/>
          <w:szCs w:val="21"/>
        </w:rPr>
      </w:pPr>
      <w:r>
        <w:rPr>
          <w:rFonts w:hint="eastAsia" w:ascii="宋体" w:hAnsi="宋体" w:cs="宋体"/>
          <w:b/>
          <w:szCs w:val="21"/>
        </w:rPr>
        <w:t xml:space="preserve">三、技术要求（主要设备技术参数及施工要求）</w:t>
      </w:r>
      <w:r>
        <w:rPr>
          <w:rFonts w:hint="eastAsia" w:ascii="宋体" w:hAnsi="宋体" w:cs="宋体"/>
          <w:b/>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交通运行数据监测设施技术指标</w:t>
      </w:r>
      <w:r>
        <w:rPr>
          <w:rFonts w:hint="eastAsia" w:ascii="宋体" w:hAnsi="宋体"/>
          <w:szCs w:val="21"/>
        </w:rPr>
      </w:r>
      <w:r/>
    </w:p>
    <w:p>
      <w:pPr>
        <w:pStyle w:val="925"/>
        <w:ind w:firstLine="420"/>
        <w:spacing w:line="360" w:lineRule="auto"/>
        <w:rPr>
          <w:rFonts w:hint="eastAsia" w:ascii="宋体" w:hAnsi="宋体"/>
          <w:shd w:val="clear" w:color="auto" w:fill="fdeada"/>
        </w:rPr>
      </w:pPr>
      <w:r>
        <w:rPr>
          <w:rFonts w:hint="eastAsia" w:ascii="宋体" w:hAnsi="宋体"/>
          <w:shd w:val="clear" w:color="auto" w:fill="fdeada"/>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rPr>
          <w:rFonts w:hint="eastAsia" w:ascii="宋体" w:hAnsi="宋体"/>
          <w:shd w:val="clear" w:color="auto" w:fill="fdeada"/>
        </w:rPr>
      </w:r>
      <w:r/>
    </w:p>
    <w:p>
      <w:pPr>
        <w:pStyle w:val="930"/>
        <w:numPr>
          <w:ilvl w:val="0"/>
          <w:numId w:val="0"/>
        </w:numPr>
        <w:spacing w:before="0" w:after="0" w:line="360" w:lineRule="auto"/>
        <w:rPr>
          <w:rFonts w:hint="eastAsia"/>
        </w:rPr>
      </w:pPr>
      <w:r>
        <w:rPr>
          <w:rFonts w:hint="eastAsia"/>
          <w:b/>
          <w:sz w:val="28"/>
          <w:szCs w:val="20"/>
          <w:lang w:val="en-US" w:eastAsia="zh-CN" w:bidi="ar-SA"/>
        </w:rPr>
        <w:t xml:space="preserve">1、</w:t>
      </w:r>
      <w:r>
        <w:rPr>
          <w:rFonts w:hint="eastAsia"/>
        </w:rPr>
        <w:t xml:space="preserve">道路监控摄像机参数</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w:t>
      </w:r>
      <w:r>
        <w:rPr>
          <w:rFonts w:hint="eastAsia" w:ascii="宋体" w:hAnsi="宋体"/>
          <w:b/>
          <w:bCs/>
          <w:szCs w:val="24"/>
          <w:lang w:val="en-US" w:eastAsia="zh-CN"/>
        </w:rPr>
        <w:t xml:space="preserve">1</w:t>
      </w:r>
      <w:r>
        <w:rPr>
          <w:rFonts w:hint="eastAsia" w:ascii="宋体" w:hAnsi="宋体"/>
          <w:b/>
          <w:bCs/>
          <w:szCs w:val="24"/>
        </w:rPr>
        <w:t xml:space="preserve">）400万三目环视网络摄像机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1）由三路摄像机组成，2路全景电动变焦摄像机均支持不低于25倍光学变倍，1路细节电动变焦摄像机支持不低于40倍光学变倍。CMOS 靶面尺寸均不低于1/1.8英寸。</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2）全景1、全景2和细节3个球机像素均采用不低于400万像素；全景1分辨率≥2688×1520；全景2分辨率≥2688×1520；细节分辨率≥2560×1440。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3）支持超星光级超低照度，彩色：≤0.0002Lux 黑白：≤0.0001Lux；0Lux红外灯开启。镜头焦距：全景球机1焦距范围5.4mm~135mm ；全景球机2焦距范围5.4mm~135mm；细节球机焦距范围5.5mm～220mm。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4）全景球机1支持≥4颗（红外灯），补光距离≥150m（红外）；全景球机2支持≥4颗（红外灯），补光距离≥150m（红外）；细节球机支持≥6颗（红外灯）≥4颗（白光灯），补光距离≥450m（红外）≥80米（白光）。</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▲5）2路全景摄像机支持水平旋转0°～240°</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1路细节摄像机支持水平旋转0°～360°。支持强光抑制功能，夜晚天气晴朗无遮挡的条件下：可对车灯进行强光抑制，可识别距离样机250m处的车辆（5.1m×1.7m）轮廓。细节摄像机具有防抖功能，在振动台振幅不大于0.3°，振动频率不大于10Hz情况下，视频图像在振动过程中应保持稳定清晰。</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具有道路病害检测功能，支持横向/纵向裂缝及龟裂的路面异常检测，当检测到相关事件后，可联动报警输出、上传录像、抓拍图片及裂缝长宽信息；可绘制多边形检测区域，可设置检测灵敏度（1～10）、持续时间（1～300s）、重复报警时间（1～720min）；支持路面区域标定，可通过标定计算出路面裂缝长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7）支持≥300个预置位，≥8条巡航路径，≥5条巡迹路径。支持行人、路障、施工、事故、起雾、停车检测等交通事件检测。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8）支持光学透雾，雾天也能输出清晰、透彻的图像；支持陀螺仪防抖；支持北斗定位及G-sensor功能。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9）支持≥1路音频输入和≥1路音频输出；内置≥7路报警输入和≥2路报警输出，支持报警联动功能。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10）支持≥IP67防护等级，6000V防雷、防浪涌和防突波保护。支持DC36V±25%宽电压输入。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11）含电源及壁装支架。</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w:t>
      </w:r>
      <w:r>
        <w:rPr>
          <w:rFonts w:hint="eastAsia" w:ascii="宋体" w:hAnsi="宋体"/>
          <w:b/>
          <w:bCs/>
          <w:szCs w:val="24"/>
          <w:lang w:val="en-US" w:eastAsia="zh-CN"/>
        </w:rPr>
        <w:t xml:space="preserve">2</w:t>
      </w:r>
      <w:r>
        <w:rPr>
          <w:rFonts w:hint="eastAsia" w:ascii="宋体" w:hAnsi="宋体"/>
          <w:b/>
          <w:bCs/>
          <w:szCs w:val="24"/>
        </w:rPr>
        <w:t xml:space="preserve">）400万智能红外网络球机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1）内置GPU芯片，内置≥2个镜头，均采用不低于400 万像素1/1.8 英寸CMOS，全景和细节分辨率均≥2560×1440。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2）支持超低照度：彩色≤0.0002lux；黑白≤0.0001lux；0lux（红外灯开启）。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全景采用定焦镜头，镜头焦距≤6mm。细节采用电动变焦镜头，镜头焦距范围5.5mm～220mm；细节支持≥40倍光学变倍，≥16倍数字变倍；细节水平方向360°连续旋转，垂直方向-15°～90°自动翻转180°后连续监视，无监视盲区；支持不低于300个预置点，不低于8条巡航路径。支持可视域功能。</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4）支持内置不低于11颗补光灯；其中≥2颗红外补光灯、≥5颗白光补光灯和≥4颗激光灯补光灯，支持手动/自动开启补光灯，可按类型控制补光灯，并分别控制激光、红外和白光灯亮度，不同补光灯可独立匹配不同镜头。夜视距离支持开启白光灯，细节通道可识别距离设备120m处人体（1.7m×0.5m）轮廓。夜视距离支持开启红外灯和激光补光灯后，细节通道可识别距离设备500m处人体（1.7m×0.5m）轮廓。</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5）支持行人、路障、施工、事故、起雾、停车检测等交通事件检测功能。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支持道路病害智能检测，支持横向/纵向裂缝以及龟裂的路面异常检测，并产生报警事件上传抓图以及裂缝长宽信道路病害息。可绘制多边形检测区域，支持检测灵敏度1-10可配，持续时间1-300s可设，重复报警时间1-720分钟可设。支持路面区域标定用于测量路面裂缝范围长宽。</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7）融合态下支持0.6到40连续变倍功能，内置定焦镜头和电动变焦镜头，可进行连续变倍，实时监控画面支持由0.6倍、0.7倍、0.8倍、0.9倍、1倍、2倍、3倍......40倍连续变倍显示。具有阻尼防抖，固定频率15Hz、加速度0.3g，X、Y、Z三个方向各振动10min。设备处于工作状态，设备应能正常工作且视频画面应清晰稳定；设备具有陀螺仪防抖设置选项。</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8）内置陀螺仪防抖及雨刷，支持电感式编码功能；支持光学透雾功能；支持≥1路音频输入和≥1 路音频输出；支持≥7路报警输入≥2路报警输出。</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9）支持DC36V/2.23A±25%宽电压输入；防护等级支持≥IP67；TVS 6000V 防雷、防浪涌和防突波保护。</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10）含电源、配套壁装支架。</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（3）400万低照度网络球机</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1）采用不低于400万像素1/2.8 英寸CMOS，分辨率≥2560×1440。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2）内置≥2颗柔光双色灯，≥2颗红外灯；最大补光距离150m。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3）支持可视域功能，支持宽动态功能，支持强光抑制功能；支持电子透雾功能。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4）支持水平：0°～360°连续旋转；垂直：-15°～+90°自动翻转180°后连续监视；支持≥300个预置位，≥8条巡航路径，≥5条巡迹路径。</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5）通用行为分析：支持绊线入侵；支持区域入侵；支持穿越围栏；支持徘徊检测；支持物品遗留；支持物品搬移；支持快速移动；支持停车检测；支持人员聚集；支持人车分类报警；支持联动跟踪。</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6）支持白光警戒；闪烁时间可设置：5-30秒；频率：高/中/低；支持内置22条语音报警内容，支持自定义语音内容导入；声音：0-100可调；播放次数1-10次可调；</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7）设备可对进入警戒区域的人和车辆,触发报警之后,进行抓拍</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并通过白光闪烁的方式进行实时预警,支持内置喇叭设备实现声音警示并具有联动智能跟踪功能。距离设备1m处,样机内置扬声器播放最大声级不小于90dB(A)。</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提供国家权威检测机构的检验检测报告(复印件加盖原厂公章）</w:t>
      </w:r>
      <w:r>
        <w:rPr>
          <w:rFonts w:hint="eastAsia" w:ascii="宋体" w:hAnsi="宋体" w:eastAsia="宋体" w:cs="Times New Roman"/>
          <w:szCs w:val="24"/>
          <w:lang w:eastAsia="zh-CN"/>
        </w:rPr>
        <w:t xml:space="preserve">）</w:t>
      </w:r>
      <w:r>
        <w:rPr>
          <w:rFonts w:hint="eastAsia" w:ascii="宋体" w:hAnsi="宋体" w:eastAsia="宋体" w:cs="Times New Roman"/>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8）视频压缩标准支持Smart H.265；H.265；Smart H.264；H.264；H.264B；H.264H；MJPEG；音频压缩标准支持PCM；G.711a；G.711Mu；G.726；AAC；MPEG2-Layer2；G722.1；G729；G723。</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9）支持内置双麦克风，内置扬声器，支持语音对讲功能；网络接口≥1个（RJ-45母头网口，支持10M/100M网络数据）；音频输入≥1路；音频输出≥1路；报警输入≥1路；报警输出≥1路；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10）支持DC12V±10%宽电压输入,支持IP66防护等级，6000V防雷、防浪涌和防突波保护。</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11）含电源、配套壁装支架。</w:t>
      </w:r>
      <w:r>
        <w:rPr>
          <w:rFonts w:hint="eastAsia" w:ascii="宋体" w:hAnsi="宋体"/>
          <w:szCs w:val="24"/>
        </w:rPr>
      </w:r>
      <w:r/>
    </w:p>
    <w:p>
      <w:pPr>
        <w:pStyle w:val="930"/>
        <w:spacing w:before="0" w:after="0" w:line="360" w:lineRule="auto"/>
        <w:rPr>
          <w:rFonts w:hint="eastAsia"/>
        </w:rPr>
      </w:pPr>
      <w:r>
        <w:rPr>
          <w:rFonts w:hint="eastAsia"/>
          <w:lang w:val="en-US" w:eastAsia="zh-CN"/>
        </w:rPr>
        <w:t xml:space="preserve">2</w:t>
      </w:r>
      <w:r>
        <w:rPr>
          <w:rFonts w:hint="eastAsia"/>
        </w:rPr>
        <w:t xml:space="preserve">、固定交通信息采集设备参数（I类交调设备）</w:t>
      </w:r>
      <w:r>
        <w:rPr>
          <w:rFonts w:hint="eastAsia"/>
        </w:rPr>
      </w:r>
      <w:r/>
    </w:p>
    <w:p>
      <w:pPr>
        <w:pStyle w:val="925"/>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（1）超声波+微波组合式交调设备</w:t>
      </w:r>
      <w:r>
        <w:rPr>
          <w:rFonts w:hint="eastAsia" w:ascii="宋体" w:hAnsi="宋体" w:cs="宋体"/>
          <w:b/>
          <w:color w:val="000000"/>
          <w:szCs w:val="21"/>
        </w:rPr>
      </w:r>
      <w:r/>
    </w:p>
    <w:p>
      <w:pPr>
        <w:pStyle w:val="1019"/>
        <w:spacing w:line="360" w:lineRule="auto"/>
        <w:shd w:val="clear" w:color="auto" w:fill="ffffff"/>
        <w:rPr>
          <w:rFonts w:ascii="宋体" w:hAnsi="宋体"/>
          <w:szCs w:val="24"/>
        </w:rPr>
      </w:pPr>
      <w:r>
        <w:rPr>
          <w:rFonts w:hint="eastAsia" w:ascii="宋体" w:hAnsi="宋体"/>
          <w:szCs w:val="24"/>
        </w:rPr>
        <w:t xml:space="preserve">1）识别机动车车型分类标准：</w:t>
      </w:r>
      <w:r>
        <w:rPr>
          <w:rFonts w:ascii="宋体" w:hAnsi="宋体"/>
          <w:szCs w:val="24"/>
        </w:rPr>
        <w:t xml:space="preserve">7</w:t>
      </w:r>
      <w:r>
        <w:rPr>
          <w:rFonts w:hint="eastAsia" w:ascii="宋体" w:hAnsi="宋体"/>
          <w:szCs w:val="24"/>
        </w:rPr>
        <w:t xml:space="preserve">种车型；</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2）工作环境温度：</w:t>
      </w:r>
      <w:r>
        <w:rPr>
          <w:rFonts w:ascii="宋体" w:hAnsi="宋体"/>
          <w:szCs w:val="24"/>
        </w:rPr>
        <w:t xml:space="preserve">-55°</w:t>
      </w:r>
      <w:r>
        <w:rPr>
          <w:rFonts w:hint="eastAsia" w:ascii="宋体" w:hAnsi="宋体"/>
          <w:szCs w:val="24"/>
        </w:rPr>
        <w:t xml:space="preserve">～</w:t>
      </w:r>
      <w:r>
        <w:rPr>
          <w:rFonts w:ascii="宋体" w:hAnsi="宋体"/>
          <w:szCs w:val="24"/>
        </w:rPr>
        <w:t xml:space="preserve">+70°</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3）工作环境湿度：</w:t>
      </w:r>
      <w:r>
        <w:rPr>
          <w:rFonts w:ascii="宋体" w:hAnsi="宋体"/>
          <w:szCs w:val="24"/>
        </w:rPr>
        <w:t xml:space="preserve">0%</w:t>
      </w:r>
      <w:r>
        <w:rPr>
          <w:rFonts w:hint="eastAsia" w:ascii="宋体" w:hAnsi="宋体"/>
          <w:szCs w:val="24"/>
        </w:rPr>
        <w:t xml:space="preserve">～</w:t>
      </w:r>
      <w:r>
        <w:rPr>
          <w:rFonts w:ascii="宋体" w:hAnsi="宋体"/>
          <w:szCs w:val="24"/>
        </w:rPr>
        <w:t xml:space="preserve">98%</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4）在采集机动车车型分类数据时，其单类车型识别相对误差和总体车型识别相对误差均应在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5）传感器设备的流量数据采集相对误差应在</w:t>
      </w:r>
      <w:r>
        <w:rPr>
          <w:rFonts w:ascii="宋体" w:hAnsi="宋体"/>
          <w:szCs w:val="24"/>
        </w:rPr>
        <w:t xml:space="preserve">±2%</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6）设备地点车速数据采集的相对误差应在</w:t>
      </w:r>
      <w:r>
        <w:rPr>
          <w:rFonts w:ascii="宋体" w:hAnsi="宋体"/>
          <w:szCs w:val="24"/>
        </w:rPr>
        <w:t xml:space="preserve">±5%</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7）设备车头时距数据采集的相对误差应在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8）设备车头间距数据采集的相对误差应在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9）设备时间占有率数据采集的相对误差应在</w:t>
      </w:r>
      <w:r>
        <w:rPr>
          <w:rFonts w:ascii="宋体" w:hAnsi="宋体"/>
          <w:szCs w:val="24"/>
        </w:rPr>
        <w:t xml:space="preserve">±10%</w:t>
      </w:r>
      <w:r>
        <w:rPr>
          <w:rFonts w:hint="eastAsia" w:ascii="宋体" w:hAnsi="宋体"/>
          <w:szCs w:val="24"/>
        </w:rPr>
        <w:t xml:space="preserve">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10）检测速度范围：</w:t>
      </w:r>
      <w:r>
        <w:rPr>
          <w:rFonts w:ascii="宋体" w:hAnsi="宋体"/>
          <w:szCs w:val="24"/>
        </w:rPr>
        <w:t xml:space="preserve">1</w:t>
      </w:r>
      <w:r>
        <w:rPr>
          <w:rFonts w:hint="eastAsia" w:ascii="宋体" w:hAnsi="宋体"/>
          <w:szCs w:val="24"/>
        </w:rPr>
        <w:t xml:space="preserve">～</w:t>
      </w:r>
      <w:r>
        <w:rPr>
          <w:rFonts w:ascii="宋体" w:hAnsi="宋体"/>
          <w:szCs w:val="24"/>
        </w:rPr>
        <w:t xml:space="preserve">180km/h</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eastAsia="宋体" w:cs="Times New Roman"/>
          <w:szCs w:val="21"/>
          <w:shd w:val="clear" w:color="auto" w:fill="fdeada"/>
        </w:rPr>
        <w:t xml:space="preserve">▲11）每个车道应安装至少两个超声波传感器，用以防止出现漏车现象，且同车道的两个传感器可由用户在2米范围内自行设置并可进行微调；</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12）设备在正常工作状态下，当供电中断后恢复正常供电时，设备应能自行恢复至正常工作状态；</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13）设备在通讯恢复后，设备应将通讯中断期间保存的数据顺序传输至监控分中心和联网中心；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14）设备应具备串行通信接口和</w:t>
      </w:r>
      <w:r>
        <w:rPr>
          <w:rFonts w:ascii="宋体" w:hAnsi="宋体"/>
          <w:szCs w:val="24"/>
        </w:rPr>
        <w:t xml:space="preserve">USB</w:t>
      </w:r>
      <w:r>
        <w:rPr>
          <w:rFonts w:hint="eastAsia" w:ascii="宋体" w:hAnsi="宋体"/>
          <w:szCs w:val="24"/>
        </w:rPr>
        <w:t xml:space="preserve">接口，串行通信接口可使用</w:t>
      </w:r>
      <w:r>
        <w:rPr>
          <w:rFonts w:ascii="宋体" w:hAnsi="宋体"/>
          <w:szCs w:val="24"/>
        </w:rPr>
        <w:t xml:space="preserve">RS-232C</w:t>
      </w:r>
      <w:r>
        <w:rPr>
          <w:rFonts w:hint="eastAsia" w:ascii="宋体" w:hAnsi="宋体"/>
          <w:szCs w:val="24"/>
        </w:rPr>
        <w:t xml:space="preserve">阴性插座或</w:t>
      </w:r>
      <w:r>
        <w:rPr>
          <w:rFonts w:ascii="宋体" w:hAnsi="宋体"/>
          <w:szCs w:val="24"/>
        </w:rPr>
        <w:t xml:space="preserve">RS-485</w:t>
      </w:r>
      <w:r>
        <w:rPr>
          <w:rFonts w:hint="eastAsia" w:ascii="宋体" w:hAnsi="宋体"/>
          <w:szCs w:val="24"/>
        </w:rPr>
        <w:t xml:space="preserve">阳性插座；</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15）具备本地存储功能，其设备数据存储空间不应小于</w:t>
      </w:r>
      <w:r>
        <w:rPr>
          <w:rFonts w:ascii="宋体" w:hAnsi="宋体"/>
          <w:szCs w:val="24"/>
        </w:rPr>
        <w:t xml:space="preserve">512M</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16）采用交流电网电压</w:t>
      </w:r>
      <w:r>
        <w:rPr>
          <w:rFonts w:ascii="宋体" w:hAnsi="宋体"/>
          <w:szCs w:val="24"/>
        </w:rPr>
        <w:t xml:space="preserve">220V</w:t>
      </w:r>
      <w:r>
        <w:rPr>
          <w:rFonts w:hint="eastAsia" w:ascii="宋体" w:hAnsi="宋体"/>
          <w:szCs w:val="24"/>
        </w:rPr>
        <w:t xml:space="preserve">（</w:t>
      </w:r>
      <w:r>
        <w:rPr>
          <w:rFonts w:ascii="宋体" w:hAnsi="宋体"/>
          <w:szCs w:val="24"/>
        </w:rPr>
        <w:t xml:space="preserve">1±15%</w:t>
      </w:r>
      <w:r>
        <w:rPr>
          <w:rFonts w:hint="eastAsia" w:ascii="宋体" w:hAnsi="宋体"/>
          <w:szCs w:val="24"/>
        </w:rPr>
        <w:t xml:space="preserve">），频率</w:t>
      </w:r>
      <w:r>
        <w:rPr>
          <w:rFonts w:ascii="宋体" w:hAnsi="宋体"/>
          <w:szCs w:val="24"/>
        </w:rPr>
        <w:t xml:space="preserve">50</w:t>
      </w:r>
      <w:r>
        <w:rPr>
          <w:rFonts w:hint="eastAsia" w:ascii="宋体" w:hAnsi="宋体"/>
          <w:szCs w:val="24"/>
        </w:rPr>
        <w:t xml:space="preserve">（</w:t>
      </w:r>
      <w:r>
        <w:rPr>
          <w:rFonts w:ascii="宋体" w:hAnsi="宋体"/>
          <w:szCs w:val="24"/>
        </w:rPr>
        <w:t xml:space="preserve">1±4%</w:t>
      </w:r>
      <w:r>
        <w:rPr>
          <w:rFonts w:hint="eastAsia" w:ascii="宋体" w:hAnsi="宋体"/>
          <w:szCs w:val="24"/>
        </w:rPr>
        <w:t xml:space="preserve">）</w:t>
      </w:r>
      <w:r>
        <w:rPr>
          <w:rFonts w:ascii="宋体" w:hAnsi="宋体"/>
          <w:szCs w:val="24"/>
        </w:rPr>
        <w:t xml:space="preserve">Hz</w:t>
      </w:r>
      <w:r>
        <w:rPr>
          <w:rFonts w:hint="eastAsia" w:ascii="宋体" w:hAnsi="宋体"/>
          <w:szCs w:val="24"/>
        </w:rPr>
        <w:t xml:space="preserve">；</w:t>
      </w:r>
      <w:r>
        <w:rPr>
          <w:rFonts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▲17）微波传感器应为模块化一体式（单体）设计，内置微波双波束收发器；</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ascii="宋体" w:hAnsi="宋体"/>
          <w:szCs w:val="24"/>
        </w:rPr>
      </w:pPr>
      <w:r>
        <w:rPr>
          <w:rFonts w:hint="eastAsia" w:ascii="宋体" w:hAnsi="宋体"/>
          <w:szCs w:val="24"/>
        </w:rPr>
        <w:t xml:space="preserve">18）通信规程：符合</w:t>
      </w:r>
      <w:r>
        <w:rPr>
          <w:rFonts w:ascii="宋体" w:hAnsi="宋体"/>
          <w:szCs w:val="24"/>
        </w:rPr>
        <w:t xml:space="preserve">GB/T3453</w:t>
      </w:r>
      <w:r>
        <w:rPr>
          <w:rFonts w:hint="eastAsia" w:ascii="宋体" w:hAnsi="宋体"/>
          <w:szCs w:val="24"/>
        </w:rPr>
        <w:t xml:space="preserve">的规定；</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19）设备配有过电压和浪涌电压保护装置，在雷击时设备不受影响，做到在公路使用环境下均能保证设备正常工作；</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20）支持一点对多点的传输方式（至少三点）；</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21）微波传感器监测范围：</w:t>
      </w:r>
      <w:r>
        <w:rPr>
          <w:rFonts w:ascii="宋体" w:hAnsi="宋体"/>
          <w:szCs w:val="24"/>
        </w:rPr>
        <w:t xml:space="preserve">1.8</w:t>
      </w:r>
      <w:r>
        <w:rPr>
          <w:rFonts w:hint="eastAsia" w:ascii="宋体" w:hAnsi="宋体"/>
          <w:szCs w:val="24"/>
        </w:rPr>
        <w:t xml:space="preserve">～</w:t>
      </w:r>
      <w:r>
        <w:rPr>
          <w:rFonts w:ascii="宋体" w:hAnsi="宋体"/>
          <w:szCs w:val="24"/>
        </w:rPr>
        <w:t xml:space="preserve">76.2</w:t>
      </w:r>
      <w:r>
        <w:rPr>
          <w:rFonts w:hint="eastAsia" w:ascii="宋体" w:hAnsi="宋体"/>
          <w:szCs w:val="24"/>
        </w:rPr>
        <w:t xml:space="preserve">米（路侧垂直于车辆行进方向进行安装）；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22）微波传感器工作频率：</w:t>
      </w:r>
      <w:r>
        <w:rPr>
          <w:rFonts w:ascii="宋体" w:hAnsi="宋体"/>
          <w:szCs w:val="24"/>
        </w:rPr>
        <w:t xml:space="preserve">24.125G</w:t>
      </w:r>
      <w:r>
        <w:rPr>
          <w:rFonts w:hint="eastAsia" w:ascii="宋体" w:hAnsi="宋体"/>
          <w:szCs w:val="24"/>
        </w:rPr>
        <w:t xml:space="preserve">（</w:t>
      </w:r>
      <w:r>
        <w:rPr>
          <w:rFonts w:ascii="宋体" w:hAnsi="宋体"/>
          <w:szCs w:val="24"/>
        </w:rPr>
        <w:t xml:space="preserve">X</w:t>
      </w:r>
      <w:r>
        <w:rPr>
          <w:rFonts w:hint="eastAsia" w:ascii="宋体" w:hAnsi="宋体"/>
          <w:szCs w:val="24"/>
        </w:rPr>
        <w:t xml:space="preserve">波段）；</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23）微波传感器采用双核微波检测技术能够准确获取通过车辆数量、单车速度、单车长度；</w:t>
      </w:r>
      <w:r>
        <w:rPr>
          <w:rFonts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24）单微波传感器最大支持不少于十车道检测。</w:t>
      </w:r>
      <w:r>
        <w:rPr>
          <w:rFonts w:hint="eastAsia" w:ascii="宋体" w:hAnsi="宋体"/>
          <w:szCs w:val="24"/>
        </w:rPr>
      </w:r>
      <w:r/>
    </w:p>
    <w:p>
      <w:pPr>
        <w:pStyle w:val="925"/>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（2）视频微波组合式交调设备</w:t>
      </w:r>
      <w:r>
        <w:rPr>
          <w:rFonts w:hint="eastAsia" w:ascii="宋体" w:hAnsi="宋体" w:cs="宋体"/>
          <w:b/>
          <w:color w:val="000000"/>
          <w:szCs w:val="21"/>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1）识别机动车车型分类标准：7种车型；</w:t>
      </w:r>
      <w:r>
        <w:rPr>
          <w:rFonts w:hint="eastAsia"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2）车型分类精度：大于等于90%；</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3）流量检测方式：分车道和方向；</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4）车速检测精度：大于等于95%；</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5）数据存储时间：本地数据存储大于1年；</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6）采集周期：以分钟为单位可调；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7）故障检测功能：具备实时检测和上报能力；</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8）工作环境温度：-55°～+70°；</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9）工作环境湿度：0%～98%；</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10）在采集机动车车型分类数据时，其单类车型识别相对误差和总体车型识别相对误差均应在 ±10%内；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11）设备的流量数据采集相对误差应在±5%内；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12）设备地点车速数据采集的相对误差应在±10%内；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13）设备车头时距数据采集的相对误差应在±10%内；</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14）设备车头间距数据采集的相对误差应在±10%内；</w:t>
      </w:r>
      <w:r>
        <w:rPr>
          <w:rFonts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15）设备时间占有率数据采集的相对误差应在±10%内；</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▲16）微波传感器应为模块化一体式（单体）设计，内置微波双波束收发器；</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ascii="宋体" w:hAnsi="宋体"/>
          <w:szCs w:val="24"/>
        </w:rPr>
      </w:pPr>
      <w:r>
        <w:rPr>
          <w:rFonts w:hint="eastAsia" w:ascii="宋体" w:hAnsi="宋体"/>
          <w:szCs w:val="24"/>
        </w:rPr>
        <w:t xml:space="preserve">17）探测车道数：每个检测器检测车道可由用户在2米范围内自行设置并可进行微调；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18）设备在正常工作状态下，当供电中断后恢复正常供电时，设备应能自行恢复至正常工作状态；</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19）设备在通讯恢复后，设备应将通讯中断期间保存的数据顺序传输至监控分中心和联网中心；</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20）设备应具备USB接口及串行通信接口（包含RS-232C阴性插座或RS-485阳性插座）。串行通信接口与外部的连接应便于安装和维护，并采取防水、防尘等措施。设备应具备RJ45网络接口或SC/ST光网络接口,以便与相关网络设备互联；</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21）设备的电源接线端子与机壳之间的绝缘电阻在正常状态下不应小于100MΩ；</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22）具备本地存储功能，其设备数据存储空间不应小于1024M； </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23）采用交流电网电压220V（1±15%），频率50（1±4%）Hz。</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24）如采用太阳能供电时为24V供电，采用太阳能智能电站系统，蓄电池、控制系统等主要部件集成在一个系统内，和太阳能板在一体，防盗性强，安装容易，维护简单。蓄电池须采用环保、使用寿命在3年以上的；</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25）通信规程：应符合交通运输部固定式交通设备与数据服务中心通信协议，符合GB/T 3453的规定；</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26）设备配有过电压和浪涌电压保护装置，设备应采用必要的防雷电和过电压保护措施，采用的接口、元器件和防护措施应符合有关标准要求，并按GB/T 19271有关雷电电磁脉冲的防护的规定执行。在雷击时设备不受影响，做到在公路使用环境下均能保证设备正常工作；</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27）设备还应符合国家发布的“固定式交调设备技术条件”和“固定式交调设备与数据服务中心通讯协议”的相关标准；支持一点对多点的传输方式（至少三点）。</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28）微波传感器监测范围：1.8</w:t>
      </w:r>
      <w:r>
        <w:rPr>
          <w:rFonts w:hint="eastAsia"/>
          <w:lang w:bidi="ar"/>
        </w:rPr>
        <w:t xml:space="preserve">～</w:t>
      </w:r>
      <w:r>
        <w:rPr>
          <w:rFonts w:hint="eastAsia" w:ascii="宋体" w:hAnsi="宋体"/>
          <w:szCs w:val="24"/>
        </w:rPr>
        <w:t xml:space="preserve">76.2米（垂直于道路车辆行进方向路侧安装）微波传感器工作频率：24.125G（X波段）</w:t>
      </w:r>
      <w:r>
        <w:rPr>
          <w:rFonts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29）采集的车速数据应可分行驶方向、可分车道、可按要求进行机动车分型，车速的采集范围为1～180km/h；</w:t>
      </w:r>
      <w:r>
        <w:rPr>
          <w:rFonts w:ascii="宋体" w:hAnsi="宋体"/>
          <w:szCs w:val="24"/>
        </w:rPr>
      </w:r>
      <w:r/>
    </w:p>
    <w:p>
      <w:pPr>
        <w:pStyle w:val="925"/>
        <w:ind w:firstLine="420"/>
        <w:spacing w:line="360" w:lineRule="auto"/>
        <w:shd w:val="clear" w:color="auto" w:fill="ffffff"/>
        <w:rPr>
          <w:rFonts w:hint="eastAsia" w:ascii="宋体" w:hAnsi="宋体"/>
        </w:rPr>
      </w:pPr>
      <w:r>
        <w:rPr>
          <w:rFonts w:hint="eastAsia" w:ascii="宋体" w:hAnsi="宋体"/>
        </w:rPr>
        <w:t xml:space="preserve">30）微波传感器采用双核微波检测技术能够准确获取通过车辆数量、单车速度、单车长度。</w:t>
      </w:r>
      <w:r>
        <w:rPr>
          <w:rFonts w:hint="eastAsia" w:ascii="宋体" w:hAnsi="宋体"/>
        </w:rPr>
      </w:r>
      <w:r/>
    </w:p>
    <w:p>
      <w:pPr>
        <w:pStyle w:val="925"/>
        <w:ind w:firstLine="422"/>
        <w:spacing w:line="360" w:lineRule="auto"/>
        <w:shd w:val="clear" w:color="auto" w:fill="ffffff"/>
        <w:rPr>
          <w:rFonts w:hint="eastAsia" w:ascii="宋体" w:hAnsi="宋体"/>
          <w:b/>
          <w:bCs/>
        </w:rPr>
      </w:pPr>
      <w:r>
        <w:rPr>
          <w:rFonts w:hint="eastAsia" w:ascii="宋体" w:hAnsi="宋体"/>
          <w:b/>
          <w:bCs/>
        </w:rPr>
        <w:t xml:space="preserve">（3）多功能移动式交调仪器</w:t>
      </w:r>
      <w:r>
        <w:rPr>
          <w:rFonts w:hint="eastAsia" w:ascii="宋体" w:hAnsi="宋体"/>
          <w:b/>
          <w:bCs/>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1）性能参数</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采集项目：车流量、可分6种车型、车速、车轴、车道占用等；</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精度：车流量95%，综合加权车型90%，车速95%，车轴92%；</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报表：交通量调查标准格式，也可生成更多分析报表；</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存储：数据存储在TF卡内，后期支持4G网络上传至服务器；</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供电：内置充电电池可调查2天，可充放电500次以上，可外接电池包，支持边充便用；也可外接市电使用；</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2）智能性</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内置GPS 模块，4G模块，wifi模块。</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3）使用范围</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适用各等级公路、站场、桥梁、隧道、城市道路等需要进行车流量检测的场景。可分车道获取车辆信息。</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单套设备支持1-4车道，更多车道可使用上下行各一台机器。根据需要，可任意设置1～20米的检测范围，满足各种应用;温度范围:-20°C～70°C；湿度范围:0～90%。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IP等级:IP68。</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采集频率:1Khz。</w:t>
      </w:r>
      <w:r>
        <w:rPr>
          <w:rFonts w:hint="eastAsia" w:ascii="宋体" w:hAnsi="宋体"/>
          <w:szCs w:val="24"/>
        </w:rPr>
      </w:r>
      <w:r/>
    </w:p>
    <w:p>
      <w:pPr>
        <w:pStyle w:val="930"/>
        <w:spacing w:before="0" w:after="0" w:line="360" w:lineRule="auto"/>
        <w:rPr>
          <w:rFonts w:hint="eastAsia"/>
        </w:rPr>
      </w:pPr>
      <w:r/>
      <w:bookmarkStart w:id="654" w:name="_Toc167194215"/>
      <w:r/>
      <w:bookmarkStart w:id="655" w:name="_Toc354818310"/>
      <w:r/>
      <w:bookmarkStart w:id="656" w:name="_Toc354818209"/>
      <w:r/>
      <w:bookmarkStart w:id="657" w:name="_Toc39133655"/>
      <w:r/>
      <w:bookmarkStart w:id="658" w:name="_Toc415032880"/>
      <w:r>
        <w:rPr>
          <w:rFonts w:hint="eastAsia"/>
          <w:lang w:val="en-US" w:eastAsia="zh-CN"/>
        </w:rPr>
        <w:t xml:space="preserve">3</w:t>
      </w:r>
      <w:r>
        <w:rPr>
          <w:rFonts w:hint="eastAsia"/>
        </w:rPr>
        <w:t xml:space="preserve">、</w:t>
      </w:r>
      <w:bookmarkEnd w:id="654"/>
      <w:r/>
      <w:bookmarkEnd w:id="655"/>
      <w:r/>
      <w:bookmarkEnd w:id="656"/>
      <w:r/>
      <w:bookmarkEnd w:id="657"/>
      <w:r/>
      <w:bookmarkEnd w:id="658"/>
      <w:r>
        <w:rPr>
          <w:rFonts w:hint="eastAsia"/>
        </w:rPr>
        <w:t xml:space="preserve">车牌识别设备参数</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（1）环保卡口抓拍单元</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1）采用全局曝光 CMOS 传感器，设备组成检查：高清抓拍单元由摄像机、高清镜头、室外防护罩、风扇、补光灯、电源适配器、安装万向节等组成。</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2）摄像机像素≥1200万。</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1"/>
          <w:shd w:val="clear" w:color="auto" w:fill="fdeada"/>
        </w:rPr>
      </w:pPr>
      <w:r>
        <w:rPr>
          <w:rFonts w:hint="eastAsia" w:ascii="宋体" w:hAnsi="宋体" w:eastAsia="宋体" w:cs="Times New Roman"/>
          <w:szCs w:val="21"/>
          <w:shd w:val="clear" w:color="auto" w:fill="fdeada"/>
        </w:rPr>
        <w:t xml:space="preserve">▲4）双路sensor图像融合功能室外试验：设备的镜头和两个 sensor 一体化设计，具有独立三角分光棱镜分光结构装置，分别接收可见光和红外光；抓拍支持输出三张同时刻同目标图片，包括可见光路图片(全彩)、红外路图片(黑白)和融合图片(全彩)，三张图片抓拍时间为同一时刻,抓拍运动目标，三张图片中目标位置相同无位移。支持同时预览两路sensor视频，设备场景中放置红外LED常亮灯，朝向摄像机镜头，可见光路视频图像中补光灯灯珠完全无光，同时红外路视频图像补光灯可清晰看到灯珠亮光。</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t xml:space="preserve">提供国家权威检测机构的检验检测报告(复印件加盖原厂公章）</w:t>
      </w:r>
      <w:r>
        <w:rPr>
          <w:rFonts w:hint="eastAsia" w:ascii="宋体" w:hAnsi="宋体" w:eastAsia="宋体" w:cs="Times New Roman"/>
          <w:szCs w:val="21"/>
          <w:shd w:val="clear" w:color="auto" w:fill="fdeada"/>
          <w:lang w:eastAsia="zh-CN"/>
        </w:rPr>
        <w:t xml:space="preserve">）</w:t>
      </w:r>
      <w:r>
        <w:rPr>
          <w:rFonts w:hint="eastAsia" w:ascii="宋体" w:hAnsi="宋体" w:eastAsia="宋体" w:cs="Times New Roman"/>
          <w:szCs w:val="21"/>
          <w:shd w:val="clear" w:color="auto" w:fill="fdeada"/>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5）多码流输出及延时试验：支持同时输出不少于5路视频流，其中1路不低于16M码率，1路不低于8M码率，同时摄像机时延低于65ms（包括图像采样、视频编码、网络传输等过程）。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6）视频检测识别功能检查：支持车牌识别、车身颜色识别、车型识别、通行车辆信息捕获和违章检测功能。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7）支持图片编码质量配置，车牌小图的图片质量(大/中/小)可配。</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8）支持车牌遮挡检查功能，在检测到车牌被遮挡的情况下可给出提示。</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（2）环保卡口配套补光灯</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1）工作温度 -30°C～70°C</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2）工作湿度 5%～95%@40°C，无凝结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3）电源 220VAC±10%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4）格栅 带LED格栅，有效减少周边光污染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5）色温 白光＜4000K，红外光</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6）发光角度 单车道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7）气体爆闪峰值闪光持续时间 1/30ms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8）气体爆闪回电时间 ＜67ms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9）气体单次闪光能量 200J</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10）气体闪光次数 ＞2000万次（2S闪一次）</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11）覆盖范围 单车道</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12）最佳补光距离 16米～30米</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13）触发方式：电平量触发/开关量触发</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14）触发信号电平 4V～6V（高电平有效）</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15）触发频率 0Hz～250 Hz</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16）触发占空比：1%～39%，当占空比大于等于40%时进入自保护状态</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17）响应时间 ≤20us</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18）RS485接口 1路，支持PC机或相机连接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19）触发接口 1路频闪触发输入，1路爆闪输入,1路红外滤片切换输入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20）外壳材质 压铸铝</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（3）终端服务设备</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1）12路IPC接入</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2）具备车辆分型及交通量统计功能，满足交通运输部7种车辆分型的要求；</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3）交通量数据实时上传数据服务中心（DSC），且具备断网续传功能；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4）具备视频存储及预览、回放功能，支持图片接收存储、查询；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5）内置8个100M网口，可方便接入IP摄像机与激光单元；</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6）内置2个10/100/1000M自适应以太网接口，2个千兆SFP光纤接口；</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7）内置1块2T的3.5寸SATA硬盘；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8）1个RS485接口、2个RS232接口、1个USB接口、1路报警输入\报警输出；</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9）外形尺寸：245mm（宽）*175mm（深）*60mm（高）；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10）电源:DC12V。</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（4）室外机柜</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1）尺寸：400mm×300mm×500mm；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2）内含双路220V电源防雷，双路10A空气开关一个， 3芯插座一个，抱杆安装；</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3）结构：整体结构采用拼焊结构，牢固、钢性好、牢固可靠；</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4）防护等级IP55，保护内部设备不受外界恶劣环境的干扰；</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5）机柜采用主体焊接、部分拼装的结构，保证了防护性；</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6）采用的是专用户外柜锁，具有良好的防水、防盗性能；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7）环境适应性好，能最大限度地降低设备对环境的要求接地系统安全可靠；</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8）机柜底部进出线缆，有效实现防水、防尘；</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9）机柜采用抱杆安装方式，具有防虫、防鼠功效；</w:t>
      </w:r>
      <w:r>
        <w:rPr>
          <w:rFonts w:hint="eastAsia" w:ascii="宋体" w:hAnsi="宋体"/>
          <w:szCs w:val="24"/>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lang w:eastAsia="zh-CN"/>
        </w:rPr>
        <w:t xml:space="preserve">（</w:t>
      </w:r>
      <w:r>
        <w:rPr>
          <w:rFonts w:hint="eastAsia" w:ascii="宋体" w:hAnsi="宋体" w:eastAsia="宋体" w:cs="Times New Roman"/>
          <w:b/>
          <w:bCs/>
          <w:szCs w:val="24"/>
          <w:lang w:val="en-US" w:eastAsia="zh-CN"/>
        </w:rPr>
        <w:t xml:space="preserve">5</w:t>
      </w:r>
      <w:r>
        <w:rPr>
          <w:rFonts w:hint="eastAsia" w:ascii="宋体" w:hAnsi="宋体" w:eastAsia="宋体" w:cs="Times New Roman"/>
          <w:b/>
          <w:bCs/>
          <w:szCs w:val="24"/>
          <w:lang w:eastAsia="zh-CN"/>
        </w:rPr>
        <w:t xml:space="preserve">）</w:t>
      </w:r>
      <w:r>
        <w:rPr>
          <w:rFonts w:hint="eastAsia" w:ascii="宋体" w:hAnsi="宋体" w:eastAsia="宋体" w:cs="Times New Roman"/>
          <w:b/>
          <w:bCs/>
          <w:szCs w:val="24"/>
        </w:rPr>
        <w:t xml:space="preserve">一般规范</w:t>
      </w:r>
      <w:r>
        <w:rPr>
          <w:rFonts w:hint="eastAsia" w:ascii="宋体" w:hAnsi="宋体" w:eastAsia="宋体" w:cs="Times New Roman"/>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1）工作湿度：湿度5%～95%@40℃，无凝结</w:t>
      </w:r>
      <w:r>
        <w:rPr>
          <w:rFonts w:hint="eastAsia" w:ascii="宋体" w:hAnsi="宋体"/>
          <w:szCs w:val="24"/>
        </w:rPr>
      </w:r>
      <w:r/>
    </w:p>
    <w:p>
      <w:pPr>
        <w:pStyle w:val="1019"/>
        <w:spacing w:line="360" w:lineRule="auto"/>
        <w:shd w:val="clear" w:color="auto" w:fill="ffffff"/>
        <w:rPr>
          <w:rFonts w:ascii="宋体" w:hAnsi="宋体"/>
          <w:szCs w:val="24"/>
        </w:rPr>
      </w:pPr>
      <w:r>
        <w:rPr>
          <w:rFonts w:hint="eastAsia" w:ascii="宋体" w:hAnsi="宋体"/>
          <w:szCs w:val="24"/>
        </w:rPr>
        <w:t xml:space="preserve">2）工作温度：温度-40℃～70℃</w:t>
      </w:r>
      <w:r>
        <w:rPr>
          <w:rFonts w:ascii="宋体" w:hAnsi="宋体"/>
          <w:szCs w:val="24"/>
        </w:rPr>
      </w:r>
      <w:r/>
    </w:p>
    <w:p>
      <w:pPr>
        <w:pStyle w:val="930"/>
        <w:spacing w:before="0" w:after="0" w:line="360" w:lineRule="auto"/>
        <w:rPr>
          <w:rFonts w:hint="eastAsia"/>
        </w:rPr>
      </w:pPr>
      <w:r/>
      <w:bookmarkStart w:id="659" w:name="_Toc167194218"/>
      <w:r>
        <w:rPr>
          <w:rFonts w:hint="eastAsia"/>
          <w:lang w:val="en-US" w:eastAsia="zh-CN"/>
        </w:rPr>
        <w:t xml:space="preserve">4</w:t>
      </w:r>
      <w:r>
        <w:rPr>
          <w:rFonts w:hint="eastAsia"/>
        </w:rPr>
        <w:t xml:space="preserve">、</w:t>
      </w:r>
      <w:bookmarkEnd w:id="659"/>
      <w:r>
        <w:rPr>
          <w:rFonts w:hint="eastAsia"/>
        </w:rPr>
        <w:t xml:space="preserve">机箱</w:t>
      </w:r>
      <w:r>
        <w:rPr>
          <w:rFonts w:hint="eastAsia"/>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（1）一体化机箱参数要求</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1）标准机箱净容积不应小于高600×宽 500×深 250（mm）。交调专用机箱净容积不小于高 800×宽600×深 390（mm）。机箱采用不小于1.2mm厚不锈钢板制作，表面静电喷塑处理，交通白。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2）新建点位机箱安装方式为背部法兰安装，升级点位仍采用抱箍安装，暗线敷设；标准机箱和交调机箱在背部分别预留Ф50mm和Ф80mm穿线孔。机箱背部围绕穿线孔预留4个Ф13mm法兰孔，丛向与横向孔中距均为180mm。</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3）机箱空间布局：机箱应采用前维护布局，方便机箱就位安装、接电、接网、接地和日常检修，同时可用容积预留不小于40%。上部标配区为智能控制器以及防雷配电维修插座，下部为预留区，配置1个网状托架。</w:t>
      </w:r>
      <w:r>
        <w:rPr>
          <w:rFonts w:hint="eastAsia" w:ascii="宋体" w:hAnsi="宋体"/>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szCs w:val="24"/>
        </w:rPr>
        <w:t xml:space="preserve">4）</w:t>
      </w:r>
      <w:r>
        <w:rPr>
          <w:rFonts w:hint="eastAsia" w:ascii="宋体" w:hAnsi="宋体" w:eastAsia="宋体" w:cs="Times New Roman"/>
          <w:szCs w:val="24"/>
        </w:rPr>
        <w:t xml:space="preserve">机箱电源插座：根据机箱内承载设备数量，应配置至少6路10A插座，避免在插座上外接电源转接拖线板。</w:t>
      </w:r>
      <w:r>
        <w:rPr>
          <w:rFonts w:hint="eastAsia" w:ascii="宋体" w:hAnsi="宋体" w:eastAsia="宋体" w:cs="Times New Roman"/>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5）机箱采用防晒、隔热顶盖；采取导流槽、胶垫、滤网等密封措施，防止雨雪、水和萤虫进入柜体内部。外壳密封性能符合GB/T 420 的规定，机箱配置散热通风格栅，防护等级不低于IP55。。</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6）机箱采用双门结构：外门采用防锈静音轴承合叶铰链和电子锁具，并与箱体进行等电位连接。电子锁具为IP65防护，可支持远程开启箱门及机械备用钥匙开启箱门等功能；机箱内门作为开门抓拍和箱门测距面板，兼顾保护内部控制器与相关连接线缆。</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7）机箱电源接线端子与机柜之间的绝缘电阻在正常状态下不小于 100MΩ，在 20℃相对湿度 5%RH～95%RH 状态下不小于 2MΩ。</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8）配置摄像机和补光灯，摄像头参数不低于：200万像素、3.6mm镜头</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9）配置箱门超声波测距仪</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10）配置防护等级不低于IP65的电子锁具，可实现远程开锁和紧急钥匙开锁。</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11）配置不低于16A的微型断路器和不小于40KA通流量电源防雷保护装置；配置接地汇流装置和2位5孔市电插座</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12）标配贴片式通信SIM卡，包含5年4G通信费用。</w:t>
      </w:r>
      <w:r>
        <w:rPr>
          <w:rFonts w:hint="eastAsia" w:ascii="宋体" w:hAnsi="宋体"/>
          <w:szCs w:val="24"/>
        </w:rPr>
      </w:r>
      <w:r/>
    </w:p>
    <w:p>
      <w:pPr>
        <w:pStyle w:val="1019"/>
        <w:spacing w:line="360" w:lineRule="auto"/>
        <w:shd w:val="clear" w:color="auto" w:fill="ffffff"/>
        <w:rPr>
          <w:rFonts w:hint="eastAsia" w:ascii="宋体" w:hAnsi="宋体" w:eastAsia="宋体"/>
          <w:szCs w:val="24"/>
          <w:lang w:eastAsia="zh-CN"/>
        </w:rPr>
      </w:pPr>
      <w:r>
        <w:rPr>
          <w:rFonts w:hint="eastAsia" w:ascii="宋体" w:hAnsi="宋体"/>
          <w:szCs w:val="24"/>
        </w:rPr>
        <w:t xml:space="preserve">13）标配千兆工业交换机，指标不低于：8个千兆RJ45口,2个千兆SFP端口；支持3路冗余电源，配置2路直流输入电源；实现端口中断报警本地输出；认证：CE/UKCA、IEC/EN61000-4-2(2-10） level3(3-5）； 导轨安装，机身高度不超过150mm</w:t>
      </w:r>
      <w:r>
        <w:rPr>
          <w:rFonts w:hint="eastAsia" w:ascii="宋体" w:hAnsi="宋体"/>
          <w:szCs w:val="24"/>
          <w:lang w:eastAsia="zh-CN"/>
        </w:rPr>
        <w:t xml:space="preserve">。</w:t>
      </w:r>
      <w:r>
        <w:rPr>
          <w:rFonts w:hint="eastAsia" w:ascii="宋体" w:hAnsi="宋体" w:eastAsia="宋体"/>
          <w:szCs w:val="24"/>
          <w:lang w:eastAsia="zh-CN"/>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14）应满足-20℃～+70℃环境下正常工作。</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15）能够实现电源状态、网络状态、温湿度、开关门状态和漏电等运行环境基本数据采集（漏电检测精度范围为5ma-100ma）。</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16）可实现不少于4路插座独立控制，每路均可独立采集电压、电流、功率、功率因子、电能（KW/H）等参数；每路负载均可以实现①按月、周、日或指定的工作日定时开关功能；②循环通断功能；③按电流、温度、开关量等条件通断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17）具备全网通4G通信模块，可实现与内网有线网络双模自动切换。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18）内置耐高低温断电续航模块，满足断电后控制器续航不低于10分钟。</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19）具备BDS/GPS定位功能，可实现双模切换。</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20）具备开门抓拍功能。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21）具备供电供网异常、漏电、箱体倾倒、开门异常和交换机端口中断等报警功能。</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22）支持TCP数据透传和MQTT物联网协议传输两种通讯模式。</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23）支持TCP/IP协议，支持心跳数据包检测。</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24）满足江苏交通专用协议，并能上传省市两级数据网关。</w:t>
      </w:r>
      <w:r>
        <w:rPr>
          <w:rFonts w:hint="eastAsia" w:ascii="宋体" w:hAnsi="宋体"/>
          <w:szCs w:val="24"/>
        </w:rPr>
      </w:r>
      <w:r/>
    </w:p>
    <w:p>
      <w:pPr>
        <w:pStyle w:val="1019"/>
        <w:ind w:firstLine="422"/>
        <w:spacing w:line="360" w:lineRule="auto"/>
        <w:shd w:val="clear" w:color="auto" w:fill="ffffff"/>
        <w:rPr>
          <w:rFonts w:hint="eastAsia" w:ascii="宋体" w:hAnsi="宋体"/>
          <w:b/>
          <w:bCs/>
          <w:szCs w:val="24"/>
        </w:rPr>
      </w:pPr>
      <w:r>
        <w:rPr>
          <w:rFonts w:hint="eastAsia" w:ascii="宋体" w:hAnsi="宋体"/>
          <w:b/>
          <w:bCs/>
          <w:szCs w:val="24"/>
        </w:rPr>
        <w:t xml:space="preserve">（2）普通机箱</w:t>
      </w:r>
      <w:r>
        <w:rPr>
          <w:rFonts w:hint="eastAsia" w:ascii="宋体" w:hAnsi="宋体"/>
          <w:b/>
          <w:bCs/>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尺寸：400×500×200</w:t>
      </w:r>
      <w:r>
        <w:rPr>
          <w:rFonts w:hint="eastAsia" w:ascii="宋体" w:hAnsi="宋体"/>
          <w:szCs w:val="24"/>
        </w:rPr>
      </w:r>
      <w:r/>
    </w:p>
    <w:p>
      <w:pPr>
        <w:pStyle w:val="1019"/>
        <w:spacing w:line="360" w:lineRule="auto"/>
        <w:shd w:val="clear" w:color="auto" w:fill="ffffff"/>
        <w:rPr>
          <w:rFonts w:hint="eastAsia" w:ascii="宋体" w:hAnsi="宋体"/>
          <w:szCs w:val="24"/>
        </w:rPr>
      </w:pPr>
      <w:r>
        <w:rPr>
          <w:rFonts w:hint="eastAsia" w:ascii="宋体" w:hAnsi="宋体"/>
          <w:szCs w:val="24"/>
        </w:rPr>
        <w:t xml:space="preserve">材质：304不锈钢喷塑壁厚1.0、含插座，配置不少于8口的工业交换机（含电源适配器）。</w:t>
      </w:r>
      <w:r>
        <w:rPr>
          <w:rFonts w:hint="eastAsia" w:ascii="宋体" w:hAnsi="宋体"/>
          <w:szCs w:val="24"/>
        </w:rPr>
      </w:r>
      <w:r/>
    </w:p>
    <w:p>
      <w:pPr>
        <w:pStyle w:val="930"/>
        <w:spacing w:before="0" w:after="0" w:line="360" w:lineRule="auto"/>
        <w:rPr>
          <w:rFonts w:eastAsia="宋体"/>
          <w:lang w:val="en-US" w:eastAsia="zh-CN"/>
        </w:rPr>
      </w:pPr>
      <w:r>
        <w:rPr>
          <w:rFonts w:hint="eastAsia"/>
          <w:lang w:val="en-US" w:eastAsia="zh-CN"/>
        </w:rPr>
        <w:t xml:space="preserve">5</w:t>
      </w:r>
      <w:r>
        <w:rPr>
          <w:rFonts w:hint="eastAsia"/>
        </w:rPr>
        <w:t xml:space="preserve">、</w:t>
      </w:r>
      <w:r>
        <w:rPr>
          <w:rFonts w:hint="eastAsia"/>
          <w:lang w:val="en-US" w:eastAsia="zh-CN"/>
        </w:rPr>
        <w:t xml:space="preserve">软件平台参数</w:t>
      </w:r>
      <w:r>
        <w:rPr>
          <w:rFonts w:eastAsia="宋体"/>
          <w:lang w:val="en-US" w:eastAsia="zh-CN"/>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rPr>
        <w:t xml:space="preserve">（</w:t>
      </w:r>
      <w:r>
        <w:rPr>
          <w:rFonts w:hint="eastAsia" w:ascii="宋体" w:hAnsi="宋体" w:eastAsia="宋体" w:cs="Times New Roman"/>
          <w:b/>
          <w:bCs/>
          <w:szCs w:val="24"/>
          <w:lang w:val="en-US" w:eastAsia="zh-CN"/>
        </w:rPr>
        <w:t xml:space="preserve">1</w:t>
      </w:r>
      <w:r>
        <w:rPr>
          <w:rFonts w:hint="eastAsia" w:ascii="宋体" w:hAnsi="宋体" w:eastAsia="宋体" w:cs="Times New Roman"/>
          <w:b/>
          <w:bCs/>
          <w:szCs w:val="24"/>
        </w:rPr>
        <w:t xml:space="preserve">）视频云平台接入授权</w:t>
      </w:r>
      <w:r>
        <w:rPr>
          <w:rFonts w:hint="eastAsia" w:ascii="宋体" w:hAnsi="宋体" w:eastAsia="宋体" w:cs="Times New Roman"/>
          <w:b/>
          <w:bCs/>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视频云提供全面的设备管理功能，包括设备管理、通道管理、组织管理以及设备权限管理。管理通道授权/路模块支持对设备相关应用的授权管理，确保设备的有效配置和安全使用。本次对既有视频管理平台授权资源进行扩充，购买1000路视频接入授权。</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软件参数如下：</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1、设备接入管控</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管理设备的接入权限，确保只有授权才能接入和操作设备。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授权路数管理</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每个模块支持1路通道的授权，包括以下类型的通道：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编码通道：用于视频或图片编码的通道。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报警通道：用于报警信号上报的通道。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解码通道：用于视频或图像解码上墙的通道。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采集通道：用于采集MAC等数据的通道。</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此外，还包括级联通道和其他添加的通道类型，确保全面支持各种通道需求。</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rPr>
      </w:pPr>
      <w:r>
        <w:rPr>
          <w:rFonts w:hint="eastAsia" w:ascii="宋体" w:hAnsi="宋体" w:eastAsia="宋体" w:cs="Times New Roman"/>
          <w:b/>
          <w:bCs/>
          <w:szCs w:val="24"/>
        </w:rPr>
        <w:t xml:space="preserve">（</w:t>
      </w:r>
      <w:r>
        <w:rPr>
          <w:rFonts w:hint="eastAsia" w:ascii="宋体" w:hAnsi="宋体" w:eastAsia="宋体" w:cs="Times New Roman"/>
          <w:b/>
          <w:bCs/>
          <w:szCs w:val="24"/>
          <w:lang w:val="en-US" w:eastAsia="zh-CN"/>
        </w:rPr>
        <w:t xml:space="preserve">2</w:t>
      </w:r>
      <w:r>
        <w:rPr>
          <w:rFonts w:hint="eastAsia" w:ascii="宋体" w:hAnsi="宋体" w:eastAsia="宋体" w:cs="Times New Roman"/>
          <w:b/>
          <w:bCs/>
          <w:szCs w:val="24"/>
        </w:rPr>
        <w:t xml:space="preserve">）车牌识别系统监测管理平台软件</w:t>
      </w:r>
      <w:r>
        <w:rPr>
          <w:rFonts w:hint="eastAsia" w:ascii="宋体" w:hAnsi="宋体" w:eastAsia="宋体" w:cs="Times New Roman"/>
          <w:b/>
          <w:bCs/>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1、基础包</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系统基础包提供完善的用户认证、权限管理、门户定制与系统配置功能，支持多角色、多应用、多层级的统一管理，保障系统安全、灵活、高效运行。</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系统管理：支持系统管理基础功能，包括应用平台门户、统一认证、权限管理、资源目录管理、日志管理、应用配置管理和时间同步；</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视频应用：提供视频预览、录像回放、解码上墙、视频运维、移动APP等视频应用；</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3</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性能参数：</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web最大并发登录数：240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系统最大同时在线用户数量：8000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3）</w:t>
      </w:r>
      <w:r>
        <w:rPr>
          <w:rFonts w:hint="eastAsia" w:ascii="宋体" w:hAnsi="宋体" w:eastAsia="宋体" w:cs="Times New Roman"/>
          <w:szCs w:val="24"/>
        </w:rPr>
        <w:t xml:space="preserve">单用户登录响应时间: ≤2秒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4）视频巡查组织树加载最大用户并发数：240</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5）点位搜索时间平均响应时间：≤1秒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6）组织树加载平均响应时间：≤1秒</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7）最大部门管理能力：1万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8）最大角色管理能力：3万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9）最大用户管理能力：10万</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2、本级监控通道数</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1）通道管理：对本级视频设备的通道数进行管理，按通道数收费。</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（2）性能参数：</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1）最大本级视频通道管理能力</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10万</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2）最大设备管理能力</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10万</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3、车辆查询</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提供车辆抓拍识别，包含车牌号码、车牌类型、车牌颜色、车辆类型、车辆颜色、车辆品牌等属性识别，并提供车辆布控能力和车辆行驶轨迹信息。支持车辆超速、逆行、压线、违停等违规行为检测抓拍和违规数据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核心功能：</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（1）卡口管理</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支持卡口设备、终端服务器、违停球设备的接入；</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支持卡口车道管理，包含车道名称、车道方向、车道号；</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2</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车辆抓拍</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支持正常过车查询，包含车牌号码、车牌类型、车牌颜色、车辆类型、车辆颜色、车辆品牌、收费车型和轴数（需要设备支持）等；</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2）</w:t>
      </w:r>
      <w:r>
        <w:rPr>
          <w:rFonts w:hint="eastAsia" w:ascii="宋体" w:hAnsi="宋体" w:eastAsia="宋体" w:cs="Times New Roman"/>
          <w:szCs w:val="24"/>
        </w:rPr>
        <w:t xml:space="preserve">支持违法过车查询，包含超速、违停、逆行、压线；</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3）</w:t>
      </w:r>
      <w:r>
        <w:rPr>
          <w:rFonts w:hint="eastAsia" w:ascii="宋体" w:hAnsi="宋体" w:eastAsia="宋体" w:cs="Times New Roman"/>
          <w:szCs w:val="24"/>
        </w:rPr>
        <w:t xml:space="preserve">支持按车牌颜色、车牌号进行黑名单布控；</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3</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轨迹信息</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支持按车牌号、车牌颜色查询轨迹信息，并支持车辆经过各卡口点位的轨迹回放；</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eastAsia="zh-CN"/>
        </w:rPr>
        <w:t xml:space="preserve">（</w:t>
      </w:r>
      <w:r>
        <w:rPr>
          <w:rFonts w:hint="eastAsia" w:ascii="宋体" w:hAnsi="宋体" w:eastAsia="宋体" w:cs="Times New Roman"/>
          <w:szCs w:val="24"/>
          <w:lang w:val="en-US" w:eastAsia="zh-CN"/>
        </w:rPr>
        <w:t xml:space="preserve">4</w:t>
      </w:r>
      <w:r>
        <w:rPr>
          <w:rFonts w:hint="eastAsia" w:ascii="宋体" w:hAnsi="宋体" w:eastAsia="宋体" w:cs="Times New Roman"/>
          <w:szCs w:val="24"/>
          <w:lang w:eastAsia="zh-CN"/>
        </w:rPr>
        <w:t xml:space="preserve">）</w:t>
      </w:r>
      <w:r>
        <w:rPr>
          <w:rFonts w:hint="eastAsia" w:ascii="宋体" w:hAnsi="宋体" w:eastAsia="宋体" w:cs="Times New Roman"/>
          <w:szCs w:val="24"/>
        </w:rPr>
        <w:t xml:space="preserve">车流统计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lang w:val="en-US" w:eastAsia="zh-CN"/>
        </w:rPr>
        <w:t xml:space="preserve">1）</w:t>
      </w:r>
      <w:r>
        <w:rPr>
          <w:rFonts w:hint="eastAsia" w:ascii="宋体" w:hAnsi="宋体" w:eastAsia="宋体" w:cs="Times New Roman"/>
          <w:szCs w:val="24"/>
        </w:rPr>
        <w:t xml:space="preserve">支持正常过车的统计；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2）支持违法过车的统计。</w:t>
      </w:r>
      <w:r>
        <w:rPr>
          <w:rFonts w:hint="eastAsia" w:ascii="宋体" w:hAnsi="宋体" w:eastAsia="宋体" w:cs="Times New Roman"/>
          <w:szCs w:val="24"/>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性能参数：最大支持单日过车量20万条，最大能存2-3年</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4、卡口车道数</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rPr>
      </w:pPr>
      <w:r>
        <w:rPr>
          <w:rFonts w:hint="eastAsia" w:ascii="宋体" w:hAnsi="宋体" w:eastAsia="宋体" w:cs="Times New Roman"/>
          <w:szCs w:val="24"/>
        </w:rPr>
        <w:t xml:space="preserve">核心功能：车道管理：提供卡口车道的接入管理，按车道数收费。</w:t>
      </w:r>
      <w:r>
        <w:rPr>
          <w:rFonts w:hint="eastAsia" w:ascii="宋体" w:hAnsi="宋体" w:eastAsia="宋体" w:cs="Times New Roman"/>
          <w:szCs w:val="24"/>
        </w:rPr>
        <w:br w:type="textWrapping" w:clear="all"/>
      </w:r>
      <w:r>
        <w:rPr>
          <w:rFonts w:hint="eastAsia" w:ascii="宋体" w:hAnsi="宋体" w:eastAsia="宋体" w:cs="Times New Roman"/>
          <w:szCs w:val="24"/>
        </w:rPr>
        <w:t xml:space="preserve">性能参数：支持最大车道数量：10万</w:t>
      </w:r>
      <w:r>
        <w:rPr>
          <w:rFonts w:hint="eastAsia" w:ascii="宋体" w:hAnsi="宋体" w:eastAsia="宋体" w:cs="Times New Roman"/>
          <w:szCs w:val="24"/>
        </w:rPr>
      </w:r>
      <w:r/>
    </w:p>
    <w:p>
      <w:pPr>
        <w:pStyle w:val="1019"/>
        <w:ind w:firstLine="422"/>
        <w:spacing w:line="360" w:lineRule="auto"/>
        <w:shd w:val="clear" w:color="auto" w:fill="ffffff"/>
        <w:rPr>
          <w:rFonts w:hint="eastAsia" w:ascii="宋体" w:hAnsi="宋体" w:eastAsia="宋体" w:cs="Times New Roman"/>
          <w:b/>
          <w:bCs/>
          <w:szCs w:val="24"/>
          <w:lang w:val="en-US" w:eastAsia="zh-CN"/>
        </w:rPr>
      </w:pPr>
      <w:r>
        <w:rPr>
          <w:rFonts w:hint="eastAsia" w:ascii="宋体" w:hAnsi="宋体" w:eastAsia="宋体" w:cs="Times New Roman"/>
          <w:b/>
          <w:bCs/>
          <w:szCs w:val="24"/>
          <w:lang w:val="en-US" w:eastAsia="zh-CN"/>
        </w:rPr>
        <w:t xml:space="preserve">5、软件质保服务</w:t>
      </w:r>
      <w:r>
        <w:rPr>
          <w:rFonts w:hint="eastAsia" w:ascii="宋体" w:hAnsi="宋体" w:eastAsia="宋体" w:cs="Times New Roman"/>
          <w:b/>
          <w:bCs/>
          <w:szCs w:val="24"/>
          <w:lang w:val="en-US" w:eastAsia="zh-CN"/>
        </w:rPr>
      </w:r>
      <w:r/>
    </w:p>
    <w:p>
      <w:pPr>
        <w:pStyle w:val="1019"/>
        <w:spacing w:line="360" w:lineRule="auto"/>
        <w:shd w:val="clear" w:color="auto" w:fill="ffffff"/>
        <w:rPr>
          <w:rFonts w:hint="eastAsia" w:ascii="宋体" w:hAnsi="宋体" w:eastAsia="宋体" w:cs="Times New Roman"/>
          <w:szCs w:val="24"/>
          <w:lang w:eastAsia="zh-CN"/>
        </w:rPr>
      </w:pPr>
      <w:r>
        <w:rPr>
          <w:rFonts w:hint="eastAsia" w:ascii="宋体" w:hAnsi="宋体" w:eastAsia="宋体" w:cs="Times New Roman"/>
          <w:szCs w:val="24"/>
        </w:rPr>
        <w:t xml:space="preserve">软件质保服务包括：1、技术指导：软件产品安装指导、软件产品功能/参数咨询、软件产品功能使用指导、三方集成接口对接指导（在线）；2、故障处理：软件功能异常或软件性能异常；3、补丁更新：提供软件补丁下载，自助升级或在线更新</w:t>
      </w:r>
      <w:r>
        <w:rPr>
          <w:rFonts w:hint="eastAsia" w:ascii="宋体" w:hAnsi="宋体" w:eastAsia="宋体" w:cs="Times New Roman"/>
          <w:szCs w:val="24"/>
          <w:lang w:eastAsia="zh-CN"/>
        </w:rPr>
        <w:t xml:space="preserve">。</w:t>
      </w:r>
      <w:r>
        <w:rPr>
          <w:rFonts w:hint="eastAsia" w:ascii="宋体" w:hAnsi="宋体" w:eastAsia="宋体" w:cs="Times New Roman"/>
          <w:szCs w:val="24"/>
          <w:lang w:eastAsia="zh-CN"/>
        </w:rPr>
      </w:r>
      <w:r/>
    </w:p>
    <w:p>
      <w:pPr>
        <w:pStyle w:val="930"/>
        <w:spacing w:before="0" w:after="0" w:line="360" w:lineRule="auto"/>
        <w:rPr>
          <w:rFonts w:hint="eastAsia"/>
        </w:rPr>
      </w:pPr>
      <w:r/>
      <w:bookmarkStart w:id="660" w:name="_Toc167194219"/>
      <w:r>
        <w:rPr>
          <w:rFonts w:hint="eastAsia"/>
          <w:lang w:val="en-US" w:eastAsia="zh-CN"/>
        </w:rPr>
        <w:t xml:space="preserve">6</w:t>
      </w:r>
      <w:r>
        <w:rPr>
          <w:rFonts w:hint="eastAsia"/>
        </w:rPr>
        <w:t xml:space="preserve">、</w:t>
      </w:r>
      <w:bookmarkEnd w:id="660"/>
      <w:r>
        <w:rPr>
          <w:rFonts w:hint="eastAsia"/>
        </w:rPr>
        <w:t xml:space="preserve">国标六类网线</w:t>
      </w:r>
      <w:r>
        <w:rPr>
          <w:rFonts w:hint="eastAsia"/>
        </w:rPr>
      </w:r>
      <w:r/>
    </w:p>
    <w:p>
      <w:pPr>
        <w:pStyle w:val="925"/>
        <w:ind w:firstLine="420"/>
        <w:jc w:val="left"/>
        <w:spacing w:line="440" w:lineRule="exact"/>
        <w:rPr>
          <w:rFonts w:hint="eastAsia" w:ascii="宋体" w:hAnsi="宋体"/>
          <w:szCs w:val="21"/>
        </w:rPr>
      </w:pPr>
      <w:r>
        <w:rPr>
          <w:rFonts w:hint="eastAsia" w:ascii="宋体" w:hAnsi="宋体"/>
          <w:szCs w:val="21"/>
        </w:rPr>
        <w:t xml:space="preserve">国标六类网线：用于计算机通信；</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用于连接交换机和各个监控设备的RJ-45口；</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用于连接以太网交换机和各个计算机的RJ-45口；</w:t>
      </w:r>
      <w:r>
        <w:rPr>
          <w:rFonts w:hint="eastAsia" w:ascii="宋体" w:hAnsi="宋体"/>
          <w:szCs w:val="21"/>
        </w:rPr>
      </w:r>
      <w:r/>
    </w:p>
    <w:p>
      <w:pPr>
        <w:pStyle w:val="930"/>
        <w:spacing w:before="0" w:after="0" w:line="360" w:lineRule="auto"/>
        <w:rPr>
          <w:rFonts w:hint="eastAsia"/>
        </w:rPr>
      </w:pPr>
      <w:r>
        <w:rPr>
          <w:rFonts w:hint="eastAsia"/>
          <w:lang w:val="en-US" w:eastAsia="zh-CN"/>
        </w:rPr>
        <w:t xml:space="preserve">7</w:t>
      </w:r>
      <w:r>
        <w:rPr>
          <w:rFonts w:hint="eastAsia"/>
        </w:rPr>
        <w:t xml:space="preserve">、电力电缆技术参数</w:t>
      </w:r>
      <w:r>
        <w:rPr>
          <w:rFonts w:hint="eastAsia"/>
        </w:rPr>
      </w:r>
      <w:r/>
    </w:p>
    <w:p>
      <w:pPr>
        <w:pStyle w:val="925"/>
        <w:ind w:firstLine="420"/>
        <w:jc w:val="left"/>
        <w:spacing w:line="440" w:lineRule="exact"/>
        <w:rPr>
          <w:rFonts w:hint="eastAsia" w:ascii="宋体" w:hAnsi="宋体"/>
          <w:szCs w:val="21"/>
        </w:rPr>
      </w:pPr>
      <w:r>
        <w:rPr>
          <w:rFonts w:hint="eastAsia" w:ascii="宋体" w:hAnsi="宋体"/>
          <w:szCs w:val="21"/>
        </w:rPr>
        <w:t xml:space="preserve">截面积从2.5mm2～35mm2的电缆应为0.6/1KV等级，具体选用电缆的规格由承包商依据具体的情况设计，外层的颜色应为黑色。承包人提供的电缆线缆应包括主引线、设备点﹑监控中心机房设备所需线缆，包括电缆的提供﹑敷设﹑连接﹑接线等。</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导体选用高电导率铜导体﹑铜导体应遵循现行有关中华人民共和国标准要求。</w:t>
      </w:r>
      <w:r>
        <w:rPr>
          <w:rFonts w:hint="eastAsia" w:ascii="宋体" w:hAnsi="宋体"/>
          <w:szCs w:val="21"/>
        </w:rPr>
      </w:r>
      <w:r/>
    </w:p>
    <w:p>
      <w:pPr>
        <w:pStyle w:val="930"/>
        <w:spacing w:before="0" w:after="0" w:line="360" w:lineRule="auto"/>
        <w:rPr>
          <w:rFonts w:hint="eastAsia"/>
        </w:rPr>
      </w:pPr>
      <w:r>
        <w:rPr>
          <w:rFonts w:hint="eastAsia"/>
          <w:lang w:val="en-US" w:eastAsia="zh-CN"/>
        </w:rPr>
        <w:t xml:space="preserve">8</w:t>
      </w:r>
      <w:r>
        <w:rPr>
          <w:rFonts w:hint="eastAsia"/>
        </w:rPr>
        <w:t xml:space="preserve">、病毒防护软件要求</w:t>
      </w:r>
      <w:r>
        <w:rPr>
          <w:rFonts w:hint="eastAsia"/>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为了保证业务的连续性，本项目要求供应商将采购人终端防护系统“360终端安全管理系统”（版本：V12.0）根据服务器性能升级该系统到最新版本，总共220客户端（防病毒、漏洞、补丁、资产管理），其中Wirndows Server服务器端30个，Unix服务器端20个，WindowsPc端170个。授权期限一年。</w:t>
      </w:r>
      <w:r>
        <w:rPr>
          <w:rFonts w:hint="eastAsia" w:ascii="宋体" w:hAnsi="宋体" w:eastAsia="宋体" w:cs="Times New Roman"/>
          <w:szCs w:val="21"/>
        </w:rPr>
      </w:r>
      <w:r/>
    </w:p>
    <w:p>
      <w:pPr>
        <w:pStyle w:val="925"/>
        <w:spacing w:line="440" w:lineRule="exact"/>
        <w:rPr>
          <w:rFonts w:hint="eastAsia" w:ascii="宋体" w:hAnsi="宋体" w:cs="宋体"/>
          <w:b/>
          <w:szCs w:val="21"/>
        </w:rPr>
      </w:pPr>
      <w:r>
        <w:rPr>
          <w:rFonts w:hint="eastAsia" w:ascii="宋体" w:hAnsi="宋体" w:cs="宋体"/>
          <w:b/>
          <w:szCs w:val="21"/>
        </w:rPr>
        <w:t xml:space="preserve">四、其他要求</w:t>
      </w:r>
      <w:r>
        <w:rPr>
          <w:rFonts w:hint="eastAsia" w:ascii="宋体" w:hAnsi="宋体" w:cs="宋体"/>
          <w:b/>
          <w:szCs w:val="21"/>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1、质量要求及安全目标</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工程质量符合相关验收标准。安全目标：无安全责任事故。</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2、供应商须说明其是否响应采购文件中提出的全部内容与要求，如果以其中某些条款不响应时，应在文件中逐条列出，未列出的视同响应。</w:t>
      </w:r>
      <w:r>
        <w:rPr>
          <w:rFonts w:hint="eastAsia" w:ascii="宋体" w:hAnsi="宋体"/>
          <w:color w:val="000000"/>
        </w:rPr>
      </w:r>
      <w:r/>
    </w:p>
    <w:p>
      <w:pPr>
        <w:pStyle w:val="925"/>
        <w:ind w:firstLine="420"/>
        <w:jc w:val="left"/>
        <w:spacing w:line="440" w:lineRule="exact"/>
        <w:rPr>
          <w:rFonts w:ascii="宋体" w:hAnsi="宋体"/>
          <w:color w:val="000000"/>
        </w:rPr>
      </w:pPr>
      <w:r>
        <w:rPr>
          <w:rFonts w:hint="eastAsia" w:ascii="宋体" w:hAnsi="宋体"/>
          <w:color w:val="000000"/>
        </w:rPr>
        <w:t xml:space="preserve">3、报价方式</w:t>
      </w:r>
      <w:r>
        <w:rPr>
          <w:rFonts w:ascii="宋体" w:hAnsi="宋体"/>
          <w:color w:val="000000"/>
        </w:rPr>
      </w:r>
      <w:r/>
    </w:p>
    <w:p>
      <w:pPr>
        <w:pStyle w:val="925"/>
        <w:ind w:firstLine="422"/>
        <w:jc w:val="left"/>
        <w:spacing w:line="440" w:lineRule="exact"/>
        <w:rPr>
          <w:rFonts w:hint="eastAsia" w:ascii="宋体" w:hAnsi="宋体"/>
          <w:color w:val="000000"/>
        </w:rPr>
      </w:pPr>
      <w:r>
        <w:rPr>
          <w:rFonts w:hint="eastAsia" w:ascii="宋体" w:hAnsi="宋体"/>
          <w:b/>
          <w:szCs w:val="21"/>
        </w:rPr>
        <w:t xml:space="preserve">本项目合同形式采用</w:t>
      </w:r>
      <w:r>
        <w:rPr>
          <w:rFonts w:hint="eastAsia" w:ascii="宋体" w:hAnsi="宋体"/>
          <w:b/>
          <w:szCs w:val="21"/>
          <w:u w:val="single"/>
        </w:rPr>
        <w:t xml:space="preserve"> 固定单价合同 </w:t>
      </w:r>
      <w:r>
        <w:rPr>
          <w:rFonts w:hint="eastAsia" w:ascii="宋体" w:hAnsi="宋体"/>
          <w:b/>
          <w:szCs w:val="21"/>
        </w:rPr>
        <w:t xml:space="preserve">，</w:t>
      </w:r>
      <w:r>
        <w:rPr>
          <w:rFonts w:hint="eastAsia" w:ascii="宋体" w:hAnsi="宋体"/>
          <w:color w:val="000000"/>
        </w:rPr>
        <w:t xml:space="preserve">本项目报价是指为优质完成磋商文件所确定的采购范围相应工作内容所需的全部费用，除非合同另有规定，包括了为实施和完成合同工程所需的劳务、材料、机械、质检（自检）、安装、缺陷修复、管理、保险、税费、利润等费用，以及合同明示或暗示的所有责任、义务和一般风险。采购人不再支付其他任何费用。</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4.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rPr>
      </w:r>
      <w:r/>
    </w:p>
    <w:p>
      <w:pPr>
        <w:pStyle w:val="925"/>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925"/>
        <w:ind w:firstLine="420"/>
        <w:jc w:val="left"/>
        <w:spacing w:line="360" w:lineRule="auto"/>
        <w:rPr>
          <w:rFonts w:hint="eastAsia" w:ascii="宋体" w:hAnsi="宋体"/>
          <w:i/>
          <w:iCs/>
          <w:sz w:val="24"/>
          <w:szCs w:val="24"/>
          <w:highlight w:val="none"/>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宋体" w:hAnsi="宋体"/>
          <w:i/>
          <w:iCs/>
          <w:sz w:val="24"/>
          <w:u w:val="single"/>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6840"/>
        <w:gridCol w:w="1895"/>
      </w:tblGrid>
      <w:tr>
        <w:trPr>
          <w:trHeight w:val="6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采购需求实质性响应体条款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需提供的证明材料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★项目经理无在岗项目要求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提供检测报告电子扫描件</w:t>
            </w:r>
            <w:r/>
          </w:p>
        </w:tc>
      </w:tr>
    </w:tbl>
    <w:p>
      <w:pPr>
        <w:pStyle w:val="925"/>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25"/>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291"/>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bCs/>
                <w:color w:val="000000"/>
                <w:szCs w:val="21"/>
              </w:rPr>
              <w:t xml:space="preserve">2026年常州市普通国省道路网运行监测设施及桥梁视频监控建设工程施工项目</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建筑业</w:t>
            </w:r>
            <w:r>
              <w:rPr>
                <w:rFonts w:hint="eastAsia" w:ascii="宋体" w:hAnsi="宋体" w:cs="宋体"/>
                <w:szCs w:val="21"/>
              </w:rPr>
            </w:r>
            <w:r/>
          </w:p>
        </w:tc>
      </w:tr>
    </w:tbl>
    <w:p>
      <w:pPr>
        <w:pStyle w:val="1019"/>
        <w:contextualSpacing/>
        <w:ind w:firstLine="0"/>
        <w:spacing w:line="360" w:lineRule="auto"/>
        <w:rPr>
          <w:rFonts w:hint="eastAsia" w:ascii="Times New Roman" w:hAnsi="Times New Roman"/>
          <w:b/>
          <w:szCs w:val="21"/>
        </w:rPr>
      </w:pPr>
      <w:r>
        <w:rPr>
          <w:rFonts w:hint="eastAsia" w:ascii="Times New Roman" w:hAnsi="Times New Roman"/>
          <w:b/>
          <w:szCs w:val="21"/>
        </w:rPr>
      </w:r>
      <w:r/>
    </w:p>
    <w:p>
      <w:pPr>
        <w:pStyle w:val="925"/>
        <w:contextualSpacing/>
        <w:spacing w:line="360" w:lineRule="auto"/>
        <w:rPr>
          <w:b/>
          <w:bCs/>
          <w:sz w:val="24"/>
        </w:rPr>
      </w:pPr>
      <w:r>
        <w:rPr>
          <w:b/>
          <w:bCs/>
          <w:sz w:val="24"/>
        </w:rPr>
      </w:r>
      <w:r/>
    </w:p>
    <w:p>
      <w:pPr>
        <w:pStyle w:val="925"/>
      </w:pPr>
      <w:r/>
      <w:r/>
    </w:p>
    <w:p>
      <w:pPr>
        <w:pStyle w:val="925"/>
        <w:jc w:val="center"/>
        <w:widowControl/>
        <w:rPr>
          <w:b/>
          <w:sz w:val="36"/>
          <w:szCs w:val="36"/>
        </w:rPr>
      </w:pPr>
      <w:r>
        <w:rPr>
          <w:b/>
          <w:sz w:val="36"/>
          <w:szCs w:val="36"/>
        </w:rPr>
        <w:br w:type="page" w:clear="all"/>
      </w:r>
      <w:bookmarkStart w:id="661" w:name="_Toc104818929"/>
      <w:r>
        <w:rPr>
          <w:b/>
          <w:sz w:val="36"/>
          <w:szCs w:val="36"/>
        </w:rPr>
        <w:t xml:space="preserve">第五章   合同草案条款</w:t>
      </w:r>
      <w:bookmarkEnd w:id="661"/>
      <w:r>
        <w:rPr>
          <w:b/>
          <w:sz w:val="36"/>
          <w:szCs w:val="36"/>
        </w:rPr>
      </w:r>
      <w:r/>
    </w:p>
    <w:p>
      <w:pPr>
        <w:pStyle w:val="1174"/>
        <w:jc w:val="center"/>
        <w:spacing w:line="400" w:lineRule="exact"/>
        <w:shd w:val="clear" w:color="auto" w:fill="ffffff"/>
        <w:rPr>
          <w:rFonts w:hint="eastAsia"/>
          <w:b/>
          <w:sz w:val="30"/>
          <w:szCs w:val="30"/>
        </w:rPr>
      </w:pPr>
      <w:r>
        <w:rPr>
          <w:rFonts w:hint="eastAsia"/>
          <w:b/>
          <w:sz w:val="30"/>
          <w:szCs w:val="30"/>
        </w:rPr>
        <w:t xml:space="preserve">2026年常州市普通国省道路网运行监测设施及桥梁视频监控建设工程施工项目合同</w:t>
      </w:r>
      <w:r>
        <w:rPr>
          <w:rFonts w:hint="eastAsia"/>
          <w:b/>
          <w:sz w:val="30"/>
          <w:szCs w:val="30"/>
        </w:rPr>
      </w:r>
      <w:r/>
    </w:p>
    <w:p>
      <w:pPr>
        <w:pStyle w:val="1174"/>
        <w:jc w:val="center"/>
        <w:spacing w:before="0" w:beforeAutospacing="0" w:after="0" w:afterAutospacing="0"/>
        <w:shd w:val="clear" w:color="auto" w:fill="ffffff"/>
        <w:rPr>
          <w:b/>
          <w:sz w:val="15"/>
          <w:szCs w:val="15"/>
        </w:rPr>
      </w:pPr>
      <w:r>
        <w:rPr>
          <w:b/>
          <w:sz w:val="15"/>
          <w:szCs w:val="15"/>
        </w:rPr>
      </w:r>
      <w:r/>
    </w:p>
    <w:p>
      <w:pPr>
        <w:pStyle w:val="925"/>
        <w:ind w:firstLine="420"/>
        <w:spacing w:line="360" w:lineRule="auto"/>
        <w:rPr>
          <w:rFonts w:ascii="宋体" w:hAnsi="宋体"/>
          <w:szCs w:val="21"/>
        </w:rPr>
      </w:pPr>
      <w:r>
        <w:rPr>
          <w:rFonts w:hint="eastAsia" w:ascii="宋体" w:hAnsi="宋体" w:cs="宋体"/>
          <w:u w:val="single"/>
        </w:rPr>
        <w:t xml:space="preserve">常州市公路事业发展中心</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（承包人名称，以下简称“承包人”）对该项目施工的投标。 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3、上述文件均指适用于本合同的文件，并将互相补充和解释，若有不明确或不一致之处，以上述顺序在先者为准。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szCs w:val="21"/>
        </w:rPr>
        <w:t xml:space="preserve">本项目为固定单价合同，</w:t>
      </w:r>
      <w:r>
        <w:rPr>
          <w:rFonts w:hint="eastAsia" w:ascii="宋体" w:hAnsi="宋体" w:cs="Microsoft JhengHei Light"/>
          <w:szCs w:val="21"/>
        </w:rPr>
        <w:t xml:space="preserve">根据实际完成并经甲方认可的数量进行计量支付，合同单价在合同实施过程中固定不变，承包人不得借口任何理由要求调整中标合同单价。本合同中标价</w:t>
      </w: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圆（¥</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cs="宋体"/>
          <w:szCs w:val="21"/>
        </w:rPr>
      </w:pPr>
      <w:r>
        <w:rPr>
          <w:rFonts w:hint="eastAsia" w:ascii="宋体" w:hAnsi="宋体" w:cs="宋体"/>
          <w:szCs w:val="21"/>
        </w:rPr>
        <w:t xml:space="preserve">5.承包人项目经理：</w:t>
      </w:r>
      <w:r>
        <w:rPr>
          <w:rFonts w:hint="eastAsia" w:ascii="宋体" w:hAnsi="宋体" w:cs="宋体"/>
          <w:szCs w:val="21"/>
          <w:u w:val="single"/>
        </w:rPr>
        <w:t xml:space="preserve">        </w:t>
      </w:r>
      <w:r>
        <w:rPr>
          <w:rFonts w:hint="eastAsia" w:ascii="宋体" w:hAnsi="宋体" w:cs="宋体"/>
          <w:szCs w:val="21"/>
        </w:rPr>
        <w:t xml:space="preserve">。承包人项目总工：</w:t>
      </w:r>
      <w:r>
        <w:rPr>
          <w:rFonts w:hint="eastAsia" w:ascii="宋体" w:hAnsi="宋体" w:cs="宋体"/>
          <w:szCs w:val="21"/>
          <w:u w:val="single"/>
        </w:rPr>
        <w:t xml:space="preserve">       </w:t>
      </w:r>
      <w:r>
        <w:rPr>
          <w:rFonts w:hint="eastAsia" w:ascii="宋体" w:hAnsi="宋体" w:cs="宋体"/>
          <w:szCs w:val="21"/>
        </w:rPr>
        <w:t xml:space="preserve">。专职安全员：</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6、在整个工程实施过程中，承包人派出的项目负责人必须是响应文件中承诺的项目负责人。未事先征得发包人同意，承包人不得擅自更换项目负责人，否则将被视为承包人违约。若确需更换必须获得发包人的同意并保证调整后不得低于原有的水平，</w:t>
      </w:r>
      <w:r>
        <w:rPr>
          <w:rFonts w:hint="eastAsia" w:ascii="宋体" w:hAnsi="宋体"/>
          <w:b/>
          <w:szCs w:val="21"/>
        </w:rPr>
        <w:t xml:space="preserve">承包人更换一次项目负责人则将被处以违约金0.5万元</w:t>
      </w:r>
      <w:r>
        <w:rPr>
          <w:rFonts w:hint="eastAsia" w:ascii="宋体" w:hAnsi="宋体"/>
          <w:szCs w:val="21"/>
        </w:rPr>
        <w:t xml:space="preserve">。但发包人有权根据工程实施情况要求承包人立即更换项目负责人，对此，承包人不得拒绝。</w:t>
      </w:r>
      <w:r>
        <w:rPr>
          <w:rFonts w:hint="eastAsia" w:ascii="宋体" w:hAnsi="宋体"/>
          <w:szCs w:val="21"/>
        </w:rPr>
      </w:r>
      <w:r/>
    </w:p>
    <w:p>
      <w:pPr>
        <w:pStyle w:val="925"/>
        <w:ind w:firstLine="420"/>
        <w:jc w:val="left"/>
        <w:spacing w:line="360" w:lineRule="auto"/>
        <w:rPr>
          <w:rFonts w:ascii="宋体" w:hAnsi="宋体"/>
          <w:szCs w:val="21"/>
        </w:rPr>
      </w:pPr>
      <w:r>
        <w:rPr>
          <w:rFonts w:hint="eastAsia" w:ascii="宋体" w:hAnsi="宋体"/>
        </w:rPr>
        <w:t xml:space="preserve">7、因承包人原因导致工期延误而造成的费用增加以及其他损失，由承包人自行承担，发包人概不负责。工期延误超过</w:t>
      </w:r>
      <w:r>
        <w:rPr>
          <w:rFonts w:hint="eastAsia" w:ascii="宋体" w:hAnsi="宋体"/>
          <w:u w:val="single"/>
        </w:rPr>
        <w:t xml:space="preserve"> 30 </w:t>
      </w:r>
      <w:r>
        <w:rPr>
          <w:rFonts w:hint="eastAsia" w:ascii="宋体" w:hAnsi="宋体"/>
        </w:rPr>
        <w:t xml:space="preserve">天，发包人有权解除本合同。</w:t>
      </w:r>
      <w:r>
        <w:rPr>
          <w:rFonts w:ascii="宋体" w:hAnsi="宋体"/>
          <w:szCs w:val="21"/>
        </w:rPr>
      </w:r>
      <w:r/>
    </w:p>
    <w:p>
      <w:pPr>
        <w:pStyle w:val="925"/>
        <w:ind w:firstLine="424"/>
        <w:spacing w:line="360" w:lineRule="auto"/>
        <w:rPr>
          <w:rFonts w:ascii="宋体" w:hAnsi="宋体" w:cs="宋体"/>
          <w:szCs w:val="21"/>
        </w:rPr>
      </w:pPr>
      <w:r>
        <w:rPr>
          <w:rFonts w:hint="eastAsia" w:ascii="宋体" w:hAnsi="宋体" w:cs="宋体"/>
          <w:szCs w:val="21"/>
        </w:rPr>
        <w:t xml:space="preserve">8.工程质量符合相关验收标准。工程安全目标：</w:t>
      </w:r>
      <w:r>
        <w:rPr>
          <w:rFonts w:hint="eastAsia" w:ascii="宋体" w:hAnsi="宋体" w:cs="宋体"/>
          <w:szCs w:val="21"/>
          <w:u w:val="single"/>
        </w:rPr>
        <w:t xml:space="preserve">无安全责任事故</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b/>
          <w:szCs w:val="21"/>
          <w:highlight w:val="green"/>
        </w:rPr>
      </w:pPr>
      <w:r>
        <w:rPr>
          <w:rFonts w:hint="eastAsia" w:ascii="宋体" w:hAnsi="宋体" w:cs="宋体"/>
          <w:szCs w:val="21"/>
        </w:rPr>
        <w:t xml:space="preserve">9.承包人承诺按合同约定承担工程的实施、完成及缺陷修复。</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rPr>
        <w:t xml:space="preserve">                      </w:t>
      </w:r>
      <w:r>
        <w:rPr>
          <w:rFonts w:hint="eastAsia" w:ascii="宋体" w:hAnsi="宋体"/>
          <w:b/>
          <w:szCs w:val="21"/>
        </w:rPr>
        <w:t xml:space="preserve">。</w:t>
      </w:r>
      <w:r>
        <w:rPr>
          <w:rFonts w:ascii="宋体" w:hAnsi="宋体"/>
          <w:b/>
          <w:szCs w:val="21"/>
          <w:highlight w:val="green"/>
        </w:rPr>
      </w:r>
      <w:r/>
    </w:p>
    <w:p>
      <w:pPr>
        <w:pStyle w:val="925"/>
        <w:ind w:firstLine="424"/>
        <w:spacing w:line="360" w:lineRule="auto"/>
        <w:rPr>
          <w:rFonts w:ascii="宋体" w:hAnsi="宋体" w:cs="宋体"/>
          <w:szCs w:val="21"/>
        </w:rPr>
      </w:pPr>
      <w:r>
        <w:rPr>
          <w:rFonts w:hint="eastAsia" w:ascii="宋体" w:hAnsi="宋体" w:cs="宋体"/>
          <w:szCs w:val="21"/>
        </w:rPr>
        <w:t xml:space="preserve">10.承包人应按照监理人指示开工，工期为</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0"/>
        <w:spacing w:line="360" w:lineRule="auto"/>
        <w:rPr>
          <w:rFonts w:ascii="宋体" w:hAnsi="宋体"/>
          <w:szCs w:val="21"/>
        </w:rPr>
      </w:pPr>
      <w:r>
        <w:rPr>
          <w:rFonts w:hint="eastAsia" w:ascii="宋体" w:hAnsi="宋体" w:cs="宋体"/>
          <w:szCs w:val="21"/>
        </w:rPr>
        <w:t xml:space="preserve">11.</w:t>
      </w:r>
      <w:r>
        <w:rPr>
          <w:rFonts w:hint="eastAsia" w:ascii="宋体" w:hAnsi="宋体"/>
          <w:szCs w:val="21"/>
        </w:rPr>
        <w:t xml:space="preserve">农民工工资保障</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承包人承建工程需要使用农民工时，将保证做到：</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①按照《劳动合同法》规定雇佣和使用农民工，工资将直接发放给农民工本人，严禁发放给“包工头”。</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②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③如果发生违反规定拖欠或克扣农民工工资行为，造成农民工上访，承包人应接受发包人依照有关规定作出的处罚决定。</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④承包人应当按照国务院724号令《保障农民工工资支付条例》、交通部交公路规〔2020〕5号文《交通运输部关于公路水运工程建设领域保障农民工工资支付的意见》、《江苏省工资支付条例》规定、苏建建管〔2016〕707号文《江苏省工程建设领域农民工工资支付管理办法》、苏交规〔</w:t>
      </w:r>
      <w:r>
        <w:rPr>
          <w:rFonts w:hint="eastAsia" w:ascii="宋体" w:hAnsi="宋体"/>
          <w:szCs w:val="21"/>
        </w:rPr>
        <w:t xml:space="preserve">2021〕2号《省交通运输厅关于交通工程建设领域保障农民工工资支付的意见》、苏人社发〔2021〕98号《省人力资源社会保障厅等部门印发关于进一步落实工程建设领域按月足额支付工资的意见的通知》、苏交建便函〔2023〕155号《关于进一步加强公路水运建设领域保障农民工工资支付工作的通知》、苏人社规〔2023〕4号《省人力资源社会保障厅关于调整全省最低工资标准的通知》等要求实行农民工工资管理制度，同时要求承包人建立健全的清理拖欠农民工工资应急预案，并及时足额将农民工工资发放到位。承包人应依法落实农民工实名制管理。</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12.安全生产措施</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安全生产工作应当以人为本，坚持人民至上、生命至上，把保护人民生命安全摆在首位，树牢安全发展理念，坚持安全第一、预防为主、综合治理的方针，从源头上防范化解重大安全风险。</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安全生产工作实行管行业必须管安全、管业务必须管安全、管生产经营必须管安全，强化和落实生产经营单位主体责任与政府监管责任，建立生产经营单位负责、职工参与、政府监管、行业自律和社会监督的机制。</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承包人应当具备的安全生产条件所必需的资金投入，由承包人的决策机构、主要负责人或者个人经营的投资人予以保证，并对由于安全生产所必需的资金投入不足导致的后果承担责任。</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承包人必须依法参加工伤保险，为从业人员缴纳保险费。</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国家鼓励生产经营单位投保安全生产责任保险；属于国家规定的高危行业、领域的生产经营单位，应当投保安全生产责任保险。</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遵守政府有关部门、委托人及有关单位安全保卫制度，对所有技术方法的完备性、稳定性和安全性以及所有工作人员工作中的失误、疏忽、玩忽职守承担全部责任。在监测实施过程中，应负责现场承包单位人员的安全教育和人身保险，负责工作现场的安全生产管理。在作业现场，</w:t>
      </w:r>
      <w:r>
        <w:rPr>
          <w:rFonts w:hint="eastAsia" w:ascii="宋体" w:hAnsi="宋体"/>
          <w:szCs w:val="21"/>
        </w:rPr>
        <w:t xml:space="preserve">承包人</w:t>
      </w:r>
      <w:r>
        <w:rPr>
          <w:rFonts w:hint="eastAsia" w:ascii="宋体" w:hAnsi="宋体"/>
          <w:szCs w:val="21"/>
        </w:rPr>
        <w:t xml:space="preserve">应采取必要的安全措施，并应保障委托人免于承担由此导致的一切诉讼、争执、索赔、罚款。同时应对由于自己或其代理人的过错包括侵犯版权或发明权而给委托人或任何第三方造成的损失负赔偿责任。</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承包人应严格遵守《中华人民共和国安全生产法》、《建设工程安全生产管理条例》、《江苏省安全生产条例》、《公路水运工程安全生产监督管理办法》、《江苏省公路水运建设工程安全监管规定》、</w:t>
      </w:r>
      <w:r>
        <w:rPr>
          <w:rFonts w:hint="eastAsia" w:ascii="宋体" w:hAnsi="宋体"/>
          <w:b/>
          <w:szCs w:val="21"/>
        </w:rPr>
        <w:t xml:space="preserve">《江苏省交通建设工程质量和安全生产监督管理条例》</w:t>
      </w:r>
      <w:r>
        <w:rPr>
          <w:rFonts w:hint="eastAsia" w:ascii="宋体" w:hAnsi="宋体"/>
          <w:szCs w:val="21"/>
        </w:rPr>
        <w:t xml:space="preserve">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承包人在监测过程中发生的任何交通、生产事故造成财产损失或人员伤亡的，以及与其他第三方发生的任何纠纷或事故，委托人概不承担任何责任和费用。</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针对在监测期间需不中断交通保持过往车辆顺利通行，承包人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w:t>
      </w:r>
      <w:r>
        <w:rPr>
          <w:rFonts w:hint="eastAsia" w:ascii="宋体" w:hAnsi="宋体"/>
          <w:b/>
          <w:szCs w:val="21"/>
        </w:rPr>
        <w:t xml:space="preserve">《江苏省交通建设工程质量和安全生产监督管理条例》</w:t>
      </w:r>
      <w:r>
        <w:rPr>
          <w:rFonts w:hint="eastAsia" w:ascii="宋体" w:hAnsi="宋体"/>
          <w:szCs w:val="21"/>
        </w:rPr>
        <w:t xml:space="preserve">的有关规定，服从公安、路政部门的管</w:t>
      </w:r>
      <w:r>
        <w:rPr>
          <w:rFonts w:hint="eastAsia" w:ascii="宋体" w:hAnsi="宋体"/>
          <w:szCs w:val="21"/>
        </w:rPr>
        <w:t xml:space="preserve">理，自觉保护施工公路路产；遵守地方政府和有关部门对检测场地交通等管理规定，否则将承担由此造成的有权部门的处罚。承包人上路作业应按规定办理相关手续，并服从公安、路政部门的管理；作业人员须穿着统一的安全标记服在作业区内作业，严禁随意穿越车道；在作业封闭区内的车辆和设备应按要求设置安全标记，并开启黄色警示灯和双跳灯。承包人应按照有关规定向路政、交警部门办理行政许可及交纳相关费用。承包人应杜绝因自身原因产生道路严重阻塞、中断等不良社会影响的现象发生，如发生上述情况，产生的一切责任（包括连带附带责任）均由承包人承担。</w:t>
      </w:r>
      <w:r>
        <w:rPr>
          <w:rFonts w:ascii="宋体" w:hAnsi="宋体"/>
          <w:szCs w:val="21"/>
        </w:rPr>
      </w:r>
      <w:r/>
    </w:p>
    <w:p>
      <w:pPr>
        <w:pStyle w:val="925"/>
        <w:ind w:firstLine="420"/>
        <w:jc w:val="left"/>
        <w:spacing w:line="360" w:lineRule="auto"/>
        <w:rPr>
          <w:rFonts w:ascii="宋体" w:hAnsi="宋体"/>
          <w:szCs w:val="21"/>
        </w:rPr>
      </w:pPr>
      <w:r>
        <w:rPr>
          <w:rFonts w:hint="eastAsia"/>
          <w:szCs w:val="21"/>
        </w:rPr>
        <w:t xml:space="preserve">在现场工作时，</w:t>
      </w:r>
      <w:r>
        <w:rPr>
          <w:rFonts w:hint="eastAsia" w:ascii="宋体" w:hAnsi="宋体"/>
          <w:szCs w:val="21"/>
        </w:rPr>
        <w:t xml:space="preserve">承包人</w:t>
      </w:r>
      <w:r>
        <w:rPr>
          <w:rFonts w:hint="eastAsia"/>
          <w:szCs w:val="21"/>
        </w:rPr>
        <w:t xml:space="preserve">应遵守政府有关部门、委托人及有关单位安全保卫制度，并对其人员的安全负责，</w:t>
      </w:r>
      <w:r>
        <w:rPr>
          <w:rFonts w:hint="eastAsia" w:ascii="宋体" w:hAnsi="宋体"/>
          <w:szCs w:val="21"/>
        </w:rPr>
        <w:t xml:space="preserve">承包人</w:t>
      </w:r>
      <w:r>
        <w:rPr>
          <w:rFonts w:hint="eastAsia"/>
          <w:szCs w:val="21"/>
        </w:rPr>
        <w:t xml:space="preserve">应对由于自己或其代理人的过错包括侵犯版权或发明权而给委托人或任何第三方造成的损失负赔偿责任。在作业现场，</w:t>
      </w:r>
      <w:r>
        <w:rPr>
          <w:rFonts w:hint="eastAsia" w:ascii="宋体" w:hAnsi="宋体"/>
          <w:szCs w:val="21"/>
        </w:rPr>
        <w:t xml:space="preserve">承包人</w:t>
      </w:r>
      <w:r>
        <w:rPr>
          <w:rFonts w:hint="eastAsia"/>
          <w:szCs w:val="21"/>
        </w:rPr>
        <w:t xml:space="preserve">应采取必要的安全措施，并应保障委托人免于承担由此导致的一切诉讼、争执、索赔、罚款。</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交通建设工程发生质量和生产安全事故，从业单位应当按照国家有关规定向交通运输主管部门或者交通建设工程监督机构报告；生产安全事故应当同时向事故发生地应急管理部门报告。不得瞒报、谎报、漏报或者迟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工程质量事故的调查处理，生产安全事故的应急救援和调查处理，按照国家有关规定执行。</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13.环境保护文明施工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（2）采取可靠措施保证原有交通的正常通行，维持沿线村镇的居民饮水、农田灌溉、生产生活用电及通讯等管线的正常使用。</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施工单位应针对工程实际，分析扬尘来源，制定有效的扬尘治理方案并严格落实，施工现场应明确专人负责扬尘整治工作。相关费用含在清单报价中，不另行计量支付。如承包人对施工现场扬尘管控达不到常州市交通运输局关于“常交质[2018]4号文”要求标准，则由发包人予以1万元/次处罚。</w:t>
      </w:r>
      <w:r>
        <w:rPr>
          <w:rFonts w:hint="eastAsia" w:ascii="宋体" w:hAnsi="宋体"/>
          <w:szCs w:val="21"/>
        </w:rPr>
      </w:r>
      <w:r/>
    </w:p>
    <w:p>
      <w:pPr>
        <w:pStyle w:val="925"/>
        <w:numPr>
          <w:ilvl w:val="0"/>
          <w:numId w:val="0"/>
        </w:numPr>
        <w:ind w:firstLine="420"/>
        <w:spacing w:line="360" w:lineRule="auto"/>
        <w:rPr>
          <w:rFonts w:hint="eastAsia" w:ascii="宋体" w:hAnsi="宋体"/>
          <w:szCs w:val="21"/>
        </w:rPr>
      </w:pPr>
      <w:r>
        <w:rPr>
          <w:rFonts w:hint="eastAsia" w:ascii="宋体" w:hAnsi="宋体"/>
          <w:sz w:val="21"/>
          <w:szCs w:val="21"/>
          <w:lang w:val="en-US" w:eastAsia="zh-CN" w:bidi="ar-SA"/>
        </w:rPr>
        <w:t xml:space="preserve">（3）</w:t>
      </w: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925"/>
        <w:ind w:firstLine="422"/>
        <w:spacing w:line="360" w:lineRule="auto"/>
        <w:rPr>
          <w:rFonts w:hint="eastAsia" w:ascii="宋体" w:hAnsi="宋体"/>
          <w:szCs w:val="21"/>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13.5承包人应严格按照国家有关法规要求，做好施工过程中的生态保护和水土保持工作。施工中要尽可能减少对原地面的扰动，减少对地面草木的破坏，需要爆破作业的，应按规定进行控爆设计。雨季填筑路基应随挖、随运、随压，要完善施工中的临时排水系统，加强施工便道的管理。取（弃）土场必须先挡后弃，严禁在指定的取（弃）土场以外的地方乱挖乱弃。</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13.6文明施工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15.2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（1）承包人发生上述第（1）、（6）目约定的违约情况时，发包人可通知承包人立即解除合同，并按有关法律处理。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（2）承包人发生除上述第（1）、（6）目约定以外的违约情况时，监理人可向承包人发出整改通知，要求其在指定的期限内改正。承包人应承担其违约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16.因本合同引起的或与本合同有关的争议，双方协商解决，协商不成的双方同意提交常州仲裁委员会按其仲裁规则仲裁，裁决是终局的，对双方均具有约束力。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17.本协议书一式陆份，合同双方各执叁份。</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18.合同未尽事宜，双方另行签订补充协议。补充协议是合同的组成部分。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spacing w:before="8" w:line="360" w:lineRule="auto"/>
        <w:rPr>
          <w:rFonts w:ascii="宋体" w:hAnsi="宋体"/>
        </w:rPr>
        <w:sectPr>
          <w:footnotePr/>
          <w:endnotePr/>
          <w:type w:val="nextPage"/>
          <w:pgSz w:w="11906" w:h="16838" w:orient="portrait"/>
          <w:pgMar w:top="1440" w:right="1134" w:bottom="1134" w:left="1134" w:header="851" w:footer="992" w:gutter="0"/>
          <w:cols w:num="1" w:sep="0" w:space="1701" w:equalWidth="1"/>
          <w:docGrid w:linePitch="360"/>
        </w:sectPr>
      </w:pPr>
      <w:r>
        <w:rPr>
          <w:rFonts w:ascii="宋体" w:hAnsi="宋体"/>
        </w:rPr>
      </w:r>
      <w:r/>
    </w:p>
    <w:p>
      <w:pPr>
        <w:pStyle w:val="925"/>
        <w:rPr>
          <w:b/>
          <w:bCs/>
          <w:sz w:val="28"/>
          <w:szCs w:val="28"/>
        </w:rPr>
      </w:pPr>
      <w:r>
        <w:rPr>
          <w:rFonts w:hint="eastAsia"/>
          <w:b/>
          <w:bCs/>
          <w:sz w:val="28"/>
          <w:szCs w:val="28"/>
        </w:rPr>
        <w:t xml:space="preserve">附件一</w:t>
      </w:r>
      <w:r>
        <w:rPr>
          <w:b/>
          <w:bCs/>
          <w:sz w:val="28"/>
          <w:szCs w:val="28"/>
        </w:rPr>
      </w:r>
      <w:r/>
    </w:p>
    <w:p>
      <w:pPr>
        <w:pStyle w:val="925"/>
        <w:jc w:val="center"/>
        <w:spacing w:line="0" w:lineRule="atLeast"/>
        <w:rPr>
          <w:rFonts w:ascii="宋体" w:hAnsi="宋体" w:cs="MingLiU"/>
          <w:b/>
          <w:sz w:val="28"/>
          <w:szCs w:val="28"/>
        </w:rPr>
        <w:outlineLvl w:val="3"/>
      </w:pPr>
      <w:r>
        <w:rPr>
          <w:rFonts w:hint="eastAsia" w:ascii="宋体" w:hAnsi="宋体" w:cs="MingLiU"/>
          <w:b/>
          <w:sz w:val="28"/>
          <w:szCs w:val="28"/>
        </w:rPr>
        <w:t xml:space="preserve">安全生产合同</w:t>
      </w:r>
      <w:r>
        <w:rPr>
          <w:rFonts w:ascii="宋体" w:hAnsi="宋体" w:cs="MingLiU"/>
          <w:b/>
          <w:sz w:val="28"/>
          <w:szCs w:val="28"/>
        </w:rPr>
      </w:r>
      <w:r/>
    </w:p>
    <w:p>
      <w:pPr>
        <w:pStyle w:val="925"/>
        <w:jc w:val="center"/>
        <w:spacing w:line="0" w:lineRule="atLeast"/>
        <w:rPr>
          <w:rFonts w:ascii="宋体" w:hAnsi="宋体" w:cs="MingLiU"/>
          <w:b/>
          <w:sz w:val="28"/>
          <w:szCs w:val="28"/>
        </w:rPr>
        <w:outlineLvl w:val="3"/>
      </w:pPr>
      <w:r>
        <w:rPr>
          <w:rFonts w:ascii="宋体" w:hAnsi="宋体" w:cs="MingLiU"/>
          <w:b/>
          <w:sz w:val="28"/>
          <w:szCs w:val="28"/>
        </w:rPr>
      </w:r>
      <w:r/>
    </w:p>
    <w:p>
      <w:pPr>
        <w:pStyle w:val="925"/>
        <w:ind w:firstLine="420"/>
        <w:jc w:val="left"/>
        <w:spacing w:line="360" w:lineRule="auto"/>
        <w:tabs>
          <w:tab w:val="left" w:pos="2800" w:leader="none"/>
          <w:tab w:val="left" w:pos="4520" w:leader="none"/>
        </w:tabs>
        <w:rPr>
          <w:rFonts w:ascii="宋体" w:hAnsi="宋体" w:cs="Microsoft JhengHei Light"/>
          <w:szCs w:val="21"/>
        </w:rPr>
      </w:pPr>
      <w:r>
        <w:rPr>
          <w:rFonts w:hint="eastAsia" w:ascii="宋体" w:hAnsi="宋体" w:cs="Microsoft JhengHei Light"/>
          <w:szCs w:val="21"/>
        </w:rPr>
        <w:t xml:space="preserve">为在</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项目名称</w:t>
      </w:r>
      <w:r>
        <w:rPr>
          <w:rFonts w:hint="eastAsia" w:ascii="宋体" w:hAnsi="宋体"/>
          <w:szCs w:val="21"/>
        </w:rPr>
        <w:t xml:space="preserve">)</w:t>
      </w:r>
      <w:r>
        <w:rPr>
          <w:rFonts w:hint="eastAsia" w:ascii="宋体" w:hAnsi="宋体" w:cs="Microsoft JhengHei Light"/>
          <w:szCs w:val="21"/>
        </w:rPr>
        <w:t xml:space="preserve">施工合同的实施过程中创造安全、高效的施工环境，切实搞好本项目的安全管理工作，本项目发包人</w:t>
      </w:r>
      <w:r>
        <w:rPr>
          <w:rFonts w:hint="eastAsia" w:ascii="宋体" w:hAnsi="宋体"/>
          <w:szCs w:val="21"/>
          <w:u w:val="single"/>
        </w:rPr>
        <w:t xml:space="preserve">  常州市公路事业发展中心  </w:t>
      </w:r>
      <w:r>
        <w:rPr>
          <w:rFonts w:hint="eastAsia" w:ascii="宋体" w:hAnsi="宋体"/>
          <w:szCs w:val="21"/>
        </w:rPr>
        <w:t xml:space="preserve">(</w:t>
      </w:r>
      <w:r>
        <w:rPr>
          <w:rFonts w:hint="eastAsia" w:ascii="宋体" w:hAnsi="宋体" w:cs="Microsoft JhengHei Light"/>
          <w:szCs w:val="21"/>
        </w:rPr>
        <w:t xml:space="preserve">发包人名称，以下简称</w:t>
      </w:r>
      <w:r>
        <w:rPr>
          <w:rFonts w:hint="eastAsia" w:ascii="宋体" w:hAnsi="宋体"/>
          <w:szCs w:val="21"/>
        </w:rPr>
        <w:t xml:space="preserve">“</w:t>
      </w:r>
      <w:r>
        <w:rPr>
          <w:rFonts w:hint="eastAsia" w:ascii="宋体" w:hAnsi="宋体" w:cs="Microsoft JhengHei Light"/>
          <w:szCs w:val="21"/>
        </w:rPr>
        <w:t xml:space="preserve">发包人</w:t>
      </w:r>
      <w:r>
        <w:rPr>
          <w:rFonts w:hint="eastAsia" w:ascii="宋体" w:hAnsi="宋体"/>
          <w:szCs w:val="21"/>
        </w:rPr>
        <w:t xml:space="preserve">”)</w:t>
      </w:r>
      <w:r>
        <w:rPr>
          <w:rFonts w:hint="eastAsia" w:ascii="宋体" w:hAnsi="宋体" w:cs="Microsoft JhengHei Light"/>
          <w:szCs w:val="21"/>
        </w:rPr>
        <w:t xml:space="preserve">与承包人</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承包人名称，以下简称</w:t>
      </w:r>
      <w:r>
        <w:rPr>
          <w:rFonts w:hint="eastAsia" w:ascii="宋体" w:hAnsi="宋体"/>
          <w:szCs w:val="21"/>
        </w:rPr>
        <w:t xml:space="preserve">“</w:t>
      </w:r>
      <w:r>
        <w:rPr>
          <w:rFonts w:hint="eastAsia" w:ascii="宋体" w:hAnsi="宋体" w:cs="Microsoft JhengHei Light"/>
          <w:szCs w:val="21"/>
        </w:rPr>
        <w:t xml:space="preserve">承包人</w:t>
      </w:r>
      <w:r>
        <w:rPr>
          <w:rFonts w:hint="eastAsia" w:ascii="宋体" w:hAnsi="宋体"/>
          <w:szCs w:val="21"/>
        </w:rPr>
        <w:t xml:space="preserve">”)</w:t>
      </w:r>
      <w:r>
        <w:rPr>
          <w:rFonts w:hint="eastAsia" w:ascii="宋体" w:hAnsi="宋体" w:cs="Microsoft JhengHei Light"/>
          <w:szCs w:val="21"/>
        </w:rPr>
        <w:t xml:space="preserve">特此签订安全生产合同：</w:t>
      </w:r>
      <w:r>
        <w:rPr>
          <w:rFonts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1.发包人职责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(1)严格遵守国家有关安全生产的法律法规，认真执行工程承包合同中的有关 安全要求。</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(2)按照“安全第一、预防为主、综合治理”和坚持“管生产必须管安全”的原则进行安全生产管理，做到生产与安全工作同时计划、布置、检查、总结和评比。</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(3)重要的安全设施必须坚持与主体工程“三同时”的原则，即：同时设计、审批，同时施工，同时验收，投入使用。</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(4)定期召开安全生产调度会，及时传达中央及地方有关安全生产的精神。</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(5)组织对承包人施工现场进行安全生产检查，监督承包人及时处理发现的各 种安全隐患。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2.承包人职责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 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(4)承包人在任何时候都应采取各种合理的预防措施，防止其员工发生任何违法、违禁、暴力或妨碍治安的行为。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(9)施工中采用新技术、新工艺、新设备、新材料时，必须制定相应的安全技术措施，施工现场必须具有相关的安全标志牌。</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(11)安全生产费用按照《公路水运工程安全生产监督管理办法》的相关规定使用和管理。</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3.违约责任</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施工过程中发生事故，由承包人承担责任。发包人违约的，承包人可向发包人追偿。</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4.本合同由双方法定代表人或其授权的代理人签署并加盖单位章后生效，全部工程竣工验收后失效。</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outlineLvl w:val="0"/>
      </w:pPr>
      <w:r>
        <w:rPr>
          <w:rFonts w:hint="eastAsia" w:ascii="宋体" w:hAnsi="宋体" w:cs="Microsoft JhengHei Light"/>
          <w:szCs w:val="21"/>
        </w:rPr>
        <w:t xml:space="preserve">5.本协议书一式陆份，合同双方各执叁份，具有同等法律效力。</w:t>
      </w:r>
      <w:r>
        <w:rPr>
          <w:rFonts w:hint="eastAsia" w:ascii="宋体" w:hAnsi="宋体" w:cs="Microsoft JhengHei Light"/>
          <w:szCs w:val="21"/>
        </w:rPr>
      </w:r>
      <w:r/>
    </w:p>
    <w:p>
      <w:pPr>
        <w:pStyle w:val="925"/>
        <w:ind w:firstLine="480"/>
        <w:spacing w:line="440" w:lineRule="exact"/>
        <w:rPr>
          <w:rFonts w:ascii="宋体" w:hAnsi="宋体"/>
          <w:szCs w:val="21"/>
        </w:rPr>
      </w:pPr>
      <w:r>
        <w:rPr>
          <w:rFonts w:ascii="宋体" w:hAnsi="宋体"/>
          <w:szCs w:val="21"/>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jc w:val="right"/>
        <w:spacing w:line="440" w:lineRule="exact"/>
        <w:rPr>
          <w:rFonts w:ascii="宋体" w:hAnsi="宋体"/>
          <w:szCs w:val="21"/>
        </w:rPr>
      </w:pPr>
      <w:r>
        <w:rPr>
          <w:rFonts w:ascii="宋体" w:hAnsi="宋体"/>
          <w:szCs w:val="21"/>
        </w:rPr>
      </w:r>
      <w:r/>
    </w:p>
    <w:p>
      <w:pPr>
        <w:pStyle w:val="1174"/>
        <w:jc w:val="center"/>
        <w:spacing w:before="0" w:beforeAutospacing="0" w:after="0" w:afterAutospacing="0" w:line="440" w:lineRule="exact"/>
        <w:shd w:val="clear" w:color="auto" w:fill="ffffff"/>
        <w:rPr>
          <w:b/>
          <w:sz w:val="84"/>
          <w:szCs w:val="84"/>
        </w:rPr>
      </w:pPr>
      <w:r>
        <w:rPr>
          <w:b/>
          <w:sz w:val="84"/>
          <w:szCs w:val="84"/>
        </w:rPr>
      </w:r>
      <w:r/>
    </w:p>
    <w:p>
      <w:pPr>
        <w:pStyle w:val="925"/>
        <w:ind w:firstLine="200"/>
        <w:spacing w:line="276" w:lineRule="auto"/>
        <w:tabs>
          <w:tab w:val="left" w:pos="1260" w:leader="none"/>
        </w:tabs>
        <w:rPr>
          <w:rFonts w:ascii="宋体" w:hAnsi="宋体"/>
          <w:b/>
          <w:bCs/>
          <w:sz w:val="28"/>
          <w:szCs w:val="28"/>
        </w:rPr>
      </w:pPr>
      <w:r>
        <w:br w:type="page" w:clear="all"/>
      </w:r>
      <w:r>
        <w:rPr>
          <w:rFonts w:hint="eastAsia" w:ascii="宋体" w:hAnsi="宋体"/>
          <w:b/>
          <w:bCs/>
          <w:sz w:val="28"/>
          <w:szCs w:val="28"/>
        </w:rPr>
        <w:t xml:space="preserve">附件二</w:t>
      </w:r>
      <w:r>
        <w:rPr>
          <w:rFonts w:ascii="宋体" w:hAnsi="宋体"/>
          <w:b/>
          <w:bCs/>
          <w:sz w:val="28"/>
          <w:szCs w:val="28"/>
        </w:rPr>
      </w:r>
      <w:r/>
    </w:p>
    <w:p>
      <w:pPr>
        <w:pStyle w:val="925"/>
        <w:jc w:val="center"/>
        <w:spacing w:line="0" w:lineRule="atLeast"/>
        <w:rPr>
          <w:rFonts w:ascii="宋体" w:hAnsi="宋体" w:cs="MingLiU"/>
          <w:b/>
          <w:sz w:val="28"/>
          <w:szCs w:val="28"/>
        </w:rPr>
        <w:outlineLvl w:val="3"/>
      </w:pPr>
      <w:r>
        <w:rPr>
          <w:rFonts w:hint="eastAsia" w:ascii="宋体" w:hAnsi="宋体" w:cs="MingLiU"/>
          <w:b/>
          <w:sz w:val="28"/>
          <w:szCs w:val="28"/>
        </w:rPr>
        <w:t xml:space="preserve">廉政合同</w:t>
      </w:r>
      <w:r>
        <w:rPr>
          <w:rFonts w:ascii="宋体" w:hAnsi="宋体" w:cs="MingLiU"/>
          <w:b/>
          <w:sz w:val="28"/>
          <w:szCs w:val="28"/>
        </w:rPr>
      </w:r>
      <w:r/>
    </w:p>
    <w:p>
      <w:pPr>
        <w:pStyle w:val="925"/>
        <w:spacing w:line="0" w:lineRule="atLeast"/>
        <w:rPr>
          <w:rFonts w:ascii="宋体" w:hAnsi="宋体" w:cs="MingLiU"/>
          <w:b/>
          <w:sz w:val="28"/>
          <w:szCs w:val="28"/>
        </w:rPr>
        <w:outlineLvl w:val="3"/>
      </w:pPr>
      <w:r>
        <w:rPr>
          <w:rFonts w:ascii="宋体" w:hAnsi="宋体" w:cs="MingLiU"/>
          <w:b/>
          <w:sz w:val="28"/>
          <w:szCs w:val="28"/>
        </w:rPr>
      </w:r>
      <w:r/>
    </w:p>
    <w:p>
      <w:pPr>
        <w:pStyle w:val="925"/>
        <w:ind w:firstLine="420"/>
        <w:jc w:val="left"/>
        <w:spacing w:line="440" w:lineRule="atLeast"/>
        <w:rPr>
          <w:rFonts w:ascii="宋体" w:hAnsi="宋体" w:cs="Microsoft JhengHei Light"/>
          <w:szCs w:val="21"/>
        </w:rPr>
      </w:pPr>
      <w:r>
        <w:rPr>
          <w:rFonts w:hint="eastAsia" w:ascii="宋体" w:hAnsi="宋体" w:cs="Microsoft JhengHei Light"/>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b/>
          <w:szCs w:val="21"/>
          <w:u w:val="single"/>
        </w:rPr>
        <w:t xml:space="preserve">                 </w:t>
      </w:r>
      <w:r>
        <w:rPr>
          <w:rFonts w:hint="eastAsia" w:ascii="宋体" w:hAnsi="宋体" w:cs="Microsoft JhengHei Light"/>
          <w:szCs w:val="21"/>
        </w:rPr>
        <w:t xml:space="preserve">（项目名称）的项目法人</w:t>
      </w:r>
      <w:r>
        <w:rPr>
          <w:rFonts w:hint="eastAsia" w:ascii="宋体" w:hAnsi="宋体"/>
          <w:szCs w:val="21"/>
          <w:u w:val="single"/>
        </w:rPr>
        <w:t xml:space="preserve">常州市公路事业发展中心</w:t>
      </w:r>
      <w:r>
        <w:rPr>
          <w:rFonts w:hint="eastAsia" w:ascii="宋体" w:hAnsi="宋体"/>
          <w:szCs w:val="21"/>
        </w:rPr>
        <w:t xml:space="preserve">(</w:t>
      </w:r>
      <w:r>
        <w:rPr>
          <w:rFonts w:hint="eastAsia" w:ascii="宋体" w:hAnsi="宋体" w:cs="Microsoft JhengHei Light"/>
          <w:szCs w:val="21"/>
        </w:rPr>
        <w:t xml:space="preserve">项目法人名称，以下简称</w:t>
      </w:r>
      <w:r>
        <w:rPr>
          <w:rFonts w:hint="eastAsia" w:ascii="宋体" w:hAnsi="宋体"/>
          <w:szCs w:val="21"/>
        </w:rPr>
        <w:t xml:space="preserve">“</w:t>
      </w:r>
      <w:r>
        <w:rPr>
          <w:rFonts w:hint="eastAsia" w:ascii="宋体" w:hAnsi="宋体" w:cs="Microsoft JhengHei Light"/>
          <w:szCs w:val="21"/>
        </w:rPr>
        <w:t xml:space="preserve">发包人</w:t>
      </w:r>
      <w:r>
        <w:rPr>
          <w:rFonts w:hint="eastAsia" w:ascii="宋体" w:hAnsi="宋体"/>
          <w:szCs w:val="21"/>
        </w:rPr>
        <w:t xml:space="preserve">”)</w:t>
      </w:r>
      <w:r>
        <w:rPr>
          <w:rFonts w:hint="eastAsia" w:ascii="宋体" w:hAnsi="宋体" w:cs="Microsoft JhengHei Light"/>
          <w:szCs w:val="21"/>
        </w:rPr>
        <w:t xml:space="preserve">与该项目</w:t>
      </w:r>
      <w:r>
        <w:rPr>
          <w:rFonts w:hint="eastAsia" w:ascii="宋体" w:hAnsi="宋体" w:cs="Microsoft JhengHei Light"/>
          <w:szCs w:val="21"/>
          <w:u w:val="single"/>
        </w:rPr>
        <w:t xml:space="preserve">      </w:t>
      </w:r>
      <w:r>
        <w:rPr>
          <w:rFonts w:hint="eastAsia" w:ascii="宋体" w:hAnsi="宋体" w:cs="Microsoft JhengHei Light"/>
          <w:szCs w:val="21"/>
        </w:rPr>
        <w:t xml:space="preserve">标段的施工单位</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施工单位名称，以下简称</w:t>
      </w:r>
      <w:r>
        <w:rPr>
          <w:rFonts w:hint="eastAsia" w:ascii="宋体" w:hAnsi="宋体"/>
          <w:szCs w:val="21"/>
        </w:rPr>
        <w:t xml:space="preserve">“</w:t>
      </w:r>
      <w:r>
        <w:rPr>
          <w:rFonts w:hint="eastAsia" w:ascii="宋体" w:hAnsi="宋体" w:cs="Microsoft JhengHei Light"/>
          <w:szCs w:val="21"/>
        </w:rPr>
        <w:t xml:space="preserve">承包人</w:t>
      </w:r>
      <w:r>
        <w:rPr>
          <w:rFonts w:hint="eastAsia" w:ascii="宋体" w:hAnsi="宋体"/>
          <w:szCs w:val="21"/>
        </w:rPr>
        <w:t xml:space="preserve">”)</w:t>
      </w:r>
      <w:r>
        <w:rPr>
          <w:rFonts w:hint="eastAsia" w:ascii="宋体" w:hAnsi="宋体" w:cs="Microsoft JhengHei Light"/>
          <w:szCs w:val="21"/>
        </w:rPr>
        <w:t xml:space="preserve">，特订立如下合同。</w:t>
      </w:r>
      <w:r>
        <w:rPr>
          <w:rFonts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1.</w:t>
      </w:r>
      <w:r>
        <w:rPr>
          <w:rFonts w:hint="eastAsia" w:ascii="宋体" w:hAnsi="宋体" w:cs="Microsoft JhengHei"/>
          <w:szCs w:val="21"/>
        </w:rPr>
        <w:t xml:space="preserve">发包人和承包人双方的权利和义务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严格遵守党的政策规定和国家有关法律法规及交通运输部的有关规定。</w:t>
      </w:r>
      <w:r>
        <w:rPr>
          <w:rFonts w:hint="eastAsia" w:ascii="宋体" w:hAnsi="宋体" w:cs="Microsoft JhengHei Light"/>
          <w:szCs w:val="21"/>
        </w:rPr>
      </w:r>
      <w:r/>
    </w:p>
    <w:p>
      <w:pPr>
        <w:pStyle w:val="925"/>
        <w:ind w:firstLine="420"/>
        <w:spacing w:line="440" w:lineRule="atLeast"/>
        <w:tabs>
          <w:tab w:val="left" w:pos="3200" w:leader="none"/>
        </w:tabs>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严格执行</w:t>
      </w:r>
      <w:r>
        <w:rPr>
          <w:rFonts w:hint="eastAsia" w:ascii="宋体" w:hAnsi="宋体"/>
          <w:b/>
          <w:szCs w:val="21"/>
          <w:u w:val="single"/>
        </w:rPr>
        <w:t xml:space="preserve">                     </w:t>
      </w:r>
      <w:r>
        <w:rPr>
          <w:rFonts w:hint="eastAsia" w:ascii="宋体" w:hAnsi="宋体" w:cs="Microsoft JhengHei Light"/>
          <w:szCs w:val="21"/>
        </w:rPr>
        <w:t xml:space="preserve">（项目名称）</w:t>
      </w:r>
      <w:r>
        <w:rPr>
          <w:rFonts w:hint="eastAsia" w:ascii="宋体" w:hAnsi="宋体" w:cs="Microsoft JhengHei Light"/>
          <w:szCs w:val="21"/>
          <w:u w:val="single"/>
        </w:rPr>
        <w:t xml:space="preserve">     </w:t>
      </w:r>
      <w:r>
        <w:rPr>
          <w:rFonts w:hint="eastAsia" w:ascii="宋体" w:hAnsi="宋体" w:cs="Microsoft JhengHei Light"/>
          <w:szCs w:val="21"/>
        </w:rPr>
        <w:t xml:space="preserve">标段施工合同文件，自觉按合同办事。</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双方的业务活动坚持公开、公正、诚信、透明的原则</w:t>
      </w:r>
      <w:r>
        <w:rPr>
          <w:rFonts w:hint="eastAsia" w:ascii="宋体" w:hAnsi="宋体"/>
          <w:szCs w:val="21"/>
        </w:rPr>
        <w:t xml:space="preserve">(</w:t>
      </w:r>
      <w:r>
        <w:rPr>
          <w:rFonts w:hint="eastAsia" w:ascii="宋体" w:hAnsi="宋体" w:cs="Microsoft JhengHei Light"/>
          <w:szCs w:val="21"/>
        </w:rPr>
        <w:t xml:space="preserve">法律认定的商业秘密和合同文件另有规定除外)，不得损害国家和集体利益，不得违反工程建设管理规章制度。</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建立健全廉政制度，开展廉政教育，设立廉政告示牌，公布举报电话，监督并认真查处违法违纪行为。</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发现对方在业务活动中有违反廉政规定的行为，有及时提醒对方纠正的权利和义务。</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发现对方严重违反本合同义务条款的行为，有向其上级有关部门举报、建议给予处理并要求告知处理结果的权利。</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2.</w:t>
      </w:r>
      <w:r>
        <w:rPr>
          <w:rFonts w:hint="eastAsia" w:ascii="宋体" w:hAnsi="宋体" w:cs="Microsoft JhengHei"/>
          <w:szCs w:val="21"/>
        </w:rPr>
        <w:t xml:space="preserve">发包人的义务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发包人及其工作人员不得索要或接受承包人的礼金、有价证券和贵重物品，不得让承包人报销任何应由发包人或发包人工作人员个人支付的费用等。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发包人工作人员不得参加承包人安排的超标准宴请和娱乐活动；不得接受承包人提供的通讯工具、交通工具和高档办公用品等。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发包人及其工作人员不得要求或者接受承包人为其住房装修、婚丧嫁娶活动、配偶子女的工作安排以及出国出境、旅游等提供方便等。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发包人工作人员及其配偶、子女不得从事与发包人工程有关的材料设备供应、工程分包、劳务等经济活动等。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发包人及其工作人员不得以任何理由向承包人推荐分包单位或推销材料，不得要求承包人购买合同规定外的材料和设备。</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发包人工作人员要秉公办事，不准营私舞弊，不准利用职权从事各种个人有偿中介活动和安排个人施工队伍。</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3.</w:t>
      </w:r>
      <w:r>
        <w:rPr>
          <w:rFonts w:hint="eastAsia" w:ascii="宋体" w:hAnsi="宋体" w:cs="Microsoft JhengHei"/>
          <w:szCs w:val="21"/>
        </w:rPr>
        <w:t xml:space="preserve">承包人的义务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 </w:t>
      </w:r>
      <w:r>
        <w:rPr>
          <w:rFonts w:hint="eastAsia" w:ascii="宋体" w:hAnsi="宋体" w:cs="Microsoft JhengHei Light"/>
          <w:szCs w:val="21"/>
        </w:rPr>
        <w:t xml:space="preserve">承包人不得以任何理由向发包人及其工作人员行贿或馈赠礼金、有价证券、贵重礼品。</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承包人不得以任何名义为发包人及其工作人员报销应由发包人单位或个人支付的任何费用。</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承包人不得以任何理由安排发包人工作人员参加超标准宴请及娱乐活动。</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承包人不得为发包人单位和个人购置或提供通信工具、交通工具和高档办公用品等。</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4.</w:t>
      </w:r>
      <w:r>
        <w:rPr>
          <w:rFonts w:hint="eastAsia" w:ascii="宋体" w:hAnsi="宋体" w:cs="Microsoft JhengHei"/>
          <w:szCs w:val="21"/>
        </w:rPr>
        <w:t xml:space="preserve">违约责任</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发包人及其工作人员违反本合同第 </w:t>
      </w:r>
      <w:r>
        <w:rPr>
          <w:rFonts w:hint="eastAsia" w:ascii="宋体" w:hAnsi="宋体"/>
          <w:szCs w:val="21"/>
        </w:rPr>
        <w:t xml:space="preserve">1</w:t>
      </w:r>
      <w:r>
        <w:rPr>
          <w:rFonts w:hint="eastAsia" w:ascii="宋体" w:hAnsi="宋体" w:cs="Microsoft JhengHei Light"/>
          <w:szCs w:val="21"/>
        </w:rPr>
        <w:t xml:space="preserve">、</w:t>
      </w:r>
      <w:r>
        <w:rPr>
          <w:rFonts w:hint="eastAsia" w:ascii="宋体" w:hAnsi="宋体"/>
          <w:szCs w:val="21"/>
        </w:rPr>
        <w:t xml:space="preserve">2 </w:t>
      </w:r>
      <w:r>
        <w:rPr>
          <w:rFonts w:hint="eastAsia" w:ascii="宋体" w:hAnsi="宋体" w:cs="Microsoft JhengHei Light"/>
          <w:szCs w:val="21"/>
        </w:rPr>
        <w:t xml:space="preserve">条，按管理权限，依据有关规定给予党纪、政纪或组织处理；涉嫌犯罪的，移交司法机关追究刑事责任；给承包人单位造成经济损失的，应予以赔偿。</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承包人及其工作人员违反本合同第 </w:t>
      </w:r>
      <w:r>
        <w:rPr>
          <w:rFonts w:hint="eastAsia" w:ascii="宋体" w:hAnsi="宋体"/>
          <w:szCs w:val="21"/>
        </w:rPr>
        <w:t xml:space="preserve">1</w:t>
      </w:r>
      <w:r>
        <w:rPr>
          <w:rFonts w:hint="eastAsia" w:ascii="宋体" w:hAnsi="宋体" w:cs="Microsoft JhengHei Light"/>
          <w:szCs w:val="21"/>
        </w:rPr>
        <w:t xml:space="preserve">、</w:t>
      </w:r>
      <w:r>
        <w:rPr>
          <w:rFonts w:hint="eastAsia" w:ascii="宋体" w:hAnsi="宋体"/>
          <w:szCs w:val="21"/>
        </w:rPr>
        <w:t xml:space="preserve">3 </w:t>
      </w:r>
      <w:r>
        <w:rPr>
          <w:rFonts w:hint="eastAsia" w:ascii="宋体" w:hAnsi="宋体" w:cs="Microsoft JhengHei Light"/>
          <w:szCs w:val="21"/>
        </w:rPr>
        <w:t xml:space="preserve">条，按管理权限，依据有关规定给予党纪、政纪或组织处理；给发包人单位造成经济损失的，应予以赔偿；情节严重的，发包人建议交通运输主管部门给予承包人一至三年内不得进入其主管的公路 建设市场的处罚。</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本合同有效期为发包人和承包人签署之日起至该工程项目竣工验收后止。</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本合同作为</w:t>
      </w:r>
      <w:r>
        <w:rPr>
          <w:rFonts w:hint="eastAsia" w:ascii="宋体" w:hAnsi="宋体"/>
          <w:szCs w:val="21"/>
          <w:u w:val="single"/>
        </w:rPr>
        <w:t xml:space="preserve">      </w:t>
      </w:r>
      <w:r>
        <w:rPr>
          <w:rFonts w:hint="eastAsia" w:ascii="宋体" w:hAnsi="宋体" w:cs="Microsoft JhengHei Light"/>
          <w:szCs w:val="21"/>
        </w:rPr>
        <w:t xml:space="preserve">（项目名称）</w:t>
      </w:r>
      <w:r>
        <w:rPr>
          <w:rFonts w:hint="eastAsia" w:ascii="宋体" w:hAnsi="宋体" w:cs="Microsoft JhengHei Light"/>
          <w:szCs w:val="21"/>
          <w:u w:val="single"/>
        </w:rPr>
        <w:t xml:space="preserve">       </w:t>
      </w:r>
      <w:r>
        <w:rPr>
          <w:rFonts w:hint="eastAsia" w:ascii="宋体" w:hAnsi="宋体" w:cs="Microsoft JhengHei Light"/>
          <w:szCs w:val="21"/>
        </w:rPr>
        <w:t xml:space="preserve">标段施工合同的附件，与工程施工合同具有同等的法律效力，经合同双方签署后立即生效。</w:t>
      </w:r>
      <w:r>
        <w:rPr>
          <w:rFonts w:hint="eastAsia" w:ascii="宋体" w:hAnsi="宋体" w:cs="Microsoft JhengHei Light"/>
          <w:szCs w:val="21"/>
        </w:rPr>
      </w:r>
      <w:r/>
    </w:p>
    <w:p>
      <w:pPr>
        <w:pStyle w:val="925"/>
        <w:ind w:firstLine="420"/>
        <w:spacing w:line="440" w:lineRule="exact"/>
        <w:rPr>
          <w:rFonts w:ascii="宋体" w:hAnsi="宋体"/>
          <w:szCs w:val="21"/>
        </w:rPr>
      </w:pPr>
      <w:r>
        <w:rPr>
          <w:rFonts w:hint="eastAsia" w:ascii="宋体" w:hAnsi="宋体" w:cs="Microsoft JhengHei Light"/>
          <w:szCs w:val="21"/>
        </w:rPr>
        <w:t xml:space="preserve">7.本合同一式陆份，由发包人和承包人各执叁份。</w:t>
      </w:r>
      <w:r>
        <w:rPr>
          <w:rFonts w:ascii="宋体" w:hAnsi="宋体"/>
          <w:szCs w:val="21"/>
        </w:rPr>
      </w:r>
      <w:r/>
    </w:p>
    <w:p>
      <w:pPr>
        <w:pStyle w:val="925"/>
        <w:spacing w:line="360" w:lineRule="auto"/>
        <w:rPr>
          <w:rFonts w:ascii="宋体" w:hAnsi="宋体"/>
          <w:sz w:val="24"/>
        </w:rPr>
      </w:pPr>
      <w:r>
        <w:rPr>
          <w:rFonts w:ascii="宋体" w:hAnsi="宋体"/>
          <w:sz w:val="24"/>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jc w:val="right"/>
        <w:spacing w:line="440" w:lineRule="exact"/>
        <w:rPr>
          <w:rFonts w:ascii="宋体" w:hAnsi="宋体"/>
          <w:szCs w:val="21"/>
        </w:rPr>
      </w:pPr>
      <w:r>
        <w:rPr>
          <w:rFonts w:ascii="宋体" w:hAnsi="宋体"/>
          <w:szCs w:val="21"/>
        </w:rPr>
      </w:r>
      <w:r/>
    </w:p>
    <w:p>
      <w:pPr>
        <w:pStyle w:val="925"/>
        <w:spacing w:line="360" w:lineRule="auto"/>
        <w:rPr>
          <w:b/>
          <w:sz w:val="36"/>
          <w:szCs w:val="36"/>
        </w:rPr>
        <w:outlineLvl w:val="0"/>
      </w:pPr>
      <w:r>
        <w:rPr>
          <w:b/>
          <w:sz w:val="36"/>
          <w:szCs w:val="36"/>
        </w:rPr>
      </w:r>
      <w:r/>
    </w:p>
    <w:p>
      <w:pPr>
        <w:pStyle w:val="925"/>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62" w:name="_Toc104818930"/>
      <w:r>
        <w:rPr>
          <w:b/>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86"/>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5"/>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25"/>
        <w:jc w:val="center"/>
        <w:spacing w:line="360" w:lineRule="auto"/>
        <w:rPr>
          <w:b/>
          <w:sz w:val="36"/>
          <w:szCs w:val="36"/>
        </w:rPr>
        <w:outlineLvl w:val="0"/>
      </w:pPr>
      <w:r>
        <w:rPr>
          <w:b/>
          <w:sz w:val="36"/>
          <w:szCs w:val="36"/>
        </w:rPr>
        <w:t xml:space="preserve">第六章   响应文件格式</w:t>
      </w:r>
      <w:bookmarkEnd w:id="662"/>
      <w:r>
        <w:rPr>
          <w:b/>
          <w:sz w:val="36"/>
          <w:szCs w:val="36"/>
        </w:rPr>
      </w:r>
      <w:r/>
    </w:p>
    <w:p>
      <w:pPr>
        <w:pStyle w:val="925"/>
        <w:jc w:val="left"/>
        <w:spacing w:line="360" w:lineRule="auto"/>
        <w:widowControl/>
        <w:rPr>
          <w:b/>
          <w:sz w:val="24"/>
        </w:rPr>
      </w:pPr>
      <w:r>
        <w:rPr>
          <w:b/>
          <w:sz w:val="24"/>
        </w:rPr>
      </w:r>
      <w:r/>
    </w:p>
    <w:p>
      <w:pPr>
        <w:pStyle w:val="925"/>
        <w:jc w:val="left"/>
        <w:spacing w:line="360" w:lineRule="auto"/>
        <w:widowControl/>
        <w:rPr>
          <w:b/>
          <w:sz w:val="24"/>
        </w:rPr>
      </w:pPr>
      <w:r>
        <w:rPr>
          <w:b/>
          <w:sz w:val="24"/>
        </w:rPr>
      </w:r>
      <w:r/>
    </w:p>
    <w:p>
      <w:pPr>
        <w:pStyle w:val="92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5"/>
        <w:ind w:left="142"/>
        <w:spacing w:line="360" w:lineRule="auto"/>
        <w:tabs>
          <w:tab w:val="left" w:pos="900" w:leader="none"/>
          <w:tab w:val="left" w:pos="1980" w:leader="none"/>
        </w:tabs>
        <w:rPr>
          <w:sz w:val="24"/>
        </w:rPr>
      </w:pPr>
      <w:r>
        <w:rPr>
          <w:sz w:val="24"/>
        </w:rPr>
      </w:r>
      <w:r/>
    </w:p>
    <w:p>
      <w:pPr>
        <w:pStyle w:val="925"/>
        <w:jc w:val="left"/>
        <w:widowControl/>
        <w:rPr>
          <w:sz w:val="24"/>
        </w:rPr>
      </w:pPr>
      <w:r>
        <w:rPr>
          <w:sz w:val="24"/>
        </w:rPr>
        <w:br w:type="page" w:clear="all"/>
      </w:r>
      <w:r>
        <w:rPr>
          <w:sz w:val="24"/>
        </w:rPr>
      </w:r>
      <w:r/>
    </w:p>
    <w:p>
      <w:pPr>
        <w:pStyle w:val="925"/>
        <w:rPr>
          <w:b/>
          <w:spacing w:val="20"/>
          <w:szCs w:val="21"/>
        </w:rPr>
      </w:pPr>
      <w:r/>
      <w:bookmarkEnd w:id="605"/>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b/>
          <w:spacing w:val="20"/>
          <w:szCs w:val="21"/>
        </w:rPr>
      </w:r>
      <w:r/>
    </w:p>
    <w:p>
      <w:pPr>
        <w:pStyle w:val="925"/>
        <w:rPr>
          <w:b/>
          <w:sz w:val="24"/>
        </w:rPr>
      </w:pPr>
      <w:r>
        <w:rPr>
          <w:b/>
          <w:spacing w:val="20"/>
          <w:sz w:val="24"/>
        </w:rPr>
        <w:t xml:space="preserve">响应文件</w:t>
      </w:r>
      <w:r>
        <w:rPr>
          <w:b/>
          <w:sz w:val="24"/>
        </w:rPr>
        <w:t xml:space="preserve">封面（非实质性格式）</w:t>
      </w:r>
      <w:r>
        <w:rPr>
          <w:b/>
          <w:sz w:val="24"/>
        </w:rPr>
      </w:r>
      <w:r/>
    </w:p>
    <w:p>
      <w:pPr>
        <w:pStyle w:val="925"/>
        <w:jc w:val="center"/>
        <w:rPr>
          <w:rFonts w:hint="eastAsia"/>
          <w:sz w:val="84"/>
          <w:szCs w:val="84"/>
        </w:rPr>
      </w:pPr>
      <w:r>
        <w:rPr>
          <w:rFonts w:hint="eastAsia"/>
          <w:sz w:val="84"/>
          <w:szCs w:val="84"/>
        </w:rPr>
      </w:r>
      <w:r/>
    </w:p>
    <w:p>
      <w:pPr>
        <w:pStyle w:val="925"/>
        <w:jc w:val="center"/>
        <w:rPr>
          <w:sz w:val="84"/>
          <w:szCs w:val="84"/>
        </w:rPr>
      </w:pPr>
      <w:r>
        <w:rPr>
          <w:sz w:val="84"/>
          <w:szCs w:val="84"/>
        </w:rPr>
      </w:r>
      <w:r/>
    </w:p>
    <w:p>
      <w:pPr>
        <w:pStyle w:val="925"/>
        <w:jc w:val="center"/>
        <w:rPr>
          <w:b/>
          <w:spacing w:val="60"/>
          <w:sz w:val="84"/>
          <w:szCs w:val="84"/>
        </w:rPr>
      </w:pPr>
      <w:r>
        <w:rPr>
          <w:b/>
          <w:spacing w:val="60"/>
          <w:sz w:val="84"/>
          <w:szCs w:val="84"/>
        </w:rPr>
        <w:t xml:space="preserve">响 应 文 件</w:t>
      </w:r>
      <w:r>
        <w:rPr>
          <w:b/>
          <w:spacing w:val="60"/>
          <w:sz w:val="84"/>
          <w:szCs w:val="84"/>
        </w:rPr>
      </w:r>
      <w:r/>
    </w:p>
    <w:p>
      <w:pPr>
        <w:pStyle w:val="925"/>
        <w:jc w:val="center"/>
        <w:rPr>
          <w:rFonts w:hint="eastAsia"/>
          <w:b/>
          <w:spacing w:val="60"/>
          <w:sz w:val="84"/>
          <w:szCs w:val="84"/>
        </w:rPr>
      </w:pPr>
      <w:r>
        <w:rPr>
          <w:rFonts w:hint="eastAsia"/>
          <w:b/>
          <w:spacing w:val="60"/>
          <w:sz w:val="84"/>
          <w:szCs w:val="84"/>
        </w:rPr>
      </w:r>
      <w:r/>
    </w:p>
    <w:p>
      <w:pPr>
        <w:pStyle w:val="925"/>
        <w:jc w:val="center"/>
        <w:rPr>
          <w:b/>
          <w:spacing w:val="60"/>
          <w:sz w:val="84"/>
          <w:szCs w:val="84"/>
        </w:rPr>
      </w:pPr>
      <w:r>
        <w:rPr>
          <w:b/>
          <w:spacing w:val="60"/>
          <w:sz w:val="84"/>
          <w:szCs w:val="84"/>
        </w:rPr>
      </w:r>
      <w:r/>
    </w:p>
    <w:p>
      <w:pPr>
        <w:pStyle w:val="925"/>
        <w:ind w:firstLine="542"/>
        <w:rPr>
          <w:b/>
          <w:spacing w:val="20"/>
          <w:sz w:val="32"/>
          <w:szCs w:val="32"/>
        </w:rPr>
      </w:pPr>
      <w:r>
        <w:rPr>
          <w:b/>
          <w:spacing w:val="20"/>
          <w:sz w:val="32"/>
          <w:szCs w:val="32"/>
        </w:rPr>
      </w:r>
      <w:r/>
    </w:p>
    <w:p>
      <w:pPr>
        <w:pStyle w:val="925"/>
        <w:ind w:firstLine="542"/>
        <w:rPr>
          <w:b/>
          <w:spacing w:val="20"/>
          <w:sz w:val="32"/>
          <w:szCs w:val="32"/>
        </w:rPr>
      </w:pPr>
      <w:r>
        <w:rPr>
          <w:b/>
          <w:spacing w:val="20"/>
          <w:sz w:val="32"/>
          <w:szCs w:val="32"/>
        </w:rPr>
      </w:r>
      <w:r/>
    </w:p>
    <w:p>
      <w:pPr>
        <w:pStyle w:val="92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5"/>
        <w:jc w:val="center"/>
        <w:rPr>
          <w:b/>
          <w:sz w:val="32"/>
          <w:szCs w:val="32"/>
        </w:rPr>
      </w:pPr>
      <w:r>
        <w:rPr>
          <w:b/>
          <w:sz w:val="32"/>
          <w:szCs w:val="32"/>
        </w:rPr>
      </w:r>
      <w:r/>
    </w:p>
    <w:p>
      <w:pPr>
        <w:pStyle w:val="925"/>
        <w:rPr>
          <w:b/>
        </w:rPr>
      </w:pPr>
      <w:r>
        <w:rPr>
          <w:b/>
          <w:spacing w:val="20"/>
          <w:sz w:val="32"/>
          <w:szCs w:val="32"/>
        </w:rPr>
        <w:br w:type="page" w:clear="all"/>
      </w:r>
      <w:r>
        <w:rPr>
          <w:b/>
        </w:rPr>
      </w:r>
      <w:r/>
    </w:p>
    <w:p>
      <w:pPr>
        <w:pStyle w:val="92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9"/>
        <w:ind w:firstLine="480"/>
        <w:spacing w:line="460" w:lineRule="exact"/>
      </w:pPr>
      <w:r/>
      <w:r/>
    </w:p>
    <w:p>
      <w:pPr>
        <w:pStyle w:val="939"/>
        <w:ind w:firstLine="0"/>
        <w:spacing w:line="460" w:lineRule="exact"/>
        <w:rPr>
          <w:rFonts w:hint="eastAsia"/>
        </w:rPr>
      </w:pPr>
      <w:r>
        <w:rPr>
          <w:rFonts w:hint="eastAsia"/>
        </w:rPr>
        <w:t xml:space="preserve">致：常州市公路事业发展中心</w:t>
      </w:r>
      <w:r>
        <w:rPr>
          <w:rFonts w:hint="eastAsia"/>
        </w:rPr>
      </w:r>
      <w:r/>
    </w:p>
    <w:p>
      <w:pPr>
        <w:pStyle w:val="939"/>
        <w:spacing w:line="460" w:lineRule="exact"/>
        <w:rPr>
          <w:rFonts w:hint="eastAsia"/>
          <w:u w:val="single"/>
        </w:rPr>
      </w:pPr>
      <w:r>
        <w:rPr>
          <w:rFonts w:hint="eastAsia"/>
        </w:rPr>
        <w:t xml:space="preserve">常州市长润工程咨询有限公司</w:t>
      </w:r>
      <w:r>
        <w:rPr>
          <w:rFonts w:hint="eastAsia"/>
          <w:u w:val="single"/>
        </w:rPr>
      </w:r>
      <w:r/>
    </w:p>
    <w:p>
      <w:pPr>
        <w:pStyle w:val="939"/>
        <w:ind w:firstLine="480"/>
        <w:spacing w:line="460" w:lineRule="exact"/>
      </w:pPr>
      <w:r/>
      <w:r/>
    </w:p>
    <w:p>
      <w:pPr>
        <w:pStyle w:val="939"/>
        <w:ind w:firstLine="480"/>
        <w:spacing w:line="460" w:lineRule="exact"/>
      </w:pPr>
      <w:r>
        <w:rPr>
          <w:rFonts w:hint="eastAsia"/>
        </w:rPr>
        <w:t xml:space="preserve">按照《中华人民共和国政府采购法》第二十二条和磋商文件的规定，我单位郑重声明如下：</w:t>
      </w:r>
      <w:r/>
    </w:p>
    <w:p>
      <w:pPr>
        <w:pStyle w:val="9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9"/>
        <w:ind w:firstLine="480"/>
        <w:spacing w:line="460" w:lineRule="exact"/>
      </w:pPr>
      <w:r>
        <w:rPr>
          <w:rFonts w:hint="eastAsia"/>
        </w:rPr>
        <w:t xml:space="preserve">二、我单位未被“国家企业信用信息系统”列入经营异常名录或者严重违法企业名单。</w:t>
      </w:r>
      <w:r/>
    </w:p>
    <w:p>
      <w:pPr>
        <w:pStyle w:val="939"/>
        <w:ind w:firstLine="480"/>
        <w:spacing w:line="460" w:lineRule="exact"/>
      </w:pPr>
      <w:r>
        <w:rPr>
          <w:rFonts w:hint="eastAsia"/>
        </w:rPr>
        <w:t xml:space="preserve">三、我单位具有良好的商业信誉（指供应商经营状况良好，无本资格声明第十条情形）和健全的财务会计制度。</w:t>
      </w:r>
      <w:r/>
    </w:p>
    <w:p>
      <w:pPr>
        <w:pStyle w:val="939"/>
        <w:ind w:firstLine="480"/>
        <w:spacing w:line="460" w:lineRule="exact"/>
      </w:pPr>
      <w:r>
        <w:rPr>
          <w:rFonts w:hint="eastAsia"/>
        </w:rPr>
        <w:t xml:space="preserve">四、我单位依法进行纳税和社会保险申报并实际履行了义务。</w:t>
      </w:r>
      <w:r/>
    </w:p>
    <w:p>
      <w:pPr>
        <w:pStyle w:val="93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9"/>
        <w:ind w:firstLine="480"/>
        <w:spacing w:line="460" w:lineRule="exact"/>
      </w:pPr>
      <w:r>
        <w:rPr>
          <w:rFonts w:hint="eastAsia"/>
        </w:rPr>
        <w:t xml:space="preserve">主要设备有：</w:t>
      </w:r>
      <w:r>
        <w:rPr>
          <w:u w:val="single"/>
        </w:rPr>
        <w:t xml:space="preserve">            </w:t>
      </w:r>
      <w:r/>
    </w:p>
    <w:p>
      <w:pPr>
        <w:pStyle w:val="939"/>
        <w:ind w:firstLine="480"/>
        <w:spacing w:line="460" w:lineRule="exact"/>
      </w:pPr>
      <w:r>
        <w:rPr>
          <w:rFonts w:hint="eastAsia"/>
        </w:rPr>
        <w:t xml:space="preserve">主要专业技术能力有</w:t>
      </w:r>
      <w:r>
        <w:rPr>
          <w:rFonts w:hint="eastAsia"/>
          <w:u w:val="single"/>
        </w:rPr>
        <w:t xml:space="preserve">                 </w:t>
      </w:r>
      <w:r/>
    </w:p>
    <w:p>
      <w:pPr>
        <w:pStyle w:val="93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9"/>
        <w:ind w:firstLine="480"/>
        <w:spacing w:line="460" w:lineRule="exact"/>
      </w:pPr>
      <w:r>
        <w:rPr>
          <w:rFonts w:hint="eastAsia"/>
        </w:rPr>
        <w:t xml:space="preserve">七、我单位具备法律、行政法规规定的其他条件。</w:t>
      </w:r>
      <w:r/>
    </w:p>
    <w:p>
      <w:pPr>
        <w:pStyle w:val="93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9"/>
        <w:ind w:firstLine="480"/>
        <w:spacing w:line="460" w:lineRule="exact"/>
      </w:pPr>
      <w:r>
        <w:rPr>
          <w:rFonts w:hint="eastAsia"/>
        </w:rPr>
        <w:t xml:space="preserve">十、</w:t>
      </w:r>
      <w:r>
        <w:t xml:space="preserve">我单位无以下不良信用记录情形：</w:t>
      </w:r>
      <w:r/>
    </w:p>
    <w:p>
      <w:pPr>
        <w:pStyle w:val="939"/>
        <w:ind w:firstLine="480"/>
        <w:spacing w:line="460" w:lineRule="exact"/>
      </w:pPr>
      <w:r>
        <w:t xml:space="preserve">1</w:t>
      </w:r>
      <w:r>
        <w:rPr>
          <w:rFonts w:hint="eastAsia"/>
        </w:rPr>
        <w:t xml:space="preserve">、在“信用中国”网站被列入失信被执行人和重大税收违法案件当事人名单；</w:t>
      </w:r>
      <w:r/>
    </w:p>
    <w:p>
      <w:pPr>
        <w:pStyle w:val="939"/>
        <w:ind w:firstLine="480"/>
        <w:spacing w:line="460" w:lineRule="exact"/>
      </w:pPr>
      <w:r>
        <w:t xml:space="preserve">2</w:t>
      </w:r>
      <w:r>
        <w:rPr>
          <w:rFonts w:hint="eastAsia"/>
        </w:rPr>
        <w:t xml:space="preserve">、在“中国政府采购网”网站被列入政府采购严重违法失信行为记录名单；</w:t>
      </w:r>
      <w:r/>
    </w:p>
    <w:p>
      <w:pPr>
        <w:pStyle w:val="939"/>
        <w:ind w:firstLine="480"/>
        <w:spacing w:line="460" w:lineRule="exact"/>
      </w:pPr>
      <w:r>
        <w:t xml:space="preserve">3</w:t>
      </w:r>
      <w:r>
        <w:rPr>
          <w:rFonts w:hint="eastAsia"/>
        </w:rPr>
        <w:t xml:space="preserve">、</w:t>
      </w:r>
      <w:r>
        <w:t xml:space="preserve">不符合《政府采购法》第二十二条规定的条件。</w:t>
      </w:r>
      <w:r/>
    </w:p>
    <w:p>
      <w:pPr>
        <w:pStyle w:val="939"/>
        <w:ind w:firstLine="480"/>
        <w:spacing w:line="460" w:lineRule="exact"/>
      </w:pPr>
      <w:r/>
      <w:r/>
    </w:p>
    <w:p>
      <w:pPr>
        <w:pStyle w:val="9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9"/>
        <w:ind w:firstLine="480"/>
        <w:spacing w:line="460" w:lineRule="exact"/>
      </w:pPr>
      <w:r/>
      <w:r/>
    </w:p>
    <w:p>
      <w:pPr>
        <w:pStyle w:val="939"/>
        <w:ind w:firstLine="480"/>
        <w:spacing w:line="460" w:lineRule="exact"/>
      </w:pPr>
      <w:r/>
      <w:r/>
    </w:p>
    <w:p>
      <w:pPr>
        <w:pStyle w:val="939"/>
        <w:ind w:firstLine="480"/>
        <w:spacing w:line="460" w:lineRule="exact"/>
      </w:pPr>
      <w:r>
        <w:rPr>
          <w:rFonts w:hint="eastAsia"/>
        </w:rPr>
        <w:t xml:space="preserve">                                            供应商：（加盖公章）</w:t>
      </w:r>
      <w:r/>
    </w:p>
    <w:p>
      <w:pPr>
        <w:pStyle w:val="939"/>
        <w:ind w:firstLine="480"/>
        <w:spacing w:line="460" w:lineRule="exact"/>
      </w:pPr>
      <w:r>
        <w:rPr>
          <w:rFonts w:hint="eastAsia"/>
        </w:rPr>
        <w:t xml:space="preserve">                                           法定代表人（或单位负责人）签字或盖章：</w:t>
      </w:r>
      <w:r/>
    </w:p>
    <w:p>
      <w:pPr>
        <w:pStyle w:val="939"/>
        <w:ind w:firstLine="4920"/>
        <w:spacing w:line="460" w:lineRule="exact"/>
        <w:rPr>
          <w:rFonts w:hint="eastAsia"/>
        </w:rPr>
      </w:pPr>
      <w:r>
        <w:rPr>
          <w:rFonts w:hint="eastAsia"/>
        </w:rPr>
        <w:t xml:space="preserve">日期：    年    月    日</w:t>
      </w:r>
      <w:r>
        <w:rPr>
          <w:rFonts w:hint="eastAsia"/>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5"/>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25"/>
        <w:spacing w:line="360" w:lineRule="auto"/>
        <w:rPr>
          <w:sz w:val="24"/>
          <w:szCs w:val="20"/>
        </w:rPr>
        <w:outlineLvl w:val="2"/>
      </w:pPr>
      <w:r>
        <w:rPr>
          <w:sz w:val="24"/>
          <w:szCs w:val="20"/>
        </w:rPr>
        <w:t xml:space="preserve">2 落实政府采购政策需满足的资格要求</w:t>
      </w:r>
      <w:r>
        <w:rPr>
          <w:sz w:val="24"/>
          <w:szCs w:val="20"/>
        </w:rPr>
      </w:r>
      <w:r/>
    </w:p>
    <w:p>
      <w:pPr>
        <w:pStyle w:val="925"/>
        <w:spacing w:line="360" w:lineRule="auto"/>
        <w:rPr>
          <w:sz w:val="24"/>
          <w:szCs w:val="20"/>
        </w:rPr>
        <w:outlineLvl w:val="2"/>
      </w:pPr>
      <w:r>
        <w:rPr>
          <w:sz w:val="24"/>
          <w:szCs w:val="20"/>
        </w:rPr>
        <w:t xml:space="preserve">2-1 中小企业声明函</w:t>
      </w:r>
      <w:r>
        <w:rPr>
          <w:sz w:val="24"/>
          <w:szCs w:val="20"/>
        </w:rPr>
      </w:r>
      <w:r/>
    </w:p>
    <w:p>
      <w:pPr>
        <w:pStyle w:val="925"/>
        <w:spacing w:line="360" w:lineRule="auto"/>
        <w:tabs>
          <w:tab w:val="left" w:pos="5580" w:leader="none"/>
        </w:tabs>
        <w:rPr>
          <w:sz w:val="24"/>
        </w:rPr>
      </w:pPr>
      <w:r>
        <w:rPr>
          <w:sz w:val="24"/>
        </w:rPr>
      </w:r>
      <w:r/>
    </w:p>
    <w:p>
      <w:pPr>
        <w:pStyle w:val="925"/>
        <w:spacing w:line="360" w:lineRule="auto"/>
        <w:tabs>
          <w:tab w:val="left" w:pos="5580" w:leader="none"/>
        </w:tabs>
        <w:rPr>
          <w:sz w:val="24"/>
        </w:rPr>
      </w:pPr>
      <w:r>
        <w:rPr>
          <w:sz w:val="24"/>
        </w:rPr>
        <w:t xml:space="preserve">说明：</w:t>
      </w:r>
      <w:r>
        <w:rPr>
          <w:sz w:val="24"/>
        </w:rPr>
      </w:r>
      <w:r/>
    </w:p>
    <w:p>
      <w:pPr>
        <w:pStyle w:val="92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5"/>
        <w:spacing w:line="360" w:lineRule="auto"/>
        <w:tabs>
          <w:tab w:val="left" w:pos="5580" w:leader="none"/>
        </w:tabs>
        <w:rPr>
          <w:sz w:val="24"/>
        </w:rPr>
      </w:pPr>
      <w:r>
        <w:rPr>
          <w:sz w:val="24"/>
        </w:rPr>
        <w:t xml:space="preserve">（4）其它</w:t>
      </w:r>
      <w:r>
        <w:rPr>
          <w:sz w:val="24"/>
        </w:rPr>
      </w:r>
      <w:r/>
    </w:p>
    <w:p>
      <w:pPr>
        <w:pStyle w:val="92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5"/>
        <w:spacing w:line="360" w:lineRule="auto"/>
        <w:tabs>
          <w:tab w:val="left" w:pos="5580" w:leader="none"/>
        </w:tabs>
        <w:rPr>
          <w:sz w:val="24"/>
        </w:rPr>
      </w:pPr>
      <w:r>
        <w:rPr>
          <w:sz w:val="24"/>
        </w:rPr>
      </w:r>
      <w:r/>
    </w:p>
    <w:p>
      <w:pPr>
        <w:pStyle w:val="925"/>
        <w:jc w:val="left"/>
        <w:widowControl/>
        <w:rPr>
          <w:b/>
          <w:bCs/>
          <w:sz w:val="36"/>
          <w:szCs w:val="36"/>
        </w:rPr>
      </w:pPr>
      <w:r>
        <w:rPr>
          <w:sz w:val="24"/>
        </w:rPr>
        <w:br w:type="page" w:clear="all"/>
      </w:r>
      <w:r>
        <w:rPr>
          <w:b/>
          <w:bCs/>
          <w:sz w:val="36"/>
          <w:szCs w:val="36"/>
        </w:rPr>
      </w:r>
      <w:r/>
    </w:p>
    <w:p>
      <w:pPr>
        <w:pStyle w:val="925"/>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5"/>
        <w:ind w:firstLine="504"/>
        <w:spacing w:line="360" w:lineRule="auto"/>
        <w:rPr>
          <w:spacing w:val="6"/>
          <w:sz w:val="24"/>
        </w:rPr>
      </w:pPr>
      <w:r>
        <w:rPr>
          <w:spacing w:val="6"/>
          <w:sz w:val="24"/>
        </w:rPr>
      </w:r>
      <w:r/>
    </w:p>
    <w:p>
      <w:pPr>
        <w:pStyle w:val="925"/>
        <w:ind w:firstLine="504"/>
        <w:spacing w:line="360" w:lineRule="auto"/>
        <w:rPr>
          <w:spacing w:val="6"/>
          <w:sz w:val="24"/>
        </w:rPr>
      </w:pPr>
      <w:r>
        <w:rPr>
          <w:spacing w:val="6"/>
          <w:sz w:val="24"/>
        </w:rPr>
        <w:t xml:space="preserve">……</w:t>
      </w:r>
      <w:r>
        <w:rPr>
          <w:spacing w:val="6"/>
          <w:sz w:val="24"/>
        </w:rPr>
      </w:r>
      <w:r/>
    </w:p>
    <w:p>
      <w:pPr>
        <w:pStyle w:val="92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5"/>
        <w:ind w:right="360" w:firstLine="480"/>
        <w:jc w:val="right"/>
        <w:spacing w:line="360" w:lineRule="auto"/>
        <w:rPr>
          <w:sz w:val="24"/>
        </w:rPr>
      </w:pPr>
      <w:r>
        <w:rPr>
          <w:sz w:val="24"/>
        </w:rPr>
      </w:r>
      <w:r/>
    </w:p>
    <w:p>
      <w:pPr>
        <w:pStyle w:val="925"/>
        <w:ind w:right="360" w:firstLine="480"/>
        <w:jc w:val="right"/>
        <w:spacing w:line="360" w:lineRule="auto"/>
        <w:rPr>
          <w:sz w:val="24"/>
        </w:rPr>
      </w:pPr>
      <w:r>
        <w:rPr>
          <w:sz w:val="24"/>
        </w:rPr>
        <w:t xml:space="preserve">企业名称（加盖公章）：________</w:t>
      </w:r>
      <w:r>
        <w:rPr>
          <w:sz w:val="24"/>
        </w:rPr>
      </w:r>
      <w:r/>
    </w:p>
    <w:p>
      <w:pPr>
        <w:pStyle w:val="925"/>
        <w:ind w:right="360" w:firstLine="480"/>
        <w:jc w:val="right"/>
        <w:spacing w:line="360" w:lineRule="auto"/>
        <w:rPr>
          <w:sz w:val="24"/>
        </w:rPr>
      </w:pPr>
      <w:r>
        <w:rPr>
          <w:sz w:val="24"/>
        </w:rPr>
        <w:t xml:space="preserve">日 期：________</w:t>
      </w:r>
      <w:r>
        <w:rPr>
          <w:sz w:val="24"/>
        </w:rPr>
      </w:r>
      <w:r/>
    </w:p>
    <w:p>
      <w:pPr>
        <w:pStyle w:val="925"/>
        <w:jc w:val="left"/>
        <w:rPr>
          <w:sz w:val="24"/>
          <w:szCs w:val="21"/>
        </w:rPr>
      </w:pPr>
      <w:r>
        <w:rPr>
          <w:sz w:val="24"/>
          <w:szCs w:val="21"/>
        </w:rPr>
      </w:r>
      <w:r/>
    </w:p>
    <w:p>
      <w:pPr>
        <w:pStyle w:val="925"/>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5"/>
        <w:jc w:val="left"/>
        <w:rPr>
          <w:szCs w:val="21"/>
          <w:vertAlign w:val="superscript"/>
        </w:rPr>
      </w:pPr>
      <w:r>
        <w:rPr>
          <w:szCs w:val="21"/>
          <w:vertAlign w:val="superscript"/>
        </w:rPr>
      </w:r>
      <w:r/>
    </w:p>
    <w:p>
      <w:pPr>
        <w:pStyle w:val="925"/>
        <w:ind w:right="360" w:firstLine="480"/>
        <w:jc w:val="right"/>
        <w:spacing w:line="360" w:lineRule="auto"/>
        <w:rPr>
          <w:sz w:val="24"/>
        </w:rPr>
      </w:pPr>
      <w:r>
        <w:rPr>
          <w:sz w:val="24"/>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sz w:val="24"/>
          <w:szCs w:val="20"/>
        </w:rPr>
      </w:pPr>
      <w:r>
        <w:rPr>
          <w:sz w:val="24"/>
          <w:szCs w:val="20"/>
        </w:rPr>
      </w:r>
      <w:r/>
    </w:p>
    <w:p>
      <w:pPr>
        <w:pStyle w:val="925"/>
        <w:jc w:val="left"/>
        <w:widowControl/>
        <w:rPr>
          <w:rFonts w:hint="eastAsia"/>
          <w:b/>
          <w:bCs/>
          <w:sz w:val="36"/>
          <w:szCs w:val="36"/>
        </w:rPr>
      </w:pPr>
      <w:r>
        <w:rPr>
          <w:rFonts w:hint="eastAsia"/>
          <w:b/>
          <w:bCs/>
          <w:sz w:val="36"/>
          <w:szCs w:val="36"/>
        </w:rPr>
      </w:r>
      <w:r/>
    </w:p>
    <w:p>
      <w:pPr>
        <w:pStyle w:val="92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5"/>
        <w:jc w:val="center"/>
        <w:rPr>
          <w:sz w:val="36"/>
          <w:szCs w:val="36"/>
        </w:rPr>
      </w:pPr>
      <w:r>
        <w:rPr>
          <w:sz w:val="36"/>
          <w:szCs w:val="36"/>
        </w:rPr>
      </w:r>
      <w:r/>
    </w:p>
    <w:p>
      <w:pPr>
        <w:pStyle w:val="92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5"/>
        <w:ind w:firstLine="504"/>
        <w:spacing w:line="588" w:lineRule="exact"/>
        <w:rPr>
          <w:spacing w:val="6"/>
          <w:sz w:val="24"/>
        </w:rPr>
      </w:pPr>
      <w:r>
        <w:rPr>
          <w:spacing w:val="6"/>
          <w:sz w:val="24"/>
        </w:rPr>
      </w:r>
      <w:r/>
    </w:p>
    <w:p>
      <w:pPr>
        <w:pStyle w:val="925"/>
        <w:ind w:firstLine="504"/>
        <w:spacing w:line="588" w:lineRule="exact"/>
        <w:rPr>
          <w:spacing w:val="6"/>
          <w:sz w:val="24"/>
        </w:rPr>
      </w:pP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5"/>
        <w:jc w:val="left"/>
        <w:widowControl/>
        <w:rPr>
          <w:sz w:val="24"/>
        </w:rPr>
      </w:pPr>
      <w:r>
        <w:rPr>
          <w:sz w:val="24"/>
          <w:szCs w:val="20"/>
        </w:rPr>
        <w:br w:type="page" w:clear="all"/>
      </w:r>
      <w:r>
        <w:rPr>
          <w:sz w:val="24"/>
        </w:rPr>
      </w:r>
      <w:r/>
    </w:p>
    <w:p>
      <w:pPr>
        <w:pStyle w:val="925"/>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5"/>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5"/>
        <w:jc w:val="left"/>
        <w:widowControl/>
        <w:rPr>
          <w:sz w:val="24"/>
        </w:rPr>
      </w:pPr>
      <w:r>
        <w:rPr>
          <w:sz w:val="24"/>
        </w:rPr>
      </w:r>
      <w:r/>
    </w:p>
    <w:p>
      <w:pPr>
        <w:pStyle w:val="925"/>
        <w:spacing w:line="360" w:lineRule="auto"/>
        <w:rPr>
          <w:sz w:val="24"/>
          <w:szCs w:val="20"/>
        </w:rPr>
        <w:outlineLvl w:val="2"/>
      </w:pPr>
      <w:r>
        <w:rPr>
          <w:sz w:val="24"/>
          <w:szCs w:val="20"/>
        </w:rPr>
        <w:t xml:space="preserve">3-2其他特定资格要求</w:t>
      </w:r>
      <w:r>
        <w:rPr>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（1）供应商具有独立法人资格，持有有效营业执照或事业单位法人证书。</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（2）具有行政主管部门核发的有效的公路交通工程专业承包（公路机电工程分项）二级及以上资质或电子与智能化工程专业承包二级及以上资质。</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（3）供应商具备省级及以上有关主管部门核发的有效的《安全生产许可证》。</w:t>
      </w:r>
      <w:r>
        <w:rPr>
          <w:rFonts w:hint="eastAsia"/>
          <w:sz w:val="24"/>
          <w:szCs w:val="20"/>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5"/>
        <w:spacing w:line="360" w:lineRule="auto"/>
        <w:tabs>
          <w:tab w:val="left" w:pos="5580" w:leader="none"/>
        </w:tabs>
        <w:rPr>
          <w:sz w:val="24"/>
          <w:szCs w:val="20"/>
        </w:rPr>
      </w:pPr>
      <w:r>
        <w:rPr>
          <w:sz w:val="24"/>
          <w:szCs w:val="20"/>
        </w:rPr>
      </w:r>
      <w:r/>
    </w:p>
    <w:p>
      <w:pPr>
        <w:pStyle w:val="925"/>
        <w:spacing w:line="360" w:lineRule="auto"/>
        <w:rPr>
          <w:sz w:val="24"/>
          <w:szCs w:val="20"/>
        </w:rPr>
        <w:outlineLvl w:val="2"/>
      </w:pPr>
      <w:r>
        <w:rPr>
          <w:b/>
          <w:sz w:val="24"/>
        </w:rPr>
        <w:br w:type="page" w:clear="all"/>
      </w:r>
      <w:bookmarkStart w:id="663" w:name="_Toc520356218"/>
      <w:r/>
      <w:bookmarkStart w:id="664" w:name="_Toc265228395"/>
      <w:r/>
      <w:bookmarkStart w:id="665" w:name="_Toc226337253"/>
      <w:r/>
      <w:bookmarkStart w:id="666" w:name="_Toc226309801"/>
      <w:r/>
      <w:bookmarkStart w:id="667" w:name="_Toc127151557"/>
      <w:r/>
      <w:bookmarkStart w:id="668" w:name="_Toc264969247"/>
      <w:r/>
      <w:bookmarkStart w:id="669" w:name="_Ref467988705"/>
      <w:r/>
      <w:bookmarkStart w:id="670" w:name="_Toc305158825"/>
      <w:r/>
      <w:bookmarkStart w:id="671" w:name="_Toc226965830"/>
      <w:r/>
      <w:bookmarkStart w:id="672" w:name="_Toc195842922"/>
      <w:r/>
      <w:bookmarkStart w:id="673" w:name="_Toc142311059"/>
      <w:r/>
      <w:bookmarkStart w:id="674" w:name="_Toc150774762"/>
      <w:r/>
      <w:bookmarkStart w:id="675" w:name="_Toc150480795"/>
      <w:r/>
      <w:bookmarkStart w:id="676" w:name="_Toc305158899"/>
      <w:r/>
      <w:bookmarkStart w:id="677" w:name="_Toc480942350"/>
      <w:r/>
      <w:bookmarkStart w:id="678" w:name="_Toc226965747"/>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5"/>
        <w:spacing w:line="360" w:lineRule="auto"/>
        <w:tabs>
          <w:tab w:val="left" w:pos="5580" w:leader="none"/>
        </w:tabs>
        <w:rPr>
          <w:sz w:val="24"/>
        </w:rPr>
      </w:pPr>
      <w:r>
        <w:rPr>
          <w:sz w:val="24"/>
        </w:rPr>
      </w:r>
      <w:r/>
    </w:p>
    <w:p>
      <w:pPr>
        <w:pStyle w:val="925"/>
        <w:jc w:val="center"/>
        <w:spacing w:line="360" w:lineRule="auto"/>
        <w:rPr>
          <w:b/>
          <w:sz w:val="36"/>
          <w:szCs w:val="36"/>
        </w:rPr>
      </w:pPr>
      <w:r>
        <w:rPr>
          <w:rFonts w:hint="eastAsia"/>
          <w:b/>
          <w:sz w:val="36"/>
          <w:szCs w:val="36"/>
        </w:rPr>
        <w:t xml:space="preserve">响应函</w:t>
      </w:r>
      <w:r>
        <w:rPr>
          <w:b/>
          <w:sz w:val="36"/>
          <w:szCs w:val="36"/>
        </w:rPr>
      </w:r>
      <w:r/>
    </w:p>
    <w:p>
      <w:pPr>
        <w:pStyle w:val="92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5"/>
        <w:spacing w:line="360" w:lineRule="auto"/>
        <w:tabs>
          <w:tab w:val="left" w:pos="5580" w:leader="none"/>
        </w:tabs>
        <w:rPr>
          <w:sz w:val="24"/>
          <w:szCs w:val="20"/>
        </w:rPr>
      </w:pPr>
      <w:r>
        <w:rPr>
          <w:sz w:val="24"/>
          <w:szCs w:val="20"/>
        </w:rPr>
      </w:r>
      <w:r/>
    </w:p>
    <w:p>
      <w:pPr>
        <w:pStyle w:val="92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5"/>
        <w:ind w:firstLine="480"/>
        <w:spacing w:line="360" w:lineRule="auto"/>
        <w:rPr>
          <w:sz w:val="24"/>
        </w:rPr>
      </w:pPr>
      <w:r>
        <w:rPr>
          <w:sz w:val="24"/>
        </w:rPr>
        <w:t xml:space="preserve">与本响应有关的一切正式往来信函请寄：</w:t>
      </w:r>
      <w:r>
        <w:rPr>
          <w:sz w:val="24"/>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25"/>
        <w:ind w:left="420"/>
        <w:spacing w:line="360" w:lineRule="auto"/>
        <w:tabs>
          <w:tab w:val="left" w:pos="5580" w:leader="none"/>
        </w:tabs>
        <w:rPr>
          <w:sz w:val="24"/>
          <w:szCs w:val="20"/>
          <w:u w:val="single"/>
        </w:rPr>
      </w:pPr>
      <w:r>
        <w:rPr>
          <w:sz w:val="24"/>
          <w:szCs w:val="20"/>
          <w:u w:val="single"/>
        </w:rPr>
      </w:r>
      <w:r/>
    </w:p>
    <w:p>
      <w:pPr>
        <w:pStyle w:val="925"/>
        <w:jc w:val="left"/>
        <w:widowControl/>
        <w:rPr>
          <w:rFonts w:hint="eastAsia"/>
          <w:sz w:val="24"/>
        </w:rPr>
      </w:pPr>
      <w:r/>
      <w:bookmarkStart w:id="679" w:name="_Hlt520355938"/>
      <w:r/>
      <w:bookmarkEnd w:id="679"/>
      <w:r/>
      <w:bookmarkStart w:id="680" w:name="_Hlt520356243"/>
      <w:r/>
      <w:bookmarkEnd w:id="680"/>
      <w:r>
        <w:rPr>
          <w:sz w:val="24"/>
        </w:rPr>
        <w:br w:type="page" w:clear="all"/>
      </w:r>
      <w:r>
        <w:rPr>
          <w:rFonts w:hint="eastAsia"/>
          <w:sz w:val="24"/>
        </w:rPr>
      </w:r>
      <w:r/>
    </w:p>
    <w:p>
      <w:pPr>
        <w:pStyle w:val="925"/>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5"/>
        <w:spacing w:line="560" w:lineRule="exact"/>
        <w:rPr>
          <w:rFonts w:ascii="宋体" w:hAnsi="宋体"/>
          <w:sz w:val="24"/>
        </w:rPr>
      </w:pPr>
      <w:r>
        <w:rPr>
          <w:rFonts w:ascii="宋体" w:hAnsi="宋体"/>
          <w:sz w:val="24"/>
        </w:rPr>
      </w:r>
      <w:r/>
    </w:p>
    <w:p>
      <w:pPr>
        <w:pStyle w:val="95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92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5"/>
        <w:ind w:firstLine="640"/>
      </w:pPr>
      <w:r/>
      <w:r/>
    </w:p>
    <w:p>
      <w:pPr>
        <w:pStyle w:val="9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7  报价一览表</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sz w:val="24"/>
          <w:szCs w:val="20"/>
        </w:rPr>
      </w:r>
      <w:r/>
    </w:p>
    <w:p>
      <w:pPr>
        <w:pStyle w:val="925"/>
        <w:jc w:val="left"/>
        <w:spacing w:line="360" w:lineRule="auto"/>
        <w:tabs>
          <w:tab w:val="left" w:pos="1800" w:leader="none"/>
          <w:tab w:val="left" w:pos="5580" w:leader="none"/>
        </w:tabs>
        <w:rPr>
          <w:rFonts w:hint="eastAsia"/>
          <w:sz w:val="24"/>
        </w:rPr>
      </w:pPr>
      <w:r>
        <w:rPr>
          <w:rFonts w:hint="eastAsia"/>
          <w:sz w:val="24"/>
        </w:rPr>
      </w:r>
      <w:r/>
    </w:p>
    <w:p>
      <w:pPr>
        <w:pStyle w:val="925"/>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5"/>
        <w:jc w:val="left"/>
        <w:widowControl/>
        <w:rPr>
          <w:sz w:val="24"/>
          <w:szCs w:val="20"/>
        </w:rPr>
      </w:pPr>
      <w:r/>
      <w:bookmarkStart w:id="681" w:name="_Toc142311060"/>
      <w:r/>
      <w:bookmarkStart w:id="682" w:name="_Toc150480796"/>
      <w:r/>
      <w:bookmarkStart w:id="683" w:name="_Toc127151558"/>
      <w:r/>
      <w:bookmarkStart w:id="684" w:name="_Toc305158901"/>
      <w:r/>
      <w:bookmarkStart w:id="685" w:name="_Toc226337255"/>
      <w:r/>
      <w:bookmarkStart w:id="686" w:name="_Toc305158827"/>
      <w:r/>
      <w:bookmarkStart w:id="687" w:name="_Toc264969249"/>
      <w:r/>
      <w:bookmarkStart w:id="688" w:name="_Toc226309803"/>
      <w:r/>
      <w:bookmarkStart w:id="689" w:name="_Toc150774763"/>
      <w:r/>
      <w:bookmarkStart w:id="690" w:name="_Toc195842924"/>
      <w:r/>
      <w:bookmarkStart w:id="691" w:name="_Toc226965749"/>
      <w:r/>
      <w:bookmarkStart w:id="692" w:name="_Toc226965832"/>
      <w:r/>
      <w:bookmarkStart w:id="693" w:name="_Toc265228397"/>
      <w:r>
        <w:rPr>
          <w:sz w:val="24"/>
          <w:szCs w:val="20"/>
        </w:rPr>
        <w:br w:type="page" w:clear="all"/>
      </w:r>
      <w:r>
        <w:rPr>
          <w:sz w:val="24"/>
          <w:szCs w:val="20"/>
        </w:rPr>
      </w:r>
      <w:r/>
    </w:p>
    <w:p>
      <w:pPr>
        <w:pStyle w:val="925"/>
        <w:spacing w:line="360" w:lineRule="auto"/>
        <w:rPr>
          <w:rFonts w:hint="eastAsia"/>
          <w:sz w:val="24"/>
          <w:szCs w:val="20"/>
        </w:rPr>
        <w:outlineLvl w:val="2"/>
      </w:pPr>
      <w:r>
        <w:rPr>
          <w:sz w:val="24"/>
          <w:szCs w:val="20"/>
        </w:rPr>
        <w:t xml:space="preserve">8  </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sz w:val="24"/>
          <w:szCs w:val="20"/>
        </w:rPr>
        <w:t xml:space="preserve">工程量清单</w:t>
      </w: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ind w:firstLine="482"/>
        <w:spacing w:line="480" w:lineRule="auto"/>
        <w:rPr>
          <w:rFonts w:ascii="宋体" w:hAnsi="宋体"/>
          <w:sz w:val="24"/>
        </w:rPr>
      </w:pPr>
      <w:r>
        <w:rPr>
          <w:rFonts w:hint="eastAsia" w:ascii="宋体" w:hAnsi="宋体"/>
          <w:sz w:val="24"/>
        </w:rPr>
        <w:t xml:space="preserve">工程量清单及图纸链接:</w:t>
      </w:r>
      <w:r>
        <w:rPr>
          <w:rFonts w:ascii="宋体" w:hAnsi="宋体"/>
          <w:sz w:val="24"/>
        </w:rPr>
      </w:r>
      <w:r/>
    </w:p>
    <w:p>
      <w:pPr>
        <w:pStyle w:val="925"/>
        <w:ind w:firstLine="482"/>
        <w:spacing w:line="480" w:lineRule="auto"/>
        <w:rPr>
          <w:rFonts w:hint="eastAsia" w:ascii="宋体" w:hAnsi="宋体"/>
          <w:sz w:val="24"/>
        </w:rPr>
      </w:pPr>
      <w:r>
        <w:rPr>
          <w:rFonts w:hint="eastAsia" w:ascii="宋体" w:hAnsi="宋体"/>
          <w:sz w:val="24"/>
        </w:rPr>
        <w:t xml:space="preserve">提取码: </w:t>
      </w:r>
      <w:r>
        <w:rPr>
          <w:rFonts w:hint="eastAsia" w:ascii="宋体" w:hAnsi="宋体"/>
          <w:sz w:val="24"/>
        </w:rPr>
      </w:r>
      <w:r/>
    </w:p>
    <w:p>
      <w:pPr>
        <w:pStyle w:val="925"/>
        <w:ind w:firstLine="482"/>
        <w:spacing w:line="480" w:lineRule="auto"/>
        <w:rPr>
          <w:rFonts w:ascii="宋体" w:hAnsi="宋体"/>
          <w:sz w:val="24"/>
        </w:rPr>
      </w:pPr>
      <w:r>
        <w:rPr>
          <w:rFonts w:ascii="宋体" w:hAnsi="宋体"/>
          <w:sz w:val="24"/>
        </w:rPr>
      </w:r>
      <w:r/>
    </w:p>
    <w:p>
      <w:pPr>
        <w:pStyle w:val="925"/>
        <w:ind w:firstLine="482"/>
        <w:spacing w:line="480" w:lineRule="auto"/>
        <w:rPr>
          <w:rFonts w:ascii="宋体" w:hAnsi="宋体"/>
          <w:sz w:val="24"/>
        </w:rPr>
      </w:pPr>
      <w:r/>
      <w:bookmarkStart w:id="694" w:name="_Toc264969252"/>
      <w:r/>
      <w:bookmarkStart w:id="695" w:name="_Toc127151562"/>
      <w:r/>
      <w:bookmarkStart w:id="696" w:name="_Toc226965752"/>
      <w:r/>
      <w:bookmarkStart w:id="697" w:name="_Toc150774765"/>
      <w:r/>
      <w:bookmarkStart w:id="698" w:name="_Toc226337258"/>
      <w:r/>
      <w:bookmarkStart w:id="699" w:name="_Toc305158904"/>
      <w:r/>
      <w:bookmarkStart w:id="700" w:name="_Toc150480798"/>
      <w:r/>
      <w:bookmarkStart w:id="701" w:name="_Toc195842927"/>
      <w:r/>
      <w:bookmarkStart w:id="702" w:name="_Toc265228400"/>
      <w:r/>
      <w:bookmarkStart w:id="703" w:name="_Toc305158830"/>
      <w:r/>
      <w:bookmarkStart w:id="704" w:name="_Toc226965835"/>
      <w:r/>
      <w:bookmarkStart w:id="705" w:name="_Toc142311062"/>
      <w:r/>
      <w:bookmarkStart w:id="706" w:name="_Toc226309806"/>
      <w:r/>
      <w:bookmarkStart w:id="707" w:name="_Toc305158829"/>
      <w:r/>
      <w:bookmarkStart w:id="708" w:name="_Toc150480797"/>
      <w:r/>
      <w:bookmarkStart w:id="709" w:name="_Toc226337257"/>
      <w:r/>
      <w:bookmarkStart w:id="710" w:name="_Toc265228399"/>
      <w:r/>
      <w:bookmarkStart w:id="711" w:name="_Toc264969251"/>
      <w:r/>
      <w:bookmarkStart w:id="712" w:name="_Toc127151561"/>
      <w:r/>
      <w:bookmarkStart w:id="713" w:name="_Toc195842926"/>
      <w:r/>
      <w:bookmarkStart w:id="714" w:name="_Toc226309805"/>
      <w:r/>
      <w:bookmarkStart w:id="715" w:name="_Toc305158903"/>
      <w:r/>
      <w:bookmarkStart w:id="716" w:name="_Toc150774764"/>
      <w:r/>
      <w:bookmarkStart w:id="717" w:name="_Toc226965834"/>
      <w:r/>
      <w:bookmarkStart w:id="718" w:name="_Toc226965751"/>
      <w:r/>
      <w:bookmarkStart w:id="719" w:name="_Toc142311061"/>
      <w:r>
        <w:rPr>
          <w:rFonts w:ascii="宋体" w:hAnsi="宋体"/>
          <w:sz w:val="24"/>
        </w:rPr>
        <w:br w:type="page" w:clear="all"/>
      </w:r>
      <w:r>
        <w:rPr>
          <w:rFonts w:ascii="宋体" w:hAnsi="宋体"/>
          <w:sz w:val="24"/>
        </w:rPr>
      </w:r>
      <w:r/>
    </w:p>
    <w:p>
      <w:pPr>
        <w:pStyle w:val="925"/>
        <w:ind w:firstLine="482"/>
        <w:spacing w:line="480" w:lineRule="auto"/>
        <w:rPr>
          <w:rFonts w:ascii="宋体" w:hAnsi="宋体"/>
          <w:sz w:val="24"/>
        </w:rPr>
      </w:pPr>
      <w:r>
        <w:rPr>
          <w:rFonts w:hint="eastAsia" w:ascii="宋体" w:hAnsi="宋体"/>
          <w:sz w:val="24"/>
        </w:rPr>
        <w:t xml:space="preserve">9  实质性要求</w:t>
      </w:r>
      <w:r>
        <w:rPr>
          <w:rFonts w:ascii="宋体" w:hAnsi="宋体"/>
          <w:sz w:val="24"/>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6840"/>
        <w:gridCol w:w="1895"/>
      </w:tblGrid>
      <w:tr>
        <w:trPr>
          <w:trHeight w:val="6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采购需求实质性响应体条款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需提供的证明材料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的项目经理具有建设行政主管部门颁发的有效的机电工程专业二级及以上建造师资质；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★项目经理无在岗项目要求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提供项目经理有关是否在岗情况的承诺函，格式自拟。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设备应在《关于加强和改进公路交通情况调查设备型式检验工作的通知》交规信函字〔2016〕41号中明确的国家交通安全设施质量监督检验中心、交通运输部科学研究院交通工程检测中心进行设备型式检验检测，且检测报告在有效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提供检测报告电子扫描件</w:t>
            </w:r>
            <w:r/>
          </w:p>
        </w:tc>
      </w:tr>
    </w:tbl>
    <w:p>
      <w:pPr>
        <w:pStyle w:val="925"/>
        <w:ind w:firstLine="482"/>
        <w:spacing w:line="480" w:lineRule="auto"/>
        <w:rPr>
          <w:rFonts w:ascii="宋体" w:hAnsi="宋体"/>
          <w:sz w:val="24"/>
        </w:rPr>
      </w:pPr>
      <w:r>
        <w:rPr>
          <w:rFonts w:ascii="宋体" w:hAnsi="宋体"/>
          <w:sz w:val="24"/>
        </w:rPr>
      </w:r>
      <w:r/>
    </w:p>
    <w:p>
      <w:pPr>
        <w:pStyle w:val="925"/>
        <w:ind w:firstLine="482"/>
        <w:spacing w:line="480" w:lineRule="auto"/>
        <w:rPr>
          <w:rFonts w:hint="eastAsia"/>
          <w:sz w:val="24"/>
          <w:szCs w:val="20"/>
        </w:rPr>
        <w:sectPr>
          <w:footnotePr/>
          <w:endnotePr/>
          <w:type w:val="nextPage"/>
          <w:pgSz w:w="11907" w:h="16840" w:orient="portrait"/>
          <w:pgMar w:top="1418" w:right="1134" w:bottom="1134" w:left="1134" w:header="851" w:footer="851" w:gutter="0"/>
          <w:cols w:num="1" w:sep="0" w:space="1701" w:equalWidth="1"/>
          <w:docGrid w:linePitch="360"/>
        </w:sectPr>
      </w:pPr>
      <w:r>
        <w:rPr>
          <w:rFonts w:hint="eastAsia"/>
          <w:sz w:val="24"/>
          <w:szCs w:val="20"/>
        </w:rPr>
      </w:r>
      <w:r/>
    </w:p>
    <w:p>
      <w:pPr>
        <w:pStyle w:val="925"/>
        <w:ind w:firstLine="482"/>
        <w:spacing w:line="480" w:lineRule="auto"/>
        <w:rPr>
          <w:rFonts w:hint="eastAsia"/>
          <w:sz w:val="24"/>
          <w:szCs w:val="20"/>
        </w:rPr>
      </w:pPr>
      <w:r>
        <w:rPr>
          <w:rFonts w:hint="eastAsia"/>
          <w:sz w:val="24"/>
          <w:szCs w:val="20"/>
        </w:rPr>
      </w:r>
      <w:r/>
    </w:p>
    <w:p>
      <w:pPr>
        <w:pStyle w:val="925"/>
        <w:ind w:firstLine="482"/>
        <w:spacing w:line="480" w:lineRule="auto"/>
        <w:rPr>
          <w:sz w:val="24"/>
          <w:szCs w:val="20"/>
        </w:rPr>
      </w:pPr>
      <w:r>
        <w:rPr>
          <w:rFonts w:hint="eastAsia"/>
          <w:sz w:val="24"/>
          <w:szCs w:val="20"/>
        </w:rPr>
        <w:t xml:space="preserve">10</w:t>
      </w:r>
      <w:r>
        <w:rPr>
          <w:sz w:val="24"/>
          <w:szCs w:val="20"/>
        </w:rPr>
        <w:t xml:space="preserve">  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sz w:val="24"/>
          <w:szCs w:val="20"/>
        </w:rPr>
      </w:r>
      <w:r/>
    </w:p>
    <w:p>
      <w:pPr>
        <w:pStyle w:val="925"/>
        <w:jc w:val="center"/>
        <w:rPr>
          <w:b/>
          <w:sz w:val="36"/>
          <w:szCs w:val="36"/>
        </w:rPr>
      </w:pPr>
      <w:r>
        <w:rPr>
          <w:rFonts w:hint="eastAsia"/>
          <w:b/>
          <w:sz w:val="36"/>
          <w:szCs w:val="36"/>
        </w:rPr>
        <w:t xml:space="preserve">合同条款偏离表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5"/>
              <w:jc w:val="left"/>
              <w:rPr>
                <w:b/>
                <w:sz w:val="24"/>
              </w:rPr>
            </w:pPr>
            <w:r>
              <w:rPr>
                <w:rFonts w:hint="eastAsia"/>
                <w:b/>
                <w:sz w:val="24"/>
              </w:rPr>
              <w:t xml:space="preserve">对本项目合同条款的偏离情况（请进行勾选）：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5"/>
              <w:jc w:val="center"/>
              <w:rPr>
                <w:sz w:val="24"/>
              </w:rPr>
            </w:pPr>
            <w:r>
              <w:rPr>
                <w:sz w:val="24"/>
              </w:rPr>
              <w:t xml:space="preserve">序号</w:t>
            </w:r>
            <w:r>
              <w:rPr>
                <w:sz w:val="24"/>
              </w:rPr>
            </w:r>
            <w:r/>
          </w:p>
        </w:tc>
        <w:tc>
          <w:tcPr>
            <w:tcW w:w="1301" w:type="dxa"/>
            <w:vAlign w:val="center"/>
            <w:textDirection w:val="lrTb"/>
            <w:noWrap w:val="false"/>
          </w:tcPr>
          <w:p>
            <w:pPr>
              <w:pStyle w:val="92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5"/>
              <w:jc w:val="center"/>
              <w:rPr>
                <w:sz w:val="24"/>
              </w:rPr>
            </w:pPr>
            <w:r>
              <w:rPr>
                <w:sz w:val="24"/>
              </w:rPr>
              <w:t xml:space="preserve">响应文件内容</w:t>
            </w:r>
            <w:r>
              <w:rPr>
                <w:sz w:val="24"/>
              </w:rPr>
            </w:r>
            <w:r/>
          </w:p>
        </w:tc>
        <w:tc>
          <w:tcPr>
            <w:tcW w:w="2458"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rPr>
              <w:t xml:space="preserve">（据实填写）</w:t>
            </w:r>
            <w:r>
              <w:rPr>
                <w:sz w:val="24"/>
              </w:rPr>
            </w:r>
            <w:r/>
          </w:p>
        </w:tc>
        <w:tc>
          <w:tcPr>
            <w:tcW w:w="788"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r>
      <w:r/>
    </w:p>
    <w:p>
      <w:pPr>
        <w:pStyle w:val="925"/>
        <w:jc w:val="left"/>
        <w:tabs>
          <w:tab w:val="left" w:pos="1800" w:leader="none"/>
          <w:tab w:val="left" w:pos="5580" w:leader="none"/>
        </w:tabs>
        <w:rPr>
          <w:sz w:val="24"/>
        </w:rPr>
      </w:pPr>
      <w:r>
        <w:rPr>
          <w:rFonts w:hint="eastAsia"/>
          <w:sz w:val="24"/>
        </w:rPr>
        <w:t xml:space="preserve">注：</w:t>
      </w:r>
      <w:r>
        <w:rPr>
          <w:sz w:val="24"/>
        </w:rPr>
      </w:r>
      <w:r/>
    </w:p>
    <w:p>
      <w:pPr>
        <w:pStyle w:val="92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5"/>
        <w:spacing w:line="360" w:lineRule="auto"/>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sz w:val="24"/>
          <w:szCs w:val="20"/>
        </w:rPr>
        <w:outlineLvl w:val="2"/>
      </w:pPr>
      <w:r>
        <w:rPr>
          <w:sz w:val="24"/>
          <w:szCs w:val="20"/>
        </w:rPr>
        <w:t xml:space="preserve">1</w:t>
      </w:r>
      <w:r>
        <w:rPr>
          <w:rFonts w:hint="eastAsia"/>
          <w:sz w:val="24"/>
          <w:szCs w:val="20"/>
        </w:rPr>
        <w:t xml:space="preserve">1</w:t>
      </w:r>
      <w:r>
        <w:rPr>
          <w:sz w:val="24"/>
          <w:szCs w:val="20"/>
        </w:rPr>
        <w:t xml:space="preserve">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sz w:val="24"/>
          <w:szCs w:val="20"/>
        </w:rPr>
        <w:t xml:space="preserve">采购需求偏离表</w:t>
      </w:r>
      <w:r>
        <w:rPr>
          <w:sz w:val="24"/>
          <w:szCs w:val="20"/>
        </w:rPr>
      </w:r>
      <w:r/>
    </w:p>
    <w:p>
      <w:pPr>
        <w:pStyle w:val="925"/>
        <w:jc w:val="center"/>
        <w:rPr>
          <w:b/>
          <w:sz w:val="36"/>
          <w:szCs w:val="36"/>
        </w:rPr>
      </w:pPr>
      <w:r>
        <w:rPr>
          <w:rFonts w:hint="eastAsia"/>
          <w:b/>
          <w:sz w:val="36"/>
          <w:szCs w:val="36"/>
        </w:rPr>
        <w:t xml:space="preserve">采购需求偏离表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5"/>
              <w:jc w:val="left"/>
              <w:rPr>
                <w:b/>
                <w:sz w:val="24"/>
              </w:rPr>
            </w:pPr>
            <w:r>
              <w:rPr>
                <w:rFonts w:hint="eastAsia"/>
                <w:b/>
                <w:sz w:val="24"/>
              </w:rPr>
              <w:t xml:space="preserve">对本项目采购需求的偏离情况（请进行勾选）：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5"/>
              <w:jc w:val="center"/>
              <w:rPr>
                <w:sz w:val="24"/>
              </w:rPr>
            </w:pPr>
            <w:r>
              <w:rPr>
                <w:sz w:val="24"/>
              </w:rPr>
              <w:t xml:space="preserve">序号</w:t>
            </w:r>
            <w:r>
              <w:rPr>
                <w:sz w:val="24"/>
              </w:rPr>
            </w:r>
            <w:r/>
          </w:p>
        </w:tc>
        <w:tc>
          <w:tcPr>
            <w:tcW w:w="1482" w:type="dxa"/>
            <w:vAlign w:val="center"/>
            <w:textDirection w:val="lrTb"/>
            <w:noWrap w:val="false"/>
          </w:tcPr>
          <w:p>
            <w:pPr>
              <w:pStyle w:val="925"/>
              <w:jc w:val="center"/>
              <w:rPr>
                <w:sz w:val="24"/>
              </w:rPr>
            </w:pPr>
            <w:r>
              <w:rPr>
                <w:sz w:val="24"/>
              </w:rPr>
              <w:t xml:space="preserve">磋商文件条目号(页码)</w:t>
            </w:r>
            <w:r>
              <w:rPr>
                <w:sz w:val="24"/>
              </w:rPr>
            </w:r>
            <w:r/>
          </w:p>
        </w:tc>
        <w:tc>
          <w:tcPr>
            <w:tcW w:w="2384" w:type="dxa"/>
            <w:vAlign w:val="center"/>
            <w:textDirection w:val="lrTb"/>
            <w:noWrap w:val="false"/>
          </w:tcPr>
          <w:p>
            <w:pPr>
              <w:pStyle w:val="925"/>
              <w:jc w:val="center"/>
              <w:rPr>
                <w:sz w:val="24"/>
              </w:rPr>
            </w:pPr>
            <w:r>
              <w:rPr>
                <w:sz w:val="24"/>
              </w:rPr>
              <w:t xml:space="preserve">磋商文件要求</w:t>
            </w:r>
            <w:r>
              <w:rPr>
                <w:sz w:val="24"/>
              </w:rPr>
            </w:r>
            <w:r/>
          </w:p>
        </w:tc>
        <w:tc>
          <w:tcPr>
            <w:tcW w:w="2126" w:type="dxa"/>
            <w:vAlign w:val="center"/>
            <w:textDirection w:val="lrTb"/>
            <w:noWrap w:val="false"/>
          </w:tcPr>
          <w:p>
            <w:pPr>
              <w:pStyle w:val="925"/>
              <w:jc w:val="center"/>
              <w:rPr>
                <w:sz w:val="24"/>
              </w:rPr>
            </w:pPr>
            <w:r>
              <w:rPr>
                <w:sz w:val="24"/>
              </w:rPr>
              <w:t xml:space="preserve">响应内容</w:t>
            </w:r>
            <w:r>
              <w:rPr>
                <w:sz w:val="24"/>
              </w:rPr>
            </w:r>
            <w:r/>
          </w:p>
        </w:tc>
        <w:tc>
          <w:tcPr>
            <w:tcW w:w="1875"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szCs w:val="21"/>
              </w:rPr>
              <w:t xml:space="preserve">（据实填写）</w:t>
            </w:r>
            <w:r>
              <w:rPr>
                <w:sz w:val="24"/>
              </w:rPr>
            </w:r>
            <w:r/>
          </w:p>
        </w:tc>
        <w:tc>
          <w:tcPr>
            <w:tcW w:w="1009"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t xml:space="preserve">注：</w:t>
      </w:r>
      <w:r>
        <w:rPr>
          <w:sz w:val="24"/>
        </w:rPr>
      </w:r>
      <w:r/>
    </w:p>
    <w:p>
      <w:pPr>
        <w:pStyle w:val="92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2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5"/>
        <w:jc w:val="left"/>
        <w:tabs>
          <w:tab w:val="left" w:pos="1800" w:leader="none"/>
          <w:tab w:val="left" w:pos="5580" w:leader="none"/>
        </w:tabs>
        <w:rPr>
          <w:sz w:val="24"/>
        </w:rPr>
      </w:pPr>
      <w:r>
        <w:rPr>
          <w:sz w:val="24"/>
        </w:rPr>
      </w:r>
      <w:r/>
    </w:p>
    <w:p>
      <w:pPr>
        <w:pStyle w:val="925"/>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sz w:val="24"/>
          <w:szCs w:val="20"/>
        </w:rPr>
        <w:outlineLvl w:val="2"/>
      </w:pPr>
      <w:r>
        <w:rPr>
          <w:rFonts w:hint="eastAsia"/>
          <w:sz w:val="24"/>
          <w:szCs w:val="20"/>
        </w:rPr>
        <w:t xml:space="preserve">12</w:t>
      </w:r>
      <w:r>
        <w:rPr>
          <w:sz w:val="24"/>
          <w:szCs w:val="20"/>
        </w:rPr>
        <w:t xml:space="preserve"> </w:t>
      </w:r>
      <w:r>
        <w:rPr>
          <w:rFonts w:hint="eastAsia"/>
          <w:sz w:val="24"/>
          <w:szCs w:val="20"/>
        </w:rPr>
        <w:t xml:space="preserve">项目实施方案等，包括但不限于如下主题：</w:t>
      </w:r>
      <w:r>
        <w:rPr>
          <w:sz w:val="24"/>
          <w:szCs w:val="20"/>
        </w:rPr>
      </w:r>
      <w:r/>
    </w:p>
    <w:p>
      <w:pPr>
        <w:pStyle w:val="925"/>
        <w:ind w:firstLine="480"/>
        <w:spacing w:line="560" w:lineRule="exact"/>
        <w:rPr>
          <w:rFonts w:hint="eastAsia"/>
          <w:sz w:val="24"/>
          <w:szCs w:val="20"/>
        </w:rPr>
      </w:pPr>
      <w:r>
        <w:rPr>
          <w:rFonts w:hint="eastAsia"/>
          <w:sz w:val="24"/>
          <w:szCs w:val="20"/>
        </w:rPr>
        <w:t xml:space="preserve">1）技术实现方案和说明；</w:t>
      </w:r>
      <w:r>
        <w:rPr>
          <w:rFonts w:hint="eastAsia"/>
          <w:sz w:val="24"/>
          <w:szCs w:val="20"/>
        </w:rPr>
      </w:r>
      <w:r/>
    </w:p>
    <w:p>
      <w:pPr>
        <w:pStyle w:val="925"/>
        <w:ind w:firstLine="480"/>
        <w:spacing w:line="560" w:lineRule="exact"/>
        <w:rPr>
          <w:sz w:val="24"/>
          <w:szCs w:val="20"/>
        </w:rPr>
      </w:pPr>
      <w:r>
        <w:rPr>
          <w:rFonts w:hint="eastAsia"/>
          <w:sz w:val="24"/>
          <w:szCs w:val="20"/>
        </w:rPr>
        <w:t xml:space="preserve">2）项目施工组织设计；</w:t>
      </w:r>
      <w:r>
        <w:rPr>
          <w:sz w:val="24"/>
          <w:szCs w:val="20"/>
        </w:rPr>
      </w:r>
      <w:r/>
    </w:p>
    <w:p>
      <w:pPr>
        <w:pStyle w:val="925"/>
        <w:ind w:firstLine="480"/>
        <w:spacing w:line="560" w:lineRule="exact"/>
        <w:rPr>
          <w:rFonts w:hint="eastAsia"/>
          <w:sz w:val="24"/>
          <w:szCs w:val="20"/>
        </w:rPr>
      </w:pPr>
      <w:r>
        <w:rPr>
          <w:rFonts w:hint="eastAsia"/>
          <w:sz w:val="24"/>
          <w:szCs w:val="20"/>
        </w:rPr>
        <w:t xml:space="preserve">3）供应商的培训计划、技术支持及各项承诺书；</w:t>
      </w:r>
      <w:r>
        <w:rPr>
          <w:rFonts w:hint="eastAsia"/>
          <w:sz w:val="24"/>
          <w:szCs w:val="20"/>
        </w:rPr>
      </w:r>
      <w:r/>
    </w:p>
    <w:p>
      <w:pPr>
        <w:pStyle w:val="925"/>
        <w:ind w:firstLine="480"/>
        <w:spacing w:line="560" w:lineRule="exact"/>
        <w:rPr>
          <w:rFonts w:hint="eastAsia" w:ascii="Times New Roman" w:hAnsi="Times New Roman" w:eastAsia="宋体" w:cs="Times New Roman"/>
          <w:sz w:val="24"/>
          <w:szCs w:val="20"/>
          <w:lang w:val="en-US" w:eastAsia="zh-CN"/>
        </w:rPr>
      </w:pPr>
      <w:r>
        <w:rPr>
          <w:rFonts w:hint="eastAsia"/>
          <w:sz w:val="24"/>
          <w:szCs w:val="20"/>
          <w:lang w:val="en-US" w:eastAsia="zh-CN"/>
        </w:rPr>
        <w:t xml:space="preserve">4）</w:t>
      </w:r>
      <w:r>
        <w:rPr>
          <w:rFonts w:hint="eastAsia" w:ascii="Times New Roman" w:hAnsi="Times New Roman" w:eastAsia="宋体" w:cs="Times New Roman"/>
          <w:sz w:val="24"/>
          <w:szCs w:val="20"/>
        </w:rPr>
        <w:t xml:space="preserve">应急保障及缺陷责任期保修方案</w:t>
      </w:r>
      <w:r>
        <w:rPr>
          <w:rFonts w:hint="eastAsia" w:ascii="Times New Roman" w:hAnsi="Times New Roman" w:eastAsia="宋体" w:cs="Times New Roman"/>
          <w:sz w:val="24"/>
          <w:szCs w:val="20"/>
          <w:lang w:eastAsia="zh-CN"/>
        </w:rPr>
        <w:t xml:space="preserve">。</w:t>
      </w:r>
      <w:r>
        <w:rPr>
          <w:rFonts w:hint="eastAsia" w:ascii="Times New Roman" w:hAnsi="Times New Roman" w:eastAsia="宋体" w:cs="Times New Roman"/>
          <w:sz w:val="24"/>
          <w:szCs w:val="20"/>
          <w:lang w:val="en-US" w:eastAsia="zh-CN"/>
        </w:rPr>
      </w:r>
      <w:r/>
    </w:p>
    <w:p>
      <w:pPr>
        <w:pStyle w:val="925"/>
        <w:ind w:firstLine="480"/>
        <w:spacing w:line="560" w:lineRule="exact"/>
        <w:rPr>
          <w:sz w:val="24"/>
          <w:szCs w:val="20"/>
        </w:rPr>
      </w:pPr>
      <w:r>
        <w:rPr>
          <w:sz w:val="24"/>
          <w:szCs w:val="20"/>
        </w:rPr>
      </w:r>
      <w:r/>
    </w:p>
    <w:p>
      <w:pPr>
        <w:pStyle w:val="925"/>
        <w:spacing w:line="360" w:lineRule="auto"/>
        <w:rPr>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sz w:val="24"/>
          <w:szCs w:val="20"/>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13  参加本项目人员一览表</w:t>
      </w:r>
      <w:r>
        <w:rPr>
          <w:sz w:val="24"/>
          <w:szCs w:val="20"/>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5"/>
        <w:tabs>
          <w:tab w:val="left" w:pos="9765" w:leader="none"/>
        </w:tabs>
        <w:rPr>
          <w:rFonts w:ascii="宋体" w:hAnsi="宋体" w:cs="宋体"/>
          <w:b/>
          <w:sz w:val="24"/>
          <w:lang w:val="zh-CN"/>
        </w:rPr>
      </w:pPr>
      <w:r>
        <w:rPr>
          <w:rFonts w:ascii="宋体" w:hAnsi="宋体" w:cs="宋体"/>
          <w:b/>
          <w:sz w:val="24"/>
          <w:lang w:val="zh-CN"/>
        </w:rPr>
      </w:r>
      <w:r/>
    </w:p>
    <w:p>
      <w:pPr>
        <w:pStyle w:val="92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5"/>
        <w:spacing w:line="360" w:lineRule="auto"/>
        <w:rPr>
          <w:rFonts w:ascii="宋体" w:hAnsi="宋体"/>
          <w:sz w:val="24"/>
        </w:rPr>
      </w:pPr>
      <w:r>
        <w:rPr>
          <w:rFonts w:ascii="宋体" w:hAnsi="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rPr>
          <w:rFonts w:hint="eastAsia"/>
          <w:sz w:val="22"/>
        </w:rPr>
      </w:pPr>
      <w:r>
        <w:rPr>
          <w:sz w:val="22"/>
        </w:rPr>
        <w:br w:type="page" w:clear="all"/>
      </w:r>
      <w:bookmarkStart w:id="720" w:name="_Toc288738839"/>
      <w:r/>
      <w:bookmarkStart w:id="721" w:name="_Toc288738397"/>
      <w:r>
        <w:rPr>
          <w:rFonts w:hint="eastAsia"/>
          <w:sz w:val="22"/>
        </w:rPr>
      </w:r>
      <w:r/>
    </w:p>
    <w:p>
      <w:pPr>
        <w:pStyle w:val="925"/>
        <w:rPr>
          <w:sz w:val="24"/>
          <w:szCs w:val="20"/>
        </w:rPr>
      </w:pPr>
      <w:r>
        <w:rPr>
          <w:rFonts w:hint="eastAsia"/>
          <w:sz w:val="24"/>
          <w:szCs w:val="20"/>
        </w:rPr>
        <w:t xml:space="preserve">14  拟投入项目经理业绩一览表</w:t>
      </w:r>
      <w:r>
        <w:rPr>
          <w:sz w:val="24"/>
          <w:szCs w:val="20"/>
        </w:rPr>
      </w:r>
      <w:r/>
    </w:p>
    <w:p>
      <w:pPr>
        <w:pStyle w:val="925"/>
        <w:jc w:val="center"/>
        <w:spacing w:line="360" w:lineRule="auto"/>
        <w:rPr>
          <w:rFonts w:ascii="宋体" w:hAnsi="宋体"/>
          <w:b/>
          <w:sz w:val="32"/>
          <w:szCs w:val="32"/>
        </w:rPr>
      </w:pPr>
      <w:r>
        <w:rPr>
          <w:rFonts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3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042"/>
        <w:gridCol w:w="1042"/>
        <w:gridCol w:w="948"/>
      </w:tblGrid>
      <w:tr>
        <w:trPr>
          <w:trHeight w:val="510"/>
        </w:trPr>
        <w:tc>
          <w:tcPr>
            <w:tcW w:w="507" w:type="dxa"/>
            <w:vAlign w:val="center"/>
            <w:textDirection w:val="lrTb"/>
            <w:noWrap w:val="false"/>
          </w:tcPr>
          <w:p>
            <w:pPr>
              <w:pStyle w:val="925"/>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c>
          <w:tcPr>
            <w:tcW w:w="948"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对应证明材料页码</w:t>
            </w:r>
            <w:r>
              <w:rPr>
                <w:rFonts w:ascii="宋体" w:hAnsi="宋体" w:cs="仿宋"/>
                <w:sz w:val="24"/>
              </w:rPr>
            </w:r>
            <w:r/>
          </w:p>
        </w:tc>
      </w:tr>
      <w:tr>
        <w:trPr>
          <w:trHeight w:val="510"/>
        </w:trPr>
        <w:tc>
          <w:tcPr>
            <w:tcW w:w="507"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bl>
    <w:p>
      <w:pPr>
        <w:pStyle w:val="925"/>
        <w:spacing w:before="25" w:after="25" w:line="360" w:lineRule="auto"/>
        <w:rPr>
          <w:sz w:val="24"/>
        </w:rPr>
      </w:pPr>
      <w:r>
        <w:rPr>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rPr>
          <w:sz w:val="24"/>
          <w:szCs w:val="20"/>
        </w:rPr>
      </w:pPr>
      <w:r>
        <w:rPr>
          <w:sz w:val="24"/>
          <w:szCs w:val="20"/>
        </w:rPr>
        <w:t xml:space="preserve">日期：_____年______月______日</w:t>
      </w:r>
      <w:r>
        <w:rPr>
          <w:sz w:val="24"/>
          <w:szCs w:val="20"/>
        </w:rPr>
      </w:r>
      <w:r/>
    </w:p>
    <w:p>
      <w:pPr>
        <w:pStyle w:val="925"/>
        <w:spacing w:before="25" w:after="25" w:line="360" w:lineRule="auto"/>
        <w:rPr>
          <w:sz w:val="24"/>
          <w:szCs w:val="20"/>
        </w:rPr>
      </w:pPr>
      <w:r>
        <w:rPr>
          <w:sz w:val="24"/>
          <w:szCs w:val="20"/>
        </w:rPr>
      </w:r>
      <w:r/>
    </w:p>
    <w:p>
      <w:pPr>
        <w:pStyle w:val="925"/>
        <w:spacing w:before="25" w:after="25" w:line="360" w:lineRule="auto"/>
        <w:rPr>
          <w:sz w:val="24"/>
          <w:szCs w:val="20"/>
        </w:rPr>
      </w:pPr>
      <w:r>
        <w:rPr>
          <w:sz w:val="24"/>
          <w:szCs w:val="20"/>
        </w:rPr>
      </w:r>
      <w:r/>
    </w:p>
    <w:p>
      <w:pPr>
        <w:pStyle w:val="925"/>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15  供应商业绩案例一览表</w:t>
      </w:r>
      <w:r>
        <w:rPr>
          <w:sz w:val="24"/>
          <w:szCs w:val="20"/>
        </w:rPr>
      </w:r>
      <w:r/>
    </w:p>
    <w:p>
      <w:pPr>
        <w:pStyle w:val="925"/>
        <w:rPr>
          <w:sz w:val="24"/>
          <w:szCs w:val="20"/>
        </w:rPr>
      </w:pPr>
      <w:r>
        <w:rPr>
          <w:sz w:val="24"/>
          <w:szCs w:val="20"/>
        </w:rPr>
      </w:r>
      <w:r/>
    </w:p>
    <w:p>
      <w:pPr>
        <w:pStyle w:val="925"/>
        <w:jc w:val="center"/>
        <w:rPr>
          <w:rFonts w:ascii="宋体" w:hAnsi="宋体"/>
          <w:b/>
          <w:sz w:val="32"/>
          <w:szCs w:val="32"/>
        </w:rPr>
      </w:pPr>
      <w:r>
        <w:rPr>
          <w:rFonts w:hint="eastAsia" w:ascii="宋体" w:hAnsi="宋体"/>
          <w:b/>
          <w:sz w:val="32"/>
          <w:szCs w:val="32"/>
        </w:rPr>
        <w:t xml:space="preserve">供应商业绩案例一览表</w:t>
      </w:r>
      <w:bookmarkEnd w:id="720"/>
      <w:r/>
      <w:bookmarkEnd w:id="721"/>
      <w:r>
        <w:rPr>
          <w:rFonts w:ascii="宋体" w:hAnsi="宋体"/>
          <w:b/>
          <w:sz w:val="32"/>
          <w:szCs w:val="32"/>
        </w:rPr>
      </w:r>
      <w:r/>
    </w:p>
    <w:p>
      <w:pPr>
        <w:pStyle w:val="925"/>
        <w:jc w:val="center"/>
        <w:spacing w:line="360" w:lineRule="auto"/>
        <w:rPr>
          <w:rFonts w:ascii="宋体" w:hAnsi="宋体"/>
          <w:b/>
          <w:sz w:val="28"/>
          <w:szCs w:val="30"/>
        </w:rPr>
      </w:pPr>
      <w:r>
        <w:rPr>
          <w:rFonts w:ascii="宋体" w:hAnsi="宋体"/>
          <w:b/>
          <w:sz w:val="28"/>
          <w:szCs w:val="30"/>
        </w:rPr>
      </w:r>
      <w:r/>
    </w:p>
    <w:p>
      <w:pPr>
        <w:pStyle w:val="92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bl>
    <w:p>
      <w:pPr>
        <w:pStyle w:val="925"/>
        <w:tabs>
          <w:tab w:val="left" w:pos="9765" w:leader="none"/>
        </w:tabs>
        <w:rPr>
          <w:rFonts w:ascii="宋体" w:hAnsi="宋体" w:cs="宋体"/>
          <w:sz w:val="24"/>
          <w:lang w:val="zh-CN"/>
        </w:rPr>
      </w:pPr>
      <w:r>
        <w:rPr>
          <w:rFonts w:ascii="宋体" w:hAnsi="宋体" w:cs="宋体"/>
          <w:sz w:val="24"/>
          <w:lang w:val="zh-CN"/>
        </w:rPr>
      </w:r>
      <w:r/>
    </w:p>
    <w:p>
      <w:pPr>
        <w:pStyle w:val="925"/>
        <w:spacing w:line="360" w:lineRule="auto"/>
        <w:rPr>
          <w:rFonts w:ascii="宋体" w:hAnsi="宋体" w:cs="宋体"/>
          <w:sz w:val="24"/>
        </w:rPr>
      </w:pPr>
      <w:r>
        <w:rPr>
          <w:rFonts w:ascii="宋体" w:hAnsi="宋体" w:cs="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color w:val="000000"/>
          <w:sz w:val="24"/>
          <w:szCs w:val="20"/>
        </w:rPr>
        <w:outlineLvl w:val="2"/>
      </w:pPr>
      <w:r>
        <w:rPr>
          <w:rFonts w:hint="eastAsia"/>
          <w:sz w:val="24"/>
          <w:szCs w:val="20"/>
        </w:rPr>
        <w:t xml:space="preserve">16  技术要求加“</w:t>
      </w:r>
      <w:r>
        <w:rPr>
          <w:rFonts w:hint="eastAsia" w:ascii="宋体" w:hAnsi="宋体"/>
          <w:sz w:val="24"/>
          <w:szCs w:val="20"/>
        </w:rPr>
        <w:t xml:space="preserve">▲</w:t>
      </w:r>
      <w:r>
        <w:rPr>
          <w:rFonts w:hint="eastAsia"/>
          <w:sz w:val="24"/>
          <w:szCs w:val="20"/>
        </w:rPr>
        <w:t xml:space="preserve">”项清单列表</w:t>
      </w:r>
      <w:r>
        <w:rPr>
          <w:color w:val="000000"/>
          <w:sz w:val="24"/>
          <w:szCs w:val="20"/>
        </w:rPr>
      </w:r>
      <w:r/>
    </w:p>
    <w:tbl>
      <w:tblPr>
        <w:tblpPr w:horzAnchor="page" w:tblpX="1609" w:vertAnchor="text" w:tblpY="435" w:leftFromText="180" w:topFromText="0" w:rightFromText="180" w:bottomFromText="0"/>
        <w:tblW w:w="94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762"/>
        <w:gridCol w:w="7117"/>
      </w:tblGrid>
      <w:tr>
        <w:trPr>
          <w:trHeight w:val="782"/>
        </w:trPr>
        <w:tc>
          <w:tcPr>
            <w:tcW w:w="572" w:type="dxa"/>
            <w:vAlign w:val="center"/>
            <w:textDirection w:val="lrTb"/>
            <w:noWrap w:val="false"/>
          </w:tcPr>
          <w:p>
            <w:pPr>
              <w:pStyle w:val="925"/>
              <w:jc w:val="center"/>
              <w:rPr>
                <w:szCs w:val="21"/>
              </w:rPr>
              <w:framePr w:vAnchor="text" w:hAnchor="page" w:x="1609" w:y="435"/>
            </w:pPr>
            <w:r>
              <w:rPr>
                <w:rFonts w:hint="eastAsia"/>
                <w:szCs w:val="21"/>
              </w:rPr>
              <w:t xml:space="preserve">序号</w:t>
            </w:r>
            <w:r>
              <w:rPr>
                <w:szCs w:val="21"/>
              </w:rPr>
            </w:r>
            <w:r/>
          </w:p>
        </w:tc>
        <w:tc>
          <w:tcPr>
            <w:tcW w:w="1762" w:type="dxa"/>
            <w:vAlign w:val="center"/>
            <w:textDirection w:val="lrTb"/>
            <w:noWrap w:val="false"/>
          </w:tcPr>
          <w:p>
            <w:pPr>
              <w:pStyle w:val="925"/>
              <w:jc w:val="center"/>
              <w:rPr>
                <w:szCs w:val="21"/>
              </w:rPr>
              <w:framePr w:vAnchor="text" w:hAnchor="page" w:x="1609" w:y="435"/>
            </w:pPr>
            <w:r>
              <w:rPr>
                <w:rFonts w:hint="eastAsia"/>
                <w:szCs w:val="21"/>
              </w:rPr>
              <w:t xml:space="preserve">技术参数条目号</w:t>
            </w:r>
            <w:r>
              <w:rPr>
                <w:szCs w:val="21"/>
              </w:rPr>
            </w:r>
            <w:r/>
          </w:p>
        </w:tc>
        <w:tc>
          <w:tcPr>
            <w:tcW w:w="7117" w:type="dxa"/>
            <w:vAlign w:val="center"/>
            <w:textDirection w:val="lrTb"/>
            <w:noWrap w:val="false"/>
          </w:tcPr>
          <w:p>
            <w:pPr>
              <w:pStyle w:val="925"/>
              <w:jc w:val="center"/>
              <w:rPr>
                <w:szCs w:val="21"/>
              </w:rPr>
              <w:framePr w:vAnchor="text" w:hAnchor="page" w:x="1609" w:y="435"/>
            </w:pPr>
            <w:r>
              <w:rPr>
                <w:rFonts w:hint="eastAsia"/>
                <w:szCs w:val="21"/>
              </w:rPr>
              <w:t xml:space="preserve">磋商文件要求</w:t>
            </w:r>
            <w:r>
              <w:rPr>
                <w:szCs w:val="21"/>
              </w:rPr>
            </w:r>
            <w:r/>
          </w:p>
        </w:tc>
      </w:tr>
      <w:tr>
        <w:trPr>
          <w:trHeight w:val="340"/>
        </w:trPr>
        <w:tc>
          <w:tcPr>
            <w:tcW w:w="572" w:type="dxa"/>
            <w:vAlign w:val="center"/>
            <w:textDirection w:val="lrTb"/>
            <w:noWrap w:val="false"/>
          </w:tcPr>
          <w:p>
            <w:pPr>
              <w:pStyle w:val="925"/>
              <w:jc w:val="center"/>
              <w:rPr>
                <w:rFonts w:ascii="宋体" w:hAnsi="宋体"/>
                <w:szCs w:val="21"/>
              </w:rPr>
              <w:framePr w:vAnchor="text" w:hAnchor="page" w:x="1609" w:y="435"/>
            </w:pPr>
            <w:r>
              <w:rPr>
                <w:rFonts w:hint="eastAsia" w:ascii="宋体" w:hAnsi="宋体"/>
                <w:szCs w:val="21"/>
              </w:rPr>
              <w:t xml:space="preserve">1</w:t>
            </w:r>
            <w:r>
              <w:rPr>
                <w:rFonts w:ascii="宋体" w:hAnsi="宋体"/>
                <w:szCs w:val="21"/>
              </w:rPr>
            </w:r>
            <w:r/>
          </w:p>
        </w:tc>
        <w:tc>
          <w:tcPr>
            <w:tcW w:w="1762" w:type="dxa"/>
            <w:vAlign w:val="center"/>
            <w:textDirection w:val="lrTb"/>
            <w:noWrap w:val="false"/>
          </w:tcPr>
          <w:p>
            <w:pPr>
              <w:pStyle w:val="925"/>
              <w:jc w:val="center"/>
              <w:rPr>
                <w:rFonts w:ascii="宋体" w:hAnsi="宋体"/>
                <w:b w:val="0"/>
                <w:bCs w:val="0"/>
                <w:szCs w:val="21"/>
              </w:rPr>
              <w:framePr w:vAnchor="text" w:hAnchor="page" w:x="1609" w:y="435"/>
            </w:pPr>
            <w:r>
              <w:rPr>
                <w:rFonts w:hint="eastAsia" w:ascii="宋体" w:hAnsi="宋体"/>
                <w:b w:val="0"/>
                <w:bCs w:val="0"/>
                <w:szCs w:val="24"/>
              </w:rPr>
              <w:t xml:space="preserve">400万三目环视网络摄像机</w:t>
            </w:r>
            <w:r>
              <w:rPr>
                <w:rFonts w:ascii="宋体" w:hAnsi="宋体"/>
                <w:b w:val="0"/>
                <w:bCs w:val="0"/>
                <w:szCs w:val="21"/>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▲5）2路全景摄像机支持水平旋转0°～240°</w:t>
            </w:r>
            <w:r>
              <w:rPr>
                <w:rFonts w:hint="eastAsia" w:ascii="宋体" w:hAnsi="宋体" w:eastAsia="宋体" w:cs="宋体"/>
                <w:szCs w:val="21"/>
                <w:lang w:eastAsia="zh-CN"/>
              </w:rPr>
              <w:t xml:space="preserve">，</w:t>
            </w:r>
            <w:r>
              <w:rPr>
                <w:rFonts w:hint="eastAsia" w:ascii="宋体" w:hAnsi="宋体" w:eastAsia="宋体" w:cs="宋体"/>
                <w:szCs w:val="21"/>
              </w:rPr>
              <w:t xml:space="preserve">1路细节摄像机支持水平旋转0°～360°。支持强光抑制功能，夜晚天气晴朗无遮挡的条件下：可对车灯进行强光抑制，可识别距离样机250m处的车辆（5.1m×1.7m）轮廓。细节摄像机具有防抖功能，在振动台振幅不大于0.3°，振动频率不大于10Hz情况下，视频图像在振动过程中应保持稳定清晰。</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eastAsia="zh-CN"/>
              </w:rPr>
              <w:framePr w:vAnchor="text" w:hAnchor="page" w:x="1609" w:y="435"/>
            </w:pPr>
            <w:r>
              <w:rPr>
                <w:rFonts w:hint="eastAsia" w:ascii="宋体" w:hAnsi="宋体"/>
                <w:szCs w:val="21"/>
              </w:rPr>
              <w:t xml:space="preserve">2</w:t>
            </w:r>
            <w:r>
              <w:rPr>
                <w:rFonts w:hint="eastAsia" w:ascii="宋体" w:hAnsi="宋体" w:eastAsia="宋体"/>
                <w:szCs w:val="21"/>
                <w:lang w:eastAsia="zh-CN"/>
              </w:rPr>
            </w:r>
            <w:r/>
          </w:p>
        </w:tc>
        <w:tc>
          <w:tcPr>
            <w:tcW w:w="1762" w:type="dxa"/>
            <w:vAlign w:val="center"/>
            <w:vMerge w:val="restart"/>
            <w:textDirection w:val="lrTb"/>
            <w:noWrap w:val="false"/>
          </w:tcPr>
          <w:p>
            <w:pPr>
              <w:pStyle w:val="925"/>
              <w:jc w:val="center"/>
              <w:rPr>
                <w:rFonts w:ascii="宋体" w:hAnsi="宋体"/>
                <w:b w:val="0"/>
                <w:bCs w:val="0"/>
                <w:szCs w:val="21"/>
              </w:rPr>
              <w:framePr w:vAnchor="text" w:hAnchor="page" w:x="1609" w:y="435"/>
            </w:pPr>
            <w:r>
              <w:rPr>
                <w:rFonts w:hint="eastAsia" w:ascii="宋体" w:hAnsi="宋体"/>
                <w:b w:val="0"/>
                <w:bCs w:val="0"/>
                <w:szCs w:val="24"/>
              </w:rPr>
              <w:t xml:space="preserve">400万智能红外网络球机</w:t>
            </w:r>
            <w:r>
              <w:rPr>
                <w:rFonts w:ascii="宋体" w:hAnsi="宋体"/>
                <w:b w:val="0"/>
                <w:bCs w:val="0"/>
                <w:szCs w:val="21"/>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4）支持内置不低于11颗补光灯；其中≥2颗红外补光灯、≥5颗白光补光灯和≥4颗激光灯补光灯，支持手动/自动开启补光灯，可按类型控制补光灯，并分别控制激光、红外和白光灯亮度，不同补光灯可独立匹配不同镜头。夜视距离支持开启白光灯，细节通道可识别距离设备120m处人体（1.7m×0.5m）轮廓。夜视距离支持开启红外灯和激光补光灯后，细节通道可识别距离设备500m处人体（1.7m×0.5m）轮廓。</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eastAsia="zh-CN"/>
              </w:rPr>
              <w:framePr w:vAnchor="text" w:hAnchor="page" w:x="1609" w:y="435"/>
            </w:pPr>
            <w:r>
              <w:rPr>
                <w:rFonts w:hint="eastAsia" w:ascii="宋体" w:hAnsi="宋体"/>
                <w:szCs w:val="21"/>
                <w:lang w:val="en-US" w:eastAsia="zh-CN"/>
              </w:rPr>
              <w:t xml:space="preserve">3</w:t>
            </w:r>
            <w:r>
              <w:rPr>
                <w:rFonts w:hint="eastAsia" w:ascii="宋体" w:hAnsi="宋体" w:eastAsia="宋体"/>
                <w:szCs w:val="21"/>
                <w:lang w:eastAsia="zh-CN"/>
              </w:rPr>
            </w:r>
            <w:r/>
          </w:p>
        </w:tc>
        <w:tc>
          <w:tcPr>
            <w:tcW w:w="1762" w:type="dxa"/>
            <w:vAlign w:val="center"/>
            <w:vMerge w:val="continue"/>
            <w:textDirection w:val="lrTb"/>
            <w:noWrap w:val="false"/>
          </w:tcPr>
          <w:p>
            <w:pPr>
              <w:pStyle w:val="925"/>
              <w:jc w:val="center"/>
              <w:rPr>
                <w:rFonts w:hint="eastAsia" w:ascii="宋体" w:hAnsi="宋体"/>
                <w:b w:val="0"/>
                <w:bCs w:val="0"/>
                <w:sz w:val="24"/>
              </w:rPr>
              <w:framePr w:vAnchor="text" w:hAnchor="page" w:x="1609" w:y="435"/>
            </w:pPr>
            <w:r>
              <w:rPr>
                <w:rFonts w:hint="eastAsia" w:ascii="宋体" w:hAnsi="宋体"/>
                <w:b w:val="0"/>
                <w:bCs w:val="0"/>
                <w:sz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7）融合态下支持0.6到40连续变倍功能，内置定焦镜头和电动变焦镜头，可进行连续变倍，实时监控画面支持由0.6倍、0.7倍、0.8倍、0.9倍、1倍、2倍、3倍......40倍连续变倍显示。具有阻尼防抖，固定频率15Hz、加速度0.3g，X、Y、Z三个方向各振动10min。设备处于工作状态，设备应能正常工作且视频画面应清晰稳定；设备具有陀螺仪防抖设置选项。</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val="en-US" w:eastAsia="zh-CN"/>
              </w:rPr>
              <w:framePr w:vAnchor="text" w:hAnchor="page" w:x="1609" w:y="435"/>
            </w:pPr>
            <w:r>
              <w:rPr>
                <w:rFonts w:hint="eastAsia" w:ascii="宋体" w:hAnsi="宋体"/>
                <w:szCs w:val="21"/>
                <w:lang w:val="en-US" w:eastAsia="zh-CN"/>
              </w:rPr>
              <w:t xml:space="preserve">4</w:t>
            </w:r>
            <w:r>
              <w:rPr>
                <w:rFonts w:hint="eastAsia" w:ascii="宋体" w:hAnsi="宋体" w:eastAsia="宋体"/>
                <w:szCs w:val="21"/>
                <w:lang w:val="en-US" w:eastAsia="zh-CN"/>
              </w:rPr>
            </w:r>
            <w:r/>
          </w:p>
        </w:tc>
        <w:tc>
          <w:tcPr>
            <w:tcW w:w="1762" w:type="dxa"/>
            <w:vAlign w:val="center"/>
            <w:vMerge w:val="restart"/>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cs="宋体"/>
                <w:b w:val="0"/>
                <w:bCs w:val="0"/>
                <w:color w:val="000000"/>
                <w:szCs w:val="21"/>
              </w:rPr>
              <w:t xml:space="preserve">超声波+微波组合式交调设备</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▲11）每个车道应安装至少两个超声波传感器，用以防止出现漏车现象，且同车道的两个传感器可由用户在2米范围内自行设置并可进行微调；</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hint="eastAsia" w:ascii="宋体" w:hAnsi="宋体" w:eastAsia="宋体"/>
                <w:szCs w:val="21"/>
                <w:lang w:val="en-US" w:eastAsia="zh-CN"/>
              </w:rPr>
              <w:framePr w:vAnchor="text" w:hAnchor="page" w:x="1609" w:y="435"/>
            </w:pPr>
            <w:r>
              <w:rPr>
                <w:rFonts w:hint="eastAsia" w:ascii="宋体" w:hAnsi="宋体"/>
                <w:szCs w:val="21"/>
                <w:lang w:val="en-US" w:eastAsia="zh-CN"/>
              </w:rPr>
              <w:t xml:space="preserve">5</w:t>
            </w:r>
            <w:r>
              <w:rPr>
                <w:rFonts w:hint="eastAsia" w:ascii="宋体" w:hAnsi="宋体" w:eastAsia="宋体"/>
                <w:szCs w:val="21"/>
                <w:lang w:val="en-US" w:eastAsia="zh-CN"/>
              </w:rPr>
            </w:r>
            <w:r/>
          </w:p>
        </w:tc>
        <w:tc>
          <w:tcPr>
            <w:tcW w:w="1762" w:type="dxa"/>
            <w:vAlign w:val="center"/>
            <w:vMerge w:val="continue"/>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▲17）微波传感器应为模块化一体式（单体）设计，内置微波双波束收发器；</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ascii="宋体" w:hAnsi="宋体"/>
                <w:szCs w:val="21"/>
                <w:lang w:val="en-US" w:eastAsia="zh-CN"/>
              </w:rPr>
              <w:framePr w:vAnchor="text" w:hAnchor="page" w:x="1609" w:y="435"/>
            </w:pPr>
            <w:r>
              <w:rPr>
                <w:rFonts w:hint="eastAsia" w:ascii="宋体" w:hAnsi="宋体"/>
                <w:szCs w:val="21"/>
                <w:lang w:val="en-US" w:eastAsia="zh-CN"/>
              </w:rPr>
              <w:t xml:space="preserve">6</w:t>
            </w:r>
            <w:r>
              <w:rPr>
                <w:rFonts w:ascii="宋体" w:hAnsi="宋体"/>
                <w:szCs w:val="21"/>
                <w:lang w:val="en-US" w:eastAsia="zh-CN"/>
              </w:rPr>
            </w:r>
            <w:r/>
          </w:p>
        </w:tc>
        <w:tc>
          <w:tcPr>
            <w:tcW w:w="1762" w:type="dxa"/>
            <w:vAlign w:val="center"/>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cs="宋体"/>
                <w:b w:val="0"/>
                <w:bCs w:val="0"/>
                <w:color w:val="000000"/>
                <w:szCs w:val="21"/>
              </w:rPr>
              <w:t xml:space="preserve">视频微波组合式交调设备</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▲16）微波传感器应为模块化一体式（单体）设计，内置微波双波束收发器；</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r>
        <w:trPr>
          <w:trHeight w:val="340"/>
        </w:trPr>
        <w:tc>
          <w:tcPr>
            <w:tcW w:w="572" w:type="dxa"/>
            <w:vAlign w:val="center"/>
            <w:textDirection w:val="lrTb"/>
            <w:noWrap w:val="false"/>
          </w:tcPr>
          <w:p>
            <w:pPr>
              <w:pStyle w:val="925"/>
              <w:jc w:val="center"/>
              <w:rPr>
                <w:rFonts w:ascii="宋体" w:hAnsi="宋体"/>
                <w:szCs w:val="21"/>
                <w:lang w:val="en-US" w:eastAsia="zh-CN"/>
              </w:rPr>
              <w:framePr w:vAnchor="text" w:hAnchor="page" w:x="1609" w:y="435"/>
            </w:pPr>
            <w:r>
              <w:rPr>
                <w:rFonts w:hint="eastAsia" w:ascii="宋体" w:hAnsi="宋体"/>
                <w:szCs w:val="21"/>
                <w:lang w:val="en-US" w:eastAsia="zh-CN"/>
              </w:rPr>
              <w:t xml:space="preserve">7</w:t>
            </w:r>
            <w:r>
              <w:rPr>
                <w:rFonts w:ascii="宋体" w:hAnsi="宋体"/>
                <w:szCs w:val="21"/>
                <w:lang w:val="en-US" w:eastAsia="zh-CN"/>
              </w:rPr>
            </w:r>
            <w:r/>
          </w:p>
        </w:tc>
        <w:tc>
          <w:tcPr>
            <w:tcW w:w="1762" w:type="dxa"/>
            <w:vAlign w:val="center"/>
            <w:textDirection w:val="lrTb"/>
            <w:noWrap w:val="false"/>
          </w:tcPr>
          <w:p>
            <w:pPr>
              <w:pStyle w:val="925"/>
              <w:jc w:val="center"/>
              <w:rPr>
                <w:rFonts w:hint="eastAsia" w:ascii="宋体" w:hAnsi="宋体"/>
                <w:b w:val="0"/>
                <w:bCs w:val="0"/>
                <w:szCs w:val="24"/>
              </w:rPr>
              <w:framePr w:vAnchor="text" w:hAnchor="page" w:x="1609" w:y="435"/>
            </w:pPr>
            <w:r>
              <w:rPr>
                <w:rFonts w:hint="eastAsia" w:ascii="宋体" w:hAnsi="宋体"/>
                <w:b w:val="0"/>
                <w:bCs w:val="0"/>
                <w:szCs w:val="24"/>
              </w:rPr>
              <w:t xml:space="preserve">环保卡口抓拍单元</w:t>
            </w:r>
            <w:r>
              <w:rPr>
                <w:rFonts w:hint="eastAsia" w:ascii="宋体" w:hAnsi="宋体"/>
                <w:b w:val="0"/>
                <w:bCs w:val="0"/>
                <w:szCs w:val="24"/>
              </w:rPr>
            </w:r>
            <w:r/>
          </w:p>
        </w:tc>
        <w:tc>
          <w:tcPr>
            <w:tcW w:w="7117" w:type="dxa"/>
            <w:vAlign w:val="center"/>
            <w:textDirection w:val="lrTb"/>
            <w:noWrap w:val="false"/>
          </w:tcPr>
          <w:p>
            <w:pPr>
              <w:pStyle w:val="925"/>
              <w:jc w:val="left"/>
              <w:rPr>
                <w:rFonts w:hint="eastAsia" w:ascii="宋体" w:hAnsi="宋体" w:eastAsia="宋体" w:cs="宋体"/>
                <w:szCs w:val="21"/>
              </w:rPr>
              <w:framePr w:vAnchor="text" w:hAnchor="page" w:x="1609" w:y="435"/>
            </w:pPr>
            <w:r>
              <w:rPr>
                <w:rFonts w:hint="eastAsia" w:ascii="宋体" w:hAnsi="宋体" w:eastAsia="宋体" w:cs="宋体"/>
                <w:szCs w:val="21"/>
              </w:rPr>
              <w:t xml:space="preserve">▲4）双路sensor图像融合功能室外试验：设备的镜头和两个 sensor 一体化设计，具有独立三角分光棱镜分光结构装置，分别接收可见光和红外光；抓拍支持输出三张同时刻同目标图片，包括可见光路图片(全彩)、红外路图片(黑白)和融合图片(全彩)，三张图片抓拍时间为同一时刻,抓拍运动目标，三张图片中目标位置相同无位移。支持同时预览两路sensor视频，设备场景中放置红外LED常亮灯，朝向摄像机镜头，可见光路视频图像中补光灯灯珠完全无光，同时红外路视频图像补光灯可清晰看到灯珠亮光。</w:t>
            </w:r>
            <w:r>
              <w:rPr>
                <w:rFonts w:hint="eastAsia" w:ascii="宋体" w:hAnsi="宋体" w:eastAsia="宋体" w:cs="宋体"/>
                <w:szCs w:val="21"/>
                <w:lang w:eastAsia="zh-CN"/>
              </w:rPr>
              <w:t xml:space="preserve">（</w:t>
            </w:r>
            <w:r>
              <w:rPr>
                <w:rFonts w:hint="eastAsia" w:ascii="宋体" w:hAnsi="宋体" w:eastAsia="宋体" w:cs="宋体"/>
                <w:szCs w:val="21"/>
              </w:rPr>
              <w:t xml:space="preserve">提供国家权威检测机构的检验检测报告(复印件加盖原厂公章）</w:t>
            </w:r>
            <w:r>
              <w:rPr>
                <w:rFonts w:hint="eastAsia" w:ascii="宋体" w:hAnsi="宋体" w:eastAsia="宋体" w:cs="宋体"/>
                <w:szCs w:val="21"/>
                <w:lang w:eastAsia="zh-CN"/>
              </w:rPr>
              <w:t xml:space="preserve">）</w:t>
            </w:r>
            <w:r>
              <w:rPr>
                <w:rFonts w:hint="eastAsia" w:ascii="宋体" w:hAnsi="宋体" w:eastAsia="宋体" w:cs="宋体"/>
                <w:szCs w:val="21"/>
              </w:rPr>
            </w:r>
            <w:r/>
          </w:p>
        </w:tc>
      </w:tr>
    </w:tbl>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t xml:space="preserve">注：证明材料附在本表后。</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Microsoft JhengHei Light">
    <w:panose1 w:val="020B0304030504040204"/>
  </w:font>
  <w:font w:name="SimSun">
    <w:panose1 w:val="02010600030101010101"/>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center" w:y="1"/>
    </w:pPr>
    <w:r>
      <w:fldChar w:fldCharType="begin"/>
    </w:r>
    <w:r>
      <w:rPr>
        <w:rStyle w:val="997"/>
      </w:rPr>
      <w:instrText xml:space="preserve">PAGE  </w:instrText>
    </w:r>
    <w:r>
      <w:fldChar w:fldCharType="end"/>
    </w:r>
    <w:r>
      <w:rPr>
        <w:rStyle w:val="997"/>
      </w:rPr>
    </w:r>
    <w:r/>
  </w:p>
  <w:p>
    <w:pPr>
      <w:pStyle w:val="97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end"/>
    </w:r>
    <w:r>
      <w:rPr>
        <w:rStyle w:val="997"/>
      </w:rPr>
    </w:r>
    <w:r/>
  </w:p>
  <w:p>
    <w:pPr>
      <w:pStyle w:val="97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Pr>
    <w:r>
      <w:rPr>
        <w:rFonts w:hint="eastAsia" w:ascii="宋体" w:hAnsi="宋体"/>
        <w:bCs/>
        <w:color w:val="000000"/>
        <w:szCs w:val="21"/>
      </w:rPr>
      <w:t xml:space="preserve">2026年常州市普通国省道路网运行监测设施及桥梁视频监控建设工程施工项目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Bdr>
        <w:bottom w:val="single" w:color="000000" w:sz="4" w:space="1"/>
      </w:pBdr>
    </w:pPr>
    <w:r>
      <w:rPr>
        <w:rFonts w:hint="eastAsia" w:ascii="宋体" w:hAnsi="宋体"/>
        <w:bCs/>
        <w:color w:val="000000"/>
        <w:szCs w:val="21"/>
      </w:rPr>
      <w:t xml:space="preserve">2026年常州市普通国省道路网运行监测设施及桥梁视频监控建设工程施工项目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5"/>
        <w:ind w:left="4941" w:hanging="1140"/>
        <w:tabs>
          <w:tab w:val="num" w:pos="4941" w:leader="none"/>
        </w:tabs>
      </w:pPr>
      <w:rPr>
        <w:rFonts w:hint="eastAsia"/>
      </w:rPr>
    </w:lvl>
    <w:lvl w:ilvl="1">
      <w:start w:val="1"/>
      <w:numFmt w:val="lowerLetter"/>
      <w:isLgl w:val="false"/>
      <w:suff w:val="tab"/>
      <w:lvlText w:val="%2)"/>
      <w:lvlJc w:val="left"/>
      <w:pPr>
        <w:pStyle w:val="925"/>
        <w:ind w:left="4641" w:hanging="420"/>
        <w:tabs>
          <w:tab w:val="num" w:pos="4641" w:leader="none"/>
        </w:tabs>
      </w:pPr>
    </w:lvl>
    <w:lvl w:ilvl="2">
      <w:start w:val="1"/>
      <w:numFmt w:val="lowerRoman"/>
      <w:isLgl w:val="false"/>
      <w:suff w:val="tab"/>
      <w:lvlText w:val="%3."/>
      <w:lvlJc w:val="right"/>
      <w:pPr>
        <w:pStyle w:val="925"/>
        <w:ind w:left="5061" w:hanging="420"/>
        <w:tabs>
          <w:tab w:val="num" w:pos="5061" w:leader="none"/>
        </w:tabs>
      </w:pPr>
    </w:lvl>
    <w:lvl w:ilvl="3">
      <w:start w:val="1"/>
      <w:numFmt w:val="decimal"/>
      <w:isLgl w:val="false"/>
      <w:suff w:val="tab"/>
      <w:lvlText w:val="%4."/>
      <w:lvlJc w:val="left"/>
      <w:pPr>
        <w:pStyle w:val="925"/>
        <w:ind w:left="5481" w:hanging="420"/>
        <w:tabs>
          <w:tab w:val="num" w:pos="5481" w:leader="none"/>
        </w:tabs>
      </w:pPr>
    </w:lvl>
    <w:lvl w:ilvl="4">
      <w:start w:val="1"/>
      <w:numFmt w:val="lowerLetter"/>
      <w:isLgl w:val="false"/>
      <w:suff w:val="tab"/>
      <w:lvlText w:val="%5)"/>
      <w:lvlJc w:val="left"/>
      <w:pPr>
        <w:pStyle w:val="925"/>
        <w:ind w:left="5901" w:hanging="420"/>
        <w:tabs>
          <w:tab w:val="num" w:pos="5901" w:leader="none"/>
        </w:tabs>
      </w:pPr>
    </w:lvl>
    <w:lvl w:ilvl="5">
      <w:start w:val="1"/>
      <w:numFmt w:val="lowerRoman"/>
      <w:isLgl w:val="false"/>
      <w:suff w:val="tab"/>
      <w:lvlText w:val="%6."/>
      <w:lvlJc w:val="right"/>
      <w:pPr>
        <w:pStyle w:val="925"/>
        <w:ind w:left="6321" w:hanging="420"/>
        <w:tabs>
          <w:tab w:val="num" w:pos="6321" w:leader="none"/>
        </w:tabs>
      </w:pPr>
    </w:lvl>
    <w:lvl w:ilvl="6">
      <w:start w:val="1"/>
      <w:numFmt w:val="decimal"/>
      <w:isLgl w:val="false"/>
      <w:suff w:val="tab"/>
      <w:lvlText w:val="%7."/>
      <w:lvlJc w:val="left"/>
      <w:pPr>
        <w:pStyle w:val="925"/>
        <w:ind w:left="6741" w:hanging="420"/>
        <w:tabs>
          <w:tab w:val="num" w:pos="6741" w:leader="none"/>
        </w:tabs>
      </w:pPr>
    </w:lvl>
    <w:lvl w:ilvl="7">
      <w:start w:val="1"/>
      <w:numFmt w:val="lowerLetter"/>
      <w:isLgl w:val="false"/>
      <w:suff w:val="tab"/>
      <w:lvlText w:val="%8)"/>
      <w:lvlJc w:val="left"/>
      <w:pPr>
        <w:pStyle w:val="925"/>
        <w:ind w:left="7161" w:hanging="420"/>
        <w:tabs>
          <w:tab w:val="num" w:pos="7161" w:leader="none"/>
        </w:tabs>
      </w:pPr>
    </w:lvl>
    <w:lvl w:ilvl="8">
      <w:start w:val="1"/>
      <w:numFmt w:val="lowerRoman"/>
      <w:isLgl w:val="false"/>
      <w:suff w:val="tab"/>
      <w:lvlText w:val="%9."/>
      <w:lvlJc w:val="right"/>
      <w:pPr>
        <w:pStyle w:val="925"/>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3">
    <w:multiLevelType w:val="hybridMultilevel"/>
    <w:lvl w:ilvl="0">
      <w:start w:val="4"/>
      <w:numFmt w:val="chineseCounting"/>
      <w:isLgl w:val="false"/>
      <w:suff w:val="space"/>
      <w:lvlText w:val="第%1章"/>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qFormat/>
    <w:pPr>
      <w:jc w:val="center"/>
      <w:keepLines/>
      <w:keepNext/>
      <w:spacing w:before="240" w:after="120" w:line="300" w:lineRule="auto"/>
      <w:outlineLvl w:val="0"/>
    </w:pPr>
    <w:rPr>
      <w:rFonts w:ascii="宋体"/>
      <w:b/>
      <w:sz w:val="32"/>
      <w:szCs w:val="20"/>
    </w:rPr>
  </w:style>
  <w:style w:type="paragraph" w:styleId="927">
    <w:name w:val="标题 2"/>
    <w:basedOn w:val="925"/>
    <w:next w:val="939"/>
    <w:link w:val="938"/>
    <w:qFormat/>
    <w:pPr>
      <w:jc w:val="center"/>
      <w:keepLines/>
      <w:keepNext/>
      <w:spacing w:before="120" w:line="300" w:lineRule="auto"/>
      <w:outlineLvl w:val="1"/>
    </w:pPr>
    <w:rPr>
      <w:rFonts w:ascii="Arial" w:hAnsi="Arial" w:eastAsia="黑体"/>
      <w:b/>
      <w:sz w:val="30"/>
      <w:szCs w:val="20"/>
    </w:rPr>
  </w:style>
  <w:style w:type="paragraph" w:styleId="928">
    <w:name w:val="标题 3"/>
    <w:basedOn w:val="925"/>
    <w:next w:val="939"/>
    <w:link w:val="941"/>
    <w:qFormat/>
    <w:pPr>
      <w:jc w:val="left"/>
      <w:keepLines/>
      <w:keepNext/>
      <w:spacing w:before="360" w:after="120"/>
      <w:outlineLvl w:val="2"/>
    </w:pPr>
    <w:rPr>
      <w:rFonts w:ascii="宋体"/>
      <w:b/>
      <w:sz w:val="24"/>
      <w:szCs w:val="20"/>
      <w:u w:val="single"/>
    </w:rPr>
  </w:style>
  <w:style w:type="paragraph" w:styleId="929">
    <w:name w:val="标题 4"/>
    <w:basedOn w:val="925"/>
    <w:next w:val="925"/>
    <w:link w:val="942"/>
    <w:qFormat/>
    <w:pPr>
      <w:keepLines/>
      <w:keepNext/>
      <w:spacing w:before="280" w:after="290" w:line="376" w:lineRule="atLeast"/>
      <w:outlineLvl w:val="3"/>
    </w:pPr>
    <w:rPr>
      <w:rFonts w:ascii="Arial" w:hAnsi="Arial" w:eastAsia="黑体"/>
      <w:b/>
      <w:sz w:val="28"/>
      <w:szCs w:val="20"/>
    </w:rPr>
  </w:style>
  <w:style w:type="paragraph" w:styleId="930">
    <w:name w:val="标题 5"/>
    <w:basedOn w:val="925"/>
    <w:next w:val="925"/>
    <w:link w:val="943"/>
    <w:qFormat/>
    <w:pPr>
      <w:keepLines/>
      <w:keepNext/>
      <w:spacing w:before="280" w:after="290" w:line="376" w:lineRule="atLeast"/>
      <w:outlineLvl w:val="4"/>
    </w:pPr>
    <w:rPr>
      <w:b/>
      <w:sz w:val="28"/>
      <w:szCs w:val="20"/>
    </w:rPr>
  </w:style>
  <w:style w:type="paragraph" w:styleId="931">
    <w:name w:val="标题 6"/>
    <w:basedOn w:val="925"/>
    <w:next w:val="925"/>
    <w:link w:val="944"/>
    <w:qFormat/>
    <w:pPr>
      <w:keepLines/>
      <w:keepNext/>
      <w:spacing w:before="240" w:after="64" w:line="320" w:lineRule="atLeast"/>
      <w:outlineLvl w:val="5"/>
    </w:pPr>
    <w:rPr>
      <w:rFonts w:ascii="Arial" w:hAnsi="Arial" w:eastAsia="黑体"/>
      <w:b/>
      <w:sz w:val="24"/>
      <w:szCs w:val="20"/>
    </w:rPr>
  </w:style>
  <w:style w:type="paragraph" w:styleId="932">
    <w:name w:val="标题 7"/>
    <w:basedOn w:val="925"/>
    <w:next w:val="925"/>
    <w:link w:val="945"/>
    <w:qFormat/>
    <w:pPr>
      <w:keepLines/>
      <w:keepNext/>
      <w:spacing w:before="240" w:after="64" w:line="320" w:lineRule="atLeast"/>
      <w:outlineLvl w:val="6"/>
    </w:pPr>
    <w:rPr>
      <w:b/>
      <w:sz w:val="24"/>
      <w:szCs w:val="20"/>
    </w:rPr>
  </w:style>
  <w:style w:type="paragraph" w:styleId="933">
    <w:name w:val="标题 8"/>
    <w:basedOn w:val="925"/>
    <w:next w:val="925"/>
    <w:link w:val="946"/>
    <w:qFormat/>
    <w:pPr>
      <w:keepLines/>
      <w:keepNext/>
      <w:spacing w:before="240" w:after="64" w:line="320" w:lineRule="atLeast"/>
      <w:outlineLvl w:val="7"/>
    </w:pPr>
    <w:rPr>
      <w:rFonts w:ascii="Arial" w:hAnsi="Arial" w:eastAsia="黑体"/>
      <w:sz w:val="24"/>
      <w:szCs w:val="20"/>
    </w:rPr>
  </w:style>
  <w:style w:type="paragraph" w:styleId="934">
    <w:name w:val="标题 9"/>
    <w:basedOn w:val="925"/>
    <w:next w:val="925"/>
    <w:link w:val="947"/>
    <w:qFormat/>
    <w:pPr>
      <w:keepLines/>
      <w:keepNext/>
      <w:spacing w:before="240" w:after="64" w:line="320" w:lineRule="atLeast"/>
      <w:outlineLvl w:val="8"/>
    </w:pPr>
    <w:rPr>
      <w:rFonts w:ascii="Arial" w:hAnsi="Arial" w:eastAsia="黑体"/>
      <w:szCs w:val="20"/>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Char"/>
    <w:next w:val="937"/>
    <w:link w:val="926"/>
    <w:qFormat/>
    <w:rPr>
      <w:rFonts w:ascii="宋体"/>
      <w:b/>
      <w:sz w:val="32"/>
    </w:rPr>
  </w:style>
  <w:style w:type="character" w:styleId="938">
    <w:name w:val="标题 2 Char1"/>
    <w:next w:val="938"/>
    <w:link w:val="927"/>
    <w:qFormat/>
    <w:rPr>
      <w:rFonts w:ascii="Arial" w:hAnsi="Arial" w:eastAsia="黑体"/>
      <w:b/>
      <w:sz w:val="30"/>
      <w:lang w:val="en-US" w:eastAsia="zh-CN" w:bidi="ar-SA"/>
    </w:rPr>
  </w:style>
  <w:style w:type="paragraph" w:styleId="939">
    <w:name w:val="正文缩进"/>
    <w:basedOn w:val="925"/>
    <w:next w:val="939"/>
    <w:link w:val="940"/>
    <w:qFormat/>
    <w:pPr>
      <w:ind w:firstLine="420"/>
      <w:jc w:val="left"/>
    </w:pPr>
    <w:rPr>
      <w:rFonts w:ascii="宋体"/>
      <w:sz w:val="24"/>
    </w:rPr>
  </w:style>
  <w:style w:type="character" w:styleId="940">
    <w:name w:val="正文缩进 Char1"/>
    <w:next w:val="940"/>
    <w:link w:val="939"/>
    <w:qFormat/>
    <w:rPr>
      <w:rFonts w:ascii="宋体" w:eastAsia="宋体"/>
      <w:sz w:val="24"/>
      <w:szCs w:val="24"/>
      <w:lang w:val="en-US" w:eastAsia="zh-CN" w:bidi="ar-SA"/>
    </w:rPr>
  </w:style>
  <w:style w:type="character" w:styleId="941">
    <w:name w:val="标题 3 Char1"/>
    <w:next w:val="941"/>
    <w:link w:val="928"/>
    <w:qFormat/>
    <w:rPr>
      <w:rFonts w:ascii="宋体" w:eastAsia="宋体"/>
      <w:b/>
      <w:sz w:val="24"/>
      <w:u w:val="single"/>
      <w:lang w:val="en-US" w:eastAsia="zh-CN" w:bidi="ar-SA"/>
    </w:rPr>
  </w:style>
  <w:style w:type="character" w:styleId="942">
    <w:name w:val="标题 4 Char"/>
    <w:next w:val="942"/>
    <w:link w:val="929"/>
    <w:qFormat/>
    <w:rPr>
      <w:rFonts w:ascii="Arial" w:hAnsi="Arial" w:eastAsia="黑体"/>
      <w:b/>
      <w:sz w:val="28"/>
    </w:rPr>
  </w:style>
  <w:style w:type="character" w:styleId="943">
    <w:name w:val="标题 5 Char"/>
    <w:next w:val="943"/>
    <w:link w:val="930"/>
    <w:qFormat/>
    <w:rPr>
      <w:b/>
      <w:sz w:val="28"/>
    </w:rPr>
  </w:style>
  <w:style w:type="character" w:styleId="944">
    <w:name w:val="标题 6 Char"/>
    <w:next w:val="944"/>
    <w:link w:val="931"/>
    <w:qFormat/>
    <w:rPr>
      <w:rFonts w:ascii="Arial" w:hAnsi="Arial" w:eastAsia="黑体"/>
      <w:b/>
      <w:sz w:val="24"/>
    </w:rPr>
  </w:style>
  <w:style w:type="character" w:styleId="945">
    <w:name w:val="标题 7 Char"/>
    <w:next w:val="945"/>
    <w:link w:val="932"/>
    <w:qFormat/>
    <w:rPr>
      <w:b/>
      <w:sz w:val="24"/>
    </w:rPr>
  </w:style>
  <w:style w:type="character" w:styleId="946">
    <w:name w:val="标题 8 Char"/>
    <w:next w:val="946"/>
    <w:link w:val="933"/>
    <w:qFormat/>
    <w:rPr>
      <w:rFonts w:ascii="Arial" w:hAnsi="Arial" w:eastAsia="黑体"/>
      <w:sz w:val="24"/>
    </w:rPr>
  </w:style>
  <w:style w:type="character" w:styleId="947">
    <w:name w:val="标题 9 Char"/>
    <w:next w:val="947"/>
    <w:link w:val="934"/>
    <w:qFormat/>
    <w:rPr>
      <w:rFonts w:ascii="Arial" w:hAnsi="Arial" w:eastAsia="黑体"/>
      <w:sz w:val="21"/>
    </w:rPr>
  </w:style>
  <w:style w:type="paragraph" w:styleId="948">
    <w:name w:val="目录 7"/>
    <w:basedOn w:val="925"/>
    <w:next w:val="925"/>
    <w:link w:val="925"/>
    <w:qFormat/>
    <w:pPr>
      <w:ind w:left="2520"/>
    </w:pPr>
  </w:style>
  <w:style w:type="paragraph" w:styleId="949">
    <w:name w:val="题注"/>
    <w:basedOn w:val="925"/>
    <w:next w:val="925"/>
    <w:link w:val="925"/>
    <w:qFormat/>
    <w:pPr>
      <w:spacing w:line="480" w:lineRule="auto"/>
    </w:pPr>
    <w:rPr>
      <w:rFonts w:ascii="华文中宋" w:hAnsi="华文中宋" w:eastAsia="华文中宋"/>
      <w:sz w:val="36"/>
      <w:szCs w:val="20"/>
    </w:rPr>
  </w:style>
  <w:style w:type="paragraph" w:styleId="950">
    <w:name w:val="文档结构图"/>
    <w:basedOn w:val="925"/>
    <w:next w:val="950"/>
    <w:link w:val="951"/>
    <w:qFormat/>
    <w:pPr>
      <w:shd w:val="clear" w:color="auto" w:fill="000080"/>
    </w:pPr>
  </w:style>
  <w:style w:type="character" w:styleId="951">
    <w:name w:val="文档结构图 Char"/>
    <w:next w:val="951"/>
    <w:link w:val="950"/>
    <w:qFormat/>
    <w:rPr>
      <w:sz w:val="21"/>
      <w:szCs w:val="24"/>
      <w:shd w:val="clear" w:color="auto" w:fill="000080"/>
    </w:rPr>
  </w:style>
  <w:style w:type="paragraph" w:styleId="952">
    <w:name w:val="批注文字"/>
    <w:basedOn w:val="925"/>
    <w:next w:val="952"/>
    <w:link w:val="953"/>
    <w:uiPriority w:val="99"/>
    <w:qFormat/>
    <w:pPr>
      <w:jc w:val="left"/>
    </w:pPr>
  </w:style>
  <w:style w:type="character" w:styleId="953">
    <w:name w:val="批注文字 Char1"/>
    <w:next w:val="953"/>
    <w:link w:val="952"/>
    <w:uiPriority w:val="99"/>
    <w:qFormat/>
    <w:rPr>
      <w:sz w:val="21"/>
      <w:szCs w:val="24"/>
    </w:rPr>
  </w:style>
  <w:style w:type="paragraph" w:styleId="954">
    <w:name w:val="正文文本 3"/>
    <w:basedOn w:val="925"/>
    <w:next w:val="954"/>
    <w:link w:val="955"/>
    <w:qFormat/>
    <w:pPr>
      <w:spacing w:after="120"/>
    </w:pPr>
    <w:rPr>
      <w:sz w:val="16"/>
      <w:szCs w:val="16"/>
    </w:rPr>
  </w:style>
  <w:style w:type="character" w:styleId="955">
    <w:name w:val="正文文本 3 Char"/>
    <w:next w:val="955"/>
    <w:link w:val="954"/>
    <w:qFormat/>
    <w:rPr>
      <w:sz w:val="16"/>
      <w:szCs w:val="16"/>
    </w:rPr>
  </w:style>
  <w:style w:type="paragraph" w:styleId="956">
    <w:name w:val="正文文本"/>
    <w:basedOn w:val="925"/>
    <w:next w:val="956"/>
    <w:link w:val="957"/>
    <w:qFormat/>
    <w:pPr>
      <w:spacing w:before="120" w:line="22" w:lineRule="atLeast"/>
      <w:tabs>
        <w:tab w:val="left" w:pos="567" w:leader="none"/>
      </w:tabs>
    </w:pPr>
    <w:rPr>
      <w:rFonts w:ascii="宋体" w:hAnsi="宋体"/>
      <w:sz w:val="24"/>
    </w:rPr>
  </w:style>
  <w:style w:type="character" w:styleId="957">
    <w:name w:val="正文文本 Char"/>
    <w:next w:val="957"/>
    <w:link w:val="956"/>
    <w:qFormat/>
    <w:rPr>
      <w:rFonts w:ascii="宋体" w:hAnsi="宋体"/>
      <w:sz w:val="24"/>
      <w:szCs w:val="24"/>
    </w:rPr>
  </w:style>
  <w:style w:type="paragraph" w:styleId="958">
    <w:name w:val="正文文本缩进"/>
    <w:basedOn w:val="925"/>
    <w:next w:val="958"/>
    <w:link w:val="959"/>
    <w:qFormat/>
    <w:pPr>
      <w:ind w:firstLine="570"/>
      <w:spacing w:line="360" w:lineRule="auto"/>
    </w:pPr>
    <w:rPr>
      <w:sz w:val="24"/>
    </w:rPr>
  </w:style>
  <w:style w:type="character" w:styleId="959">
    <w:name w:val="正文文本缩进 Char2"/>
    <w:next w:val="959"/>
    <w:link w:val="958"/>
    <w:qFormat/>
    <w:rPr>
      <w:rFonts w:eastAsia="宋体"/>
      <w:sz w:val="24"/>
      <w:szCs w:val="24"/>
      <w:lang w:val="en-US" w:eastAsia="zh-CN" w:bidi="ar-SA"/>
    </w:rPr>
  </w:style>
  <w:style w:type="paragraph" w:styleId="960">
    <w:name w:val="列表 2"/>
    <w:basedOn w:val="925"/>
    <w:next w:val="960"/>
    <w:link w:val="925"/>
    <w:qFormat/>
    <w:pPr>
      <w:ind w:left="100" w:hanging="200"/>
    </w:pPr>
  </w:style>
  <w:style w:type="paragraph" w:styleId="961">
    <w:name w:val="文本块"/>
    <w:basedOn w:val="925"/>
    <w:next w:val="961"/>
    <w:link w:val="925"/>
    <w:uiPriority w:val="99"/>
    <w:qFormat/>
    <w:pPr>
      <w:ind w:left="480" w:right="-341" w:firstLine="513"/>
      <w:widowControl/>
    </w:pPr>
    <w:rPr>
      <w:sz w:val="24"/>
      <w:szCs w:val="20"/>
    </w:rPr>
  </w:style>
  <w:style w:type="paragraph" w:styleId="962">
    <w:name w:val="目录 5"/>
    <w:basedOn w:val="925"/>
    <w:next w:val="925"/>
    <w:link w:val="925"/>
    <w:qFormat/>
    <w:pPr>
      <w:ind w:left="1680"/>
    </w:pPr>
  </w:style>
  <w:style w:type="paragraph" w:styleId="963">
    <w:name w:val="目录 3"/>
    <w:basedOn w:val="925"/>
    <w:next w:val="925"/>
    <w:link w:val="925"/>
    <w:uiPriority w:val="39"/>
    <w:qFormat/>
    <w:pPr>
      <w:ind w:left="840"/>
    </w:pPr>
  </w:style>
  <w:style w:type="paragraph" w:styleId="964">
    <w:name w:val="纯文本"/>
    <w:basedOn w:val="925"/>
    <w:next w:val="964"/>
    <w:link w:val="965"/>
    <w:qFormat/>
    <w:rPr>
      <w:rFonts w:hint="eastAsia" w:ascii="宋体" w:hAnsi="Courier New"/>
      <w:szCs w:val="20"/>
    </w:rPr>
  </w:style>
  <w:style w:type="character" w:styleId="965">
    <w:name w:val="纯文本 Char"/>
    <w:next w:val="965"/>
    <w:link w:val="964"/>
    <w:qFormat/>
    <w:rPr>
      <w:rFonts w:hint="eastAsia" w:ascii="宋体" w:hAnsi="Courier New" w:eastAsia="宋体" w:cs="宋体"/>
      <w:sz w:val="21"/>
    </w:rPr>
  </w:style>
  <w:style w:type="paragraph" w:styleId="966">
    <w:name w:val="目录 8"/>
    <w:basedOn w:val="925"/>
    <w:next w:val="925"/>
    <w:link w:val="925"/>
    <w:qFormat/>
    <w:pPr>
      <w:ind w:left="2940"/>
    </w:pPr>
  </w:style>
  <w:style w:type="paragraph" w:styleId="967">
    <w:name w:val="日期"/>
    <w:basedOn w:val="925"/>
    <w:next w:val="925"/>
    <w:link w:val="968"/>
    <w:qFormat/>
    <w:pPr>
      <w:ind w:left="100"/>
    </w:pPr>
    <w:rPr>
      <w:rFonts w:ascii="仿宋_GB2312" w:hAnsi="宋体" w:eastAsia="仿宋_GB2312"/>
      <w:color w:val="000000"/>
      <w:sz w:val="24"/>
    </w:rPr>
  </w:style>
  <w:style w:type="character" w:styleId="968">
    <w:name w:val="日期 Char"/>
    <w:next w:val="968"/>
    <w:link w:val="967"/>
    <w:qFormat/>
    <w:rPr>
      <w:rFonts w:ascii="仿宋_GB2312" w:hAnsi="宋体" w:eastAsia="仿宋_GB2312"/>
      <w:color w:val="000000"/>
      <w:sz w:val="24"/>
      <w:szCs w:val="24"/>
    </w:rPr>
  </w:style>
  <w:style w:type="paragraph" w:styleId="969">
    <w:name w:val="正文文本缩进 2"/>
    <w:basedOn w:val="925"/>
    <w:next w:val="969"/>
    <w:link w:val="970"/>
    <w:qFormat/>
    <w:pPr>
      <w:ind w:firstLine="480"/>
    </w:pPr>
    <w:rPr>
      <w:rFonts w:ascii="仿宋_GB2312" w:eastAsia="仿宋_GB2312"/>
      <w:sz w:val="24"/>
    </w:rPr>
  </w:style>
  <w:style w:type="character" w:styleId="970">
    <w:name w:val="正文文本缩进 2 Char"/>
    <w:next w:val="970"/>
    <w:link w:val="969"/>
    <w:qFormat/>
    <w:rPr>
      <w:rFonts w:ascii="仿宋_GB2312" w:eastAsia="仿宋_GB2312"/>
      <w:sz w:val="24"/>
      <w:szCs w:val="24"/>
    </w:rPr>
  </w:style>
  <w:style w:type="paragraph" w:styleId="971">
    <w:name w:val="批注框文本"/>
    <w:basedOn w:val="925"/>
    <w:next w:val="971"/>
    <w:link w:val="972"/>
    <w:qFormat/>
    <w:rPr>
      <w:sz w:val="18"/>
      <w:szCs w:val="18"/>
    </w:rPr>
  </w:style>
  <w:style w:type="character" w:styleId="972">
    <w:name w:val="批注框文本 Char"/>
    <w:next w:val="972"/>
    <w:link w:val="971"/>
    <w:qFormat/>
    <w:rPr>
      <w:sz w:val="18"/>
      <w:szCs w:val="18"/>
    </w:rPr>
  </w:style>
  <w:style w:type="paragraph" w:styleId="973">
    <w:name w:val="页脚"/>
    <w:basedOn w:val="925"/>
    <w:next w:val="973"/>
    <w:link w:val="974"/>
    <w:uiPriority w:val="99"/>
    <w:qFormat/>
    <w:pPr>
      <w:jc w:val="left"/>
      <w:tabs>
        <w:tab w:val="center" w:pos="4153" w:leader="none"/>
        <w:tab w:val="right" w:pos="8306" w:leader="none"/>
      </w:tabs>
    </w:pPr>
    <w:rPr>
      <w:rFonts w:ascii="宋体"/>
      <w:sz w:val="18"/>
      <w:szCs w:val="20"/>
    </w:rPr>
  </w:style>
  <w:style w:type="character" w:styleId="974">
    <w:name w:val="页脚 Char1"/>
    <w:next w:val="974"/>
    <w:link w:val="973"/>
    <w:uiPriority w:val="99"/>
    <w:qFormat/>
    <w:rPr>
      <w:rFonts w:ascii="宋体" w:eastAsia="宋体"/>
      <w:sz w:val="18"/>
      <w:lang w:val="en-US" w:eastAsia="zh-CN" w:bidi="ar-SA"/>
    </w:rPr>
  </w:style>
  <w:style w:type="paragraph" w:styleId="975">
    <w:name w:val="页眉"/>
    <w:basedOn w:val="925"/>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1"/>
    <w:next w:val="976"/>
    <w:link w:val="975"/>
    <w:qFormat/>
    <w:rPr>
      <w:rFonts w:eastAsia="宋体"/>
      <w:sz w:val="18"/>
      <w:szCs w:val="18"/>
      <w:lang w:val="en-US" w:eastAsia="zh-CN" w:bidi="ar-SA"/>
    </w:rPr>
  </w:style>
  <w:style w:type="paragraph" w:styleId="977">
    <w:name w:val="目录 1"/>
    <w:basedOn w:val="925"/>
    <w:next w:val="925"/>
    <w:link w:val="925"/>
    <w:uiPriority w:val="39"/>
    <w:qFormat/>
    <w:pPr>
      <w:spacing w:line="300" w:lineRule="auto"/>
      <w:tabs>
        <w:tab w:val="left" w:pos="1050" w:leader="none"/>
        <w:tab w:val="right" w:pos="8937" w:leader="dot"/>
      </w:tabs>
    </w:pPr>
    <w:rPr>
      <w:rFonts w:ascii="宋体" w:hAnsi="宋体"/>
      <w:b/>
      <w:sz w:val="24"/>
    </w:rPr>
  </w:style>
  <w:style w:type="paragraph" w:styleId="978">
    <w:name w:val="目录 4"/>
    <w:basedOn w:val="925"/>
    <w:next w:val="925"/>
    <w:link w:val="925"/>
    <w:qFormat/>
    <w:pPr>
      <w:ind w:left="1260"/>
    </w:pPr>
  </w:style>
  <w:style w:type="paragraph" w:styleId="979">
    <w:name w:val="目录 6"/>
    <w:basedOn w:val="925"/>
    <w:next w:val="925"/>
    <w:link w:val="925"/>
    <w:qFormat/>
    <w:pPr>
      <w:ind w:left="2100"/>
    </w:pPr>
  </w:style>
  <w:style w:type="paragraph" w:styleId="980">
    <w:name w:val="正文文本缩进 3"/>
    <w:basedOn w:val="925"/>
    <w:next w:val="980"/>
    <w:link w:val="981"/>
    <w:qFormat/>
    <w:pPr>
      <w:ind w:left="720" w:firstLine="480"/>
      <w:jc w:val="left"/>
      <w:spacing w:before="120" w:line="22" w:lineRule="atLeast"/>
    </w:pPr>
    <w:rPr>
      <w:rFonts w:ascii="宋体"/>
      <w:sz w:val="24"/>
      <w:szCs w:val="20"/>
    </w:rPr>
  </w:style>
  <w:style w:type="character" w:styleId="981">
    <w:name w:val="正文文本缩进 3 Char"/>
    <w:next w:val="981"/>
    <w:link w:val="980"/>
    <w:qFormat/>
    <w:rPr>
      <w:rFonts w:ascii="宋体"/>
      <w:sz w:val="24"/>
    </w:rPr>
  </w:style>
  <w:style w:type="paragraph" w:styleId="982">
    <w:name w:val="目录 2"/>
    <w:basedOn w:val="925"/>
    <w:next w:val="925"/>
    <w:link w:val="925"/>
    <w:uiPriority w:val="39"/>
    <w:qFormat/>
    <w:pPr>
      <w:ind w:left="420"/>
      <w:spacing w:line="312" w:lineRule="auto"/>
      <w:tabs>
        <w:tab w:val="right" w:pos="8937" w:leader="dot"/>
      </w:tabs>
    </w:pPr>
  </w:style>
  <w:style w:type="paragraph" w:styleId="983">
    <w:name w:val="目录 9"/>
    <w:basedOn w:val="925"/>
    <w:next w:val="925"/>
    <w:link w:val="925"/>
    <w:qFormat/>
    <w:pPr>
      <w:ind w:left="3360"/>
    </w:pPr>
  </w:style>
  <w:style w:type="paragraph" w:styleId="984">
    <w:name w:val="HTML 预设格式"/>
    <w:basedOn w:val="925"/>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5">
    <w:name w:val="HTML 预设格式 Char"/>
    <w:next w:val="985"/>
    <w:link w:val="984"/>
    <w:qFormat/>
    <w:rPr>
      <w:rFonts w:ascii="宋体" w:hAnsi="宋体" w:cs="宋体"/>
      <w:sz w:val="24"/>
      <w:szCs w:val="24"/>
    </w:rPr>
  </w:style>
  <w:style w:type="paragraph" w:styleId="986">
    <w:name w:val="普通(网站)"/>
    <w:basedOn w:val="925"/>
    <w:next w:val="986"/>
    <w:link w:val="925"/>
    <w:uiPriority w:val="99"/>
    <w:unhideWhenUsed/>
    <w:qFormat/>
    <w:pPr>
      <w:jc w:val="left"/>
      <w:spacing w:before="100" w:beforeAutospacing="1" w:after="100" w:afterAutospacing="1"/>
      <w:widowControl/>
    </w:pPr>
    <w:rPr>
      <w:rFonts w:ascii="宋体" w:hAnsi="宋体" w:cs="宋体"/>
      <w:sz w:val="24"/>
    </w:rPr>
  </w:style>
  <w:style w:type="paragraph" w:styleId="987">
    <w:name w:val="索引 1"/>
    <w:basedOn w:val="925"/>
    <w:next w:val="925"/>
    <w:link w:val="925"/>
    <w:qFormat/>
    <w:rPr>
      <w:szCs w:val="20"/>
    </w:rPr>
  </w:style>
  <w:style w:type="paragraph" w:styleId="988">
    <w:name w:val="标题"/>
    <w:basedOn w:val="925"/>
    <w:next w:val="988"/>
    <w:link w:val="989"/>
    <w:qFormat/>
    <w:pPr>
      <w:jc w:val="center"/>
      <w:outlineLvl w:val="0"/>
    </w:pPr>
    <w:rPr>
      <w:b/>
      <w:sz w:val="32"/>
      <w:szCs w:val="20"/>
    </w:rPr>
  </w:style>
  <w:style w:type="character" w:styleId="989">
    <w:name w:val="标题 Char1"/>
    <w:next w:val="989"/>
    <w:link w:val="988"/>
    <w:qFormat/>
    <w:rPr>
      <w:b/>
      <w:sz w:val="32"/>
    </w:rPr>
  </w:style>
  <w:style w:type="paragraph" w:styleId="990">
    <w:name w:val="批注主题"/>
    <w:basedOn w:val="952"/>
    <w:next w:val="952"/>
    <w:link w:val="991"/>
    <w:qFormat/>
    <w:rPr>
      <w:b/>
      <w:bCs/>
    </w:rPr>
  </w:style>
  <w:style w:type="character" w:styleId="991">
    <w:name w:val="批注主题 Char"/>
    <w:next w:val="991"/>
    <w:link w:val="990"/>
    <w:qFormat/>
    <w:rPr>
      <w:rFonts w:ascii="Times New Roman" w:hAnsi="Times New Roman" w:eastAsia="宋体" w:cs="Times New Roman"/>
      <w:b/>
      <w:bCs/>
      <w:sz w:val="21"/>
      <w:szCs w:val="24"/>
      <w:lang w:val="en-US" w:eastAsia="zh-CN" w:bidi="ar-SA"/>
    </w:rPr>
  </w:style>
  <w:style w:type="paragraph" w:styleId="992">
    <w:name w:val="正文首行缩进 2"/>
    <w:basedOn w:val="958"/>
    <w:next w:val="992"/>
    <w:link w:val="993"/>
    <w:qFormat/>
    <w:pPr>
      <w:ind w:left="420" w:firstLine="420"/>
      <w:spacing w:after="120" w:line="480" w:lineRule="exact"/>
    </w:pPr>
  </w:style>
  <w:style w:type="character" w:styleId="993">
    <w:name w:val="正文首行缩进 2 Char"/>
    <w:next w:val="993"/>
    <w:link w:val="992"/>
    <w:qFormat/>
    <w:rPr>
      <w:rFonts w:eastAsia="宋体"/>
      <w:sz w:val="24"/>
      <w:szCs w:val="24"/>
      <w:lang w:val="en-US" w:eastAsia="zh-CN" w:bidi="ar-SA"/>
    </w:rPr>
  </w:style>
  <w:style w:type="table" w:styleId="994">
    <w:name w:val="网格型"/>
    <w:basedOn w:val="936"/>
    <w:next w:val="994"/>
    <w:link w:val="925"/>
    <w:qFormat/>
    <w:tblPr/>
  </w:style>
  <w:style w:type="table" w:styleId="995">
    <w:name w:val="中等深浅网格 1 - 强调文字颜色 2"/>
    <w:basedOn w:val="936"/>
    <w:next w:val="995"/>
    <w:link w:val="925"/>
    <w:qFormat/>
    <w:rPr>
      <w:sz w:val="21"/>
      <w:szCs w:val="24"/>
    </w:rPr>
    <w:tblPr/>
  </w:style>
  <w:style w:type="character" w:styleId="996">
    <w:name w:val="要点"/>
    <w:next w:val="996"/>
    <w:link w:val="925"/>
    <w:qFormat/>
    <w:rPr>
      <w:b/>
      <w:bCs/>
    </w:rPr>
  </w:style>
  <w:style w:type="character" w:styleId="997">
    <w:name w:val="页码"/>
    <w:next w:val="997"/>
    <w:link w:val="925"/>
    <w:qFormat/>
  </w:style>
  <w:style w:type="character" w:styleId="998">
    <w:name w:val="已访问的超链接"/>
    <w:next w:val="998"/>
    <w:link w:val="925"/>
    <w:uiPriority w:val="99"/>
    <w:qFormat/>
    <w:rPr>
      <w:color w:val="800080"/>
      <w:u w:val="single"/>
    </w:rPr>
  </w:style>
  <w:style w:type="character" w:styleId="999">
    <w:name w:val="强调"/>
    <w:next w:val="999"/>
    <w:link w:val="925"/>
    <w:qFormat/>
    <w:rPr>
      <w:color w:val="cc0033"/>
    </w:rPr>
  </w:style>
  <w:style w:type="character" w:styleId="1000">
    <w:name w:val="超链接"/>
    <w:next w:val="1000"/>
    <w:link w:val="925"/>
    <w:uiPriority w:val="99"/>
    <w:qFormat/>
    <w:rPr>
      <w:color w:val="0000ff"/>
      <w:u w:val="single"/>
    </w:rPr>
  </w:style>
  <w:style w:type="character" w:styleId="1001">
    <w:name w:val="批注引用"/>
    <w:next w:val="1001"/>
    <w:link w:val="925"/>
    <w:uiPriority w:val="99"/>
    <w:qFormat/>
    <w:rPr>
      <w:sz w:val="21"/>
      <w:szCs w:val="21"/>
    </w:rPr>
  </w:style>
  <w:style w:type="character" w:styleId="1002">
    <w:name w:val="HTML 引文"/>
    <w:next w:val="1002"/>
    <w:link w:val="925"/>
    <w:qFormat/>
    <w:rPr>
      <w:i/>
      <w:iCs/>
    </w:rPr>
  </w:style>
  <w:style w:type="character" w:styleId="1003">
    <w:name w:val="批注文字 字符"/>
    <w:next w:val="1003"/>
    <w:link w:val="925"/>
    <w:uiPriority w:val="99"/>
    <w:qFormat/>
    <w:rPr>
      <w:rFonts w:ascii="Times New Roman" w:hAnsi="Times New Roman" w:eastAsia="宋体" w:cs="Times New Roman"/>
      <w:sz w:val="24"/>
      <w:lang w:val="en-US" w:eastAsia="zh-CN" w:bidi="ar-SA"/>
    </w:rPr>
  </w:style>
  <w:style w:type="character" w:styleId="1004">
    <w:name w:val="c21"/>
    <w:next w:val="1004"/>
    <w:link w:val="925"/>
    <w:qFormat/>
    <w:rPr>
      <w:rFonts w:ascii="ˎ̥" w:hAnsi="ˎ̥"/>
      <w:color w:val="000000"/>
      <w:sz w:val="20"/>
      <w:szCs w:val="20"/>
      <w:u w:val="none"/>
    </w:rPr>
  </w:style>
  <w:style w:type="character" w:styleId="1005">
    <w:name w:val="title4"/>
    <w:next w:val="1005"/>
    <w:link w:val="925"/>
    <w:qFormat/>
    <w:rPr>
      <w:b/>
      <w:bCs/>
      <w:color w:val="1d87b3"/>
      <w:sz w:val="15"/>
      <w:szCs w:val="15"/>
    </w:rPr>
  </w:style>
  <w:style w:type="character" w:styleId="1006">
    <w:name w:val="标题 2 Char Char"/>
    <w:next w:val="1006"/>
    <w:link w:val="925"/>
    <w:qFormat/>
    <w:rPr>
      <w:rFonts w:ascii="Arial" w:hAnsi="Arial" w:eastAsia="黑体"/>
      <w:b/>
      <w:bCs/>
      <w:sz w:val="32"/>
      <w:szCs w:val="32"/>
      <w:lang w:val="en-US" w:eastAsia="zh-CN" w:bidi="ar-SA"/>
    </w:rPr>
  </w:style>
  <w:style w:type="character" w:styleId="1007">
    <w:name w:val="black1"/>
    <w:next w:val="1007"/>
    <w:link w:val="925"/>
    <w:qFormat/>
    <w:rPr>
      <w:color w:val="000000"/>
    </w:rPr>
  </w:style>
  <w:style w:type="character" w:styleId="1008">
    <w:name w:val="street-address"/>
    <w:next w:val="1008"/>
    <w:link w:val="925"/>
    <w:qFormat/>
  </w:style>
  <w:style w:type="character" w:styleId="1009">
    <w:name w:val="locality"/>
    <w:next w:val="1009"/>
    <w:link w:val="925"/>
    <w:qFormat/>
  </w:style>
  <w:style w:type="character" w:styleId="1010">
    <w:name w:val="正文文本缩进 Char1"/>
    <w:next w:val="1010"/>
    <w:link w:val="1011"/>
    <w:qFormat/>
    <w:rPr>
      <w:rFonts w:ascii="宋体" w:hAnsi="宋体" w:eastAsia="宋体"/>
      <w:sz w:val="24"/>
      <w:szCs w:val="24"/>
      <w:lang w:bidi="ar-SA"/>
    </w:rPr>
  </w:style>
  <w:style w:type="paragraph" w:styleId="1011">
    <w:name w:val="正文文本缩进1"/>
    <w:basedOn w:val="925"/>
    <w:next w:val="1011"/>
    <w:link w:val="1010"/>
    <w:qFormat/>
    <w:pPr>
      <w:ind w:firstLine="480"/>
      <w:spacing w:line="480" w:lineRule="exact"/>
    </w:pPr>
    <w:rPr>
      <w:rFonts w:ascii="宋体" w:hAnsi="宋体"/>
      <w:sz w:val="24"/>
    </w:rPr>
  </w:style>
  <w:style w:type="character" w:styleId="1012">
    <w:name w:val="Char Char11"/>
    <w:next w:val="1012"/>
    <w:link w:val="925"/>
    <w:qFormat/>
    <w:rPr>
      <w:rFonts w:ascii="宋体" w:eastAsia="宋体"/>
      <w:b/>
      <w:sz w:val="24"/>
      <w:u w:val="single"/>
      <w:lang w:val="en-US" w:eastAsia="zh-CN" w:bidi="ar-SA"/>
    </w:rPr>
  </w:style>
  <w:style w:type="character" w:styleId="1013">
    <w:name w:val="txt"/>
    <w:next w:val="1013"/>
    <w:link w:val="925"/>
    <w:qFormat/>
  </w:style>
  <w:style w:type="character" w:styleId="1014">
    <w:name w:val="正文缩进 Char Char"/>
    <w:next w:val="1014"/>
    <w:link w:val="1015"/>
    <w:qFormat/>
    <w:rPr>
      <w:rFonts w:ascii="宋体" w:eastAsia="宋体"/>
      <w:color w:val="000000"/>
      <w:sz w:val="28"/>
      <w:lang w:bidi="ar-SA"/>
    </w:rPr>
  </w:style>
  <w:style w:type="paragraph" w:styleId="1015">
    <w:name w:val="正文缩进1"/>
    <w:basedOn w:val="925"/>
    <w:next w:val="1015"/>
    <w:link w:val="1014"/>
    <w:qFormat/>
    <w:pPr>
      <w:ind w:firstLine="567"/>
      <w:spacing w:line="480" w:lineRule="exact"/>
      <w:widowControl/>
    </w:pPr>
    <w:rPr>
      <w:rFonts w:ascii="宋体"/>
      <w:color w:val="000000"/>
      <w:sz w:val="28"/>
      <w:szCs w:val="20"/>
    </w:rPr>
  </w:style>
  <w:style w:type="character" w:styleId="1016">
    <w:name w:val="普通文字1 Char1"/>
    <w:next w:val="1016"/>
    <w:link w:val="925"/>
    <w:qFormat/>
    <w:rPr>
      <w:rFonts w:ascii="宋体" w:hAnsi="Courier New" w:eastAsia="宋体"/>
      <w:sz w:val="21"/>
      <w:lang w:val="en-US" w:eastAsia="zh-CN" w:bidi="ar-SA"/>
    </w:rPr>
  </w:style>
  <w:style w:type="character" w:styleId="1017">
    <w:name w:val="chanpin1"/>
    <w:next w:val="1017"/>
    <w:link w:val="925"/>
    <w:qFormat/>
    <w:rPr>
      <w:rFonts w:ascii="ˎ̥" w:hAnsi="ˎ̥"/>
      <w:color w:val="000000"/>
      <w:sz w:val="20"/>
      <w:szCs w:val="20"/>
      <w:u w:val="none"/>
    </w:rPr>
  </w:style>
  <w:style w:type="character" w:styleId="1018">
    <w:name w:val="列出段落 Char1"/>
    <w:next w:val="1018"/>
    <w:link w:val="1019"/>
    <w:uiPriority w:val="34"/>
    <w:qFormat/>
    <w:rPr>
      <w:rFonts w:ascii="Calibri" w:hAnsi="Calibri" w:eastAsia="宋体"/>
      <w:sz w:val="21"/>
      <w:szCs w:val="22"/>
      <w:lang w:val="en-US" w:eastAsia="zh-CN" w:bidi="ar-SA"/>
    </w:rPr>
  </w:style>
  <w:style w:type="paragraph" w:styleId="1019">
    <w:name w:val="列出段落"/>
    <w:basedOn w:val="925"/>
    <w:next w:val="1019"/>
    <w:link w:val="1018"/>
    <w:uiPriority w:val="34"/>
    <w:qFormat/>
    <w:pPr>
      <w:ind w:firstLine="420"/>
    </w:pPr>
    <w:rPr>
      <w:rFonts w:ascii="Calibri" w:hAnsi="Calibri"/>
      <w:szCs w:val="22"/>
    </w:rPr>
  </w:style>
  <w:style w:type="character" w:styleId="1020">
    <w:name w:val="标题 3 Char Char"/>
    <w:next w:val="1020"/>
    <w:link w:val="925"/>
    <w:qFormat/>
    <w:rPr>
      <w:rFonts w:eastAsia="宋体"/>
      <w:b/>
      <w:bCs/>
      <w:sz w:val="32"/>
      <w:szCs w:val="32"/>
      <w:lang w:val="en-US" w:eastAsia="zh-CN" w:bidi="ar-SA"/>
    </w:rPr>
  </w:style>
  <w:style w:type="character" w:styleId="1021">
    <w:name w:val="段1 Char"/>
    <w:next w:val="1021"/>
    <w:link w:val="925"/>
    <w:qFormat/>
    <w:rPr>
      <w:rFonts w:ascii="宋体" w:eastAsia="宋体"/>
      <w:sz w:val="24"/>
      <w:lang w:val="en-US" w:eastAsia="zh-CN" w:bidi="ar-SA"/>
    </w:rPr>
  </w:style>
  <w:style w:type="character" w:styleId="1022">
    <w:name w:val="chanpin拷贝"/>
    <w:next w:val="1022"/>
    <w:link w:val="925"/>
    <w:qFormat/>
  </w:style>
  <w:style w:type="character" w:styleId="1023">
    <w:name w:val="纯文本 Char1"/>
    <w:next w:val="1023"/>
    <w:link w:val="925"/>
    <w:qFormat/>
    <w:rPr>
      <w:rFonts w:ascii="宋体" w:hAnsi="Courier New" w:eastAsia="宋体"/>
      <w:sz w:val="21"/>
      <w:lang w:val="en-US" w:eastAsia="zh-CN" w:bidi="ar-SA"/>
    </w:rPr>
  </w:style>
  <w:style w:type="character" w:styleId="1024">
    <w:name w:val="apple-style-span"/>
    <w:next w:val="1024"/>
    <w:link w:val="925"/>
    <w:qFormat/>
    <w:rPr>
      <w:rFonts w:cs="Times New Roman"/>
    </w:rPr>
  </w:style>
  <w:style w:type="paragraph" w:styleId="1025">
    <w:name w:val="二级条标题"/>
    <w:basedOn w:val="1026"/>
    <w:next w:val="925"/>
    <w:link w:val="925"/>
    <w:qFormat/>
    <w:pPr>
      <w:numPr>
        <w:ilvl w:val="0"/>
        <w:numId w:val="0"/>
      </w:numPr>
      <w:ind w:hanging="840"/>
      <w:tabs>
        <w:tab w:val="left" w:pos="360" w:leader="none"/>
        <w:tab w:val="left" w:pos="840" w:leader="none"/>
      </w:tabs>
      <w:outlineLvl w:val="2"/>
    </w:pPr>
    <w:rPr>
      <w:rFonts w:ascii="宋体" w:eastAsia="宋体"/>
      <w:b w:val="0"/>
    </w:rPr>
  </w:style>
  <w:style w:type="paragraph" w:styleId="1026">
    <w:name w:val="一级条标题"/>
    <w:basedOn w:val="1027"/>
    <w:next w:val="925"/>
    <w:link w:val="925"/>
    <w:qFormat/>
    <w:pPr>
      <w:numPr>
        <w:ilvl w:val="0"/>
        <w:numId w:val="0"/>
      </w:numPr>
      <w:ind w:hanging="840"/>
      <w:tabs>
        <w:tab w:val="left" w:pos="360" w:leader="none"/>
        <w:tab w:val="left" w:pos="840" w:leader="none"/>
      </w:tabs>
      <w:outlineLvl w:val="1"/>
    </w:pPr>
  </w:style>
  <w:style w:type="paragraph" w:styleId="1027">
    <w:name w:val="章标题"/>
    <w:next w:val="925"/>
    <w:link w:val="925"/>
    <w:qFormat/>
    <w:pPr>
      <w:jc w:val="both"/>
      <w:spacing w:before="156" w:after="156" w:line="460" w:lineRule="exact"/>
      <w:outlineLvl w:val="0"/>
    </w:pPr>
    <w:rPr>
      <w:rFonts w:ascii="黑体" w:eastAsia="黑体"/>
      <w:b/>
      <w:sz w:val="28"/>
      <w:lang w:val="en-US" w:eastAsia="zh-CN" w:bidi="ar-SA"/>
    </w:rPr>
  </w:style>
  <w:style w:type="paragraph" w:styleId="1028">
    <w:name w:val="font7"/>
    <w:basedOn w:val="925"/>
    <w:next w:val="1028"/>
    <w:link w:val="925"/>
    <w:qFormat/>
    <w:pPr>
      <w:jc w:val="left"/>
      <w:spacing w:before="100" w:beforeAutospacing="1" w:after="100" w:afterAutospacing="1"/>
      <w:widowControl/>
    </w:pPr>
    <w:rPr>
      <w:rFonts w:eastAsia="Arial Unicode MS"/>
      <w:b/>
      <w:bCs/>
      <w:color w:val="000000"/>
      <w:sz w:val="20"/>
      <w:szCs w:val="20"/>
    </w:rPr>
  </w:style>
  <w:style w:type="paragraph" w:styleId="1029">
    <w:name w:val="字元 字元"/>
    <w:basedOn w:val="925"/>
    <w:next w:val="1029"/>
    <w:link w:val="925"/>
    <w:qFormat/>
    <w:rPr>
      <w:rFonts w:ascii="Tahoma" w:hAnsi="Tahoma"/>
      <w:sz w:val="24"/>
      <w:szCs w:val="20"/>
    </w:rPr>
  </w:style>
  <w:style w:type="paragraph" w:styleId="1030">
    <w:name w:val="Char3 Char Char Char"/>
    <w:basedOn w:val="925"/>
    <w:next w:val="1030"/>
    <w:link w:val="925"/>
    <w:qFormat/>
    <w:rPr>
      <w:rFonts w:ascii="Tahoma" w:hAnsi="Tahoma"/>
      <w:sz w:val="24"/>
      <w:szCs w:val="20"/>
    </w:rPr>
  </w:style>
  <w:style w:type="paragraph" w:styleId="1031">
    <w:name w:val="font6"/>
    <w:basedOn w:val="925"/>
    <w:next w:val="1031"/>
    <w:link w:val="925"/>
    <w:qFormat/>
    <w:pPr>
      <w:jc w:val="left"/>
      <w:spacing w:before="100" w:beforeAutospacing="1" w:after="100" w:afterAutospacing="1"/>
      <w:widowControl/>
    </w:pPr>
    <w:rPr>
      <w:rFonts w:ascii="宋体" w:hAnsi="宋体" w:cs="宋体"/>
      <w:sz w:val="20"/>
      <w:szCs w:val="20"/>
    </w:rPr>
  </w:style>
  <w:style w:type="paragraph" w:styleId="1032">
    <w:name w:val="项目编号2"/>
    <w:basedOn w:val="1033"/>
    <w:next w:val="1032"/>
    <w:link w:val="925"/>
    <w:qFormat/>
    <w:pPr>
      <w:numPr>
        <w:ilvl w:val="0"/>
        <w:numId w:val="0"/>
      </w:numPr>
      <w:ind w:left="420" w:hanging="420"/>
    </w:pPr>
  </w:style>
  <w:style w:type="paragraph" w:styleId="1033">
    <w:name w:val="项目编号1"/>
    <w:basedOn w:val="925"/>
    <w:next w:val="1033"/>
    <w:link w:val="925"/>
    <w:qFormat/>
    <w:pPr>
      <w:ind w:left="420" w:hanging="420"/>
      <w:spacing w:before="100" w:beforeAutospacing="1" w:after="100" w:afterAutospacing="1" w:line="360" w:lineRule="auto"/>
    </w:pPr>
    <w:rPr>
      <w:sz w:val="24"/>
    </w:rPr>
  </w:style>
  <w:style w:type="paragraph" w:styleId="1034">
    <w:name w:val="图中文字"/>
    <w:basedOn w:val="925"/>
    <w:next w:val="1034"/>
    <w:link w:val="925"/>
    <w:qFormat/>
    <w:pPr>
      <w:jc w:val="center"/>
      <w:spacing w:line="0" w:lineRule="atLeast"/>
    </w:pPr>
    <w:rPr>
      <w:sz w:val="24"/>
      <w:szCs w:val="20"/>
    </w:rPr>
  </w:style>
  <w:style w:type="paragraph" w:styleId="1035">
    <w:name w:val="xl46"/>
    <w:basedOn w:val="925"/>
    <w:next w:val="1035"/>
    <w:link w:val="9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xl25"/>
    <w:basedOn w:val="925"/>
    <w:next w:val="1036"/>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2"/>
    <w:basedOn w:val="925"/>
    <w:next w:val="1037"/>
    <w:link w:val="925"/>
    <w:qFormat/>
    <w:rPr>
      <w:rFonts w:ascii="Tahoma" w:hAnsi="Tahoma"/>
      <w:sz w:val="24"/>
      <w:szCs w:val="20"/>
    </w:rPr>
  </w:style>
  <w:style w:type="paragraph" w:styleId="1038">
    <w:name w:val="xl35"/>
    <w:basedOn w:val="925"/>
    <w:next w:val="1038"/>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xl40"/>
    <w:basedOn w:val="925"/>
    <w:next w:val="1039"/>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52"/>
    <w:basedOn w:val="925"/>
    <w:next w:val="104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1">
    <w:name w:val="xl43"/>
    <w:basedOn w:val="925"/>
    <w:next w:val="1041"/>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background1"/>
    <w:basedOn w:val="925"/>
    <w:next w:val="1042"/>
    <w:link w:val="925"/>
    <w:qFormat/>
    <w:pPr>
      <w:jc w:val="left"/>
      <w:spacing w:before="100" w:beforeAutospacing="1" w:after="100" w:afterAutospacing="1"/>
      <w:widowControl/>
    </w:pPr>
    <w:rPr>
      <w:rFonts w:ascii="宋体" w:hAnsi="宋体" w:cs="宋体"/>
      <w:sz w:val="24"/>
    </w:rPr>
  </w:style>
  <w:style w:type="paragraph" w:styleId="1043">
    <w:name w:val="Char Char Char Char Char Char Char"/>
    <w:basedOn w:val="925"/>
    <w:next w:val="1043"/>
    <w:link w:val="925"/>
    <w:qFormat/>
    <w:pPr>
      <w:ind w:firstLine="200"/>
      <w:spacing w:line="360" w:lineRule="auto"/>
    </w:pPr>
    <w:rPr>
      <w:rFonts w:eastAsia="仿宋_GB2312"/>
      <w:sz w:val="24"/>
    </w:rPr>
  </w:style>
  <w:style w:type="paragraph" w:styleId="1044">
    <w:name w:val="xl38"/>
    <w:basedOn w:val="925"/>
    <w:next w:val="104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5">
    <w:name w:val="xl36"/>
    <w:basedOn w:val="925"/>
    <w:next w:val="1045"/>
    <w:link w:val="9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正文 + 宋体"/>
    <w:basedOn w:val="925"/>
    <w:next w:val="1046"/>
    <w:link w:val="925"/>
    <w:qFormat/>
    <w:pPr>
      <w:ind w:left="360" w:hanging="360"/>
      <w:jc w:val="left"/>
      <w:widowControl/>
    </w:pPr>
    <w:rPr>
      <w:rFonts w:ascii="宋体" w:hAnsi="宋体" w:cs="宋体"/>
      <w:b/>
      <w:bCs/>
      <w:color w:val="000000"/>
      <w:sz w:val="18"/>
      <w:szCs w:val="18"/>
    </w:rPr>
  </w:style>
  <w:style w:type="paragraph" w:styleId="1047">
    <w:name w:val="正文列项_数字"/>
    <w:basedOn w:val="925"/>
    <w:next w:val="1047"/>
    <w:link w:val="925"/>
    <w:qFormat/>
    <w:pPr>
      <w:ind w:left="680" w:hanging="150"/>
      <w:spacing w:line="460" w:lineRule="exact"/>
      <w:outlineLvl w:val="7"/>
    </w:pPr>
    <w:rPr>
      <w:rFonts w:ascii="宋体"/>
      <w:sz w:val="28"/>
      <w:szCs w:val="20"/>
    </w:rPr>
  </w:style>
  <w:style w:type="paragraph" w:styleId="1048">
    <w:name w:val="xl39"/>
    <w:basedOn w:val="925"/>
    <w:next w:val="104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37"/>
    <w:basedOn w:val="925"/>
    <w:next w:val="1049"/>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32"/>
    <w:basedOn w:val="925"/>
    <w:next w:val="105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font8"/>
    <w:basedOn w:val="925"/>
    <w:next w:val="1051"/>
    <w:link w:val="925"/>
    <w:qFormat/>
    <w:pPr>
      <w:jc w:val="left"/>
      <w:spacing w:before="100" w:beforeAutospacing="1" w:after="100" w:afterAutospacing="1"/>
      <w:widowControl/>
    </w:pPr>
    <w:rPr>
      <w:sz w:val="36"/>
      <w:szCs w:val="36"/>
    </w:rPr>
  </w:style>
  <w:style w:type="paragraph" w:styleId="1052">
    <w:name w:val="Char"/>
    <w:basedOn w:val="925"/>
    <w:next w:val="1052"/>
    <w:link w:val="925"/>
    <w:qFormat/>
    <w:pPr>
      <w:tabs>
        <w:tab w:val="left" w:pos="360" w:leader="none"/>
      </w:tabs>
    </w:pPr>
    <w:rPr>
      <w:sz w:val="24"/>
    </w:rPr>
  </w:style>
  <w:style w:type="paragraph" w:styleId="1053">
    <w:name w:val="Char Char Char Char Char Char Char Char Char Char Char Char Char Char Char Char"/>
    <w:basedOn w:val="925"/>
    <w:next w:val="1053"/>
    <w:link w:val="925"/>
    <w:qFormat/>
    <w:pPr>
      <w:jc w:val="center"/>
      <w:spacing w:after="160" w:line="240" w:lineRule="exact"/>
      <w:widowControl/>
    </w:pPr>
    <w:rPr>
      <w:rFonts w:ascii="宋体" w:hAnsi="宋体"/>
      <w:b/>
      <w:sz w:val="30"/>
      <w:szCs w:val="30"/>
      <w:lang w:eastAsia="en-US"/>
    </w:rPr>
  </w:style>
  <w:style w:type="paragraph" w:styleId="1054">
    <w:name w:val="xl45"/>
    <w:basedOn w:val="925"/>
    <w:next w:val="1054"/>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Char Char1 Char Char Char Char Char Char"/>
    <w:basedOn w:val="925"/>
    <w:next w:val="1055"/>
    <w:link w:val="925"/>
    <w:qFormat/>
    <w:pPr>
      <w:jc w:val="left"/>
      <w:spacing w:after="160" w:line="240" w:lineRule="exact"/>
      <w:widowControl/>
    </w:pPr>
    <w:rPr>
      <w:rFonts w:ascii="Verdana" w:hAnsi="Verdana" w:eastAsia="仿宋_GB2312"/>
      <w:sz w:val="24"/>
      <w:szCs w:val="20"/>
      <w:lang w:eastAsia="en-US"/>
    </w:rPr>
  </w:style>
  <w:style w:type="paragraph" w:styleId="1056">
    <w:name w:val="Char Char1"/>
    <w:basedOn w:val="950"/>
    <w:next w:val="1056"/>
    <w:link w:val="925"/>
    <w:qFormat/>
    <w:rPr>
      <w:rFonts w:ascii="Tahoma" w:hAnsi="Tahoma"/>
      <w:sz w:val="24"/>
    </w:rPr>
  </w:style>
  <w:style w:type="paragraph" w:styleId="1057">
    <w:name w:val="xl26"/>
    <w:basedOn w:val="925"/>
    <w:next w:val="105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8">
    <w:name w:val="xl30"/>
    <w:basedOn w:val="925"/>
    <w:next w:val="105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1"/>
    <w:basedOn w:val="925"/>
    <w:next w:val="1059"/>
    <w:link w:val="9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样式 宋体 五号 行距: 单倍行距"/>
    <w:basedOn w:val="925"/>
    <w:next w:val="1060"/>
    <w:link w:val="925"/>
    <w:qFormat/>
    <w:pPr>
      <w:jc w:val="left"/>
    </w:pPr>
    <w:rPr>
      <w:rFonts w:ascii="宋体" w:hAnsi="宋体"/>
      <w:szCs w:val="20"/>
    </w:rPr>
  </w:style>
  <w:style w:type="paragraph" w:styleId="1061">
    <w:name w:val="Char1 Char Char Char1"/>
    <w:basedOn w:val="925"/>
    <w:next w:val="1061"/>
    <w:link w:val="925"/>
    <w:qFormat/>
    <w:rPr>
      <w:rFonts w:ascii="Tahoma" w:hAnsi="Tahoma" w:cs="仿宋_GB2312"/>
      <w:sz w:val="24"/>
      <w:szCs w:val="28"/>
    </w:rPr>
  </w:style>
  <w:style w:type="paragraph" w:styleId="1062">
    <w:name w:val="四级条标题"/>
    <w:basedOn w:val="1063"/>
    <w:next w:val="925"/>
    <w:link w:val="925"/>
    <w:qFormat/>
    <w:pPr>
      <w:numPr>
        <w:ilvl w:val="0"/>
        <w:numId w:val="0"/>
      </w:numPr>
      <w:ind w:hanging="840"/>
      <w:tabs>
        <w:tab w:val="left" w:pos="360" w:leader="none"/>
        <w:tab w:val="left" w:pos="840" w:leader="none"/>
      </w:tabs>
      <w:outlineLvl w:val="4"/>
    </w:pPr>
  </w:style>
  <w:style w:type="paragraph" w:styleId="1063">
    <w:name w:val="三级条标题"/>
    <w:basedOn w:val="1025"/>
    <w:next w:val="925"/>
    <w:link w:val="925"/>
    <w:qFormat/>
    <w:pPr>
      <w:tabs>
        <w:tab w:val="left" w:pos="360" w:leader="none"/>
        <w:tab w:val="left" w:pos="840" w:leader="none"/>
      </w:tabs>
      <w:outlineLvl w:val="3"/>
    </w:pPr>
  </w:style>
  <w:style w:type="paragraph" w:styleId="1064">
    <w:name w:val="??"/>
    <w:next w:val="1064"/>
    <w:link w:val="925"/>
    <w:qFormat/>
    <w:pPr>
      <w:jc w:val="both"/>
      <w:widowControl w:val="off"/>
    </w:pPr>
    <w:rPr>
      <w:sz w:val="21"/>
      <w:lang w:val="en-US" w:eastAsia="en-US" w:bidi="ar-SA"/>
    </w:rPr>
  </w:style>
  <w:style w:type="paragraph" w:styleId="1065">
    <w:name w:val="样式 标题 2 + 宋体 五号 行距: 单倍行距"/>
    <w:basedOn w:val="927"/>
    <w:next w:val="1065"/>
    <w:link w:val="925"/>
    <w:qFormat/>
    <w:pPr>
      <w:ind w:left="1188" w:hanging="360"/>
      <w:jc w:val="left"/>
      <w:spacing w:before="260" w:after="260" w:line="240" w:lineRule="auto"/>
      <w:tabs>
        <w:tab w:val="left" w:pos="1188" w:leader="none"/>
      </w:tabs>
    </w:pPr>
    <w:rPr>
      <w:rFonts w:ascii="宋体" w:hAnsi="宋体" w:eastAsia="宋体"/>
      <w:bCs/>
      <w:sz w:val="21"/>
    </w:rPr>
  </w:style>
  <w:style w:type="paragraph" w:styleId="1066">
    <w:name w:val="List Paragraph1"/>
    <w:basedOn w:val="925"/>
    <w:next w:val="1066"/>
    <w:link w:val="925"/>
    <w:qFormat/>
    <w:pPr>
      <w:ind w:firstLine="420"/>
    </w:pPr>
    <w:rPr>
      <w:rFonts w:ascii="Calibri" w:hAnsi="Calibri"/>
      <w:szCs w:val="22"/>
    </w:rPr>
  </w:style>
  <w:style w:type="paragraph" w:styleId="1067">
    <w:name w:val="项目符号1"/>
    <w:basedOn w:val="1068"/>
    <w:next w:val="1067"/>
    <w:link w:val="925"/>
    <w:qFormat/>
    <w:pPr>
      <w:ind w:left="-25" w:firstLine="0"/>
    </w:pPr>
  </w:style>
  <w:style w:type="paragraph" w:styleId="1068">
    <w:name w:val="正文文本样式"/>
    <w:basedOn w:val="925"/>
    <w:next w:val="1068"/>
    <w:link w:val="925"/>
    <w:qFormat/>
    <w:pPr>
      <w:ind w:firstLine="482"/>
      <w:spacing w:line="360" w:lineRule="auto"/>
    </w:pPr>
    <w:rPr>
      <w:rFonts w:cs="宋体"/>
      <w:sz w:val="24"/>
      <w:szCs w:val="20"/>
    </w:rPr>
  </w:style>
  <w:style w:type="paragraph" w:styleId="1069">
    <w:name w:val="xl27"/>
    <w:basedOn w:val="925"/>
    <w:next w:val="106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font5"/>
    <w:basedOn w:val="925"/>
    <w:next w:val="1070"/>
    <w:link w:val="925"/>
    <w:qFormat/>
    <w:pPr>
      <w:jc w:val="left"/>
      <w:spacing w:before="100" w:beforeAutospacing="1" w:after="100" w:afterAutospacing="1"/>
      <w:widowControl/>
    </w:pPr>
    <w:rPr>
      <w:rFonts w:ascii="宋体" w:hAnsi="宋体" w:cs="宋体"/>
      <w:sz w:val="18"/>
      <w:szCs w:val="18"/>
    </w:rPr>
  </w:style>
  <w:style w:type="paragraph" w:styleId="1071">
    <w:name w:val="五级条标题"/>
    <w:basedOn w:val="1062"/>
    <w:next w:val="925"/>
    <w:link w:val="925"/>
    <w:qFormat/>
    <w:pPr>
      <w:numPr>
        <w:ilvl w:val="5"/>
      </w:numPr>
      <w:ind w:left="0" w:hanging="840"/>
      <w:tabs>
        <w:tab w:val="left" w:pos="360" w:leader="none"/>
        <w:tab w:val="left" w:pos="840" w:leader="none"/>
      </w:tabs>
      <w:outlineLvl w:val="5"/>
    </w:pPr>
  </w:style>
  <w:style w:type="paragraph" w:styleId="1072">
    <w:name w:val="xl49"/>
    <w:basedOn w:val="925"/>
    <w:next w:val="107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3">
    <w:name w:val="文档正文"/>
    <w:basedOn w:val="925"/>
    <w:next w:val="1073"/>
    <w:link w:val="925"/>
    <w:qFormat/>
    <w:pPr>
      <w:spacing w:before="120" w:after="120" w:line="180" w:lineRule="auto"/>
    </w:pPr>
    <w:rPr>
      <w:rFonts w:ascii="Arial" w:hAnsi="Arial"/>
      <w:szCs w:val="20"/>
    </w:rPr>
  </w:style>
  <w:style w:type="paragraph" w:styleId="1074">
    <w:name w:val="xl33"/>
    <w:basedOn w:val="925"/>
    <w:next w:val="107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xl42"/>
    <w:basedOn w:val="925"/>
    <w:next w:val="107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6">
    <w:name w:val="Char Char Char1 Char"/>
    <w:basedOn w:val="925"/>
    <w:next w:val="1076"/>
    <w:link w:val="925"/>
    <w:qFormat/>
    <w:rPr>
      <w:rFonts w:ascii="Tahoma" w:hAnsi="Tahoma"/>
      <w:sz w:val="24"/>
      <w:szCs w:val="20"/>
    </w:rPr>
  </w:style>
  <w:style w:type="paragraph" w:styleId="1077">
    <w:name w:val="xl44"/>
    <w:basedOn w:val="925"/>
    <w:next w:val="1077"/>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8">
    <w:name w:val="1名"/>
    <w:basedOn w:val="925"/>
    <w:next w:val="1078"/>
    <w:link w:val="925"/>
    <w:qFormat/>
    <w:pPr>
      <w:ind w:left="360" w:hanging="360"/>
      <w:spacing w:before="120"/>
      <w:tabs>
        <w:tab w:val="left" w:pos="360" w:leader="none"/>
      </w:tabs>
    </w:pPr>
    <w:rPr>
      <w:rFonts w:ascii="宋体"/>
      <w:sz w:val="28"/>
      <w:szCs w:val="20"/>
    </w:rPr>
  </w:style>
  <w:style w:type="paragraph" w:styleId="1079">
    <w:name w:val="font9"/>
    <w:basedOn w:val="925"/>
    <w:next w:val="1079"/>
    <w:link w:val="925"/>
    <w:qFormat/>
    <w:pPr>
      <w:jc w:val="left"/>
      <w:spacing w:before="100" w:beforeAutospacing="1" w:after="100" w:afterAutospacing="1"/>
      <w:widowControl/>
    </w:pPr>
    <w:rPr>
      <w:rFonts w:hint="eastAsia" w:ascii="宋体" w:hAnsi="宋体" w:cs="Arial Unicode MS"/>
      <w:color w:val="000000"/>
      <w:sz w:val="20"/>
      <w:szCs w:val="20"/>
    </w:rPr>
  </w:style>
  <w:style w:type="paragraph" w:styleId="1080">
    <w:name w:val="Char Char Char1 Char1"/>
    <w:basedOn w:val="925"/>
    <w:next w:val="1080"/>
    <w:link w:val="925"/>
    <w:qFormat/>
    <w:rPr>
      <w:rFonts w:ascii="Tahoma" w:hAnsi="Tahoma"/>
      <w:sz w:val="24"/>
      <w:szCs w:val="20"/>
    </w:rPr>
  </w:style>
  <w:style w:type="paragraph" w:styleId="1081">
    <w:name w:val="Char Char Char Char Char Char Char Char Char Char"/>
    <w:basedOn w:val="925"/>
    <w:next w:val="1081"/>
    <w:link w:val="925"/>
    <w:qFormat/>
  </w:style>
  <w:style w:type="paragraph" w:styleId="1082">
    <w:name w:val="Char Char1 Char Char Char Char Char Char Char Char"/>
    <w:basedOn w:val="925"/>
    <w:next w:val="1082"/>
    <w:link w:val="925"/>
    <w:qFormat/>
    <w:pPr>
      <w:jc w:val="left"/>
      <w:spacing w:after="160" w:line="240" w:lineRule="exact"/>
      <w:widowControl/>
    </w:pPr>
    <w:rPr>
      <w:rFonts w:ascii="Verdana" w:hAnsi="Verdana"/>
      <w:sz w:val="20"/>
      <w:szCs w:val="20"/>
      <w:lang w:eastAsia="en-US"/>
    </w:rPr>
  </w:style>
  <w:style w:type="paragraph" w:styleId="1083">
    <w:name w:val="Char1"/>
    <w:basedOn w:val="925"/>
    <w:next w:val="1083"/>
    <w:link w:val="925"/>
    <w:qFormat/>
    <w:pPr>
      <w:tabs>
        <w:tab w:val="left" w:pos="360" w:leader="none"/>
      </w:tabs>
    </w:pPr>
    <w:rPr>
      <w:sz w:val="24"/>
    </w:rPr>
  </w:style>
  <w:style w:type="paragraph" w:styleId="1084">
    <w:name w:val="正文列项_字母"/>
    <w:basedOn w:val="925"/>
    <w:next w:val="1084"/>
    <w:link w:val="925"/>
    <w:qFormat/>
    <w:pPr>
      <w:ind w:left="480" w:hanging="180"/>
      <w:spacing w:line="460" w:lineRule="exact"/>
      <w:outlineLvl w:val="6"/>
    </w:pPr>
    <w:rPr>
      <w:rFonts w:ascii="宋体"/>
      <w:sz w:val="28"/>
      <w:szCs w:val="20"/>
    </w:rPr>
  </w:style>
  <w:style w:type="paragraph" w:styleId="1085">
    <w:name w:val="xl28"/>
    <w:basedOn w:val="925"/>
    <w:next w:val="108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7"/>
    <w:basedOn w:val="925"/>
    <w:next w:val="1086"/>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默认段落字体 Para Char Char Char Char"/>
    <w:basedOn w:val="925"/>
    <w:next w:val="1087"/>
    <w:link w:val="925"/>
    <w:qFormat/>
    <w:rPr>
      <w:rFonts w:ascii="Arial" w:hAnsi="Arial" w:cs="Arial"/>
      <w:szCs w:val="21"/>
    </w:rPr>
  </w:style>
  <w:style w:type="paragraph" w:styleId="1088">
    <w:name w:val="xl48"/>
    <w:basedOn w:val="925"/>
    <w:next w:val="108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9">
    <w:name w:val="xl31"/>
    <w:basedOn w:val="925"/>
    <w:next w:val="1089"/>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xl53"/>
    <w:basedOn w:val="925"/>
    <w:next w:val="109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 Char Char"/>
    <w:basedOn w:val="925"/>
    <w:next w:val="1091"/>
    <w:link w:val="925"/>
    <w:qFormat/>
    <w:rPr>
      <w:rFonts w:ascii="Tahoma" w:hAnsi="Tahoma"/>
      <w:sz w:val="24"/>
      <w:szCs w:val="20"/>
    </w:rPr>
  </w:style>
  <w:style w:type="paragraph" w:styleId="1092">
    <w:name w:val="xl50"/>
    <w:basedOn w:val="925"/>
    <w:next w:val="109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3">
    <w:name w:val="缺省文本"/>
    <w:basedOn w:val="925"/>
    <w:next w:val="1093"/>
    <w:link w:val="925"/>
    <w:qFormat/>
    <w:pPr>
      <w:jc w:val="left"/>
    </w:pPr>
    <w:rPr>
      <w:sz w:val="24"/>
    </w:rPr>
  </w:style>
  <w:style w:type="paragraph" w:styleId="1094">
    <w:name w:val="Char Char Char1"/>
    <w:basedOn w:val="925"/>
    <w:next w:val="1094"/>
    <w:link w:val="925"/>
    <w:qFormat/>
    <w:rPr>
      <w:rFonts w:ascii="Tahoma" w:hAnsi="Tahoma"/>
      <w:sz w:val="24"/>
      <w:szCs w:val="20"/>
    </w:rPr>
  </w:style>
  <w:style w:type="paragraph" w:styleId="1095">
    <w:name w:val="Char Char Char Char Char Char Char1"/>
    <w:basedOn w:val="925"/>
    <w:next w:val="1095"/>
    <w:link w:val="925"/>
    <w:qFormat/>
    <w:pPr>
      <w:ind w:firstLine="200"/>
      <w:spacing w:line="360" w:lineRule="auto"/>
    </w:pPr>
    <w:rPr>
      <w:rFonts w:eastAsia="仿宋_GB2312"/>
      <w:sz w:val="24"/>
    </w:rPr>
  </w:style>
  <w:style w:type="paragraph" w:styleId="1096">
    <w:name w:val="xl51"/>
    <w:basedOn w:val="925"/>
    <w:next w:val="109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样式2"/>
    <w:basedOn w:val="987"/>
    <w:next w:val="1097"/>
    <w:link w:val="925"/>
    <w:qFormat/>
    <w:pPr>
      <w:jc w:val="center"/>
      <w:spacing w:line="360" w:lineRule="auto"/>
    </w:pPr>
    <w:rPr>
      <w:sz w:val="24"/>
    </w:rPr>
  </w:style>
  <w:style w:type="paragraph" w:styleId="1098">
    <w:name w:val="xl24"/>
    <w:basedOn w:val="925"/>
    <w:next w:val="109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xl29"/>
    <w:basedOn w:val="925"/>
    <w:next w:val="109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name w:val="正文 + 楷体_GB2312"/>
    <w:basedOn w:val="925"/>
    <w:next w:val="1100"/>
    <w:link w:val="925"/>
    <w:qFormat/>
    <w:pPr>
      <w:jc w:val="left"/>
      <w:widowControl/>
    </w:pPr>
    <w:rPr>
      <w:rFonts w:ascii="楷体_GB2312" w:eastAsia="楷体_GB2312" w:cs="Arial"/>
      <w:sz w:val="24"/>
    </w:rPr>
  </w:style>
  <w:style w:type="paragraph" w:styleId="1101">
    <w:name w:val="xl34"/>
    <w:basedOn w:val="925"/>
    <w:next w:val="110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2">
    <w:name w:val="1 Char Char Char Char"/>
    <w:basedOn w:val="925"/>
    <w:next w:val="1102"/>
    <w:link w:val="925"/>
    <w:qFormat/>
    <w:rPr>
      <w:rFonts w:ascii="Tahoma" w:hAnsi="Tahoma"/>
      <w:sz w:val="24"/>
      <w:szCs w:val="20"/>
    </w:rPr>
  </w:style>
  <w:style w:type="paragraph" w:styleId="1103">
    <w:name w:val="Default"/>
    <w:next w:val="1103"/>
    <w:link w:val="925"/>
    <w:qFormat/>
    <w:pPr>
      <w:widowControl w:val="off"/>
    </w:pPr>
    <w:rPr>
      <w:rFonts w:ascii="Symbol" w:hAnsi="Symbol" w:cs="Symbol"/>
      <w:color w:val="000000"/>
      <w:sz w:val="24"/>
      <w:szCs w:val="24"/>
      <w:lang w:val="en-US" w:eastAsia="zh-CN" w:bidi="ar-SA"/>
    </w:rPr>
  </w:style>
  <w:style w:type="paragraph" w:styleId="1104">
    <w:name w:val="列出段落1"/>
    <w:basedOn w:val="925"/>
    <w:next w:val="1104"/>
    <w:link w:val="925"/>
    <w:qFormat/>
    <w:pPr>
      <w:ind w:firstLine="420"/>
    </w:pPr>
    <w:rPr>
      <w:rFonts w:ascii="Calibri" w:hAnsi="Calibri"/>
      <w:szCs w:val="22"/>
    </w:rPr>
  </w:style>
  <w:style w:type="paragraph" w:styleId="1105">
    <w:name w:val="default"/>
    <w:basedOn w:val="925"/>
    <w:next w:val="1105"/>
    <w:link w:val="925"/>
    <w:qFormat/>
    <w:pPr>
      <w:jc w:val="left"/>
      <w:spacing w:before="100" w:beforeAutospacing="1" w:after="100" w:afterAutospacing="1"/>
      <w:widowControl/>
    </w:pPr>
    <w:rPr>
      <w:rFonts w:ascii="宋体" w:hAnsi="宋体" w:cs="宋体"/>
      <w:sz w:val="24"/>
    </w:rPr>
  </w:style>
  <w:style w:type="paragraph" w:styleId="1106">
    <w:name w:val="字元 字元1"/>
    <w:basedOn w:val="925"/>
    <w:next w:val="1106"/>
    <w:link w:val="925"/>
    <w:qFormat/>
    <w:rPr>
      <w:rFonts w:ascii="Tahoma" w:hAnsi="Tahoma"/>
      <w:sz w:val="24"/>
      <w:szCs w:val="20"/>
    </w:rPr>
  </w:style>
  <w:style w:type="paragraph" w:styleId="1107">
    <w:name w:val="_Style 160"/>
    <w:next w:val="1107"/>
    <w:link w:val="925"/>
    <w:qFormat/>
    <w:rPr>
      <w:sz w:val="21"/>
      <w:szCs w:val="24"/>
      <w:lang w:val="en-US" w:eastAsia="zh-CN" w:bidi="ar-SA"/>
    </w:rPr>
  </w:style>
  <w:style w:type="paragraph" w:styleId="1108">
    <w:name w:val="项目编号3"/>
    <w:basedOn w:val="1068"/>
    <w:next w:val="1108"/>
    <w:link w:val="925"/>
    <w:qFormat/>
    <w:pPr>
      <w:ind w:left="902" w:hanging="420"/>
    </w:pPr>
  </w:style>
  <w:style w:type="paragraph" w:styleId="1109">
    <w:name w:val="Char21"/>
    <w:basedOn w:val="925"/>
    <w:next w:val="1109"/>
    <w:link w:val="925"/>
    <w:qFormat/>
    <w:rPr>
      <w:rFonts w:ascii="Tahoma" w:hAnsi="Tahoma"/>
      <w:sz w:val="24"/>
      <w:szCs w:val="20"/>
    </w:rPr>
  </w:style>
  <w:style w:type="paragraph" w:styleId="1110">
    <w:name w:val="表格文字"/>
    <w:basedOn w:val="958"/>
    <w:next w:val="1110"/>
    <w:link w:val="925"/>
    <w:qFormat/>
    <w:pPr>
      <w:ind w:firstLine="0"/>
      <w:spacing w:before="20" w:after="20" w:line="240" w:lineRule="auto"/>
    </w:pPr>
    <w:rPr>
      <w:rFonts w:ascii="Century Gothic" w:hAnsi="Century Gothic"/>
      <w:sz w:val="20"/>
      <w:szCs w:val="20"/>
    </w:rPr>
  </w:style>
  <w:style w:type="paragraph" w:styleId="1111">
    <w:name w:val="Char Char Char Char Char Char Char Char Char Char1"/>
    <w:basedOn w:val="925"/>
    <w:next w:val="1111"/>
    <w:link w:val="925"/>
    <w:qFormat/>
    <w:rPr>
      <w:rFonts w:ascii="宋体" w:hAnsi="宋体" w:cs="Courier New"/>
      <w:sz w:val="32"/>
      <w:szCs w:val="32"/>
    </w:rPr>
  </w:style>
  <w:style w:type="paragraph" w:styleId="1112">
    <w:name w:val="正文文本样式 加粗"/>
    <w:basedOn w:val="1068"/>
    <w:next w:val="1112"/>
    <w:link w:val="925"/>
    <w:qFormat/>
    <w:rPr>
      <w:b/>
    </w:rPr>
  </w:style>
  <w:style w:type="paragraph" w:styleId="1113">
    <w:name w:val="Char2 Char Char Char Char Char Char"/>
    <w:basedOn w:val="925"/>
    <w:next w:val="1113"/>
    <w:link w:val="925"/>
    <w:qFormat/>
    <w:pPr>
      <w:jc w:val="center"/>
      <w:spacing w:line="400" w:lineRule="exact"/>
      <w:widowControl/>
    </w:pPr>
  </w:style>
  <w:style w:type="paragraph" w:styleId="1114">
    <w:name w:val="Char Char4"/>
    <w:basedOn w:val="925"/>
    <w:next w:val="1114"/>
    <w:link w:val="925"/>
    <w:qFormat/>
    <w:pPr>
      <w:jc w:val="center"/>
      <w:spacing w:line="400" w:lineRule="exact"/>
      <w:widowControl/>
    </w:pPr>
  </w:style>
  <w:style w:type="paragraph" w:styleId="1115">
    <w:name w:val="Char3 Char Char Char1"/>
    <w:basedOn w:val="925"/>
    <w:next w:val="1115"/>
    <w:link w:val="925"/>
    <w:qFormat/>
    <w:rPr>
      <w:rFonts w:ascii="Tahoma" w:hAnsi="Tahoma"/>
      <w:sz w:val="24"/>
      <w:szCs w:val="20"/>
    </w:rPr>
  </w:style>
  <w:style w:type="paragraph" w:styleId="1116">
    <w:name w:val="无间隔"/>
    <w:next w:val="1116"/>
    <w:link w:val="925"/>
    <w:qFormat/>
    <w:pPr>
      <w:jc w:val="both"/>
      <w:widowControl w:val="off"/>
    </w:pPr>
    <w:rPr>
      <w:sz w:val="21"/>
      <w:szCs w:val="24"/>
      <w:lang w:val="en-US" w:eastAsia="zh-CN" w:bidi="ar-SA"/>
    </w:rPr>
  </w:style>
  <w:style w:type="paragraph" w:styleId="1117">
    <w:name w:val="22222222222222"/>
    <w:basedOn w:val="925"/>
    <w:next w:val="1117"/>
    <w:link w:val="925"/>
    <w:qFormat/>
    <w:pPr>
      <w:ind w:firstLine="480"/>
      <w:jc w:val="left"/>
      <w:spacing w:line="360" w:lineRule="auto"/>
      <w:widowControl/>
    </w:pPr>
    <w:rPr>
      <w:color w:val="ff0000"/>
      <w:sz w:val="24"/>
      <w:szCs w:val="20"/>
    </w:rPr>
  </w:style>
  <w:style w:type="character" w:styleId="1118">
    <w:name w:val="中等深浅网格 1 - 强调文字颜色 2 Char"/>
    <w:next w:val="1118"/>
    <w:link w:val="1119"/>
    <w:qFormat/>
    <w:rPr>
      <w:sz w:val="21"/>
      <w:szCs w:val="24"/>
      <w:lang w:val="zh-CN" w:eastAsia="zh-CN" w:bidi="ar-SA"/>
    </w:rPr>
  </w:style>
  <w:style w:type="paragraph" w:styleId="1119">
    <w:name w:val="1"/>
    <w:next w:val="1119"/>
    <w:link w:val="1118"/>
    <w:qFormat/>
    <w:rPr>
      <w:sz w:val="21"/>
      <w:szCs w:val="24"/>
      <w:lang w:val="zh-CN" w:eastAsia="zh-CN" w:bidi="ar-SA"/>
    </w:rPr>
  </w:style>
  <w:style w:type="paragraph" w:styleId="1120">
    <w:name w:val="图文"/>
    <w:basedOn w:val="925"/>
    <w:next w:val="1120"/>
    <w:link w:val="925"/>
    <w:qFormat/>
    <w:pPr>
      <w:spacing w:after="50" w:line="360" w:lineRule="auto"/>
    </w:pPr>
    <w:rPr>
      <w:sz w:val="24"/>
    </w:rPr>
  </w:style>
  <w:style w:type="paragraph" w:styleId="1121">
    <w:name w:val="xl23"/>
    <w:basedOn w:val="925"/>
    <w:next w:val="1121"/>
    <w:link w:val="925"/>
    <w:qFormat/>
    <w:pPr>
      <w:spacing w:before="100" w:beforeAutospacing="1" w:after="100" w:afterAutospacing="1" w:line="360" w:lineRule="auto"/>
      <w:widowControl/>
    </w:pPr>
    <w:rPr>
      <w:sz w:val="24"/>
      <w:szCs w:val="20"/>
    </w:rPr>
  </w:style>
  <w:style w:type="paragraph" w:styleId="1122">
    <w:name w:val="正文表格"/>
    <w:basedOn w:val="925"/>
    <w:next w:val="1122"/>
    <w:link w:val="1123"/>
    <w:qFormat/>
    <w:pPr>
      <w:jc w:val="left"/>
    </w:pPr>
    <w:rPr>
      <w:rFonts w:ascii="宋体" w:hAnsi="宋体"/>
      <w:color w:val="000000"/>
      <w:szCs w:val="21"/>
    </w:rPr>
  </w:style>
  <w:style w:type="character" w:styleId="1123">
    <w:name w:val="正文表格 Char"/>
    <w:next w:val="1123"/>
    <w:link w:val="1122"/>
    <w:qFormat/>
    <w:rPr>
      <w:rFonts w:ascii="宋体" w:hAnsi="宋体"/>
      <w:color w:val="000000"/>
      <w:sz w:val="21"/>
      <w:szCs w:val="21"/>
    </w:rPr>
  </w:style>
  <w:style w:type="paragraph" w:styleId="1124">
    <w:name w:val="正文重点"/>
    <w:basedOn w:val="925"/>
    <w:next w:val="1124"/>
    <w:link w:val="1125"/>
    <w:qFormat/>
    <w:pPr>
      <w:ind w:firstLine="482"/>
      <w:jc w:val="left"/>
      <w:spacing w:line="360" w:lineRule="auto"/>
    </w:pPr>
    <w:rPr>
      <w:b/>
      <w:sz w:val="24"/>
      <w:szCs w:val="20"/>
    </w:rPr>
  </w:style>
  <w:style w:type="character" w:styleId="1125">
    <w:name w:val="正文重点 Char"/>
    <w:next w:val="1125"/>
    <w:link w:val="1124"/>
    <w:qFormat/>
    <w:rPr>
      <w:b/>
      <w:sz w:val="24"/>
    </w:rPr>
  </w:style>
  <w:style w:type="paragraph" w:styleId="1126">
    <w:name w:val="标题1-附件"/>
    <w:basedOn w:val="926"/>
    <w:next w:val="1126"/>
    <w:link w:val="925"/>
    <w:qFormat/>
    <w:pPr>
      <w:jc w:val="left"/>
    </w:pPr>
    <w:rPr>
      <w:sz w:val="24"/>
      <w:szCs w:val="24"/>
    </w:rPr>
  </w:style>
  <w:style w:type="paragraph" w:styleId="1127">
    <w:name w:val="正文小标题"/>
    <w:basedOn w:val="925"/>
    <w:next w:val="939"/>
    <w:link w:val="1128"/>
    <w:qFormat/>
    <w:pPr>
      <w:ind w:firstLine="482"/>
      <w:jc w:val="left"/>
      <w:spacing w:before="312" w:after="312"/>
    </w:pPr>
    <w:rPr>
      <w:rFonts w:ascii="宋体" w:hAnsi="宋体"/>
      <w:b/>
      <w:i/>
      <w:color w:val="ff0000"/>
      <w:sz w:val="24"/>
      <w:szCs w:val="20"/>
    </w:rPr>
  </w:style>
  <w:style w:type="character" w:styleId="1128">
    <w:name w:val="正文小标题 Char"/>
    <w:next w:val="1128"/>
    <w:link w:val="1127"/>
    <w:qFormat/>
    <w:rPr>
      <w:rFonts w:ascii="宋体" w:hAnsi="宋体"/>
      <w:b/>
      <w:i/>
      <w:color w:val="ff0000"/>
      <w:sz w:val="24"/>
    </w:rPr>
  </w:style>
  <w:style w:type="paragraph" w:styleId="1129">
    <w:name w:val="正文大标题"/>
    <w:basedOn w:val="1127"/>
    <w:next w:val="939"/>
    <w:link w:val="1130"/>
    <w:qFormat/>
    <w:pPr>
      <w:jc w:val="center"/>
    </w:pPr>
    <w:rPr>
      <w:i w:val="0"/>
      <w:color w:val="000000"/>
      <w:sz w:val="28"/>
      <w:szCs w:val="21"/>
    </w:rPr>
  </w:style>
  <w:style w:type="character" w:styleId="1130">
    <w:name w:val="正文大标题 Char"/>
    <w:next w:val="1130"/>
    <w:link w:val="1129"/>
    <w:qFormat/>
    <w:rPr>
      <w:rFonts w:ascii="宋体" w:hAnsi="宋体"/>
      <w:b/>
      <w:color w:val="000000"/>
      <w:sz w:val="28"/>
      <w:szCs w:val="21"/>
    </w:rPr>
  </w:style>
  <w:style w:type="paragraph" w:styleId="1131">
    <w:name w:val="注释"/>
    <w:basedOn w:val="925"/>
    <w:next w:val="1131"/>
    <w:link w:val="1132"/>
    <w:qFormat/>
    <w:pPr>
      <w:ind w:left="420" w:hanging="420"/>
      <w:jc w:val="left"/>
    </w:pPr>
    <w:rPr>
      <w:rFonts w:ascii="宋体" w:hAnsi="宋体"/>
      <w:szCs w:val="21"/>
    </w:rPr>
  </w:style>
  <w:style w:type="character" w:styleId="1132">
    <w:name w:val="注释 Char"/>
    <w:next w:val="1132"/>
    <w:link w:val="1131"/>
    <w:qFormat/>
    <w:rPr>
      <w:rFonts w:ascii="宋体" w:hAnsi="宋体"/>
      <w:sz w:val="21"/>
      <w:szCs w:val="21"/>
    </w:rPr>
  </w:style>
  <w:style w:type="paragraph" w:styleId="1133">
    <w:name w:val="正文须知-1级"/>
    <w:basedOn w:val="925"/>
    <w:next w:val="925"/>
    <w:link w:val="925"/>
    <w:qFormat/>
    <w:pPr>
      <w:ind w:left="680" w:hanging="680"/>
      <w:spacing w:line="300" w:lineRule="auto"/>
    </w:pPr>
    <w:rPr>
      <w:rFonts w:ascii="宋体" w:hAnsi="Calibri"/>
      <w:sz w:val="24"/>
      <w:szCs w:val="21"/>
    </w:rPr>
  </w:style>
  <w:style w:type="paragraph" w:styleId="1134">
    <w:name w:val="正文须知-2级"/>
    <w:basedOn w:val="925"/>
    <w:next w:val="1134"/>
    <w:link w:val="925"/>
    <w:qFormat/>
    <w:pPr>
      <w:ind w:left="851" w:hanging="851"/>
      <w:spacing w:line="300" w:lineRule="auto"/>
    </w:pPr>
    <w:rPr>
      <w:rFonts w:ascii="宋体" w:hAnsi="Calibri"/>
      <w:sz w:val="24"/>
      <w:szCs w:val="21"/>
    </w:rPr>
  </w:style>
  <w:style w:type="paragraph" w:styleId="1135">
    <w:name w:val="正文须知-3级"/>
    <w:basedOn w:val="925"/>
    <w:next w:val="1135"/>
    <w:link w:val="925"/>
    <w:qFormat/>
    <w:pPr>
      <w:ind w:left="851" w:hanging="355"/>
      <w:spacing w:line="300" w:lineRule="auto"/>
    </w:pPr>
    <w:rPr>
      <w:rFonts w:ascii="宋体" w:hAnsi="Calibri"/>
      <w:sz w:val="24"/>
      <w:szCs w:val="21"/>
    </w:rPr>
  </w:style>
  <w:style w:type="character" w:styleId="1136">
    <w:name w:val="纯文本 字符"/>
    <w:next w:val="1136"/>
    <w:link w:val="925"/>
    <w:uiPriority w:val="99"/>
    <w:qFormat/>
    <w:rPr>
      <w:rFonts w:ascii="宋体" w:hAnsi="Courier New" w:eastAsia="宋体" w:cs="Times New Roman"/>
      <w:sz w:val="21"/>
      <w:szCs w:val="21"/>
      <w:lang w:val="en-US" w:eastAsia="zh-CN" w:bidi="ar-SA"/>
    </w:rPr>
  </w:style>
  <w:style w:type="paragraph" w:styleId="1137">
    <w:name w:val="表格1"/>
    <w:basedOn w:val="925"/>
    <w:next w:val="1137"/>
    <w:link w:val="925"/>
    <w:qFormat/>
    <w:pPr>
      <w:ind w:firstLine="480"/>
      <w:jc w:val="center"/>
    </w:pPr>
    <w:rPr>
      <w:sz w:val="24"/>
      <w:szCs w:val="20"/>
    </w:rPr>
  </w:style>
  <w:style w:type="character" w:styleId="1138">
    <w:name w:val="纯文本 字符1"/>
    <w:next w:val="1138"/>
    <w:link w:val="925"/>
    <w:qFormat/>
    <w:rPr>
      <w:rFonts w:ascii="宋体" w:hAnsi="Courier New"/>
    </w:rPr>
  </w:style>
  <w:style w:type="character" w:styleId="1139">
    <w:name w:val="bjh-p"/>
    <w:next w:val="1139"/>
    <w:link w:val="925"/>
    <w:qFormat/>
  </w:style>
  <w:style w:type="paragraph" w:styleId="1140">
    <w:name w:val="无标题条"/>
    <w:next w:val="925"/>
    <w:link w:val="925"/>
    <w:qFormat/>
    <w:pPr>
      <w:jc w:val="both"/>
    </w:pPr>
    <w:rPr>
      <w:sz w:val="21"/>
      <w:lang w:val="en-US" w:eastAsia="zh-CN" w:bidi="ar-SA"/>
    </w:rPr>
  </w:style>
  <w:style w:type="character" w:styleId="1141">
    <w:name w:val="正文格式 Char"/>
    <w:next w:val="1141"/>
    <w:link w:val="1142"/>
    <w:qFormat/>
    <w:rPr>
      <w:rFonts w:ascii="宋体" w:hAnsi="宋体"/>
      <w:sz w:val="24"/>
      <w:szCs w:val="24"/>
      <w:lang w:val="en-GB"/>
    </w:rPr>
  </w:style>
  <w:style w:type="paragraph" w:styleId="1142">
    <w:name w:val="正文格式"/>
    <w:basedOn w:val="925"/>
    <w:next w:val="1142"/>
    <w:link w:val="1141"/>
    <w:qFormat/>
    <w:pPr>
      <w:ind w:firstLine="480"/>
      <w:spacing w:line="360" w:lineRule="auto"/>
    </w:pPr>
    <w:rPr>
      <w:rFonts w:ascii="宋体" w:hAnsi="宋体"/>
      <w:sz w:val="24"/>
      <w:lang w:val="en-GB"/>
    </w:rPr>
  </w:style>
  <w:style w:type="character" w:styleId="1143">
    <w:name w:val="标题 3 Char"/>
    <w:next w:val="1143"/>
    <w:link w:val="925"/>
    <w:qFormat/>
    <w:rPr>
      <w:rFonts w:ascii="宋体" w:eastAsia="宋体"/>
      <w:b/>
      <w:sz w:val="24"/>
      <w:u w:val="single"/>
      <w:lang w:val="en-US" w:eastAsia="zh-CN" w:bidi="ar-SA"/>
    </w:rPr>
  </w:style>
  <w:style w:type="character" w:styleId="1144">
    <w:name w:val="正文缩进 Char"/>
    <w:next w:val="1144"/>
    <w:link w:val="925"/>
    <w:qFormat/>
    <w:rPr>
      <w:rFonts w:ascii="宋体" w:eastAsia="宋体"/>
      <w:sz w:val="24"/>
      <w:szCs w:val="24"/>
      <w:lang w:val="en-US" w:eastAsia="zh-CN" w:bidi="ar-SA"/>
    </w:rPr>
  </w:style>
  <w:style w:type="character" w:styleId="1145">
    <w:name w:val="Char Char111"/>
    <w:next w:val="1145"/>
    <w:link w:val="925"/>
    <w:qFormat/>
    <w:rPr>
      <w:rFonts w:ascii="宋体" w:eastAsia="宋体"/>
      <w:b/>
      <w:sz w:val="24"/>
      <w:u w:val="single"/>
      <w:lang w:val="en-US" w:eastAsia="zh-CN" w:bidi="ar-SA"/>
    </w:rPr>
  </w:style>
  <w:style w:type="character" w:styleId="1146">
    <w:name w:val="正文文本缩进 Char"/>
    <w:next w:val="1146"/>
    <w:link w:val="925"/>
    <w:qFormat/>
    <w:rPr>
      <w:rFonts w:eastAsia="宋体"/>
      <w:sz w:val="24"/>
      <w:szCs w:val="24"/>
      <w:lang w:val="en-US" w:eastAsia="zh-CN" w:bidi="ar-SA"/>
    </w:rPr>
  </w:style>
  <w:style w:type="character" w:styleId="1147">
    <w:name w:val="列出段落 Char"/>
    <w:next w:val="1147"/>
    <w:link w:val="925"/>
    <w:uiPriority w:val="34"/>
    <w:qFormat/>
    <w:rPr>
      <w:rFonts w:ascii="Calibri" w:hAnsi="Calibri" w:eastAsia="宋体"/>
      <w:sz w:val="21"/>
      <w:szCs w:val="22"/>
      <w:lang w:val="en-US" w:eastAsia="zh-CN" w:bidi="ar-SA"/>
    </w:rPr>
  </w:style>
  <w:style w:type="character" w:styleId="1148">
    <w:name w:val="页眉 Char"/>
    <w:next w:val="1148"/>
    <w:link w:val="925"/>
    <w:qFormat/>
    <w:rPr>
      <w:rFonts w:eastAsia="宋体"/>
      <w:sz w:val="18"/>
      <w:szCs w:val="18"/>
      <w:lang w:val="en-US" w:eastAsia="zh-CN" w:bidi="ar-SA"/>
    </w:rPr>
  </w:style>
  <w:style w:type="character" w:styleId="1149">
    <w:name w:val="标题 2 Char"/>
    <w:next w:val="1149"/>
    <w:link w:val="925"/>
    <w:qFormat/>
    <w:rPr>
      <w:rFonts w:ascii="Arial" w:hAnsi="Arial" w:eastAsia="黑体"/>
      <w:b/>
      <w:sz w:val="30"/>
      <w:lang w:val="en-US" w:eastAsia="zh-CN" w:bidi="ar-SA"/>
    </w:rPr>
  </w:style>
  <w:style w:type="paragraph" w:styleId="1150">
    <w:name w:val="字元 字元2"/>
    <w:basedOn w:val="925"/>
    <w:next w:val="1150"/>
    <w:link w:val="925"/>
    <w:qFormat/>
    <w:rPr>
      <w:rFonts w:ascii="Tahoma" w:hAnsi="Tahoma"/>
      <w:sz w:val="24"/>
      <w:szCs w:val="20"/>
    </w:rPr>
  </w:style>
  <w:style w:type="paragraph" w:styleId="1151">
    <w:name w:val="Char3 Char Char Char2"/>
    <w:basedOn w:val="925"/>
    <w:next w:val="1151"/>
    <w:link w:val="925"/>
    <w:qFormat/>
    <w:rPr>
      <w:rFonts w:ascii="Tahoma" w:hAnsi="Tahoma"/>
      <w:sz w:val="24"/>
      <w:szCs w:val="20"/>
    </w:rPr>
  </w:style>
  <w:style w:type="paragraph" w:styleId="1152">
    <w:name w:val="正文文本缩进2"/>
    <w:basedOn w:val="925"/>
    <w:next w:val="1152"/>
    <w:link w:val="925"/>
    <w:qFormat/>
    <w:pPr>
      <w:ind w:firstLine="480"/>
      <w:spacing w:line="480" w:lineRule="exact"/>
    </w:pPr>
    <w:rPr>
      <w:rFonts w:ascii="宋体" w:hAnsi="宋体"/>
      <w:sz w:val="24"/>
      <w:lang w:val="zh-CN" w:eastAsia="zh-CN"/>
    </w:rPr>
  </w:style>
  <w:style w:type="paragraph" w:styleId="1153">
    <w:name w:val="Char3"/>
    <w:basedOn w:val="925"/>
    <w:next w:val="1153"/>
    <w:link w:val="925"/>
    <w:qFormat/>
    <w:pPr>
      <w:tabs>
        <w:tab w:val="left" w:pos="360" w:leader="none"/>
      </w:tabs>
    </w:pPr>
    <w:rPr>
      <w:sz w:val="24"/>
    </w:rPr>
  </w:style>
  <w:style w:type="paragraph" w:styleId="1154">
    <w:name w:val="Char Char Char Char Char Char Char Char Char Char Char Char Char Char Char Char1"/>
    <w:basedOn w:val="925"/>
    <w:next w:val="1154"/>
    <w:link w:val="925"/>
    <w:qFormat/>
    <w:pPr>
      <w:jc w:val="center"/>
      <w:spacing w:after="160" w:line="240" w:lineRule="exact"/>
      <w:widowControl/>
    </w:pPr>
    <w:rPr>
      <w:rFonts w:ascii="宋体" w:hAnsi="宋体"/>
      <w:b/>
      <w:sz w:val="30"/>
      <w:szCs w:val="30"/>
      <w:lang w:eastAsia="en-US"/>
    </w:rPr>
  </w:style>
  <w:style w:type="paragraph" w:styleId="1155">
    <w:name w:val="Char Char1 Char Char Char Char Char Char1"/>
    <w:basedOn w:val="925"/>
    <w:next w:val="1155"/>
    <w:link w:val="925"/>
    <w:qFormat/>
    <w:pPr>
      <w:jc w:val="left"/>
      <w:spacing w:after="160" w:line="240" w:lineRule="exact"/>
      <w:widowControl/>
    </w:pPr>
    <w:rPr>
      <w:rFonts w:ascii="Verdana" w:hAnsi="Verdana" w:eastAsia="仿宋_GB2312"/>
      <w:sz w:val="24"/>
      <w:szCs w:val="20"/>
      <w:lang w:eastAsia="en-US"/>
    </w:rPr>
  </w:style>
  <w:style w:type="paragraph" w:styleId="1156">
    <w:name w:val="列出段落2"/>
    <w:basedOn w:val="925"/>
    <w:next w:val="1156"/>
    <w:link w:val="925"/>
    <w:qFormat/>
    <w:pPr>
      <w:ind w:firstLine="420"/>
    </w:pPr>
    <w:rPr>
      <w:rFonts w:ascii="Calibri" w:hAnsi="Calibri"/>
      <w:szCs w:val="22"/>
    </w:rPr>
  </w:style>
  <w:style w:type="paragraph" w:styleId="1157">
    <w:name w:val="Char Char Char1 Char2"/>
    <w:basedOn w:val="925"/>
    <w:next w:val="1157"/>
    <w:link w:val="925"/>
    <w:qFormat/>
    <w:rPr>
      <w:rFonts w:ascii="Tahoma" w:hAnsi="Tahoma"/>
      <w:sz w:val="24"/>
      <w:szCs w:val="20"/>
    </w:rPr>
  </w:style>
  <w:style w:type="paragraph" w:styleId="1158">
    <w:name w:val="Char Char Char2"/>
    <w:basedOn w:val="925"/>
    <w:next w:val="1158"/>
    <w:link w:val="925"/>
    <w:qFormat/>
    <w:rPr>
      <w:rFonts w:ascii="Tahoma" w:hAnsi="Tahoma"/>
      <w:sz w:val="24"/>
      <w:szCs w:val="20"/>
    </w:rPr>
  </w:style>
  <w:style w:type="paragraph" w:styleId="1159">
    <w:name w:val="Char Char Char Char Char Char Char2"/>
    <w:basedOn w:val="925"/>
    <w:next w:val="1159"/>
    <w:link w:val="925"/>
    <w:qFormat/>
    <w:pPr>
      <w:ind w:firstLine="200"/>
      <w:spacing w:line="360" w:lineRule="auto"/>
    </w:pPr>
    <w:rPr>
      <w:rFonts w:eastAsia="仿宋_GB2312"/>
      <w:sz w:val="24"/>
    </w:rPr>
  </w:style>
  <w:style w:type="paragraph" w:styleId="1160">
    <w:name w:val="正文缩进2"/>
    <w:basedOn w:val="925"/>
    <w:next w:val="1160"/>
    <w:link w:val="925"/>
    <w:qFormat/>
    <w:pPr>
      <w:ind w:firstLine="567"/>
      <w:spacing w:line="480" w:lineRule="exact"/>
      <w:widowControl/>
    </w:pPr>
    <w:rPr>
      <w:rFonts w:ascii="宋体"/>
      <w:color w:val="000000"/>
      <w:sz w:val="28"/>
      <w:szCs w:val="20"/>
      <w:lang w:val="zh-CN" w:eastAsia="zh-CN"/>
    </w:rPr>
  </w:style>
  <w:style w:type="paragraph" w:styleId="1161">
    <w:name w:val="Revision"/>
    <w:next w:val="1161"/>
    <w:link w:val="925"/>
    <w:qFormat/>
    <w:rPr>
      <w:sz w:val="21"/>
      <w:szCs w:val="24"/>
      <w:lang w:val="en-US" w:eastAsia="zh-CN" w:bidi="ar-SA"/>
    </w:rPr>
  </w:style>
  <w:style w:type="paragraph" w:styleId="1162">
    <w:name w:val="Char22"/>
    <w:basedOn w:val="925"/>
    <w:next w:val="1162"/>
    <w:link w:val="925"/>
    <w:qFormat/>
    <w:rPr>
      <w:rFonts w:ascii="Tahoma" w:hAnsi="Tahoma"/>
      <w:sz w:val="24"/>
      <w:szCs w:val="20"/>
    </w:rPr>
  </w:style>
  <w:style w:type="paragraph" w:styleId="1163">
    <w:name w:val="Char Char Char Char Char Char Char Char Char Char2"/>
    <w:basedOn w:val="925"/>
    <w:next w:val="1163"/>
    <w:link w:val="925"/>
    <w:qFormat/>
    <w:rPr>
      <w:rFonts w:ascii="宋体" w:hAnsi="宋体" w:cs="Courier New"/>
      <w:sz w:val="32"/>
      <w:szCs w:val="32"/>
    </w:rPr>
  </w:style>
  <w:style w:type="paragraph" w:styleId="1164">
    <w:name w:val="Char2 Char Char Char Char Char Char1"/>
    <w:basedOn w:val="925"/>
    <w:next w:val="1164"/>
    <w:link w:val="925"/>
    <w:qFormat/>
    <w:pPr>
      <w:jc w:val="center"/>
      <w:spacing w:line="400" w:lineRule="exact"/>
      <w:widowControl/>
    </w:pPr>
  </w:style>
  <w:style w:type="character" w:styleId="1165">
    <w:name w:val="页脚 Char"/>
    <w:next w:val="1165"/>
    <w:link w:val="925"/>
    <w:qFormat/>
    <w:rPr>
      <w:rFonts w:ascii="宋体" w:eastAsia="宋体"/>
      <w:sz w:val="18"/>
      <w:lang w:val="en-US" w:eastAsia="zh-CN" w:bidi="ar-SA"/>
    </w:rPr>
  </w:style>
  <w:style w:type="paragraph" w:styleId="1166">
    <w:name w:val="Char Char41"/>
    <w:basedOn w:val="925"/>
    <w:next w:val="1166"/>
    <w:link w:val="925"/>
    <w:qFormat/>
    <w:pPr>
      <w:jc w:val="center"/>
      <w:spacing w:line="400" w:lineRule="exact"/>
      <w:widowControl/>
    </w:pPr>
  </w:style>
  <w:style w:type="character" w:styleId="1167">
    <w:name w:val="批注文字 Char"/>
    <w:next w:val="1167"/>
    <w:link w:val="925"/>
    <w:uiPriority w:val="99"/>
    <w:qFormat/>
    <w:rPr>
      <w:sz w:val="21"/>
      <w:szCs w:val="24"/>
    </w:rPr>
  </w:style>
  <w:style w:type="character" w:styleId="1168">
    <w:name w:val="标题 Char"/>
    <w:next w:val="1168"/>
    <w:link w:val="925"/>
    <w:qFormat/>
    <w:rPr>
      <w:b/>
      <w:sz w:val="32"/>
    </w:rPr>
  </w:style>
  <w:style w:type="paragraph" w:styleId="1169">
    <w:name w:val="图例"/>
    <w:basedOn w:val="925"/>
    <w:next w:val="1169"/>
    <w:link w:val="925"/>
    <w:qFormat/>
    <w:pPr>
      <w:jc w:val="center"/>
      <w:spacing w:before="120" w:after="120" w:line="360" w:lineRule="auto"/>
    </w:pPr>
    <w:rPr>
      <w:rFonts w:eastAsia="仿宋_GB2312"/>
      <w:b/>
      <w:sz w:val="24"/>
      <w:szCs w:val="20"/>
    </w:rPr>
  </w:style>
  <w:style w:type="paragraph" w:styleId="1170">
    <w:name w:val="Table Paragraph"/>
    <w:basedOn w:val="925"/>
    <w:next w:val="1170"/>
    <w:link w:val="925"/>
    <w:uiPriority w:val="1"/>
    <w:qFormat/>
    <w:pPr>
      <w:jc w:val="left"/>
    </w:pPr>
    <w:rPr>
      <w:rFonts w:ascii="宋体" w:hAnsi="宋体" w:cs="宋体"/>
      <w:sz w:val="22"/>
      <w:szCs w:val="22"/>
      <w:lang w:eastAsia="en-US"/>
    </w:rPr>
  </w:style>
  <w:style w:type="table" w:styleId="1171">
    <w:name w:val="Table Normal"/>
    <w:next w:val="1171"/>
    <w:link w:val="925"/>
    <w:uiPriority w:val="2"/>
    <w:semiHidden/>
    <w:qFormat/>
    <w:pPr>
      <w:widowControl w:val="off"/>
    </w:pPr>
    <w:rPr>
      <w:rFonts w:ascii="Calibri" w:hAnsi="Calibri"/>
      <w:sz w:val="22"/>
      <w:szCs w:val="22"/>
      <w:lang w:val="en-US" w:eastAsia="en-US" w:bidi="ar-SA"/>
    </w:rPr>
    <w:tblPr/>
  </w:style>
  <w:style w:type="paragraph" w:styleId="1172">
    <w:name w:val="成文日期"/>
    <w:basedOn w:val="925"/>
    <w:next w:val="1172"/>
    <w:link w:val="1173"/>
    <w:qFormat/>
    <w:pPr>
      <w:ind w:right="400" w:firstLine="200"/>
      <w:jc w:val="right"/>
      <w:spacing w:line="570" w:lineRule="exact"/>
    </w:pPr>
    <w:rPr>
      <w:rFonts w:ascii="仿宋_GB2312" w:eastAsia="仿宋_GB2312"/>
      <w:sz w:val="32"/>
      <w:szCs w:val="20"/>
    </w:rPr>
  </w:style>
  <w:style w:type="character" w:styleId="1173">
    <w:name w:val="成文日期 Char"/>
    <w:next w:val="1173"/>
    <w:link w:val="1172"/>
    <w:qFormat/>
    <w:rPr>
      <w:rFonts w:ascii="仿宋_GB2312" w:eastAsia="仿宋_GB2312"/>
      <w:sz w:val="32"/>
    </w:rPr>
  </w:style>
  <w:style w:type="paragraph" w:styleId="1174">
    <w:name w:val="reader-word-layer reader-word-s2-3"/>
    <w:basedOn w:val="925"/>
    <w:next w:val="1174"/>
    <w:link w:val="925"/>
    <w:pPr>
      <w:jc w:val="left"/>
      <w:spacing w:before="100" w:beforeAutospacing="1" w:after="100" w:afterAutospacing="1"/>
      <w:widowControl/>
    </w:pPr>
    <w:rPr>
      <w:rFonts w:ascii="宋体" w:hAnsi="宋体" w:cs="宋体"/>
      <w:sz w:val="24"/>
    </w:rPr>
  </w:style>
  <w:style w:type="paragraph" w:styleId="1175">
    <w:name w:val="修订1"/>
    <w:next w:val="1175"/>
    <w:link w:val="925"/>
    <w:qFormat/>
    <w:rPr>
      <w:sz w:val="21"/>
      <w:szCs w:val="24"/>
      <w:lang w:val="en-US" w:eastAsia="zh-CN" w:bidi="ar-SA"/>
    </w:rPr>
  </w:style>
  <w:style w:type="character" w:styleId="1176">
    <w:name w:val="批注主题 Char1"/>
    <w:next w:val="1176"/>
    <w:link w:val="925"/>
    <w:qFormat/>
    <w:rPr>
      <w:rFonts w:ascii="Calibri" w:hAnsi="Calibri"/>
      <w:b/>
      <w:bCs/>
      <w:sz w:val="21"/>
      <w:szCs w:val="24"/>
    </w:rPr>
  </w:style>
  <w:style w:type="paragraph" w:styleId="1177">
    <w:name w:val="纯文本1"/>
    <w:basedOn w:val="925"/>
    <w:next w:val="1177"/>
    <w:link w:val="925"/>
    <w:qFormat/>
    <w:rPr>
      <w:rFonts w:ascii="宋体" w:hAnsi="Courier New" w:eastAsia="楷体_GB2312"/>
      <w:sz w:val="26"/>
    </w:rPr>
  </w:style>
  <w:style w:type="paragraph" w:styleId="1178">
    <w:name w:val="修订2"/>
    <w:next w:val="1178"/>
    <w:link w:val="925"/>
    <w:uiPriority w:val="99"/>
    <w:unhideWhenUsed/>
    <w:qFormat/>
    <w:rPr>
      <w:sz w:val="21"/>
      <w:szCs w:val="24"/>
      <w:lang w:val="en-US" w:eastAsia="zh-CN" w:bidi="ar-SA"/>
    </w:rPr>
  </w:style>
  <w:style w:type="paragraph" w:styleId="1179">
    <w:name w:val="*正文"/>
    <w:basedOn w:val="925"/>
    <w:next w:val="1179"/>
    <w:link w:val="1180"/>
    <w:uiPriority w:val="99"/>
    <w:qFormat/>
    <w:pPr>
      <w:ind w:firstLine="200"/>
      <w:jc w:val="left"/>
      <w:spacing w:line="360" w:lineRule="auto"/>
    </w:pPr>
    <w:rPr>
      <w:rFonts w:ascii="宋体" w:hAnsi="Calibri"/>
      <w:sz w:val="24"/>
      <w:szCs w:val="20"/>
      <w:lang w:eastAsia="en-US"/>
    </w:rPr>
  </w:style>
  <w:style w:type="character" w:styleId="1180">
    <w:name w:val="*正文 Char"/>
    <w:next w:val="1180"/>
    <w:link w:val="1179"/>
    <w:uiPriority w:val="99"/>
    <w:qFormat/>
    <w:rPr>
      <w:rFonts w:ascii="宋体" w:hAnsi="Calibri"/>
      <w:sz w:val="24"/>
      <w:lang w:eastAsia="en-US"/>
    </w:rPr>
  </w:style>
  <w:style w:type="paragraph" w:styleId="1181">
    <w:name w:val="xl159"/>
    <w:basedOn w:val="925"/>
    <w:next w:val="1181"/>
    <w:link w:val="925"/>
    <w:pPr>
      <w:jc w:val="center"/>
      <w:spacing w:before="100" w:beforeAutospacing="1" w:after="100" w:afterAutospacing="1"/>
      <w:widowControl/>
    </w:pPr>
    <w:rPr>
      <w:rFonts w:ascii="宋体" w:hAnsi="宋体" w:cs="宋体"/>
      <w:sz w:val="24"/>
    </w:rPr>
  </w:style>
  <w:style w:type="paragraph" w:styleId="1182">
    <w:name w:val="xl160"/>
    <w:basedOn w:val="925"/>
    <w:next w:val="1182"/>
    <w:link w:val="925"/>
    <w:pPr>
      <w:jc w:val="center"/>
      <w:spacing w:before="100" w:beforeAutospacing="1" w:after="100" w:afterAutospacing="1"/>
      <w:shd w:val="clear" w:color="000000" w:fill="ffffff"/>
      <w:widowControl/>
    </w:pPr>
    <w:rPr>
      <w:rFonts w:ascii="宋体" w:hAnsi="宋体" w:cs="宋体"/>
      <w:sz w:val="24"/>
    </w:rPr>
  </w:style>
  <w:style w:type="paragraph" w:styleId="1183">
    <w:name w:val="xl161"/>
    <w:basedOn w:val="925"/>
    <w:next w:val="1183"/>
    <w:link w:val="925"/>
    <w:pPr>
      <w:jc w:val="left"/>
      <w:spacing w:before="100" w:beforeAutospacing="1" w:after="100" w:afterAutospacing="1"/>
      <w:widowControl/>
    </w:pPr>
    <w:rPr>
      <w:rFonts w:ascii="仿宋_GB2312" w:hAnsi="宋体" w:eastAsia="仿宋_GB2312" w:cs="宋体"/>
      <w:sz w:val="24"/>
    </w:rPr>
  </w:style>
  <w:style w:type="paragraph" w:styleId="1184">
    <w:name w:val="xl162"/>
    <w:basedOn w:val="925"/>
    <w:next w:val="1184"/>
    <w:link w:val="925"/>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5">
    <w:name w:val="xl163"/>
    <w:basedOn w:val="925"/>
    <w:next w:val="1185"/>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6">
    <w:name w:val="xl164"/>
    <w:basedOn w:val="925"/>
    <w:next w:val="1186"/>
    <w:link w:val="92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5"/>
    <w:basedOn w:val="925"/>
    <w:next w:val="11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xl166"/>
    <w:basedOn w:val="925"/>
    <w:next w:val="1188"/>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9">
    <w:name w:val="xl167"/>
    <w:basedOn w:val="925"/>
    <w:next w:val="1189"/>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90">
    <w:name w:val="xl168"/>
    <w:basedOn w:val="925"/>
    <w:next w:val="1190"/>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xl169"/>
    <w:basedOn w:val="925"/>
    <w:next w:val="119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2">
    <w:name w:val="xl170"/>
    <w:basedOn w:val="925"/>
    <w:next w:val="1192"/>
    <w:link w:val="925"/>
    <w:pPr>
      <w:jc w:val="center"/>
      <w:spacing w:before="100" w:beforeAutospacing="1" w:after="100" w:afterAutospacing="1"/>
      <w:widowControl/>
    </w:pPr>
    <w:rPr>
      <w:rFonts w:ascii="仿宋_GB2312" w:hAnsi="宋体" w:eastAsia="仿宋_GB2312" w:cs="宋体"/>
      <w:b/>
      <w:bCs/>
      <w:sz w:val="20"/>
      <w:szCs w:val="20"/>
    </w:rPr>
  </w:style>
  <w:style w:type="paragraph" w:styleId="1193">
    <w:name w:val="xl171"/>
    <w:basedOn w:val="925"/>
    <w:next w:val="1193"/>
    <w:link w:val="925"/>
    <w:pPr>
      <w:jc w:val="center"/>
      <w:spacing w:before="100" w:beforeAutospacing="1" w:after="100" w:afterAutospacing="1"/>
      <w:widowControl/>
    </w:pPr>
    <w:rPr>
      <w:rFonts w:ascii="仿宋_GB2312" w:hAnsi="宋体" w:eastAsia="仿宋_GB2312" w:cs="宋体"/>
      <w:sz w:val="20"/>
      <w:szCs w:val="20"/>
    </w:rPr>
  </w:style>
  <w:style w:type="paragraph" w:styleId="1194">
    <w:name w:val="xl172"/>
    <w:basedOn w:val="925"/>
    <w:next w:val="119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5">
    <w:name w:val="xl173"/>
    <w:basedOn w:val="925"/>
    <w:next w:val="1195"/>
    <w:link w:val="925"/>
    <w:pPr>
      <w:jc w:val="center"/>
      <w:spacing w:before="100" w:beforeAutospacing="1" w:after="100" w:afterAutospacing="1"/>
      <w:widowControl/>
    </w:pPr>
    <w:rPr>
      <w:rFonts w:ascii="宋体" w:hAnsi="宋体" w:cs="宋体"/>
      <w:sz w:val="20"/>
      <w:szCs w:val="20"/>
    </w:rPr>
  </w:style>
  <w:style w:type="paragraph" w:styleId="1196">
    <w:name w:val="xl174"/>
    <w:basedOn w:val="925"/>
    <w:next w:val="119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xl175"/>
    <w:basedOn w:val="925"/>
    <w:next w:val="119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8">
    <w:name w:val="xl176"/>
    <w:basedOn w:val="925"/>
    <w:next w:val="119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name w:val="xl177"/>
    <w:basedOn w:val="925"/>
    <w:next w:val="1199"/>
    <w:link w:val="925"/>
    <w:pPr>
      <w:jc w:val="center"/>
      <w:spacing w:before="100" w:beforeAutospacing="1" w:after="100" w:afterAutospacing="1"/>
      <w:widowControl/>
    </w:pPr>
    <w:rPr>
      <w:rFonts w:ascii="仿宋_GB2312" w:hAnsi="宋体" w:eastAsia="仿宋_GB2312" w:cs="宋体"/>
      <w:b/>
      <w:bCs/>
      <w:sz w:val="24"/>
    </w:rPr>
  </w:style>
  <w:style w:type="paragraph" w:styleId="1200">
    <w:name w:val="xl178"/>
    <w:basedOn w:val="925"/>
    <w:next w:val="1200"/>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79"/>
    <w:basedOn w:val="925"/>
    <w:next w:val="120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2">
    <w:name w:val="xl180"/>
    <w:basedOn w:val="925"/>
    <w:next w:val="1202"/>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3">
    <w:name w:val="xl181"/>
    <w:basedOn w:val="925"/>
    <w:next w:val="120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4">
    <w:name w:val="xl182"/>
    <w:basedOn w:val="925"/>
    <w:next w:val="120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5">
    <w:name w:val="样式 标题 2 + Times New Roman 四号 非加粗 段前: 5 磅 段后: 0 磅 行距: 固定值 20..."/>
    <w:basedOn w:val="927"/>
    <w:next w:val="1205"/>
    <w:link w:val="925"/>
    <w:qFormat/>
    <w:pPr>
      <w:jc w:val="both"/>
      <w:spacing w:before="100" w:line="400" w:lineRule="exact"/>
    </w:pPr>
    <w:rPr>
      <w:rFonts w:ascii="Times New Roman" w:hAnsi="Times New Roman"/>
      <w:b w:val="0"/>
      <w:sz w:val="28"/>
    </w:rPr>
  </w:style>
  <w:style w:type="paragraph" w:styleId="1206">
    <w:name w:val="CM92"/>
    <w:basedOn w:val="1103"/>
    <w:next w:val="1103"/>
    <w:link w:val="925"/>
    <w:qFormat/>
    <w:pPr>
      <w:spacing w:after="530"/>
    </w:pPr>
    <w:rPr>
      <w:rFonts w:ascii="宋体" w:hAnsi="Times New Roman" w:cs="宋体"/>
      <w:color w:val="000000"/>
    </w:rPr>
  </w:style>
  <w:style w:type="paragraph" w:styleId="1207">
    <w:name w:val="样式 标题 3 + (中文) 黑体 小四 非加粗 段前: 7.8 磅 段后: 0 磅 行距: 固定值 20 磅"/>
    <w:basedOn w:val="928"/>
    <w:next w:val="1207"/>
    <w:link w:val="925"/>
    <w:qFormat/>
    <w:pPr>
      <w:jc w:val="both"/>
      <w:spacing w:before="0" w:after="0" w:line="400" w:lineRule="exact"/>
    </w:pPr>
    <w:rPr>
      <w:rFonts w:eastAsia="黑体" w:cs="宋体"/>
      <w:b w:val="0"/>
      <w:color w:val="ff0000"/>
      <w:u w:val="none"/>
    </w:rPr>
  </w:style>
  <w:style w:type="paragraph" w:styleId="1208">
    <w:name w:val="Other|1"/>
    <w:basedOn w:val="925"/>
    <w:next w:val="1208"/>
    <w:link w:val="925"/>
    <w:qFormat/>
    <w:pPr>
      <w:ind w:firstLine="90"/>
      <w:spacing w:line="334" w:lineRule="auto"/>
    </w:pPr>
    <w:rPr>
      <w:rFonts w:ascii="宋体" w:hAnsi="宋体" w:eastAsia="宋体" w:cs="宋体"/>
      <w:sz w:val="36"/>
      <w:szCs w:val="36"/>
      <w:lang w:val="zh-TW" w:eastAsia="zh-TW" w:bidi="zh-TW"/>
    </w:rPr>
  </w:style>
  <w:style w:type="paragraph" w:styleId="1209">
    <w:name w:val="msolistparagraph"/>
    <w:basedOn w:val="925"/>
    <w:next w:val="1209"/>
    <w:link w:val="925"/>
    <w:qFormat/>
    <w:pPr>
      <w:contextualSpacing/>
      <w:ind w:left="720"/>
    </w:pPr>
    <w:rPr>
      <w:rFonts w:ascii="Calibri" w:hAnsi="Calibri" w:cs="Times New Roman"/>
      <w:szCs w:val="20"/>
    </w:rPr>
  </w:style>
  <w:style w:type="character" w:styleId="1210" w:default="1">
    <w:name w:val="Default Paragraph Font"/>
    <w:uiPriority w:val="1"/>
    <w:semiHidden/>
    <w:unhideWhenUsed/>
  </w:style>
  <w:style w:type="numbering" w:styleId="1211" w:default="1">
    <w:name w:val="No List"/>
    <w:uiPriority w:val="99"/>
    <w:semiHidden/>
    <w:unhideWhenUsed/>
  </w:style>
  <w:style w:type="table" w:styleId="12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4</cp:revision>
  <dcterms:created xsi:type="dcterms:W3CDTF">2026-06-03T02:50:00Z</dcterms:created>
  <dcterms:modified xsi:type="dcterms:W3CDTF">2026-06-12T06:17:50Z</dcterms:modified>
</cp:coreProperties>
</file>