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5"/>
        <w:ind w:firstLine="0"/>
        <w:jc w:val="center"/>
        <w:spacing w:before="0" w:after="0"/>
        <w:rPr>
          <w:rFonts w:hint="eastAsia" w:ascii="宋体" w:hAnsi="宋体" w:cs="宋体"/>
          <w:b/>
          <w:bCs/>
          <w:color w:val="auto"/>
          <w:sz w:val="84"/>
          <w:szCs w:val="84"/>
        </w:rPr>
      </w:pPr>
      <w:r/>
      <w:bookmarkStart w:id="0" w:name="_Toc2539"/>
      <w:r/>
      <w:bookmarkStart w:id="1" w:name="_Toc10769"/>
      <w:r/>
      <w:bookmarkStart w:id="2" w:name="_Toc6554"/>
      <w:r/>
      <w:bookmarkStart w:id="3" w:name="_Toc5544"/>
      <w:r/>
      <w:bookmarkStart w:id="4" w:name="_Toc6715"/>
      <w:r/>
      <w:bookmarkStart w:id="5" w:name="_Toc3793"/>
      <w:r/>
      <w:r/>
    </w:p>
    <w:p>
      <w:pPr>
        <w:pStyle w:val="1115"/>
        <w:ind w:firstLine="0"/>
        <w:jc w:val="center"/>
        <w:spacing w:before="0" w:after="0"/>
        <w:rPr>
          <w:rFonts w:hint="eastAsia" w:ascii="宋体" w:hAnsi="宋体" w:cs="宋体"/>
          <w:b/>
          <w:bCs/>
          <w:color w:val="auto"/>
          <w:sz w:val="84"/>
          <w:szCs w:val="84"/>
        </w:rPr>
        <w:outlineLvl w:val="0"/>
      </w:pPr>
      <w:r>
        <w:rPr>
          <w:rFonts w:hint="eastAsia" w:ascii="宋体" w:hAnsi="宋体" w:cs="宋体"/>
          <w:b/>
          <w:bCs/>
          <w:color w:val="auto"/>
          <w:sz w:val="84"/>
          <w:szCs w:val="84"/>
        </w:rPr>
        <w:t xml:space="preserve">招　标　文　件</w:t>
      </w:r>
      <w:bookmarkEnd w:id="0"/>
      <w:r/>
      <w:bookmarkEnd w:id="1"/>
      <w:r/>
      <w:bookmarkEnd w:id="2"/>
      <w:r/>
      <w:bookmarkEnd w:id="3"/>
      <w:r/>
      <w:bookmarkEnd w:id="4"/>
      <w:r/>
      <w:bookmarkEnd w:id="5"/>
      <w:r/>
      <w:r/>
    </w:p>
    <w:p>
      <w:pPr>
        <w:pStyle w:val="1115"/>
        <w:ind w:firstLine="1928"/>
        <w:spacing w:line="440" w:lineRule="exact"/>
        <w:rPr>
          <w:rFonts w:hint="eastAsia" w:ascii="宋体" w:hAnsi="宋体"/>
          <w:b/>
          <w:bCs/>
          <w:color w:val="auto"/>
          <w:sz w:val="32"/>
          <w:szCs w:val="32"/>
        </w:rPr>
      </w:pPr>
      <w:r>
        <w:rPr>
          <w:rFonts w:hint="eastAsia" w:ascii="宋体" w:hAnsi="宋体"/>
          <w:b/>
          <w:bCs/>
          <w:color w:val="auto"/>
          <w:sz w:val="32"/>
          <w:szCs w:val="32"/>
        </w:rPr>
      </w:r>
      <w:r/>
    </w:p>
    <w:p>
      <w:pPr>
        <w:pStyle w:val="1115"/>
        <w:ind w:firstLine="1928"/>
        <w:spacing w:line="440" w:lineRule="exact"/>
        <w:rPr>
          <w:rFonts w:hint="eastAsia" w:ascii="宋体" w:hAnsi="宋体"/>
          <w:b/>
          <w:bCs/>
          <w:color w:val="auto"/>
          <w:sz w:val="32"/>
          <w:szCs w:val="32"/>
        </w:rPr>
      </w:pPr>
      <w:r>
        <w:rPr>
          <w:rFonts w:hint="eastAsia" w:ascii="宋体" w:hAnsi="宋体"/>
          <w:b/>
          <w:bCs/>
          <w:color w:val="auto"/>
          <w:sz w:val="32"/>
          <w:szCs w:val="32"/>
        </w:rPr>
      </w:r>
      <w:r/>
    </w:p>
    <w:p>
      <w:pPr>
        <w:pStyle w:val="1115"/>
        <w:ind w:firstLine="1928"/>
        <w:spacing w:line="440" w:lineRule="exact"/>
        <w:rPr>
          <w:rFonts w:hint="eastAsia" w:ascii="宋体" w:hAnsi="宋体"/>
          <w:b/>
          <w:bCs/>
          <w:color w:val="auto"/>
          <w:sz w:val="32"/>
          <w:szCs w:val="32"/>
        </w:rPr>
      </w:pPr>
      <w:r>
        <w:rPr>
          <w:rFonts w:hint="eastAsia" w:ascii="宋体" w:hAnsi="宋体"/>
          <w:b/>
          <w:bCs/>
          <w:color w:val="auto"/>
          <w:sz w:val="32"/>
          <w:szCs w:val="32"/>
        </w:rPr>
      </w:r>
      <w:r/>
    </w:p>
    <w:p>
      <w:pPr>
        <w:pStyle w:val="1115"/>
        <w:ind w:firstLine="1928"/>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pStyle w:val="1115"/>
        <w:ind w:firstLine="0"/>
        <w:jc w:val="center"/>
        <w:spacing w:before="0" w:after="0"/>
        <w:rPr>
          <w:rFonts w:hint="eastAsia" w:ascii="宋体" w:hAnsi="宋体" w:cs="宋体"/>
          <w:b/>
          <w:bCs/>
          <w:color w:val="auto"/>
          <w:sz w:val="32"/>
          <w:szCs w:val="32"/>
        </w:rPr>
      </w:pPr>
      <w:r/>
      <w:bookmarkStart w:id="6" w:name="_Toc17697"/>
      <w:r/>
      <w:bookmarkStart w:id="7" w:name="_Toc14121"/>
      <w:r/>
      <w:bookmarkStart w:id="8" w:name="_Toc2262"/>
      <w:r>
        <w:rPr>
          <w:rFonts w:hint="eastAsia" w:ascii="宋体" w:hAnsi="宋体" w:cs="宋体"/>
          <w:b/>
          <w:bCs/>
          <w:color w:val="auto"/>
          <w:sz w:val="32"/>
          <w:szCs w:val="32"/>
        </w:rPr>
        <w:t xml:space="preserve">项目名称：</w:t>
      </w:r>
      <w:bookmarkEnd w:id="6"/>
      <w:r/>
      <w:bookmarkEnd w:id="7"/>
      <w:r/>
      <w:bookmarkEnd w:id="8"/>
      <w:r>
        <w:rPr>
          <w:rFonts w:hint="eastAsia" w:ascii="宋体" w:hAnsi="宋体" w:cs="宋体"/>
          <w:b/>
          <w:bCs/>
          <w:color w:val="auto"/>
          <w:sz w:val="32"/>
          <w:szCs w:val="32"/>
        </w:rPr>
        <w:t xml:space="preserve">杨新公路-西二环快速化改造照明项目</w:t>
      </w:r>
      <w:r/>
    </w:p>
    <w:p>
      <w:pPr>
        <w:pStyle w:val="1115"/>
        <w:ind w:firstLine="0"/>
        <w:jc w:val="center"/>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标书编号：JSZC-320582-BSHC-G2026-0004</w:t>
      </w:r>
      <w:r/>
    </w:p>
    <w:p>
      <w:pPr>
        <w:pStyle w:val="1115"/>
        <w:ind w:firstLine="0"/>
        <w:jc w:val="center"/>
        <w:spacing w:before="0" w:after="0"/>
        <w:rPr>
          <w:rFonts w:hint="eastAsia" w:ascii="宋体" w:hAnsi="宋体" w:cs="宋体"/>
          <w:b/>
          <w:bCs/>
          <w:color w:val="auto"/>
          <w:sz w:val="32"/>
          <w:szCs w:val="32"/>
        </w:rPr>
      </w:pPr>
      <w:r>
        <w:rPr>
          <w:rFonts w:hint="eastAsia" w:ascii="宋体" w:hAnsi="宋体"/>
          <w:b/>
          <w:color w:val="auto"/>
          <w:sz w:val="32"/>
          <w:szCs w:val="32"/>
        </w:rPr>
        <w:t xml:space="preserve">项目属性：</w:t>
      </w:r>
      <w:r>
        <w:rPr>
          <w:rFonts w:hint="eastAsia" w:ascii="宋体" w:hAnsi="宋体"/>
          <w:b/>
          <w:bCs/>
          <w:color w:val="auto"/>
          <w:sz w:val="32"/>
          <w:szCs w:val="32"/>
        </w:rPr>
        <w:t xml:space="preserve">货物类</w:t>
      </w:r>
      <w:r/>
    </w:p>
    <w:p>
      <w:pPr>
        <w:pStyle w:val="1115"/>
        <w:ind w:firstLine="640"/>
        <w:spacing w:before="0" w:after="0" w:line="440" w:lineRule="exact"/>
        <w:rPr>
          <w:rFonts w:hint="eastAsia" w:ascii="宋体" w:hAnsi="宋体"/>
          <w:color w:val="auto"/>
          <w:sz w:val="32"/>
          <w:szCs w:val="32"/>
        </w:rPr>
      </w:pPr>
      <w:r>
        <w:rPr>
          <w:rFonts w:hint="eastAsia" w:ascii="宋体" w:hAnsi="宋体"/>
          <w:color w:val="auto"/>
          <w:sz w:val="32"/>
          <w:szCs w:val="32"/>
        </w:rPr>
        <w:t xml:space="preserve">                            </w:t>
      </w:r>
      <w:r/>
    </w:p>
    <w:p>
      <w:pPr>
        <w:ind w:firstLine="2329"/>
        <w:jc w:val="center"/>
        <w:spacing w:line="300" w:lineRule="auto"/>
        <w:rPr>
          <w:b/>
          <w:bCs/>
          <w:color w:val="auto"/>
          <w:sz w:val="32"/>
          <w:szCs w:val="32"/>
        </w:rPr>
      </w:pPr>
      <w:r>
        <w:rPr>
          <w:b/>
          <w:bCs/>
          <w:color w:val="auto"/>
          <w:sz w:val="32"/>
          <w:szCs w:val="32"/>
        </w:rPr>
      </w:r>
      <w:r/>
    </w:p>
    <w:p>
      <w:pPr>
        <w:pStyle w:val="1091"/>
        <w:rPr>
          <w:b/>
          <w:bCs/>
          <w:color w:val="auto"/>
          <w:sz w:val="32"/>
          <w:szCs w:val="32"/>
        </w:rPr>
      </w:pPr>
      <w:r>
        <w:rPr>
          <w:b/>
          <w:bCs/>
          <w:color w:val="auto"/>
          <w:sz w:val="32"/>
          <w:szCs w:val="32"/>
        </w:rPr>
      </w:r>
      <w:r/>
    </w:p>
    <w:p>
      <w:pPr>
        <w:pStyle w:val="1091"/>
        <w:rPr>
          <w:b/>
          <w:bCs/>
          <w:color w:val="auto"/>
          <w:sz w:val="32"/>
          <w:szCs w:val="32"/>
        </w:rPr>
      </w:pPr>
      <w:r>
        <w:rPr>
          <w:b/>
          <w:bCs/>
          <w:color w:val="auto"/>
          <w:sz w:val="32"/>
          <w:szCs w:val="32"/>
        </w:rPr>
      </w:r>
      <w:r/>
    </w:p>
    <w:p>
      <w:pPr>
        <w:rPr>
          <w:b/>
          <w:bCs/>
          <w:color w:val="auto"/>
          <w:sz w:val="32"/>
          <w:szCs w:val="32"/>
        </w:rPr>
      </w:pPr>
      <w:r>
        <w:rPr>
          <w:b/>
          <w:bCs/>
          <w:color w:val="auto"/>
          <w:sz w:val="32"/>
          <w:szCs w:val="32"/>
        </w:rPr>
      </w:r>
      <w:r/>
    </w:p>
    <w:p>
      <w:pPr>
        <w:pStyle w:val="935"/>
        <w:rPr>
          <w:rFonts w:hint="eastAsia"/>
          <w:b/>
          <w:bCs/>
          <w:color w:val="auto"/>
          <w:sz w:val="32"/>
          <w:szCs w:val="32"/>
        </w:rPr>
      </w:pPr>
      <w:r>
        <w:rPr>
          <w:rFonts w:hint="eastAsia"/>
          <w:b/>
          <w:bCs/>
          <w:color w:val="auto"/>
          <w:sz w:val="32"/>
          <w:szCs w:val="32"/>
        </w:rPr>
      </w:r>
      <w:r/>
    </w:p>
    <w:p>
      <w:pPr>
        <w:rPr>
          <w:b/>
          <w:bCs/>
          <w:color w:val="auto"/>
          <w:sz w:val="32"/>
          <w:szCs w:val="32"/>
        </w:rPr>
      </w:pPr>
      <w:r>
        <w:rPr>
          <w:b/>
          <w:bCs/>
          <w:color w:val="auto"/>
          <w:sz w:val="32"/>
          <w:szCs w:val="32"/>
        </w:rPr>
      </w:r>
      <w:r/>
    </w:p>
    <w:p>
      <w:pPr>
        <w:pStyle w:val="935"/>
        <w:rPr>
          <w:rFonts w:hint="eastAsia"/>
          <w:color w:val="auto"/>
        </w:rPr>
      </w:pPr>
      <w:r>
        <w:rPr>
          <w:rFonts w:hint="eastAsia"/>
          <w:color w:val="auto"/>
        </w:rPr>
      </w:r>
      <w:r/>
    </w:p>
    <w:p>
      <w:pPr>
        <w:ind w:firstLine="0"/>
        <w:jc w:val="center"/>
        <w:spacing w:line="300" w:lineRule="auto"/>
        <w:rPr>
          <w:b/>
          <w:bCs/>
          <w:color w:val="auto"/>
          <w:sz w:val="32"/>
          <w:szCs w:val="32"/>
        </w:rPr>
      </w:pPr>
      <w:r>
        <w:rPr>
          <w:b/>
          <w:bCs/>
          <w:color w:val="auto"/>
          <w:sz w:val="32"/>
          <w:szCs w:val="32"/>
        </w:rPr>
      </w:r>
      <w:r/>
    </w:p>
    <w:p>
      <w:pPr>
        <w:ind w:firstLine="0"/>
        <w:jc w:val="center"/>
        <w:rPr>
          <w:b/>
          <w:bCs/>
          <w:color w:val="auto"/>
          <w:sz w:val="32"/>
          <w:szCs w:val="32"/>
        </w:rPr>
      </w:pPr>
      <w:r/>
      <w:bookmarkStart w:id="9" w:name="_Toc513029200"/>
      <w:r/>
      <w:bookmarkStart w:id="10" w:name="_Toc523127445"/>
      <w:r/>
      <w:bookmarkStart w:id="11" w:name="_Toc16938516"/>
      <w:r/>
      <w:bookmarkStart w:id="12" w:name="_Toc20823272"/>
      <w:r/>
      <w:bookmarkStart w:id="13" w:name="_Toc120614211"/>
      <w:r/>
      <w:bookmarkStart w:id="14" w:name="_Toc479757206"/>
      <w:r>
        <w:rPr>
          <w:rFonts w:hint="eastAsia"/>
          <w:b/>
          <w:bCs/>
          <w:color w:val="auto"/>
          <w:sz w:val="32"/>
          <w:szCs w:val="32"/>
        </w:rPr>
        <w:t xml:space="preserve">张家港保税区汇采招投标代理有限公司</w:t>
      </w:r>
      <w:r/>
    </w:p>
    <w:p>
      <w:pPr>
        <w:pStyle w:val="1115"/>
        <w:ind w:firstLine="0"/>
        <w:jc w:val="center"/>
        <w:spacing w:before="0" w:after="0" w:line="440" w:lineRule="exact"/>
        <w:rPr>
          <w:rFonts w:hint="eastAsia" w:ascii="宋体" w:hAnsi="宋体"/>
          <w:color w:val="auto"/>
          <w:sz w:val="32"/>
          <w:szCs w:val="32"/>
        </w:rPr>
      </w:pPr>
      <w:r>
        <w:rPr>
          <w:rFonts w:hint="eastAsia" w:ascii="宋体" w:hAnsi="宋体"/>
          <w:color w:val="auto"/>
          <w:sz w:val="32"/>
          <w:szCs w:val="32"/>
        </w:rPr>
      </w:r>
      <w:r/>
    </w:p>
    <w:p>
      <w:pPr>
        <w:pStyle w:val="1094"/>
        <w:ind w:firstLine="0"/>
        <w:jc w:val="center"/>
        <w:rPr>
          <w:rFonts w:hint="eastAsia" w:ascii="宋体" w:hAnsi="宋体"/>
          <w:b/>
          <w:bCs/>
          <w:color w:val="auto"/>
          <w:sz w:val="32"/>
          <w:szCs w:val="32"/>
        </w:rPr>
      </w:pPr>
      <w:r>
        <w:rPr>
          <w:rFonts w:hint="eastAsia" w:ascii="宋体" w:hAnsi="宋体"/>
          <w:b/>
          <w:bCs/>
          <w:color w:val="auto"/>
          <w:sz w:val="32"/>
          <w:szCs w:val="32"/>
        </w:rPr>
        <w:t xml:space="preserve">2026年</w:t>
      </w:r>
      <w:r>
        <w:rPr>
          <w:rFonts w:hint="eastAsia" w:ascii="宋体" w:hAnsi="宋体"/>
          <w:b/>
          <w:bCs/>
          <w:color w:val="auto"/>
          <w:sz w:val="32"/>
          <w:szCs w:val="32"/>
          <w:lang w:val="en-US" w:eastAsia="zh-CN"/>
        </w:rPr>
        <w:t xml:space="preserve">6</w:t>
      </w:r>
      <w:r>
        <w:rPr>
          <w:rFonts w:hint="eastAsia" w:ascii="宋体" w:hAnsi="宋体"/>
          <w:b/>
          <w:bCs/>
          <w:color w:val="auto"/>
          <w:sz w:val="32"/>
          <w:szCs w:val="32"/>
        </w:rPr>
        <w:t xml:space="preserve">月</w:t>
      </w:r>
      <w:r/>
    </w:p>
    <w:p>
      <w:pPr>
        <w:ind w:firstLine="420"/>
        <w:rPr>
          <w:color w:val="auto"/>
        </w:rPr>
      </w:pPr>
      <w:r>
        <w:rPr>
          <w:color w:val="auto"/>
        </w:rPr>
      </w:r>
      <w:r/>
    </w:p>
    <w:p>
      <w:pPr>
        <w:ind w:firstLine="0"/>
        <w:jc w:val="center"/>
        <w:pageBreakBefore/>
        <w:spacing w:before="200" w:after="120"/>
        <w:rPr>
          <w:rFonts w:hint="eastAsia" w:ascii="宋体" w:hAnsi="宋体" w:cs="宋体"/>
          <w:b/>
          <w:bCs/>
          <w:color w:val="auto"/>
          <w:sz w:val="44"/>
          <w:szCs w:val="44"/>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5" w:name="_Toc120614210"/>
      <w:r/>
      <w:r/>
    </w:p>
    <w:p>
      <w:pPr>
        <w:ind w:firstLine="0"/>
        <w:jc w:val="center"/>
        <w:pageBreakBefore/>
        <w:spacing w:before="200" w:after="120"/>
        <w:rPr>
          <w:rFonts w:hint="eastAsia" w:ascii="Arial" w:hAnsi="宋体" w:eastAsia="黑体" w:cs="Arial"/>
          <w:color w:val="auto"/>
          <w:sz w:val="24"/>
        </w:rPr>
      </w:pPr>
      <w:r>
        <w:rPr>
          <w:rFonts w:hint="eastAsia" w:ascii="宋体" w:hAnsi="宋体" w:cs="宋体"/>
          <w:b/>
          <w:bCs/>
          <w:color w:val="auto"/>
          <w:sz w:val="44"/>
          <w:szCs w:val="44"/>
        </w:rPr>
        <w:t xml:space="preserve">总  目  录</w:t>
      </w:r>
      <w:r/>
    </w:p>
    <w:p>
      <w:pPr>
        <w:ind w:firstLine="562"/>
        <w:tabs>
          <w:tab w:val="left" w:pos="1440" w:leader="none"/>
        </w:tabs>
        <w:rPr>
          <w:color w:val="auto"/>
        </w:rPr>
      </w:pPr>
      <w:r>
        <w:rPr>
          <w:rFonts w:hint="eastAsia" w:ascii="仿宋_GB2312" w:eastAsia="仿宋_GB2312"/>
          <w:b/>
          <w:bCs/>
          <w:color w:val="auto"/>
          <w:sz w:val="28"/>
          <w:szCs w:val="28"/>
        </w:rPr>
        <w:t xml:space="preserve"> </w:t>
      </w:r>
      <w:r/>
    </w:p>
    <w:p>
      <w:pPr>
        <w:ind w:firstLine="723"/>
        <w:spacing w:line="480" w:lineRule="auto"/>
        <w:rPr>
          <w:rFonts w:hint="eastAsia" w:ascii="黑体" w:hAnsi="黑体" w:eastAsia="黑体" w:cs="黑体"/>
          <w:b/>
          <w:color w:val="auto"/>
          <w:sz w:val="24"/>
        </w:rPr>
      </w:pPr>
      <w:r>
        <w:rPr>
          <w:rFonts w:hint="eastAsia" w:ascii="黑体" w:hAnsi="黑体" w:eastAsia="黑体" w:cs="黑体"/>
          <w:b/>
          <w:color w:val="auto"/>
          <w:sz w:val="24"/>
        </w:rPr>
        <w:t xml:space="preserve">     </w:t>
      </w:r>
      <w:r/>
    </w:p>
    <w:p>
      <w:pPr>
        <w:pStyle w:val="1097"/>
        <w:ind w:firstLine="0"/>
        <w:spacing w:line="480" w:lineRule="auto"/>
        <w:tabs>
          <w:tab w:val="right" w:pos="9746" w:leader="dot"/>
        </w:tabs>
        <w:rPr>
          <w:rFonts w:hint="eastAsia" w:ascii="宋体" w:hAnsi="宋体" w:cs="宋体"/>
          <w:color w:val="auto"/>
          <w:sz w:val="28"/>
          <w:szCs w:val="36"/>
        </w:rPr>
      </w:pPr>
      <w:r>
        <w:rPr>
          <w:rFonts w:hint="eastAsia" w:ascii="宋体" w:hAnsi="宋体" w:cs="宋体"/>
          <w:color w:val="auto"/>
          <w:sz w:val="28"/>
          <w:szCs w:val="36"/>
        </w:rPr>
        <w:fldChar w:fldCharType="begin"/>
      </w:r>
      <w:r>
        <w:rPr>
          <w:rFonts w:hint="eastAsia" w:ascii="宋体" w:hAnsi="宋体" w:cs="宋体"/>
          <w:color w:val="auto"/>
          <w:sz w:val="28"/>
          <w:szCs w:val="36"/>
        </w:rPr>
        <w:instrText xml:space="preserve">TOC \o "1-1" \h \u </w:instrText>
      </w:r>
      <w:r>
        <w:rPr>
          <w:rFonts w:hint="eastAsia" w:ascii="宋体" w:hAnsi="宋体" w:cs="宋体"/>
          <w:color w:val="auto"/>
          <w:sz w:val="28"/>
          <w:szCs w:val="36"/>
        </w:rPr>
        <w:fldChar w:fldCharType="separate"/>
      </w:r>
      <w:r>
        <w:rPr>
          <w:color w:val="auto"/>
        </w:rPr>
        <w:fldChar w:fldCharType="begin"/>
      </w:r>
      <w:r>
        <w:rPr>
          <w:color w:val="auto"/>
        </w:rPr>
        <w:instrText xml:space="preserve"> HYPERLINK \l "_Toc17527" </w:instrText>
      </w:r>
      <w:r>
        <w:rPr>
          <w:color w:val="auto"/>
        </w:rPr>
        <w:fldChar w:fldCharType="separate"/>
      </w:r>
      <w:r>
        <w:rPr>
          <w:rFonts w:hint="eastAsia" w:ascii="宋体" w:hAnsi="宋体" w:cs="宋体"/>
          <w:bCs/>
          <w:color w:val="auto"/>
          <w:sz w:val="28"/>
          <w:szCs w:val="44"/>
        </w:rPr>
        <w:t xml:space="preserve">第一章 投标邀请</w:t>
      </w:r>
      <w:r>
        <w:rPr>
          <w:rFonts w:hint="eastAsia" w:ascii="宋体" w:hAnsi="宋体" w:cs="宋体"/>
          <w:color w:val="auto"/>
          <w:sz w:val="28"/>
          <w:szCs w:val="36"/>
        </w:rPr>
        <w:tab/>
      </w:r>
      <w:r>
        <w:rPr>
          <w:rFonts w:hint="eastAsia" w:ascii="宋体" w:hAnsi="宋体" w:cs="宋体"/>
          <w:color w:val="auto"/>
          <w:sz w:val="28"/>
          <w:szCs w:val="36"/>
        </w:rPr>
        <w:fldChar w:fldCharType="begin"/>
      </w:r>
      <w:r>
        <w:rPr>
          <w:rFonts w:hint="eastAsia" w:ascii="宋体" w:hAnsi="宋体" w:cs="宋体"/>
          <w:color w:val="auto"/>
          <w:sz w:val="28"/>
          <w:szCs w:val="36"/>
        </w:rPr>
        <w:instrText xml:space="preserve"> PAGEREF _Toc17527 \h </w:instrText>
      </w:r>
      <w:r>
        <w:rPr>
          <w:rFonts w:hint="eastAsia" w:ascii="宋体" w:hAnsi="宋体" w:cs="宋体"/>
          <w:color w:val="auto"/>
          <w:sz w:val="28"/>
          <w:szCs w:val="36"/>
        </w:rPr>
        <w:fldChar w:fldCharType="separate"/>
      </w:r>
      <w:r>
        <w:rPr>
          <w:rFonts w:hint="eastAsia" w:ascii="宋体" w:hAnsi="宋体" w:cs="宋体"/>
          <w:color w:val="auto"/>
          <w:sz w:val="28"/>
          <w:szCs w:val="36"/>
        </w:rPr>
        <w:t xml:space="preserve">1</w:t>
      </w:r>
      <w:r>
        <w:rPr>
          <w:rFonts w:hint="eastAsia" w:ascii="宋体" w:hAnsi="宋体" w:cs="宋体"/>
          <w:color w:val="auto"/>
          <w:sz w:val="28"/>
          <w:szCs w:val="36"/>
        </w:rPr>
        <w:fldChar w:fldCharType="end"/>
      </w:r>
      <w:r>
        <w:rPr>
          <w:rFonts w:hint="eastAsia" w:ascii="宋体" w:hAnsi="宋体" w:cs="宋体"/>
          <w:color w:val="auto"/>
          <w:sz w:val="28"/>
          <w:szCs w:val="36"/>
        </w:rPr>
        <w:fldChar w:fldCharType="end"/>
      </w:r>
      <w:r/>
    </w:p>
    <w:p>
      <w:pPr>
        <w:pStyle w:val="1097"/>
        <w:ind w:firstLine="0"/>
        <w:spacing w:line="480" w:lineRule="auto"/>
        <w:tabs>
          <w:tab w:val="right" w:pos="9746" w:leader="dot"/>
        </w:tabs>
        <w:rPr>
          <w:rFonts w:hint="eastAsia" w:ascii="宋体" w:hAnsi="宋体" w:cs="宋体"/>
          <w:color w:val="auto"/>
          <w:sz w:val="28"/>
          <w:szCs w:val="36"/>
        </w:rPr>
      </w:pPr>
      <w:r>
        <w:rPr>
          <w:color w:val="auto"/>
        </w:rPr>
        <w:fldChar w:fldCharType="begin"/>
      </w:r>
      <w:r>
        <w:rPr>
          <w:color w:val="auto"/>
        </w:rPr>
        <w:instrText xml:space="preserve"> HYPERLINK \l "_Toc29007" </w:instrText>
      </w:r>
      <w:r>
        <w:rPr>
          <w:color w:val="auto"/>
        </w:rPr>
        <w:fldChar w:fldCharType="separate"/>
      </w:r>
      <w:r>
        <w:rPr>
          <w:rFonts w:hint="eastAsia" w:ascii="宋体" w:hAnsi="宋体" w:cs="宋体"/>
          <w:bCs/>
          <w:color w:val="auto"/>
          <w:sz w:val="28"/>
          <w:szCs w:val="44"/>
        </w:rPr>
        <w:t xml:space="preserve">第二章 投标人须知</w:t>
      </w:r>
      <w:r>
        <w:rPr>
          <w:rFonts w:hint="eastAsia" w:ascii="宋体" w:hAnsi="宋体" w:cs="宋体"/>
          <w:color w:val="auto"/>
          <w:sz w:val="28"/>
          <w:szCs w:val="36"/>
        </w:rPr>
        <w:tab/>
      </w:r>
      <w:r>
        <w:rPr>
          <w:rFonts w:hint="eastAsia" w:ascii="宋体" w:hAnsi="宋体" w:cs="宋体"/>
          <w:color w:val="auto"/>
          <w:sz w:val="28"/>
          <w:szCs w:val="36"/>
        </w:rPr>
        <w:fldChar w:fldCharType="begin"/>
      </w:r>
      <w:r>
        <w:rPr>
          <w:rFonts w:hint="eastAsia" w:ascii="宋体" w:hAnsi="宋体" w:cs="宋体"/>
          <w:color w:val="auto"/>
          <w:sz w:val="28"/>
          <w:szCs w:val="36"/>
        </w:rPr>
        <w:instrText xml:space="preserve"> PAGEREF _Toc29007 \h </w:instrText>
      </w:r>
      <w:r>
        <w:rPr>
          <w:rFonts w:hint="eastAsia" w:ascii="宋体" w:hAnsi="宋体" w:cs="宋体"/>
          <w:color w:val="auto"/>
          <w:sz w:val="28"/>
          <w:szCs w:val="36"/>
        </w:rPr>
        <w:fldChar w:fldCharType="separate"/>
      </w:r>
      <w:r>
        <w:rPr>
          <w:rFonts w:hint="eastAsia" w:ascii="宋体" w:hAnsi="宋体" w:cs="宋体"/>
          <w:color w:val="auto"/>
          <w:sz w:val="28"/>
          <w:szCs w:val="36"/>
        </w:rPr>
        <w:t xml:space="preserve">5</w:t>
      </w:r>
      <w:r>
        <w:rPr>
          <w:rFonts w:hint="eastAsia" w:ascii="宋体" w:hAnsi="宋体" w:cs="宋体"/>
          <w:color w:val="auto"/>
          <w:sz w:val="28"/>
          <w:szCs w:val="36"/>
        </w:rPr>
        <w:fldChar w:fldCharType="end"/>
      </w:r>
      <w:r>
        <w:rPr>
          <w:rFonts w:hint="eastAsia" w:ascii="宋体" w:hAnsi="宋体" w:cs="宋体"/>
          <w:color w:val="auto"/>
          <w:sz w:val="28"/>
          <w:szCs w:val="36"/>
        </w:rPr>
        <w:fldChar w:fldCharType="end"/>
      </w:r>
      <w:r/>
    </w:p>
    <w:p>
      <w:pPr>
        <w:pStyle w:val="1097"/>
        <w:ind w:firstLine="0"/>
        <w:spacing w:line="480" w:lineRule="auto"/>
        <w:tabs>
          <w:tab w:val="right" w:pos="9746" w:leader="dot"/>
        </w:tabs>
        <w:rPr>
          <w:rFonts w:hint="eastAsia" w:ascii="宋体" w:hAnsi="宋体" w:cs="宋体"/>
          <w:color w:val="auto"/>
          <w:sz w:val="28"/>
          <w:szCs w:val="36"/>
        </w:rPr>
      </w:pPr>
      <w:r>
        <w:rPr>
          <w:color w:val="auto"/>
        </w:rPr>
        <w:fldChar w:fldCharType="begin"/>
      </w:r>
      <w:r>
        <w:rPr>
          <w:color w:val="auto"/>
        </w:rPr>
        <w:instrText xml:space="preserve"> HYPERLINK \l "_Toc26922" </w:instrText>
      </w:r>
      <w:r>
        <w:rPr>
          <w:color w:val="auto"/>
        </w:rPr>
        <w:fldChar w:fldCharType="separate"/>
      </w:r>
      <w:r>
        <w:rPr>
          <w:rFonts w:hint="eastAsia" w:ascii="宋体" w:hAnsi="宋体" w:cs="宋体"/>
          <w:bCs/>
          <w:color w:val="auto"/>
          <w:sz w:val="28"/>
          <w:szCs w:val="44"/>
        </w:rPr>
        <w:t xml:space="preserve">第三章 合同条款及格式</w:t>
      </w:r>
      <w:r>
        <w:rPr>
          <w:rFonts w:hint="eastAsia" w:ascii="宋体" w:hAnsi="宋体" w:cs="宋体"/>
          <w:color w:val="auto"/>
          <w:sz w:val="28"/>
          <w:szCs w:val="36"/>
        </w:rPr>
        <w:tab/>
      </w:r>
      <w:r>
        <w:rPr>
          <w:rFonts w:hint="eastAsia" w:ascii="宋体" w:hAnsi="宋体" w:cs="宋体"/>
          <w:color w:val="auto"/>
          <w:sz w:val="28"/>
          <w:szCs w:val="36"/>
        </w:rPr>
        <w:fldChar w:fldCharType="begin"/>
      </w:r>
      <w:r>
        <w:rPr>
          <w:rFonts w:hint="eastAsia" w:ascii="宋体" w:hAnsi="宋体" w:cs="宋体"/>
          <w:color w:val="auto"/>
          <w:sz w:val="28"/>
          <w:szCs w:val="36"/>
        </w:rPr>
        <w:instrText xml:space="preserve"> PAGEREF _Toc26922 \h </w:instrText>
      </w:r>
      <w:r>
        <w:rPr>
          <w:rFonts w:hint="eastAsia" w:ascii="宋体" w:hAnsi="宋体" w:cs="宋体"/>
          <w:color w:val="auto"/>
          <w:sz w:val="28"/>
          <w:szCs w:val="36"/>
        </w:rPr>
        <w:fldChar w:fldCharType="separate"/>
      </w:r>
      <w:r>
        <w:rPr>
          <w:rFonts w:hint="eastAsia" w:ascii="宋体" w:hAnsi="宋体" w:cs="宋体"/>
          <w:color w:val="auto"/>
          <w:sz w:val="28"/>
          <w:szCs w:val="36"/>
        </w:rPr>
        <w:t xml:space="preserve">15</w:t>
      </w:r>
      <w:r>
        <w:rPr>
          <w:rFonts w:hint="eastAsia" w:ascii="宋体" w:hAnsi="宋体" w:cs="宋体"/>
          <w:color w:val="auto"/>
          <w:sz w:val="28"/>
          <w:szCs w:val="36"/>
        </w:rPr>
        <w:fldChar w:fldCharType="end"/>
      </w:r>
      <w:r>
        <w:rPr>
          <w:rFonts w:hint="eastAsia" w:ascii="宋体" w:hAnsi="宋体" w:cs="宋体"/>
          <w:color w:val="auto"/>
          <w:sz w:val="28"/>
          <w:szCs w:val="36"/>
        </w:rPr>
        <w:fldChar w:fldCharType="end"/>
      </w:r>
      <w:r/>
    </w:p>
    <w:p>
      <w:pPr>
        <w:pStyle w:val="1097"/>
        <w:ind w:firstLine="0"/>
        <w:spacing w:line="480" w:lineRule="auto"/>
        <w:tabs>
          <w:tab w:val="right" w:pos="9746" w:leader="dot"/>
        </w:tabs>
        <w:rPr>
          <w:rFonts w:hint="eastAsia" w:ascii="宋体" w:hAnsi="宋体" w:cs="宋体"/>
          <w:color w:val="auto"/>
          <w:sz w:val="28"/>
          <w:szCs w:val="36"/>
        </w:rPr>
      </w:pPr>
      <w:r>
        <w:rPr>
          <w:color w:val="auto"/>
        </w:rPr>
        <w:fldChar w:fldCharType="begin"/>
      </w:r>
      <w:r>
        <w:rPr>
          <w:color w:val="auto"/>
        </w:rPr>
        <w:instrText xml:space="preserve"> HYPERLINK \l "_Toc18404" </w:instrText>
      </w:r>
      <w:r>
        <w:rPr>
          <w:color w:val="auto"/>
        </w:rPr>
        <w:fldChar w:fldCharType="separate"/>
      </w:r>
      <w:r>
        <w:rPr>
          <w:rFonts w:hint="eastAsia" w:ascii="宋体" w:hAnsi="宋体" w:cs="宋体"/>
          <w:bCs/>
          <w:color w:val="auto"/>
          <w:sz w:val="28"/>
          <w:szCs w:val="44"/>
        </w:rPr>
        <w:t xml:space="preserve">第四章 项目需求</w:t>
      </w:r>
      <w:r>
        <w:rPr>
          <w:rFonts w:hint="eastAsia" w:ascii="宋体" w:hAnsi="宋体" w:cs="宋体"/>
          <w:color w:val="auto"/>
          <w:sz w:val="28"/>
          <w:szCs w:val="36"/>
        </w:rPr>
        <w:tab/>
      </w:r>
      <w:r>
        <w:rPr>
          <w:rFonts w:hint="eastAsia" w:ascii="宋体" w:hAnsi="宋体" w:cs="宋体"/>
          <w:color w:val="auto"/>
          <w:sz w:val="28"/>
          <w:szCs w:val="36"/>
        </w:rPr>
        <w:fldChar w:fldCharType="begin"/>
      </w:r>
      <w:r>
        <w:rPr>
          <w:rFonts w:hint="eastAsia" w:ascii="宋体" w:hAnsi="宋体" w:cs="宋体"/>
          <w:color w:val="auto"/>
          <w:sz w:val="28"/>
          <w:szCs w:val="36"/>
        </w:rPr>
        <w:instrText xml:space="preserve"> PAGEREF _Toc18404 \h </w:instrText>
      </w:r>
      <w:r>
        <w:rPr>
          <w:rFonts w:hint="eastAsia" w:ascii="宋体" w:hAnsi="宋体" w:cs="宋体"/>
          <w:color w:val="auto"/>
          <w:sz w:val="28"/>
          <w:szCs w:val="36"/>
        </w:rPr>
        <w:fldChar w:fldCharType="separate"/>
      </w:r>
      <w:r>
        <w:rPr>
          <w:rFonts w:hint="eastAsia" w:ascii="宋体" w:hAnsi="宋体" w:cs="宋体"/>
          <w:color w:val="auto"/>
          <w:sz w:val="28"/>
          <w:szCs w:val="36"/>
        </w:rPr>
        <w:t xml:space="preserve">20</w:t>
      </w:r>
      <w:r>
        <w:rPr>
          <w:rFonts w:hint="eastAsia" w:ascii="宋体" w:hAnsi="宋体" w:cs="宋体"/>
          <w:color w:val="auto"/>
          <w:sz w:val="28"/>
          <w:szCs w:val="36"/>
        </w:rPr>
        <w:fldChar w:fldCharType="end"/>
      </w:r>
      <w:r>
        <w:rPr>
          <w:rFonts w:hint="eastAsia" w:ascii="宋体" w:hAnsi="宋体" w:cs="宋体"/>
          <w:color w:val="auto"/>
          <w:sz w:val="28"/>
          <w:szCs w:val="36"/>
        </w:rPr>
        <w:fldChar w:fldCharType="end"/>
      </w:r>
      <w:r/>
    </w:p>
    <w:p>
      <w:pPr>
        <w:pStyle w:val="1097"/>
        <w:ind w:firstLine="0"/>
        <w:spacing w:line="480" w:lineRule="auto"/>
        <w:tabs>
          <w:tab w:val="right" w:pos="9746" w:leader="dot"/>
        </w:tabs>
        <w:rPr>
          <w:rFonts w:hint="eastAsia" w:ascii="宋体" w:hAnsi="宋体" w:cs="宋体"/>
          <w:color w:val="auto"/>
          <w:sz w:val="28"/>
          <w:szCs w:val="36"/>
        </w:rPr>
      </w:pPr>
      <w:r>
        <w:rPr>
          <w:color w:val="auto"/>
        </w:rPr>
        <w:fldChar w:fldCharType="begin"/>
      </w:r>
      <w:r>
        <w:rPr>
          <w:color w:val="auto"/>
        </w:rPr>
        <w:instrText xml:space="preserve"> HYPERLINK \l "_Toc21635" </w:instrText>
      </w:r>
      <w:r>
        <w:rPr>
          <w:color w:val="auto"/>
        </w:rPr>
        <w:fldChar w:fldCharType="separate"/>
      </w:r>
      <w:r>
        <w:rPr>
          <w:rFonts w:hint="eastAsia" w:ascii="宋体" w:hAnsi="宋体" w:cs="宋体"/>
          <w:bCs/>
          <w:color w:val="auto"/>
          <w:sz w:val="28"/>
          <w:szCs w:val="44"/>
        </w:rPr>
        <w:t xml:space="preserve">第五章 评标方法与评标标准</w:t>
      </w:r>
      <w:r>
        <w:rPr>
          <w:rFonts w:hint="eastAsia" w:ascii="宋体" w:hAnsi="宋体" w:cs="宋体"/>
          <w:color w:val="auto"/>
          <w:sz w:val="28"/>
          <w:szCs w:val="36"/>
        </w:rPr>
        <w:tab/>
      </w:r>
      <w:r>
        <w:rPr>
          <w:rFonts w:hint="eastAsia" w:ascii="宋体" w:hAnsi="宋体" w:cs="宋体"/>
          <w:color w:val="auto"/>
          <w:sz w:val="28"/>
          <w:szCs w:val="36"/>
        </w:rPr>
        <w:fldChar w:fldCharType="begin"/>
      </w:r>
      <w:r>
        <w:rPr>
          <w:rFonts w:hint="eastAsia" w:ascii="宋体" w:hAnsi="宋体" w:cs="宋体"/>
          <w:color w:val="auto"/>
          <w:sz w:val="28"/>
          <w:szCs w:val="36"/>
        </w:rPr>
        <w:instrText xml:space="preserve"> PAGEREF _Toc21635 \h </w:instrText>
      </w:r>
      <w:r>
        <w:rPr>
          <w:rFonts w:hint="eastAsia" w:ascii="宋体" w:hAnsi="宋体" w:cs="宋体"/>
          <w:color w:val="auto"/>
          <w:sz w:val="28"/>
          <w:szCs w:val="36"/>
        </w:rPr>
        <w:fldChar w:fldCharType="separate"/>
      </w:r>
      <w:r>
        <w:rPr>
          <w:rFonts w:hint="eastAsia" w:ascii="宋体" w:hAnsi="宋体" w:cs="宋体"/>
          <w:color w:val="auto"/>
          <w:sz w:val="28"/>
          <w:szCs w:val="36"/>
        </w:rPr>
        <w:t xml:space="preserve">50</w:t>
      </w:r>
      <w:r>
        <w:rPr>
          <w:rFonts w:hint="eastAsia" w:ascii="宋体" w:hAnsi="宋体" w:cs="宋体"/>
          <w:color w:val="auto"/>
          <w:sz w:val="28"/>
          <w:szCs w:val="36"/>
        </w:rPr>
        <w:fldChar w:fldCharType="end"/>
      </w:r>
      <w:r>
        <w:rPr>
          <w:rFonts w:hint="eastAsia" w:ascii="宋体" w:hAnsi="宋体" w:cs="宋体"/>
          <w:color w:val="auto"/>
          <w:sz w:val="28"/>
          <w:szCs w:val="36"/>
        </w:rPr>
        <w:fldChar w:fldCharType="end"/>
      </w:r>
      <w:r/>
    </w:p>
    <w:p>
      <w:pPr>
        <w:pStyle w:val="1097"/>
        <w:ind w:firstLine="0"/>
        <w:spacing w:line="480" w:lineRule="auto"/>
        <w:tabs>
          <w:tab w:val="right" w:pos="9746" w:leader="dot"/>
        </w:tabs>
        <w:rPr>
          <w:rFonts w:hint="eastAsia" w:ascii="宋体" w:hAnsi="宋体" w:eastAsia="宋体" w:cs="宋体"/>
          <w:color w:val="auto"/>
          <w:sz w:val="28"/>
          <w:szCs w:val="36"/>
          <w:lang w:val="en-US" w:eastAsia="zh-CN"/>
        </w:rPr>
      </w:pPr>
      <w:r>
        <w:rPr>
          <w:color w:val="auto"/>
        </w:rPr>
        <w:fldChar w:fldCharType="begin"/>
      </w:r>
      <w:r>
        <w:rPr>
          <w:color w:val="auto"/>
        </w:rPr>
        <w:instrText xml:space="preserve"> HYPERLINK \l "_Toc299" </w:instrText>
      </w:r>
      <w:r>
        <w:rPr>
          <w:color w:val="auto"/>
        </w:rPr>
        <w:fldChar w:fldCharType="separate"/>
      </w:r>
      <w:r>
        <w:rPr>
          <w:rFonts w:hint="eastAsia" w:ascii="宋体" w:hAnsi="宋体" w:cs="宋体"/>
          <w:bCs/>
          <w:color w:val="auto"/>
          <w:sz w:val="28"/>
          <w:szCs w:val="44"/>
        </w:rPr>
        <w:t xml:space="preserve">第六章 投标文件格式</w:t>
      </w:r>
      <w:r>
        <w:rPr>
          <w:rFonts w:hint="eastAsia" w:ascii="宋体" w:hAnsi="宋体" w:cs="宋体"/>
          <w:color w:val="auto"/>
          <w:sz w:val="28"/>
          <w:szCs w:val="36"/>
        </w:rPr>
        <w:tab/>
      </w:r>
      <w:r>
        <w:rPr>
          <w:rFonts w:hint="eastAsia" w:ascii="宋体" w:hAnsi="宋体" w:cs="宋体"/>
          <w:color w:val="auto"/>
          <w:sz w:val="28"/>
          <w:szCs w:val="36"/>
          <w:lang w:val="en-US" w:eastAsia="zh-CN"/>
        </w:rPr>
        <w:t xml:space="preserve">5</w:t>
      </w:r>
      <w:r>
        <w:rPr>
          <w:rFonts w:hint="eastAsia" w:ascii="宋体" w:hAnsi="宋体" w:cs="宋体"/>
          <w:color w:val="auto"/>
          <w:sz w:val="28"/>
          <w:szCs w:val="36"/>
        </w:rPr>
        <w:fldChar w:fldCharType="end"/>
      </w:r>
      <w:r>
        <w:rPr>
          <w:rFonts w:hint="eastAsia" w:ascii="宋体" w:hAnsi="宋体" w:cs="宋体"/>
          <w:color w:val="auto"/>
          <w:sz w:val="28"/>
          <w:szCs w:val="36"/>
          <w:lang w:val="en-US" w:eastAsia="zh-CN"/>
        </w:rPr>
        <w:t xml:space="preserve">9</w:t>
      </w:r>
      <w:r/>
    </w:p>
    <w:p>
      <w:pPr>
        <w:ind w:firstLine="0"/>
        <w:spacing w:line="480" w:lineRule="auto"/>
        <w:rPr>
          <w:color w:val="auto"/>
        </w:rPr>
      </w:pPr>
      <w:r>
        <w:rPr>
          <w:rFonts w:hint="eastAsia" w:ascii="宋体" w:hAnsi="宋体" w:cs="宋体"/>
          <w:color w:val="auto"/>
          <w:sz w:val="28"/>
          <w:szCs w:val="36"/>
        </w:rPr>
        <w:fldChar w:fldCharType="end"/>
      </w:r>
      <w:r/>
    </w:p>
    <w:p>
      <w:pPr>
        <w:ind w:firstLine="723"/>
        <w:rPr>
          <w:rFonts w:hint="eastAsia" w:ascii="黑体" w:hAnsi="黑体" w:eastAsia="黑体" w:cs="黑体"/>
          <w:color w:val="auto"/>
          <w:sz w:val="24"/>
        </w:rPr>
      </w:pPr>
      <w:r>
        <w:rPr>
          <w:rFonts w:hint="eastAsia" w:ascii="黑体" w:hAnsi="黑体" w:eastAsia="黑体" w:cs="黑体"/>
          <w:b/>
          <w:color w:val="auto"/>
          <w:sz w:val="24"/>
        </w:rPr>
        <w:t xml:space="preserve"> </w:t>
      </w:r>
      <w:r/>
    </w:p>
    <w:p>
      <w:pPr>
        <w:ind w:firstLine="723"/>
        <w:rPr>
          <w:rFonts w:hint="eastAsia" w:hAnsi="宋体"/>
          <w:color w:val="auto"/>
          <w:sz w:val="24"/>
        </w:rPr>
      </w:pPr>
      <w:r>
        <w:rPr>
          <w:rFonts w:hint="eastAsia"/>
          <w:b/>
          <w:color w:val="auto"/>
          <w:sz w:val="24"/>
        </w:rPr>
        <w:t xml:space="preserve">     </w:t>
      </w:r>
      <w:r/>
    </w:p>
    <w:p>
      <w:pPr>
        <w:ind w:firstLine="420"/>
        <w:rPr>
          <w:rFonts w:hint="eastAsia" w:hAnsi="宋体"/>
          <w:color w:val="auto"/>
          <w:szCs w:val="21"/>
        </w:rPr>
      </w:pPr>
      <w:r>
        <w:rPr>
          <w:rFonts w:hint="eastAsia" w:hAnsi="宋体"/>
          <w:color w:val="auto"/>
          <w:szCs w:val="21"/>
        </w:rPr>
      </w:r>
      <w:r/>
    </w:p>
    <w:p>
      <w:pPr>
        <w:ind w:firstLine="420"/>
        <w:rPr>
          <w:rFonts w:hint="eastAsia" w:hAnsi="宋体"/>
          <w:color w:val="auto"/>
          <w:szCs w:val="21"/>
        </w:rPr>
      </w:pPr>
      <w:r>
        <w:rPr>
          <w:rFonts w:hint="eastAsia" w:hAnsi="宋体"/>
          <w:color w:val="auto"/>
          <w:szCs w:val="21"/>
        </w:rPr>
      </w:r>
      <w:r/>
    </w:p>
    <w:p>
      <w:pPr>
        <w:ind w:firstLine="199"/>
        <w:rPr>
          <w:rFonts w:hint="eastAsia" w:hAnsi="宋体"/>
          <w:color w:val="auto"/>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color w:val="auto"/>
          <w:szCs w:val="21"/>
        </w:rPr>
      </w:r>
      <w:bookmarkEnd w:id="15"/>
      <w:r/>
      <w:r/>
    </w:p>
    <w:p>
      <w:pPr>
        <w:numPr>
          <w:ilvl w:val="0"/>
          <w:numId w:val="2"/>
        </w:numPr>
        <w:jc w:val="center"/>
        <w:pageBreakBefore/>
        <w:spacing w:after="20" w:line="480" w:lineRule="exact"/>
        <w:rPr>
          <w:rFonts w:hint="eastAsia" w:ascii="宋体" w:hAnsi="宋体" w:cs="宋体"/>
          <w:b/>
          <w:bCs/>
          <w:color w:val="auto"/>
          <w:sz w:val="32"/>
          <w:szCs w:val="32"/>
        </w:rPr>
        <w:outlineLvl w:val="0"/>
      </w:pPr>
      <w:r/>
      <w:bookmarkStart w:id="16" w:name="_Toc23092"/>
      <w:r/>
      <w:bookmarkStart w:id="17" w:name="_Toc17527"/>
      <w:r/>
      <w:bookmarkStart w:id="18" w:name="_Toc25300"/>
      <w:r/>
      <w:bookmarkStart w:id="19" w:name="_Toc789"/>
      <w:r/>
      <w:bookmarkStart w:id="20" w:name="_Toc3895"/>
      <w:r/>
      <w:bookmarkStart w:id="21" w:name="_Toc31221"/>
      <w:r>
        <w:rPr>
          <w:rFonts w:hint="eastAsia" w:ascii="宋体" w:hAnsi="宋体" w:cs="宋体"/>
          <w:b/>
          <w:bCs/>
          <w:color w:val="auto"/>
          <w:sz w:val="32"/>
          <w:szCs w:val="32"/>
        </w:rPr>
        <w:t xml:space="preserve">投标邀请</w:t>
      </w:r>
      <w:bookmarkEnd w:id="16"/>
      <w:r/>
      <w:bookmarkEnd w:id="17"/>
      <w:r/>
      <w:bookmarkEnd w:id="18"/>
      <w:r/>
      <w:bookmarkEnd w:id="19"/>
      <w:r/>
      <w:bookmarkEnd w:id="20"/>
      <w:r/>
      <w:bookmarkEnd w:id="21"/>
      <w:r/>
      <w:r/>
    </w:p>
    <w:p>
      <w:pPr>
        <w:ind w:firstLine="480"/>
        <w:spacing w:line="400" w:lineRule="exact"/>
        <w:rPr>
          <w:color w:val="auto"/>
        </w:rPr>
      </w:pPr>
      <w:r>
        <w:rPr>
          <w:rFonts w:hint="eastAsia" w:ascii="宋体" w:hAnsi="宋体" w:cs="宋体"/>
          <w:color w:val="auto"/>
          <w:sz w:val="24"/>
          <w:highlight w:val="none"/>
        </w:rPr>
        <w:t xml:space="preserve">杨新公路-西二环快速化改造照明项目JSZC-320582-BSHC-G2026-0004 </w:t>
      </w:r>
      <w:r>
        <w:rPr>
          <w:rFonts w:hint="eastAsia" w:ascii="宋体" w:hAnsi="宋体" w:cs="宋体"/>
          <w:color w:val="auto"/>
          <w:sz w:val="24"/>
          <w:lang w:bidi="ar"/>
        </w:rPr>
        <w:t xml:space="preserve">招标项目的潜在投标人应在苏采云政府采购一体化平台（网址：http://jszfcg.jsczt.cn/） 获取招标文件，</w:t>
      </w:r>
      <w:r>
        <w:rPr>
          <w:rFonts w:hint="eastAsia" w:ascii="宋体" w:hAnsi="宋体" w:cs="宋体"/>
          <w:color w:val="auto"/>
          <w:sz w:val="24"/>
        </w:rPr>
        <w:t xml:space="preserve">并于</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:30</w:t>
      </w:r>
      <w:r>
        <w:rPr>
          <w:rFonts w:hint="eastAsia" w:ascii="宋体" w:hAnsi="宋体" w:cs="宋体"/>
          <w:color w:val="auto"/>
          <w:sz w:val="24"/>
        </w:rPr>
        <w:t xml:space="preserve">（北京时间）前递交投标文件。</w:t>
      </w:r>
      <w:r/>
    </w:p>
    <w:p>
      <w:pPr>
        <w:numPr>
          <w:ilvl w:val="0"/>
          <w:numId w:val="3"/>
        </w:numPr>
        <w:ind w:firstLine="0"/>
        <w:spacing w:line="400" w:lineRule="exact"/>
        <w:rPr>
          <w:rFonts w:hint="eastAsia" w:ascii="宋体" w:hAnsi="宋体" w:cs="宋体"/>
          <w:b/>
          <w:bCs/>
          <w:color w:val="auto"/>
          <w:sz w:val="24"/>
        </w:rPr>
        <w:outlineLvl w:val="1"/>
      </w:pPr>
      <w:r/>
      <w:bookmarkStart w:id="22" w:name="_Toc19500"/>
      <w:r/>
      <w:bookmarkStart w:id="23" w:name="_Toc1246"/>
      <w:r/>
      <w:bookmarkStart w:id="24" w:name="_Toc22623"/>
      <w:r>
        <w:rPr>
          <w:rFonts w:hint="eastAsia" w:ascii="宋体" w:hAnsi="宋体" w:cs="宋体"/>
          <w:b/>
          <w:bCs/>
          <w:color w:val="auto"/>
          <w:sz w:val="24"/>
        </w:rPr>
        <w:t xml:space="preserve">项目概况</w:t>
      </w:r>
      <w:bookmarkEnd w:id="22"/>
      <w:r/>
      <w:bookmarkEnd w:id="23"/>
      <w:r/>
      <w:bookmarkEnd w:id="24"/>
      <w:r/>
      <w:r/>
    </w:p>
    <w:p>
      <w:p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项目名称：杨新公路-西二环快速化改造照明项目 </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项目编号：JSZC-320582-BSHC-G2026-0004</w:t>
      </w:r>
      <w:r/>
    </w:p>
    <w:p>
      <w:p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预算金额：3300万元</w:t>
      </w:r>
      <w:r/>
    </w:p>
    <w:p>
      <w:p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最高限价：3300万元</w:t>
      </w:r>
      <w:r/>
    </w:p>
    <w:p>
      <w:p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采购需求</w:t>
      </w:r>
      <w:r>
        <w:rPr>
          <w:rFonts w:hint="eastAsia" w:ascii="宋体" w:hAnsi="宋体" w:cs="宋体"/>
          <w:color w:val="auto"/>
          <w:sz w:val="24"/>
          <w:highlight w:val="none"/>
        </w:rPr>
        <w:t xml:space="preserve">：</w:t>
      </w:r>
      <w:r>
        <w:rPr>
          <w:rFonts w:hint="eastAsia" w:ascii="宋体" w:hAnsi="宋体" w:cs="宋体"/>
          <w:color w:val="auto"/>
          <w:spacing w:val="8"/>
          <w:sz w:val="24"/>
          <w:highlight w:val="none"/>
        </w:rPr>
        <w:t xml:space="preserve">本次招标的标的是</w:t>
      </w:r>
      <w:r>
        <w:rPr>
          <w:rFonts w:hint="eastAsia" w:ascii="宋体" w:hAnsi="宋体" w:cs="宋体"/>
          <w:color w:val="auto"/>
          <w:sz w:val="24"/>
          <w:highlight w:val="none"/>
        </w:rPr>
        <w:t xml:space="preserve">杨新公路</w:t>
      </w:r>
      <w:r>
        <w:rPr>
          <w:rFonts w:hint="eastAsia" w:ascii="宋体" w:hAnsi="宋体" w:cs="宋体"/>
          <w:color w:val="auto"/>
          <w:sz w:val="24"/>
        </w:rPr>
        <w:t xml:space="preserve">-西二环快速化改造照明项目，具体要求详见项目需求。</w:t>
      </w:r>
      <w:r/>
    </w:p>
    <w:p>
      <w:pPr>
        <w:ind w:firstLine="48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合同履行期限：202</w:t>
      </w:r>
      <w:r>
        <w:rPr>
          <w:rFonts w:hint="eastAsia" w:ascii="宋体" w:hAnsi="宋体" w:cs="宋体"/>
          <w:color w:val="auto"/>
          <w:sz w:val="24"/>
          <w:highlight w:val="none"/>
          <w:lang w:val="en-US" w:eastAsia="zh-CN"/>
        </w:rPr>
        <w:t xml:space="preserve">7年年底前</w:t>
      </w:r>
      <w:r>
        <w:rPr>
          <w:rFonts w:hint="eastAsia" w:ascii="宋体" w:hAnsi="宋体" w:cs="宋体"/>
          <w:color w:val="auto"/>
          <w:sz w:val="24"/>
          <w:highlight w:val="none"/>
        </w:rPr>
        <w:t xml:space="preserve">整体项目完成，并交付使用。遇不可抗力原因需迟延交货的，经采购人同意后可适当延期。</w:t>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本项目允许联合体投标。</w:t>
      </w:r>
      <w:r/>
    </w:p>
    <w:p>
      <w:pPr>
        <w:ind w:firstLine="480"/>
        <w:jc w:val="left"/>
        <w:spacing w:line="400" w:lineRule="exact"/>
        <w:widowControl/>
        <w:rPr>
          <w:rFonts w:hint="eastAsia" w:ascii="宋体" w:hAnsi="宋体" w:cs="宋体"/>
          <w:iCs/>
          <w:color w:val="auto"/>
          <w:spacing w:val="8"/>
          <w:sz w:val="24"/>
          <w:highlight w:val="none"/>
        </w:rPr>
      </w:pPr>
      <w:r>
        <w:rPr>
          <w:rFonts w:hint="eastAsia" w:ascii="宋体" w:hAnsi="宋体" w:cs="宋体"/>
          <w:iCs/>
          <w:color w:val="auto"/>
          <w:spacing w:val="8"/>
          <w:sz w:val="24"/>
          <w:highlight w:val="none"/>
        </w:rPr>
        <w:t xml:space="preserve">本项目</w:t>
      </w:r>
      <w:bookmarkStart w:id="25" w:name="EB2a3fbbe4d23a4a20a304091141d77e03"/>
      <w:r>
        <w:rPr>
          <w:rFonts w:hint="eastAsia" w:ascii="宋体" w:hAnsi="宋体" w:cs="宋体"/>
          <w:iCs/>
          <w:color w:val="auto"/>
          <w:spacing w:val="8"/>
          <w:sz w:val="24"/>
          <w:highlight w:val="none"/>
        </w:rPr>
        <w:t xml:space="preserve">不允许</w:t>
      </w:r>
      <w:bookmarkEnd w:id="25"/>
      <w:r>
        <w:rPr>
          <w:rFonts w:hint="eastAsia" w:ascii="宋体" w:hAnsi="宋体" w:cs="宋体"/>
          <w:iCs/>
          <w:color w:val="auto"/>
          <w:spacing w:val="8"/>
          <w:sz w:val="24"/>
          <w:highlight w:val="none"/>
        </w:rPr>
        <w:t xml:space="preserve">进口产品投标。</w:t>
      </w:r>
      <w:r/>
    </w:p>
    <w:p>
      <w:pPr>
        <w:numPr>
          <w:ilvl w:val="0"/>
          <w:numId w:val="3"/>
        </w:numPr>
        <w:ind w:firstLine="0"/>
        <w:spacing w:line="400" w:lineRule="exact"/>
        <w:rPr>
          <w:rFonts w:hint="eastAsia" w:ascii="宋体" w:hAnsi="宋体" w:cs="宋体"/>
          <w:b/>
          <w:bCs/>
          <w:color w:val="auto"/>
          <w:sz w:val="24"/>
        </w:rPr>
        <w:outlineLvl w:val="1"/>
      </w:pPr>
      <w:r/>
      <w:bookmarkStart w:id="26" w:name="_Toc7697"/>
      <w:r/>
      <w:bookmarkStart w:id="27" w:name="_Toc3044"/>
      <w:r/>
      <w:bookmarkStart w:id="28" w:name="_Toc23113"/>
      <w:r>
        <w:rPr>
          <w:rFonts w:hint="eastAsia" w:ascii="宋体" w:hAnsi="宋体" w:cs="宋体"/>
          <w:b/>
          <w:bCs/>
          <w:color w:val="auto"/>
          <w:sz w:val="24"/>
        </w:rPr>
        <w:t xml:space="preserve">供应商资格要求</w:t>
      </w:r>
      <w:bookmarkEnd w:id="26"/>
      <w:r/>
      <w:bookmarkEnd w:id="27"/>
      <w:r/>
      <w:bookmarkEnd w:id="28"/>
      <w:r/>
      <w:r/>
    </w:p>
    <w:p>
      <w:pPr>
        <w:pStyle w:val="935"/>
        <w:numPr>
          <w:ilvl w:val="0"/>
          <w:numId w:val="4"/>
        </w:numPr>
        <w:ind w:firstLine="480"/>
        <w:spacing w:line="400" w:lineRule="exact"/>
        <w:rPr>
          <w:rFonts w:hint="eastAsia" w:cs="宋体"/>
          <w:color w:val="auto"/>
        </w:rPr>
      </w:pPr>
      <w:r>
        <w:rPr>
          <w:rFonts w:hint="eastAsia"/>
          <w:color w:val="auto"/>
        </w:rPr>
        <w:t xml:space="preserve">满足《中华人民共和国政府采购法》第二十二条规定；</w:t>
      </w:r>
      <w:r/>
    </w:p>
    <w:p>
      <w:pPr>
        <w:pStyle w:val="935"/>
        <w:spacing w:line="400" w:lineRule="exact"/>
        <w:rPr>
          <w:rFonts w:hint="eastAsia" w:cs="宋体"/>
          <w:color w:val="auto"/>
        </w:rPr>
      </w:pPr>
      <w:r>
        <w:rPr>
          <w:rFonts w:hint="eastAsia" w:cs="宋体"/>
          <w:color w:val="auto"/>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35"/>
        <w:spacing w:line="400" w:lineRule="exact"/>
        <w:rPr>
          <w:rFonts w:hint="eastAsia" w:cs="宋体"/>
          <w:color w:val="auto"/>
        </w:rPr>
      </w:pPr>
      <w:r>
        <w:rPr>
          <w:rFonts w:hint="eastAsia" w:cs="宋体"/>
          <w:color w:val="auto"/>
        </w:rPr>
        <w:t xml:space="preserve">（2）财务状况报告（成立不满一年不需要提供）（若供应商为分公司，可提供总公司财务状况报告）；</w:t>
      </w:r>
      <w:r/>
    </w:p>
    <w:p>
      <w:pPr>
        <w:pStyle w:val="935"/>
        <w:spacing w:line="400" w:lineRule="exact"/>
        <w:rPr>
          <w:rFonts w:hint="eastAsia" w:cs="宋体"/>
          <w:color w:val="auto"/>
        </w:rPr>
      </w:pPr>
      <w:r>
        <w:rPr>
          <w:rFonts w:hint="eastAsia" w:cs="宋体"/>
          <w:color w:val="auto"/>
        </w:rPr>
        <w:t xml:space="preserve">（3）依法缴纳税收和社会保障资金的相关材料（如依法享受缓缴、免缴税收、社会保障资金的，应提供相关证明材料）；</w:t>
      </w:r>
      <w:r/>
    </w:p>
    <w:p>
      <w:pPr>
        <w:pStyle w:val="935"/>
        <w:spacing w:line="400" w:lineRule="exact"/>
        <w:rPr>
          <w:rFonts w:hint="eastAsia" w:cs="宋体"/>
          <w:color w:val="auto"/>
        </w:rPr>
      </w:pPr>
      <w:r>
        <w:rPr>
          <w:rFonts w:hint="eastAsia" w:cs="宋体"/>
          <w:color w:val="auto"/>
        </w:rPr>
        <w:t xml:space="preserve">（4）具备履行合同所必需的设备和专业技术能力的书面声明；</w:t>
      </w:r>
      <w:r/>
    </w:p>
    <w:p>
      <w:pPr>
        <w:pStyle w:val="935"/>
        <w:spacing w:line="400" w:lineRule="exact"/>
        <w:rPr>
          <w:rFonts w:hint="eastAsia" w:cs="宋体"/>
          <w:color w:val="auto"/>
        </w:rPr>
      </w:pPr>
      <w:r>
        <w:rPr>
          <w:rFonts w:hint="eastAsia" w:cs="宋体"/>
          <w:color w:val="auto"/>
        </w:rPr>
        <w:t xml:space="preserve">（5）参加政府采购活动前3年内在经营活动中没有重大违法记录的书面声明；</w:t>
      </w:r>
      <w:r/>
    </w:p>
    <w:p>
      <w:pPr>
        <w:pStyle w:val="935"/>
        <w:spacing w:line="400" w:lineRule="exact"/>
        <w:rPr>
          <w:rFonts w:hint="eastAsia" w:cs="宋体"/>
          <w:color w:val="auto"/>
        </w:rPr>
      </w:pPr>
      <w:r>
        <w:rPr>
          <w:rFonts w:hint="eastAsia" w:cs="宋体"/>
          <w:color w:val="auto"/>
        </w:rPr>
        <w:t xml:space="preserve">（6）授权委托书（被授权人非法定代表人的，应提供授权委托书；被授权人是法定代表人应提供授权委托书或法定代表人身份证明书）；</w:t>
      </w:r>
      <w:r/>
    </w:p>
    <w:p>
      <w:pPr>
        <w:pStyle w:val="935"/>
        <w:spacing w:line="400" w:lineRule="exact"/>
        <w:rPr>
          <w:rFonts w:hint="eastAsia" w:cs="宋体"/>
          <w:color w:val="auto"/>
        </w:rPr>
      </w:pPr>
      <w:r>
        <w:rPr>
          <w:rFonts w:hint="eastAsia" w:cs="宋体"/>
          <w:color w:val="auto"/>
        </w:rPr>
        <w:t xml:space="preserve">（7）关于资格证明文件的书面承诺。</w:t>
      </w:r>
      <w:r/>
    </w:p>
    <w:p>
      <w:pPr>
        <w:pStyle w:val="935"/>
        <w:numPr>
          <w:ilvl w:val="0"/>
          <w:numId w:val="4"/>
        </w:numPr>
        <w:ind w:firstLine="480"/>
        <w:spacing w:line="400" w:lineRule="exact"/>
        <w:rPr>
          <w:rFonts w:hint="eastAsia" w:cs="宋体"/>
          <w:color w:val="auto"/>
          <w:highlight w:val="none"/>
        </w:rPr>
      </w:pPr>
      <w:r>
        <w:rPr>
          <w:rFonts w:hint="eastAsia" w:cs="宋体"/>
          <w:color w:val="auto"/>
          <w:highlight w:val="none"/>
        </w:rPr>
        <w:t xml:space="preserve">落实政府采购政策需满足的资格要求：</w:t>
      </w:r>
      <w:r/>
    </w:p>
    <w:p>
      <w:pPr>
        <w:pStyle w:val="925"/>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项目预算总额的40%专门面向中小企业采购，并采用合同分包形式预留，其中该预留部分预留给小微企业的比例不低于60%。预留措施按照《政府采购促进中小企业发展管理办法》执行。本项目未预留份额部分不允许分包或转包。</w:t>
      </w:r>
      <w:r/>
    </w:p>
    <w:p>
      <w:pPr>
        <w:pStyle w:val="925"/>
        <w:ind w:firstLine="480"/>
        <w:keepLines w:val="0"/>
        <w:keepNext w:val="0"/>
        <w:pageBreakBefore w:val="0"/>
        <w:spacing w:beforeAutospacing="0" w:afterAutospacing="0" w:line="400" w:lineRule="exact"/>
        <w:widowControl/>
        <w:rPr>
          <w:rFonts w:hint="eastAsia"/>
        </w:rPr>
      </w:pPr>
      <w:r>
        <w:rPr>
          <w:rFonts w:hint="eastAsia" w:ascii="宋体" w:hAnsi="宋体" w:cs="宋体"/>
          <w:color w:val="auto"/>
          <w:sz w:val="24"/>
          <w:szCs w:val="24"/>
          <w:highlight w:val="none"/>
          <w:lang w:val="en-US" w:eastAsia="zh-CN"/>
        </w:rPr>
        <w:t xml:space="preserve">（2）联合体形式预留，即要求供应商以联合体形式参加采购活动，且联合体中中小企业承担的部分达到40%专门面向中小企业采购，其中该预留部分预留给小微企业的比例不低于60%。</w:t>
      </w:r>
      <w:r/>
    </w:p>
    <w:p>
      <w:pPr>
        <w:pStyle w:val="935"/>
        <w:numPr>
          <w:ilvl w:val="0"/>
          <w:numId w:val="4"/>
        </w:numPr>
        <w:ind w:firstLine="480"/>
        <w:spacing w:line="400" w:lineRule="exact"/>
        <w:rPr>
          <w:rFonts w:hint="eastAsia" w:cs="宋体"/>
          <w:i/>
          <w:iCs/>
          <w:color w:val="auto"/>
          <w:highlight w:val="none"/>
          <w:u w:val="single"/>
        </w:rPr>
      </w:pPr>
      <w:r>
        <w:rPr>
          <w:rFonts w:hint="eastAsia" w:cs="宋体"/>
          <w:color w:val="auto"/>
          <w:highlight w:val="none"/>
        </w:rPr>
        <w:t xml:space="preserve">本项目的特定资格要求：无。</w:t>
      </w:r>
      <w:r/>
    </w:p>
    <w:p>
      <w:pPr>
        <w:numPr>
          <w:ilvl w:val="0"/>
          <w:numId w:val="3"/>
        </w:numPr>
        <w:ind w:firstLine="0"/>
        <w:spacing w:line="400" w:lineRule="exact"/>
        <w:rPr>
          <w:rFonts w:hint="eastAsia" w:ascii="宋体" w:hAnsi="宋体" w:cs="宋体"/>
          <w:b/>
          <w:bCs/>
          <w:color w:val="auto"/>
          <w:sz w:val="24"/>
        </w:rPr>
        <w:outlineLvl w:val="1"/>
      </w:pPr>
      <w:r/>
      <w:bookmarkStart w:id="29" w:name="_Toc10458"/>
      <w:r/>
      <w:bookmarkStart w:id="30" w:name="_Toc11655"/>
      <w:r/>
      <w:bookmarkStart w:id="31" w:name="_Toc29811"/>
      <w:r>
        <w:rPr>
          <w:rFonts w:hint="eastAsia" w:ascii="宋体" w:hAnsi="宋体" w:cs="宋体"/>
          <w:b/>
          <w:bCs/>
          <w:color w:val="auto"/>
          <w:sz w:val="24"/>
        </w:rPr>
        <w:t xml:space="preserve">获取招标文件</w:t>
      </w:r>
      <w:bookmarkEnd w:id="29"/>
      <w:r/>
      <w:bookmarkEnd w:id="30"/>
      <w:r/>
      <w:bookmarkEnd w:id="31"/>
      <w:r/>
      <w:r/>
    </w:p>
    <w:p>
      <w:pPr>
        <w:pStyle w:val="925"/>
        <w:ind w:firstLine="480"/>
        <w:spacing w:beforeAutospacing="0" w:afterAutospacing="0"/>
        <w:widowControl/>
        <w:rPr>
          <w:rFonts w:hint="eastAsia" w:ascii="宋体" w:hAnsi="宋体" w:cs="宋体"/>
          <w:color w:val="auto"/>
        </w:rPr>
      </w:pPr>
      <w:r/>
      <w:bookmarkStart w:id="32" w:name="_Toc22145"/>
      <w:r/>
      <w:bookmarkStart w:id="33" w:name="_Toc18899"/>
      <w:r/>
      <w:bookmarkStart w:id="34" w:name="_Toc14544"/>
      <w:r>
        <w:rPr>
          <w:rFonts w:hint="eastAsia" w:ascii="宋体" w:hAnsi="宋体" w:cs="宋体"/>
          <w:color w:val="auto"/>
        </w:rPr>
        <w:t xml:space="preserve">时间：自招标文件公告发布之日起5个工作日</w:t>
      </w:r>
      <w:r/>
    </w:p>
    <w:p>
      <w:pPr>
        <w:ind w:firstLine="480"/>
        <w:jc w:val="left"/>
        <w:widowControl/>
        <w:rPr>
          <w:rFonts w:hint="eastAsia" w:ascii="宋体" w:hAnsi="宋体" w:cs="宋体"/>
          <w:color w:val="auto"/>
          <w:sz w:val="24"/>
          <w:lang w:bidi="ar"/>
        </w:rPr>
      </w:pPr>
      <w:r>
        <w:rPr>
          <w:rFonts w:hint="eastAsia" w:ascii="宋体" w:hAnsi="宋体" w:cs="宋体"/>
          <w:color w:val="auto"/>
          <w:sz w:val="24"/>
          <w:lang w:bidi="ar"/>
        </w:rPr>
        <w:t xml:space="preserve">地点：苏采云政府采购一体化平台（网址http://jszfcg.jsczt.cn/） </w:t>
      </w:r>
      <w:r/>
    </w:p>
    <w:p>
      <w:pPr>
        <w:ind w:firstLine="540"/>
        <w:shd w:val="clear" w:color="auto" w:fill="ffffff"/>
        <w:widowControl/>
        <w:rPr>
          <w:color w:val="auto"/>
          <w:spacing w:val="8"/>
          <w:sz w:val="24"/>
        </w:rPr>
      </w:pPr>
      <w:r>
        <w:rPr>
          <w:color w:val="auto"/>
          <w:spacing w:val="8"/>
          <w:sz w:val="24"/>
        </w:rPr>
        <w:t xml:space="preserve">1.CA证书办理</w:t>
      </w:r>
      <w:r/>
    </w:p>
    <w:p>
      <w:pPr>
        <w:ind w:firstLine="540"/>
        <w:shd w:val="clear" w:color="auto" w:fill="ffffff"/>
        <w:widowControl/>
        <w:rPr>
          <w:color w:val="auto"/>
          <w:spacing w:val="8"/>
          <w:sz w:val="24"/>
        </w:rPr>
      </w:pPr>
      <w:r>
        <w:rPr>
          <w:color w:val="auto"/>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color w:val="auto"/>
          <w:spacing w:val="8"/>
          <w:sz w:val="24"/>
        </w:rPr>
        <w:t xml:space="preserve">苏州市高新区邓尉路105号狮山科技馆一楼服务大厅</w:t>
      </w:r>
      <w:r>
        <w:rPr>
          <w:color w:val="auto"/>
          <w:spacing w:val="8"/>
          <w:sz w:val="24"/>
        </w:rPr>
        <w:t xml:space="preserve">窗口，咨询电话：</w:t>
      </w:r>
      <w:r>
        <w:rPr>
          <w:rFonts w:hint="eastAsia"/>
          <w:color w:val="auto"/>
          <w:spacing w:val="8"/>
          <w:sz w:val="24"/>
        </w:rPr>
        <w:t xml:space="preserve">0512-65737699。</w:t>
      </w:r>
      <w:r/>
    </w:p>
    <w:p>
      <w:pPr>
        <w:ind w:firstLine="540"/>
        <w:shd w:val="clear" w:color="auto" w:fill="ffffff"/>
        <w:widowControl/>
        <w:rPr>
          <w:color w:val="auto"/>
          <w:spacing w:val="8"/>
          <w:sz w:val="24"/>
        </w:rPr>
      </w:pPr>
      <w:r>
        <w:rPr>
          <w:color w:val="auto"/>
          <w:spacing w:val="8"/>
          <w:sz w:val="24"/>
        </w:rPr>
        <w:t xml:space="preserve">2.参与采购活动</w:t>
      </w:r>
      <w:r/>
    </w:p>
    <w:p>
      <w:pPr>
        <w:ind w:firstLine="540"/>
        <w:shd w:val="clear" w:color="auto" w:fill="ffffff"/>
        <w:widowControl/>
        <w:rPr>
          <w:color w:val="auto"/>
          <w:spacing w:val="8"/>
          <w:sz w:val="24"/>
        </w:rPr>
      </w:pPr>
      <w:r>
        <w:rPr>
          <w:color w:val="auto"/>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hd w:val="clear" w:color="auto" w:fill="ffffff"/>
        <w:widowControl/>
        <w:rPr>
          <w:color w:val="auto"/>
          <w:spacing w:val="8"/>
          <w:sz w:val="24"/>
        </w:rPr>
      </w:pPr>
      <w:r>
        <w:rPr>
          <w:color w:val="auto"/>
          <w:spacing w:val="8"/>
          <w:sz w:val="24"/>
        </w:rPr>
        <w:t xml:space="preserve">3.电子投标准备</w:t>
      </w:r>
      <w:r/>
    </w:p>
    <w:p>
      <w:pPr>
        <w:ind w:firstLine="540"/>
        <w:jc w:val="left"/>
        <w:shd w:val="clear" w:color="auto" w:fill="ffffff"/>
        <w:widowControl/>
        <w:rPr>
          <w:color w:val="auto"/>
          <w:spacing w:val="8"/>
          <w:sz w:val="24"/>
        </w:rPr>
      </w:pPr>
      <w:r>
        <w:rPr>
          <w:color w:val="auto"/>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hd w:val="clear" w:color="auto" w:fill="ffffff"/>
        <w:widowControl/>
        <w:rPr>
          <w:color w:val="auto"/>
          <w:spacing w:val="8"/>
          <w:sz w:val="24"/>
        </w:rPr>
      </w:pPr>
      <w:r>
        <w:rPr>
          <w:color w:val="auto"/>
          <w:spacing w:val="8"/>
          <w:sz w:val="24"/>
        </w:rPr>
        <w:t xml:space="preserve">在系统操作过程中如有疑问，请按以下方式联系：</w:t>
      </w:r>
      <w:r/>
    </w:p>
    <w:p>
      <w:pPr>
        <w:ind w:firstLine="540"/>
        <w:shd w:val="clear" w:color="auto" w:fill="ffffff"/>
        <w:widowControl/>
        <w:rPr>
          <w:color w:val="auto"/>
          <w:spacing w:val="8"/>
          <w:sz w:val="24"/>
        </w:rPr>
      </w:pPr>
      <w:r>
        <w:rPr>
          <w:color w:val="auto"/>
          <w:spacing w:val="8"/>
          <w:sz w:val="24"/>
        </w:rPr>
        <w:t xml:space="preserve">注册咨询：18261002950；</w:t>
      </w:r>
      <w:r/>
    </w:p>
    <w:p>
      <w:pPr>
        <w:ind w:firstLine="540"/>
        <w:shd w:val="clear" w:color="auto" w:fill="ffffff"/>
        <w:widowControl/>
        <w:rPr>
          <w:color w:val="auto"/>
          <w:spacing w:val="8"/>
          <w:sz w:val="24"/>
        </w:rPr>
      </w:pPr>
      <w:r>
        <w:rPr>
          <w:color w:val="auto"/>
          <w:spacing w:val="8"/>
          <w:sz w:val="24"/>
        </w:rPr>
        <w:t xml:space="preserve">CA技术咨询电话：400-608-6099；</w:t>
      </w:r>
      <w:r/>
    </w:p>
    <w:p>
      <w:pPr>
        <w:ind w:firstLine="540"/>
        <w:shd w:val="clear" w:color="auto" w:fill="ffffff"/>
        <w:widowControl/>
        <w:rPr>
          <w:color w:val="auto"/>
          <w:spacing w:val="8"/>
          <w:sz w:val="24"/>
        </w:rPr>
      </w:pPr>
      <w:r>
        <w:rPr>
          <w:color w:val="auto"/>
          <w:spacing w:val="8"/>
          <w:sz w:val="24"/>
        </w:rPr>
        <w:t xml:space="preserve">签章使用问题：025-83633811、025-83633812、15380932027、15371015030；</w:t>
      </w:r>
      <w:r/>
    </w:p>
    <w:p>
      <w:pPr>
        <w:ind w:firstLine="540"/>
        <w:shd w:val="clear" w:color="auto" w:fill="ffffff"/>
        <w:widowControl/>
        <w:rPr>
          <w:color w:val="auto"/>
          <w:spacing w:val="8"/>
          <w:sz w:val="24"/>
        </w:rPr>
      </w:pPr>
      <w:r>
        <w:rPr>
          <w:color w:val="auto"/>
          <w:spacing w:val="8"/>
          <w:sz w:val="24"/>
        </w:rPr>
        <w:t xml:space="preserve">系统使用指导与咨询：18261002950、0512-69820854。</w:t>
      </w:r>
      <w:r/>
    </w:p>
    <w:p>
      <w:pPr>
        <w:pStyle w:val="909"/>
        <w:ind w:firstLine="512"/>
        <w:rPr>
          <w:rFonts w:ascii="Times New Roman" w:hAnsi="Times New Roman" w:eastAsia="宋体"/>
          <w:color w:val="auto"/>
        </w:rPr>
      </w:pPr>
      <w:r>
        <w:rPr>
          <w:rFonts w:ascii="Times New Roman" w:hAnsi="Times New Roman" w:eastAsia="宋体"/>
          <w:color w:val="auto"/>
          <w:spacing w:val="8"/>
          <w:sz w:val="24"/>
        </w:rPr>
        <w:t xml:space="preserve">4.售价：无</w:t>
      </w:r>
      <w:r/>
    </w:p>
    <w:p>
      <w:pPr>
        <w:numPr>
          <w:ilvl w:val="0"/>
          <w:numId w:val="3"/>
        </w:numPr>
        <w:ind w:firstLine="0"/>
        <w:spacing w:line="400" w:lineRule="exact"/>
        <w:rPr>
          <w:rFonts w:hint="eastAsia" w:ascii="宋体" w:hAnsi="宋体" w:cs="宋体"/>
          <w:b/>
          <w:bCs/>
          <w:color w:val="auto"/>
          <w:sz w:val="24"/>
        </w:rPr>
        <w:outlineLvl w:val="1"/>
      </w:pPr>
      <w:r>
        <w:rPr>
          <w:rFonts w:hint="eastAsia" w:ascii="宋体" w:hAnsi="宋体" w:cs="宋体"/>
          <w:b/>
          <w:bCs/>
          <w:color w:val="auto"/>
          <w:sz w:val="24"/>
        </w:rPr>
        <w:t xml:space="preserve">提交投标文件截止时间、开标时间和地点</w:t>
      </w:r>
      <w:bookmarkEnd w:id="32"/>
      <w:r/>
      <w:bookmarkEnd w:id="33"/>
      <w:r/>
      <w:bookmarkEnd w:id="34"/>
      <w:r/>
      <w:r/>
    </w:p>
    <w:p>
      <w:pPr>
        <w:ind w:firstLine="480"/>
        <w:jc w:val="left"/>
        <w:spacing w:line="400" w:lineRule="exact"/>
        <w:widowControl/>
        <w:rPr>
          <w:rFonts w:hint="eastAsia" w:ascii="宋体" w:hAnsi="宋体" w:cs="宋体"/>
          <w:color w:val="auto"/>
          <w:sz w:val="24"/>
          <w:highlight w:val="none"/>
        </w:rPr>
      </w:pPr>
      <w:r/>
      <w:bookmarkStart w:id="218" w:name="_GoBack"/>
      <w:r>
        <w:rPr>
          <w:rFonts w:hint="eastAsia" w:ascii="宋体" w:hAnsi="宋体" w:cs="宋体"/>
          <w:color w:val="auto"/>
          <w:sz w:val="24"/>
          <w:highlight w:val="none"/>
        </w:rPr>
        <w:t xml:space="preserve">1.时间：2026年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：30(北京时间)</w:t>
      </w:r>
      <w:bookmarkEnd w:id="218"/>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pacing w:val="8"/>
          <w:sz w:val="24"/>
        </w:rPr>
        <w:t xml:space="preserve">2.开标</w:t>
      </w:r>
      <w:r>
        <w:rPr>
          <w:rFonts w:hint="eastAsia" w:ascii="宋体" w:hAnsi="宋体" w:cs="宋体"/>
          <w:color w:val="auto"/>
          <w:sz w:val="24"/>
        </w:rPr>
        <w:t xml:space="preserve">地点：江苏省政府采购一体化不见面开标（采购）大厅。</w:t>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cs="宋体"/>
          <w:b/>
          <w:bCs/>
          <w:color w:val="auto"/>
          <w:sz w:val="24"/>
        </w:rPr>
        <w:outlineLvl w:val="1"/>
      </w:pPr>
      <w:r/>
      <w:bookmarkStart w:id="35" w:name="_Toc27695"/>
      <w:r/>
      <w:bookmarkStart w:id="36" w:name="_Toc17677"/>
      <w:r/>
      <w:bookmarkStart w:id="37" w:name="_Toc17599"/>
      <w:r>
        <w:rPr>
          <w:rFonts w:hint="eastAsia" w:ascii="宋体" w:hAnsi="宋体" w:cs="宋体"/>
          <w:b/>
          <w:bCs/>
          <w:color w:val="auto"/>
          <w:sz w:val="24"/>
        </w:rPr>
        <w:t xml:space="preserve">公告期限</w:t>
      </w:r>
      <w:bookmarkEnd w:id="35"/>
      <w:r/>
      <w:bookmarkEnd w:id="36"/>
      <w:r/>
      <w:bookmarkEnd w:id="37"/>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自本公告发布之日起5个工作日。</w:t>
      </w:r>
      <w:r/>
    </w:p>
    <w:p>
      <w:pPr>
        <w:numPr>
          <w:ilvl w:val="0"/>
          <w:numId w:val="3"/>
        </w:numPr>
        <w:ind w:firstLine="0"/>
        <w:spacing w:line="400" w:lineRule="exact"/>
        <w:rPr>
          <w:rFonts w:hint="eastAsia" w:ascii="宋体" w:hAnsi="宋体" w:cs="宋体"/>
          <w:b/>
          <w:bCs/>
          <w:color w:val="auto"/>
          <w:sz w:val="24"/>
        </w:rPr>
        <w:outlineLvl w:val="1"/>
      </w:pPr>
      <w:r/>
      <w:bookmarkStart w:id="38" w:name="_Toc10825"/>
      <w:r/>
      <w:bookmarkStart w:id="39" w:name="_Toc3003"/>
      <w:r/>
      <w:bookmarkStart w:id="40" w:name="_Toc20437"/>
      <w:r>
        <w:rPr>
          <w:rFonts w:hint="eastAsia" w:ascii="宋体" w:hAnsi="宋体" w:cs="宋体"/>
          <w:b/>
          <w:bCs/>
          <w:color w:val="auto"/>
          <w:sz w:val="24"/>
        </w:rPr>
        <w:t xml:space="preserve">其他补充事宜</w:t>
      </w:r>
      <w:bookmarkEnd w:id="38"/>
      <w:r/>
      <w:bookmarkEnd w:id="39"/>
      <w:r/>
      <w:bookmarkEnd w:id="40"/>
      <w:r/>
      <w:r/>
    </w:p>
    <w:p>
      <w:pPr>
        <w:ind w:firstLine="384"/>
        <w:shd w:val="clear" w:color="auto" w:fill="ffffff"/>
        <w:widowControl/>
        <w:rPr>
          <w:rFonts w:hint="eastAsia" w:ascii="宋体" w:hAnsi="宋体" w:cs="宋体"/>
          <w:bCs/>
          <w:i w:val="0"/>
          <w:iCs/>
          <w:color w:val="auto"/>
          <w:spacing w:val="8"/>
          <w:sz w:val="24"/>
          <w:u w:val="none"/>
        </w:rPr>
      </w:pPr>
      <w:r/>
      <w:bookmarkStart w:id="41" w:name="_Toc24685"/>
      <w:r/>
      <w:bookmarkStart w:id="42" w:name="_Toc5578"/>
      <w:r/>
      <w:bookmarkStart w:id="43" w:name="_Toc12262"/>
      <w:r>
        <w:rPr>
          <w:rFonts w:hint="eastAsia" w:ascii="宋体" w:hAnsi="宋体" w:cs="宋体"/>
          <w:i w:val="0"/>
          <w:iCs/>
          <w:color w:val="auto"/>
          <w:spacing w:val="8"/>
          <w:sz w:val="24"/>
          <w:u w:val="none"/>
        </w:rPr>
        <w:t xml:space="preserve">（一）拒绝下述供应商参加本次采购活动：</w:t>
      </w:r>
      <w:r/>
    </w:p>
    <w:p>
      <w:pPr>
        <w:ind w:firstLine="512"/>
        <w:shd w:val="clear" w:color="auto" w:fill="ffffff"/>
        <w:widowControl/>
        <w:rPr>
          <w:rFonts w:hint="eastAsia" w:ascii="宋体" w:hAnsi="宋体" w:cs="宋体"/>
          <w:bCs/>
          <w:i w:val="0"/>
          <w:iCs/>
          <w:color w:val="auto"/>
          <w:spacing w:val="8"/>
          <w:sz w:val="24"/>
          <w:u w:val="none"/>
        </w:rPr>
      </w:pPr>
      <w:r>
        <w:rPr>
          <w:rFonts w:hint="eastAsia" w:ascii="宋体" w:hAnsi="宋体" w:cs="宋体"/>
          <w:i w:val="0"/>
          <w:iCs/>
          <w:color w:val="auto"/>
          <w:spacing w:val="8"/>
          <w:sz w:val="24"/>
          <w:u w:val="none"/>
        </w:rPr>
        <w:t xml:space="preserve">1、单位负责人为同一人或者存在直接控股、管理关系的不同供应商，不得参加同一合同下的政府采购活动；</w:t>
      </w:r>
      <w:r/>
    </w:p>
    <w:p>
      <w:pPr>
        <w:ind w:firstLine="512"/>
        <w:shd w:val="clear" w:color="auto" w:fill="ffffff"/>
        <w:widowControl/>
        <w:rPr>
          <w:rFonts w:hint="eastAsia" w:ascii="宋体" w:hAnsi="宋体" w:cs="宋体"/>
          <w:bCs/>
          <w:i w:val="0"/>
          <w:iCs/>
          <w:color w:val="auto"/>
          <w:spacing w:val="8"/>
          <w:sz w:val="24"/>
          <w:u w:val="none"/>
        </w:rPr>
      </w:pPr>
      <w:r>
        <w:rPr>
          <w:rFonts w:hint="eastAsia" w:ascii="宋体" w:hAnsi="宋体" w:cs="宋体"/>
          <w:i w:val="0"/>
          <w:iCs/>
          <w:color w:val="auto"/>
          <w:spacing w:val="8"/>
          <w:sz w:val="24"/>
          <w:u w:val="none"/>
        </w:rPr>
        <w:t xml:space="preserve">2、</w:t>
      </w:r>
      <w:r>
        <w:rPr>
          <w:rFonts w:hint="eastAsia" w:ascii="宋体" w:hAnsi="宋体" w:cs="宋体"/>
          <w:i w:val="0"/>
          <w:iCs/>
          <w:color w:val="auto"/>
          <w:spacing w:val="7"/>
          <w:sz w:val="24"/>
          <w:u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84"/>
        <w:shd w:val="clear" w:color="auto" w:fill="ffffff"/>
        <w:widowControl/>
        <w:rPr>
          <w:rFonts w:hint="eastAsia" w:ascii="宋体" w:hAnsi="宋体" w:cs="宋体"/>
          <w:i w:val="0"/>
          <w:iCs/>
          <w:color w:val="auto"/>
          <w:spacing w:val="8"/>
          <w:sz w:val="24"/>
        </w:rPr>
      </w:pPr>
      <w:r>
        <w:rPr>
          <w:rFonts w:hint="eastAsia" w:ascii="宋体" w:hAnsi="宋体" w:cs="宋体"/>
          <w:i w:val="0"/>
          <w:iCs/>
          <w:color w:val="auto"/>
          <w:spacing w:val="8"/>
          <w:sz w:val="24"/>
          <w:lang w:eastAsia="zh-CN"/>
        </w:rPr>
        <w:t xml:space="preserve">（</w:t>
      </w:r>
      <w:r>
        <w:rPr>
          <w:rFonts w:hint="eastAsia" w:ascii="宋体" w:hAnsi="宋体" w:cs="宋体"/>
          <w:i w:val="0"/>
          <w:iCs/>
          <w:color w:val="auto"/>
          <w:spacing w:val="8"/>
          <w:sz w:val="24"/>
          <w:lang w:val="en-US" w:eastAsia="zh-CN"/>
        </w:rPr>
        <w:t xml:space="preserve">二</w:t>
      </w:r>
      <w:r>
        <w:rPr>
          <w:rFonts w:hint="eastAsia" w:ascii="宋体" w:hAnsi="宋体" w:cs="宋体"/>
          <w:i w:val="0"/>
          <w:iCs/>
          <w:color w:val="auto"/>
          <w:spacing w:val="8"/>
          <w:sz w:val="24"/>
          <w:lang w:eastAsia="zh-CN"/>
        </w:rPr>
        <w:t xml:space="preserve">）</w:t>
      </w:r>
      <w:r>
        <w:rPr>
          <w:rFonts w:hint="eastAsia" w:ascii="宋体" w:hAnsi="宋体" w:cs="宋体"/>
          <w:i w:val="0"/>
          <w:iCs/>
          <w:color w:val="auto"/>
          <w:spacing w:val="8"/>
          <w:sz w:val="24"/>
        </w:rPr>
        <w:t xml:space="preserve">若以联合体形式投标，须满足以下条件：</w:t>
      </w:r>
      <w:r/>
    </w:p>
    <w:p>
      <w:pPr>
        <w:pStyle w:val="1169"/>
        <w:ind w:firstLine="500"/>
        <w:spacing w:line="440" w:lineRule="exac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1、联合体组成单位不超过三家，且联合体牵头单位及成员必须满足本项目的一般资格条件（《中华人民共和国政府采购法》第二十二条规定）；</w:t>
      </w:r>
      <w:r/>
    </w:p>
    <w:p>
      <w:pPr>
        <w:pStyle w:val="1169"/>
        <w:ind w:firstLine="500"/>
        <w:spacing w:line="440" w:lineRule="exac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2、联合体形式预留，即要求供应商以联合体形式参加采购活动，且联合体中中小企业承担的部分达到40%专门面向中小企业采购，其中该预留部分预留给小微企业的比例不低于60%。</w:t>
      </w:r>
      <w:r/>
    </w:p>
    <w:p>
      <w:pPr>
        <w:pStyle w:val="1169"/>
        <w:ind w:firstLine="500"/>
        <w:spacing w:line="440" w:lineRule="exac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3、联合体各成员之间应签订《联合体协议书》，联合体投标单位代表应被授权作为联合体各方的代表，承担责任和接受指令，并负责整个合同的全面履行。</w:t>
      </w:r>
      <w:r/>
    </w:p>
    <w:p>
      <w:pPr>
        <w:pStyle w:val="1169"/>
        <w:ind w:firstLine="500"/>
        <w:spacing w:line="440" w:lineRule="exac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4、联合体各成员之间应在《联合体协议书》中明确联合体牵头人和各方的权利义务。</w:t>
      </w:r>
      <w:r/>
    </w:p>
    <w:p>
      <w:pPr>
        <w:pStyle w:val="1169"/>
        <w:ind w:firstLine="500"/>
        <w:spacing w:line="440" w:lineRule="exac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5、参加联合体的各成员不得再以自己名义单独投标，也不得同时参加其他联合体投标。</w:t>
      </w:r>
      <w:r/>
    </w:p>
    <w:p>
      <w:pPr>
        <w:ind w:firstLine="420"/>
        <w:jc w:val="left"/>
        <w:rPr>
          <w:rFonts w:hint="eastAsia" w:ascii="宋体" w:hAnsi="宋体" w:cs="宋体"/>
          <w:color w:val="auto"/>
          <w:sz w:val="24"/>
        </w:rPr>
      </w:pPr>
      <w:r>
        <w:rPr>
          <w:rFonts w:hint="eastAsia" w:ascii="宋体" w:hAnsi="宋体" w:cs="宋体"/>
          <w:color w:val="auto"/>
          <w:spacing w:val="8"/>
          <w:sz w:val="24"/>
        </w:rPr>
        <w:t xml:space="preserve">（</w:t>
      </w:r>
      <w:r>
        <w:rPr>
          <w:rFonts w:hint="eastAsia" w:ascii="宋体" w:hAnsi="宋体" w:cs="宋体"/>
          <w:color w:val="auto"/>
          <w:spacing w:val="8"/>
          <w:sz w:val="24"/>
          <w:lang w:val="en-US" w:eastAsia="zh-CN"/>
        </w:rPr>
        <w:t xml:space="preserve">三</w:t>
      </w:r>
      <w:r>
        <w:rPr>
          <w:rFonts w:hint="eastAsia" w:ascii="宋体" w:hAnsi="宋体" w:cs="宋体"/>
          <w:color w:val="auto"/>
          <w:spacing w:val="8"/>
          <w:sz w:val="24"/>
        </w:rPr>
        <w:t xml:space="preserve">）</w:t>
      </w:r>
      <w:r>
        <w:rPr>
          <w:rFonts w:hint="eastAsia" w:ascii="宋体" w:hAnsi="宋体" w:cs="宋体"/>
          <w:color w:val="auto"/>
          <w:sz w:val="24"/>
        </w:rPr>
        <w:t xml:space="preserve">招标文件澄清或者修改内容的告知方式：招标文件的实质性变动或修改将在政府采购公告媒体网通知，投标人可自行下载。</w:t>
      </w:r>
      <w:r/>
    </w:p>
    <w:p>
      <w:pPr>
        <w:ind w:firstLine="420"/>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四</w:t>
      </w:r>
      <w:r>
        <w:rPr>
          <w:rFonts w:hint="eastAsia" w:ascii="宋体" w:hAnsi="宋体" w:cs="宋体"/>
          <w:color w:val="auto"/>
          <w:sz w:val="24"/>
        </w:rPr>
        <w:t xml:space="preserve">）本次招标不收取投标保证金。</w:t>
      </w:r>
      <w:bookmarkEnd w:id="41"/>
      <w:r/>
      <w:bookmarkEnd w:id="42"/>
      <w:r/>
      <w:bookmarkEnd w:id="43"/>
      <w:r/>
      <w:r/>
    </w:p>
    <w:p>
      <w:pPr>
        <w:numPr>
          <w:ilvl w:val="0"/>
          <w:numId w:val="3"/>
        </w:numPr>
        <w:ind w:firstLine="0"/>
        <w:spacing w:line="400" w:lineRule="exact"/>
        <w:rPr>
          <w:rFonts w:hint="eastAsia" w:ascii="宋体" w:hAnsi="宋体" w:cs="宋体"/>
          <w:b/>
          <w:bCs/>
          <w:color w:val="auto"/>
          <w:sz w:val="24"/>
        </w:rPr>
        <w:outlineLvl w:val="1"/>
      </w:pPr>
      <w:r>
        <w:rPr>
          <w:rFonts w:hint="eastAsia" w:ascii="宋体" w:hAnsi="宋体" w:cs="宋体"/>
          <w:b/>
          <w:bCs/>
          <w:color w:val="auto"/>
          <w:sz w:val="24"/>
          <w:lang w:bidi="ar"/>
        </w:rPr>
        <w:t xml:space="preserve">对本次招标提出询问，请按以下方式联系</w:t>
      </w:r>
      <w:r/>
    </w:p>
    <w:p>
      <w:pPr>
        <w:pStyle w:val="935"/>
        <w:numPr>
          <w:ilvl w:val="0"/>
          <w:numId w:val="5"/>
        </w:numPr>
        <w:ind w:firstLine="480"/>
        <w:spacing w:line="400" w:lineRule="exact"/>
        <w:rPr>
          <w:rFonts w:hint="eastAsia" w:cs="宋体"/>
          <w:color w:val="auto"/>
        </w:rPr>
      </w:pPr>
      <w:r/>
      <w:bookmarkStart w:id="44" w:name="_Toc17256"/>
      <w:r>
        <w:rPr>
          <w:rFonts w:hint="eastAsia" w:cs="宋体"/>
          <w:color w:val="auto"/>
        </w:rPr>
        <w:t xml:space="preserve">采购人信息</w:t>
      </w:r>
      <w:bookmarkEnd w:id="44"/>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名称：张家港市市政服务中心 </w:t>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地址：张家港市白鹿路99号</w:t>
      </w:r>
      <w:r/>
    </w:p>
    <w:p>
      <w:pPr>
        <w:ind w:firstLine="480"/>
        <w:jc w:val="left"/>
        <w:spacing w:line="400" w:lineRule="exact"/>
        <w:widowControl/>
        <w:rPr>
          <w:rFonts w:hint="default" w:ascii="宋体" w:hAnsi="宋体" w:eastAsia="宋体" w:cs="宋体"/>
          <w:color w:val="auto"/>
          <w:sz w:val="24"/>
          <w:highlight w:val="none"/>
          <w:lang w:val="en-US" w:eastAsia="zh-CN"/>
        </w:rPr>
      </w:pPr>
      <w:r>
        <w:rPr>
          <w:rFonts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唐浩</w:t>
      </w:r>
      <w:r/>
    </w:p>
    <w:p>
      <w:pPr>
        <w:ind w:firstLine="480"/>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0512-58126122</w:t>
      </w:r>
      <w:r/>
    </w:p>
    <w:p>
      <w:pPr>
        <w:pStyle w:val="935"/>
        <w:numPr>
          <w:ilvl w:val="0"/>
          <w:numId w:val="5"/>
        </w:numPr>
        <w:ind w:firstLine="480"/>
        <w:spacing w:line="400" w:lineRule="exact"/>
        <w:rPr>
          <w:rFonts w:hint="eastAsia" w:cs="宋体"/>
          <w:color w:val="auto"/>
        </w:rPr>
      </w:pPr>
      <w:r/>
      <w:bookmarkStart w:id="45" w:name="_Toc3823"/>
      <w:r>
        <w:rPr>
          <w:rFonts w:hint="eastAsia" w:cs="宋体"/>
          <w:color w:val="auto"/>
        </w:rPr>
        <w:t xml:space="preserve">采购代理机构信息</w:t>
      </w:r>
      <w:bookmarkEnd w:id="45"/>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名称：张家港保税区汇采招投标代理有限公司</w:t>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地址：张家港市杨舍镇乘航骏腾大厦5楼</w:t>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联系人：王蕾、杨燕红</w:t>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联系电话：</w:t>
      </w:r>
      <w:r>
        <w:rPr>
          <w:rFonts w:hint="eastAsia"/>
          <w:color w:val="auto"/>
          <w:sz w:val="24"/>
          <w:lang w:bidi="ar"/>
        </w:rPr>
        <w:t xml:space="preserve">0512-80156358</w:t>
      </w:r>
      <w:bookmarkStart w:id="46" w:name="_Toc256000001"/>
      <w:r/>
      <w:bookmarkStart w:id="47" w:name="_Toc35244867"/>
      <w:r/>
      <w:bookmarkStart w:id="48" w:name="_Toc54119645"/>
      <w:r>
        <w:rPr>
          <w:rFonts w:hint="eastAsia"/>
          <w:color w:val="auto"/>
          <w:sz w:val="24"/>
          <w:lang w:eastAsia="zh-CN" w:bidi="ar"/>
        </w:rPr>
        <w:t xml:space="preserve">、</w:t>
      </w:r>
      <w:r>
        <w:rPr>
          <w:rFonts w:hint="eastAsia"/>
          <w:color w:val="auto"/>
          <w:sz w:val="24"/>
          <w:lang w:val="en-US" w:eastAsia="zh-CN" w:bidi="ar"/>
        </w:rPr>
        <w:t xml:space="preserve">13921995548</w:t>
      </w:r>
      <w:r/>
    </w:p>
    <w:p>
      <w:pPr>
        <w:ind w:firstLine="480"/>
        <w:jc w:val="left"/>
        <w:spacing w:line="400" w:lineRule="exact"/>
        <w:widowControl/>
        <w:rPr>
          <w:rFonts w:hint="eastAsia" w:ascii="宋体" w:hAnsi="宋体" w:cs="宋体"/>
          <w:color w:val="auto"/>
          <w:sz w:val="24"/>
        </w:rPr>
      </w:pPr>
      <w:r/>
      <w:bookmarkStart w:id="49" w:name="_Toc30374"/>
      <w:r>
        <w:rPr>
          <w:rFonts w:hint="eastAsia" w:ascii="宋体" w:hAnsi="宋体" w:cs="宋体"/>
          <w:color w:val="auto"/>
          <w:sz w:val="24"/>
        </w:rPr>
        <w:t xml:space="preserve">3.项目联系方式</w:t>
      </w:r>
      <w:bookmarkEnd w:id="49"/>
      <w:r/>
      <w:r/>
    </w:p>
    <w:p>
      <w:pPr>
        <w:ind w:firstLine="480"/>
        <w:jc w:val="left"/>
        <w:spacing w:line="400" w:lineRule="exact"/>
        <w:widowControl/>
        <w:rPr>
          <w:rFonts w:hint="eastAsia" w:ascii="宋体" w:hAnsi="宋体" w:cs="宋体"/>
          <w:color w:val="auto"/>
          <w:sz w:val="24"/>
        </w:rPr>
      </w:pPr>
      <w:r>
        <w:rPr>
          <w:rFonts w:hint="eastAsia" w:ascii="宋体" w:hAnsi="宋体" w:cs="宋体"/>
          <w:color w:val="auto"/>
          <w:sz w:val="24"/>
        </w:rPr>
        <w:t xml:space="preserve">项目联系人：王蕾、杨燕红</w:t>
      </w:r>
      <w:r/>
    </w:p>
    <w:p>
      <w:pPr>
        <w:ind w:firstLine="480"/>
        <w:jc w:val="left"/>
        <w:spacing w:line="400" w:lineRule="exact"/>
        <w:widowControl/>
        <w:rPr>
          <w:rFonts w:hint="default" w:ascii="宋体" w:hAnsi="宋体" w:eastAsia="宋体" w:cs="宋体"/>
          <w:color w:val="auto"/>
          <w:sz w:val="24"/>
          <w:lang w:val="en-US" w:eastAsia="zh-CN"/>
        </w:rPr>
      </w:pPr>
      <w:r>
        <w:rPr>
          <w:rFonts w:hint="eastAsia" w:ascii="宋体" w:hAnsi="宋体" w:cs="宋体"/>
          <w:color w:val="auto"/>
          <w:sz w:val="24"/>
        </w:rPr>
        <w:t xml:space="preserve">联系电话：</w:t>
      </w:r>
      <w:r>
        <w:rPr>
          <w:rFonts w:hint="eastAsia"/>
          <w:color w:val="auto"/>
          <w:sz w:val="24"/>
          <w:lang w:bidi="ar"/>
        </w:rPr>
        <w:t xml:space="preserve">0512-80156358</w:t>
      </w:r>
      <w:r>
        <w:rPr>
          <w:rFonts w:hint="eastAsia"/>
          <w:color w:val="auto"/>
          <w:sz w:val="24"/>
          <w:lang w:eastAsia="zh-CN" w:bidi="ar"/>
        </w:rPr>
        <w:t xml:space="preserve">、</w:t>
      </w:r>
      <w:r>
        <w:rPr>
          <w:rFonts w:hint="eastAsia"/>
          <w:color w:val="auto"/>
          <w:sz w:val="24"/>
          <w:lang w:val="en-US" w:eastAsia="zh-CN" w:bidi="ar"/>
        </w:rPr>
        <w:t xml:space="preserve">13921995548</w:t>
      </w:r>
      <w:r/>
    </w:p>
    <w:p>
      <w:pPr>
        <w:pStyle w:val="935"/>
        <w:rPr>
          <w:rFonts w:hint="eastAsia" w:cs="宋体"/>
          <w:color w:val="auto"/>
        </w:rPr>
      </w:pPr>
      <w:r>
        <w:rPr>
          <w:rFonts w:hint="eastAsia" w:cs="宋体"/>
          <w:color w:val="auto"/>
        </w:rPr>
      </w:r>
      <w:r/>
    </w:p>
    <w:p>
      <w:pPr>
        <w:rPr>
          <w:rFonts w:hint="eastAsia" w:ascii="宋体" w:hAnsi="宋体" w:cs="宋体"/>
          <w:color w:val="auto"/>
          <w:sz w:val="24"/>
        </w:rPr>
      </w:pPr>
      <w:r>
        <w:rPr>
          <w:rFonts w:hint="eastAsia" w:ascii="宋体" w:hAnsi="宋体" w:cs="宋体"/>
          <w:color w:val="auto"/>
          <w:sz w:val="24"/>
        </w:rPr>
      </w:r>
      <w:r/>
    </w:p>
    <w:p>
      <w:pPr>
        <w:pStyle w:val="935"/>
        <w:rPr>
          <w:rFonts w:hint="eastAsia" w:cs="宋体"/>
          <w:color w:val="auto"/>
        </w:rPr>
      </w:pPr>
      <w:r>
        <w:rPr>
          <w:rFonts w:hint="eastAsia" w:cs="宋体"/>
          <w:color w:val="auto"/>
        </w:rPr>
      </w:r>
      <w:r/>
    </w:p>
    <w:p>
      <w:pPr>
        <w:numPr>
          <w:ilvl w:val="0"/>
          <w:numId w:val="2"/>
        </w:numPr>
        <w:jc w:val="center"/>
        <w:pageBreakBefore/>
        <w:spacing w:after="20" w:line="480" w:lineRule="exact"/>
        <w:rPr>
          <w:rFonts w:hint="eastAsia" w:ascii="宋体" w:hAnsi="宋体" w:cs="宋体"/>
          <w:b/>
          <w:bCs/>
          <w:color w:val="auto"/>
          <w:sz w:val="32"/>
          <w:szCs w:val="32"/>
        </w:rPr>
        <w:outlineLvl w:val="0"/>
      </w:pPr>
      <w:r/>
      <w:bookmarkStart w:id="50" w:name="_Toc3236"/>
      <w:r/>
      <w:bookmarkStart w:id="51" w:name="_Toc15478"/>
      <w:r/>
      <w:bookmarkStart w:id="52" w:name="_Toc2894"/>
      <w:r/>
      <w:bookmarkStart w:id="53" w:name="_Toc24105"/>
      <w:r/>
      <w:bookmarkStart w:id="54" w:name="_Toc12702"/>
      <w:r/>
      <w:bookmarkStart w:id="55" w:name="_Toc29007"/>
      <w:r>
        <w:rPr>
          <w:rFonts w:hint="eastAsia" w:ascii="宋体" w:hAnsi="宋体" w:cs="宋体"/>
          <w:b/>
          <w:bCs/>
          <w:color w:val="auto"/>
          <w:sz w:val="32"/>
          <w:szCs w:val="32"/>
        </w:rPr>
        <w:t xml:space="preserve">投标人须知</w:t>
      </w:r>
      <w:bookmarkEnd w:id="46"/>
      <w:r/>
      <w:bookmarkEnd w:id="47"/>
      <w:r/>
      <w:bookmarkEnd w:id="48"/>
      <w:r/>
      <w:bookmarkEnd w:id="50"/>
      <w:r/>
      <w:bookmarkEnd w:id="51"/>
      <w:r/>
      <w:bookmarkEnd w:id="52"/>
      <w:r/>
      <w:bookmarkEnd w:id="53"/>
      <w:r/>
      <w:bookmarkEnd w:id="54"/>
      <w:r/>
      <w:bookmarkEnd w:id="55"/>
      <w:r/>
      <w:r/>
    </w:p>
    <w:p>
      <w:pPr>
        <w:numPr>
          <w:ilvl w:val="1"/>
          <w:numId w:val="6"/>
        </w:numPr>
        <w:ind w:firstLine="0"/>
        <w:jc w:val="left"/>
        <w:spacing w:line="400" w:lineRule="exact"/>
        <w:rPr>
          <w:rStyle w:val="1117"/>
          <w:rFonts w:hint="eastAsia" w:ascii="宋体" w:hAnsi="宋体" w:cs="宋体"/>
          <w:color w:val="auto"/>
          <w:sz w:val="24"/>
          <w:szCs w:val="24"/>
        </w:rPr>
        <w:outlineLvl w:val="1"/>
      </w:pPr>
      <w:r/>
      <w:bookmarkStart w:id="56" w:name="_Toc35244868"/>
      <w:r/>
      <w:bookmarkStart w:id="57" w:name="_Toc21316"/>
      <w:r/>
      <w:bookmarkStart w:id="58" w:name="_Toc54119646"/>
      <w:r/>
      <w:bookmarkStart w:id="59" w:name="_Toc256000002"/>
      <w:r/>
      <w:bookmarkStart w:id="60" w:name="_Toc15644"/>
      <w:r/>
      <w:bookmarkStart w:id="61" w:name="_Toc10713"/>
      <w:r>
        <w:rPr>
          <w:rStyle w:val="1117"/>
          <w:rFonts w:hint="eastAsia" w:ascii="宋体" w:hAnsi="宋体" w:cs="宋体"/>
          <w:color w:val="auto"/>
          <w:sz w:val="24"/>
          <w:szCs w:val="24"/>
        </w:rPr>
        <w:t xml:space="preserve">总则</w:t>
      </w:r>
      <w:bookmarkEnd w:id="56"/>
      <w:r/>
      <w:bookmarkEnd w:id="57"/>
      <w:r/>
      <w:bookmarkEnd w:id="58"/>
      <w:r/>
      <w:bookmarkEnd w:id="59"/>
      <w:r/>
      <w:bookmarkEnd w:id="60"/>
      <w:r/>
      <w:bookmarkEnd w:id="61"/>
      <w:r/>
      <w:r/>
    </w:p>
    <w:p>
      <w:pPr>
        <w:numPr>
          <w:ilvl w:val="0"/>
          <w:numId w:val="7"/>
        </w:numPr>
        <w:ind w:firstLine="241"/>
        <w:jc w:val="left"/>
        <w:spacing w:line="400" w:lineRule="exact"/>
        <w:rPr>
          <w:rFonts w:hint="eastAsia" w:ascii="宋体" w:hAnsi="宋体" w:cs="宋体"/>
          <w:b/>
          <w:bCs/>
          <w:color w:val="auto"/>
          <w:sz w:val="24"/>
        </w:rPr>
        <w:outlineLvl w:val="2"/>
      </w:pPr>
      <w:r/>
      <w:bookmarkStart w:id="62" w:name="_Toc14561"/>
      <w:r>
        <w:rPr>
          <w:rFonts w:hint="eastAsia" w:ascii="宋体" w:hAnsi="宋体" w:cs="宋体"/>
          <w:b/>
          <w:bCs/>
          <w:color w:val="auto"/>
          <w:sz w:val="24"/>
        </w:rPr>
        <w:t xml:space="preserve">招标方式</w:t>
      </w:r>
      <w:bookmarkEnd w:id="62"/>
      <w:r/>
      <w:r/>
    </w:p>
    <w:p>
      <w:pPr>
        <w:numPr>
          <w:ilvl w:val="1"/>
          <w:numId w:val="8"/>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本次招标</w:t>
      </w:r>
      <w:r>
        <w:rPr>
          <w:rFonts w:hint="eastAsia" w:ascii="宋体" w:hAnsi="宋体"/>
          <w:color w:val="auto"/>
          <w:sz w:val="24"/>
        </w:rPr>
        <w:t xml:space="preserve">采取公开招标方式</w:t>
      </w:r>
      <w:r>
        <w:rPr>
          <w:rFonts w:hint="eastAsia" w:ascii="宋体" w:hAnsi="宋体" w:cs="宋体"/>
          <w:color w:val="auto"/>
          <w:sz w:val="24"/>
        </w:rPr>
        <w:t xml:space="preserve">，本招标文件仅适用于招标公告中所述项目。</w:t>
      </w:r>
      <w:r/>
    </w:p>
    <w:p>
      <w:pPr>
        <w:numPr>
          <w:ilvl w:val="0"/>
          <w:numId w:val="7"/>
        </w:numPr>
        <w:ind w:firstLine="241"/>
        <w:jc w:val="left"/>
        <w:spacing w:line="400" w:lineRule="exact"/>
        <w:rPr>
          <w:rFonts w:hint="eastAsia" w:ascii="宋体" w:hAnsi="宋体" w:cs="宋体"/>
          <w:b/>
          <w:bCs/>
          <w:color w:val="auto"/>
          <w:sz w:val="24"/>
        </w:rPr>
        <w:outlineLvl w:val="2"/>
      </w:pPr>
      <w:r/>
      <w:bookmarkStart w:id="63" w:name="_Toc2878"/>
      <w:r>
        <w:rPr>
          <w:rFonts w:hint="eastAsia" w:ascii="宋体" w:hAnsi="宋体" w:cs="宋体"/>
          <w:b/>
          <w:bCs/>
          <w:color w:val="auto"/>
          <w:sz w:val="24"/>
        </w:rPr>
        <w:t xml:space="preserve">合格的投标人</w:t>
      </w:r>
      <w:bookmarkEnd w:id="63"/>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满足招标公告中投标人的资格要求的规定。</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满足本文件实质性要求的规定（本招标文件中斜体且有下划线部分为实质性要求）。</w:t>
      </w:r>
      <w:r/>
    </w:p>
    <w:p>
      <w:pPr>
        <w:numPr>
          <w:ilvl w:val="0"/>
          <w:numId w:val="7"/>
        </w:numPr>
        <w:ind w:firstLine="241"/>
        <w:jc w:val="left"/>
        <w:spacing w:line="400" w:lineRule="exact"/>
        <w:rPr>
          <w:rFonts w:hint="eastAsia" w:ascii="宋体" w:hAnsi="宋体" w:cs="宋体"/>
          <w:b/>
          <w:bCs/>
          <w:color w:val="auto"/>
          <w:sz w:val="24"/>
        </w:rPr>
        <w:outlineLvl w:val="2"/>
      </w:pPr>
      <w:r/>
      <w:bookmarkStart w:id="64" w:name="_Toc6011"/>
      <w:r>
        <w:rPr>
          <w:rFonts w:hint="eastAsia" w:ascii="宋体" w:hAnsi="宋体" w:cs="宋体"/>
          <w:b/>
          <w:bCs/>
          <w:color w:val="auto"/>
          <w:sz w:val="24"/>
        </w:rPr>
        <w:t xml:space="preserve">适用法律</w:t>
      </w:r>
      <w:bookmarkEnd w:id="64"/>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本次招标及由此产生的合同受中华人民共和国有关的法律法规制约和保护。</w:t>
      </w:r>
      <w:r/>
    </w:p>
    <w:p>
      <w:pPr>
        <w:numPr>
          <w:ilvl w:val="0"/>
          <w:numId w:val="7"/>
        </w:numPr>
        <w:ind w:firstLine="241"/>
        <w:jc w:val="left"/>
        <w:spacing w:line="400" w:lineRule="exact"/>
        <w:rPr>
          <w:rFonts w:hint="eastAsia" w:ascii="宋体" w:hAnsi="宋体" w:cs="宋体"/>
          <w:b/>
          <w:bCs/>
          <w:color w:val="auto"/>
          <w:sz w:val="24"/>
        </w:rPr>
        <w:outlineLvl w:val="2"/>
      </w:pPr>
      <w:r/>
      <w:bookmarkStart w:id="65" w:name="_Toc9150"/>
      <w:r>
        <w:rPr>
          <w:rFonts w:hint="eastAsia" w:ascii="宋体" w:hAnsi="宋体" w:cs="宋体"/>
          <w:b/>
          <w:bCs/>
          <w:color w:val="auto"/>
          <w:sz w:val="24"/>
        </w:rPr>
        <w:t xml:space="preserve">投标费用</w:t>
      </w:r>
      <w:bookmarkEnd w:id="65"/>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投标人应自行承担所有与参加投标有关的费用，无论投标过程中的做法和结果如何，采购代理机构在任何情况下均无义务和责任承担这些费用。</w:t>
      </w:r>
      <w:r/>
    </w:p>
    <w:p>
      <w:pPr>
        <w:numPr>
          <w:ilvl w:val="1"/>
          <w:numId w:val="7"/>
        </w:numPr>
        <w:ind w:firstLine="480"/>
        <w:jc w:val="left"/>
        <w:spacing w:line="400" w:lineRule="exact"/>
        <w:rPr>
          <w:rFonts w:hint="eastAsia" w:ascii="宋体" w:hAnsi="宋体" w:cs="宋体"/>
          <w:color w:val="auto"/>
          <w:sz w:val="24"/>
        </w:rPr>
      </w:pPr>
      <w:r/>
      <w:bookmarkStart w:id="66" w:name="_Toc31542"/>
      <w:r>
        <w:rPr>
          <w:rFonts w:hint="eastAsia" w:ascii="宋体" w:hAnsi="宋体" w:cs="宋体"/>
          <w:color w:val="auto"/>
          <w:sz w:val="24"/>
        </w:rPr>
        <w:t xml:space="preserve">本次招标采购代理机构收取代理服务费。</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本项目采购代理服务费由 中标（成交）供应商 支付</w:t>
      </w:r>
      <w:r>
        <w:rPr>
          <w:rFonts w:hint="eastAsia" w:ascii="宋体" w:hAnsi="宋体" w:cs="宋体"/>
          <w:color w:val="auto"/>
          <w:sz w:val="24"/>
          <w:lang w:eastAsia="zh-CN"/>
        </w:rPr>
        <w:t xml:space="preserve">；为了</w:t>
      </w:r>
      <w:r>
        <w:rPr>
          <w:rFonts w:hint="eastAsia" w:ascii="宋体" w:hAnsi="宋体" w:cs="宋体"/>
          <w:color w:val="auto"/>
          <w:sz w:val="24"/>
        </w:rPr>
        <w:t xml:space="preserve">杨新公路-西二环快速化改造照明项目</w:t>
      </w:r>
      <w:r>
        <w:rPr>
          <w:rFonts w:hint="eastAsia" w:ascii="宋体" w:hAnsi="宋体" w:cs="宋体"/>
          <w:color w:val="auto"/>
          <w:sz w:val="24"/>
          <w:lang w:eastAsia="zh-CN"/>
        </w:rPr>
        <w:t xml:space="preserve">更高效的开展，代理服务费由各投标单位自行考虑在投标报价内。</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代理费用收取方式：由中标人按照预算金额的如下比例进行计算：即100万元内1.5%、100～500万元内1.1%、500～1000万元内0.8%，</w:t>
      </w:r>
      <w:r>
        <w:rPr>
          <w:rFonts w:hint="eastAsia" w:ascii="宋体" w:hAnsi="宋体" w:cs="宋体"/>
          <w:color w:val="auto"/>
          <w:sz w:val="24"/>
          <w:lang w:val="en-US" w:eastAsia="zh-CN"/>
        </w:rPr>
        <w:t xml:space="preserve">1000</w:t>
      </w:r>
      <w:r>
        <w:rPr>
          <w:rFonts w:hint="eastAsia" w:ascii="宋体" w:hAnsi="宋体" w:cs="宋体"/>
          <w:color w:val="auto"/>
          <w:sz w:val="24"/>
        </w:rPr>
        <w:t xml:space="preserve">～</w:t>
      </w:r>
      <w:r>
        <w:rPr>
          <w:rFonts w:hint="eastAsia" w:ascii="宋体" w:hAnsi="宋体" w:cs="宋体"/>
          <w:color w:val="auto"/>
          <w:sz w:val="24"/>
          <w:lang w:val="en-US" w:eastAsia="zh-CN"/>
        </w:rPr>
        <w:t xml:space="preserve">5</w:t>
      </w:r>
      <w:r>
        <w:rPr>
          <w:rFonts w:hint="eastAsia" w:ascii="宋体" w:hAnsi="宋体" w:cs="宋体"/>
          <w:color w:val="auto"/>
          <w:sz w:val="24"/>
        </w:rPr>
        <w:t xml:space="preserve">000</w:t>
      </w:r>
      <w:r>
        <w:rPr>
          <w:rFonts w:hint="eastAsia" w:ascii="宋体" w:hAnsi="宋体" w:cs="宋体"/>
          <w:color w:val="auto"/>
          <w:sz w:val="24"/>
          <w:lang w:val="en-US" w:eastAsia="zh-CN"/>
        </w:rPr>
        <w:t xml:space="preserve">万元内0.5%，</w:t>
      </w:r>
      <w:r>
        <w:rPr>
          <w:rFonts w:hint="eastAsia" w:ascii="宋体" w:hAnsi="宋体" w:cs="宋体"/>
          <w:sz w:val="24"/>
        </w:rPr>
        <w:t xml:space="preserve">差额定率累进法的</w:t>
      </w:r>
      <w:r>
        <w:rPr>
          <w:rFonts w:hint="eastAsia" w:ascii="宋体" w:hAnsi="宋体" w:cs="宋体"/>
          <w:sz w:val="24"/>
          <w:lang w:val="en-US" w:eastAsia="zh-CN"/>
        </w:rPr>
        <w:t xml:space="preserve">7</w:t>
      </w:r>
      <w:r>
        <w:rPr>
          <w:rFonts w:hint="eastAsia" w:ascii="宋体" w:hAnsi="宋体" w:cs="宋体"/>
          <w:sz w:val="24"/>
        </w:rPr>
        <w:t xml:space="preserve">0%计算</w:t>
      </w:r>
      <w:r>
        <w:rPr>
          <w:rFonts w:hint="eastAsia" w:ascii="宋体" w:hAnsi="宋体" w:cs="宋体"/>
          <w:color w:val="auto"/>
          <w:sz w:val="24"/>
          <w:highlight w:val="none"/>
          <w:lang w:val="en-US" w:eastAsia="zh-CN"/>
        </w:rPr>
        <w:t xml:space="preserve">，即149800元</w:t>
      </w:r>
      <w:r>
        <w:rPr>
          <w:rFonts w:hint="eastAsia" w:ascii="宋体" w:hAnsi="宋体" w:cs="宋体"/>
          <w:color w:val="auto"/>
          <w:sz w:val="24"/>
        </w:rPr>
        <w:t xml:space="preserve">。</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代理</w:t>
      </w:r>
      <w:r>
        <w:rPr>
          <w:rFonts w:hint="eastAsia" w:ascii="宋体" w:hAnsi="宋体" w:cs="宋体"/>
          <w:color w:val="auto"/>
          <w:sz w:val="24"/>
        </w:rPr>
        <w:t xml:space="preserve">费缴纳银行账户信息：</w:t>
      </w:r>
      <w:r/>
    </w:p>
    <w:p>
      <w:pPr>
        <w:ind w:left="1" w:right="62" w:firstLine="476"/>
        <w:widowControl/>
        <w:rPr>
          <w:rFonts w:hint="eastAsia" w:ascii="宋体" w:hAnsi="宋体" w:cs="宋体"/>
          <w:color w:val="auto"/>
          <w:spacing w:val="-2"/>
          <w:sz w:val="24"/>
        </w:rPr>
      </w:pPr>
      <w:r>
        <w:rPr>
          <w:rFonts w:hint="eastAsia" w:ascii="宋体" w:hAnsi="宋体" w:cs="宋体"/>
          <w:color w:val="auto"/>
          <w:spacing w:val="-2"/>
          <w:sz w:val="24"/>
        </w:rPr>
        <w:t xml:space="preserve">账户名称：张家港保税区汇采招投标代理有限公司</w:t>
      </w:r>
      <w:r/>
    </w:p>
    <w:p>
      <w:pPr>
        <w:ind w:left="1" w:right="62" w:firstLine="476"/>
        <w:widowControl/>
        <w:rPr>
          <w:rFonts w:hint="eastAsia" w:ascii="宋体" w:hAnsi="宋体" w:cs="宋体"/>
          <w:color w:val="auto"/>
          <w:spacing w:val="-2"/>
          <w:sz w:val="24"/>
        </w:rPr>
      </w:pPr>
      <w:r>
        <w:rPr>
          <w:rFonts w:hint="eastAsia" w:ascii="宋体" w:hAnsi="宋体" w:cs="宋体"/>
          <w:color w:val="auto"/>
          <w:spacing w:val="-2"/>
          <w:sz w:val="24"/>
        </w:rPr>
        <w:t xml:space="preserve">开户银行：招商银行股份有限公司张家港城东支行</w:t>
      </w:r>
      <w:r/>
    </w:p>
    <w:p>
      <w:pPr>
        <w:ind w:left="1" w:right="62" w:firstLine="476"/>
        <w:widowControl/>
        <w:rPr>
          <w:rFonts w:hint="eastAsia" w:ascii="宋体" w:hAnsi="宋体" w:cs="宋体"/>
          <w:color w:val="auto"/>
          <w:spacing w:val="-2"/>
          <w:sz w:val="24"/>
        </w:rPr>
      </w:pPr>
      <w:r>
        <w:rPr>
          <w:rFonts w:hint="eastAsia" w:ascii="宋体" w:hAnsi="宋体" w:cs="宋体"/>
          <w:color w:val="auto"/>
          <w:spacing w:val="-2"/>
          <w:sz w:val="24"/>
        </w:rPr>
        <w:t xml:space="preserve">账号：512915944410008</w:t>
      </w:r>
      <w:r/>
    </w:p>
    <w:p>
      <w:pPr>
        <w:numPr>
          <w:ilvl w:val="0"/>
          <w:numId w:val="7"/>
        </w:numPr>
        <w:ind w:firstLine="241"/>
        <w:jc w:val="left"/>
        <w:spacing w:line="400" w:lineRule="exact"/>
        <w:rPr>
          <w:rFonts w:hint="eastAsia" w:ascii="宋体" w:hAnsi="宋体" w:cs="宋体"/>
          <w:b/>
          <w:bCs/>
          <w:color w:val="auto"/>
          <w:sz w:val="24"/>
        </w:rPr>
        <w:outlineLvl w:val="2"/>
      </w:pPr>
      <w:r>
        <w:rPr>
          <w:rFonts w:hint="eastAsia" w:ascii="宋体" w:hAnsi="宋体" w:cs="宋体"/>
          <w:b/>
          <w:bCs/>
          <w:color w:val="auto"/>
          <w:sz w:val="24"/>
        </w:rPr>
        <w:t xml:space="preserve">招标文件的约束力</w:t>
      </w:r>
      <w:bookmarkEnd w:id="66"/>
      <w:r/>
      <w:r/>
    </w:p>
    <w:p>
      <w:pPr>
        <w:numPr>
          <w:ilvl w:val="1"/>
          <w:numId w:val="7"/>
        </w:numPr>
        <w:ind w:firstLine="480"/>
        <w:jc w:val="left"/>
        <w:spacing w:line="400" w:lineRule="exact"/>
        <w:rPr>
          <w:rFonts w:hint="eastAsia" w:ascii="宋体" w:hAnsi="宋体" w:cs="宋体"/>
          <w:color w:val="auto"/>
          <w:sz w:val="24"/>
        </w:rPr>
      </w:pPr>
      <w:r/>
      <w:bookmarkStart w:id="67" w:name="_Toc54119647"/>
      <w:r/>
      <w:bookmarkStart w:id="68" w:name="_Toc35244869"/>
      <w:r/>
      <w:bookmarkStart w:id="69" w:name="_Toc256000003"/>
      <w:r>
        <w:rPr>
          <w:rFonts w:hint="eastAsia" w:ascii="宋体" w:hAnsi="宋体" w:cs="宋体"/>
          <w:color w:val="auto"/>
          <w:sz w:val="24"/>
        </w:rPr>
        <w:t xml:space="preserve">投标人一旦在“苏采云”系统下载本招标文件决定参加投标，即被认为接受了本招标文件的规定和约束，并且视为已经知道或应当知道自身权益是否受到了损害。</w:t>
      </w:r>
      <w:r/>
    </w:p>
    <w:p>
      <w:pPr>
        <w:numPr>
          <w:ilvl w:val="1"/>
          <w:numId w:val="6"/>
        </w:numPr>
        <w:ind w:firstLine="0"/>
        <w:jc w:val="left"/>
        <w:spacing w:line="400" w:lineRule="exact"/>
        <w:rPr>
          <w:rStyle w:val="1117"/>
          <w:rFonts w:hint="eastAsia" w:ascii="宋体" w:hAnsi="宋体" w:cs="宋体"/>
          <w:bCs w:val="0"/>
          <w:color w:val="auto"/>
          <w:sz w:val="24"/>
          <w:szCs w:val="24"/>
        </w:rPr>
        <w:outlineLvl w:val="1"/>
      </w:pPr>
      <w:r/>
      <w:bookmarkStart w:id="70" w:name="_Toc4727"/>
      <w:r/>
      <w:bookmarkStart w:id="71" w:name="_Toc14347"/>
      <w:r/>
      <w:bookmarkStart w:id="72" w:name="_Toc21400"/>
      <w:r>
        <w:rPr>
          <w:rStyle w:val="1117"/>
          <w:rFonts w:hint="eastAsia" w:ascii="宋体" w:hAnsi="宋体" w:cs="宋体"/>
          <w:bCs w:val="0"/>
          <w:color w:val="auto"/>
          <w:sz w:val="24"/>
          <w:szCs w:val="24"/>
        </w:rPr>
        <w:t xml:space="preserve">招标文件</w:t>
      </w:r>
      <w:bookmarkEnd w:id="67"/>
      <w:r/>
      <w:bookmarkEnd w:id="68"/>
      <w:r/>
      <w:bookmarkEnd w:id="69"/>
      <w:r/>
      <w:bookmarkEnd w:id="70"/>
      <w:r/>
      <w:bookmarkEnd w:id="71"/>
      <w:r/>
      <w:bookmarkEnd w:id="72"/>
      <w:r/>
      <w:r/>
    </w:p>
    <w:p>
      <w:pPr>
        <w:numPr>
          <w:ilvl w:val="0"/>
          <w:numId w:val="7"/>
        </w:numPr>
        <w:ind w:firstLine="241"/>
        <w:jc w:val="left"/>
        <w:spacing w:line="400" w:lineRule="exact"/>
        <w:rPr>
          <w:rFonts w:hint="eastAsia" w:ascii="宋体" w:hAnsi="宋体" w:cs="宋体"/>
          <w:b/>
          <w:bCs/>
          <w:color w:val="auto"/>
          <w:sz w:val="24"/>
        </w:rPr>
        <w:outlineLvl w:val="2"/>
      </w:pPr>
      <w:r/>
      <w:bookmarkStart w:id="73" w:name="_Toc31846"/>
      <w:r>
        <w:rPr>
          <w:rFonts w:hint="eastAsia" w:ascii="宋体" w:hAnsi="宋体" w:cs="宋体"/>
          <w:b/>
          <w:bCs/>
          <w:color w:val="auto"/>
          <w:sz w:val="24"/>
        </w:rPr>
        <w:t xml:space="preserve">招标文件构成</w:t>
      </w:r>
      <w:bookmarkEnd w:id="73"/>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招标文件有以下部分组成：</w:t>
      </w:r>
      <w:r/>
    </w:p>
    <w:p>
      <w:pPr>
        <w:numPr>
          <w:ilvl w:val="0"/>
          <w:numId w:val="9"/>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投标邀请</w:t>
      </w:r>
      <w:r/>
    </w:p>
    <w:p>
      <w:pPr>
        <w:numPr>
          <w:ilvl w:val="0"/>
          <w:numId w:val="9"/>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投标人须知</w:t>
      </w:r>
      <w:r/>
    </w:p>
    <w:p>
      <w:pPr>
        <w:numPr>
          <w:ilvl w:val="0"/>
          <w:numId w:val="9"/>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合同条款及格式</w:t>
      </w:r>
      <w:r/>
    </w:p>
    <w:p>
      <w:pPr>
        <w:numPr>
          <w:ilvl w:val="0"/>
          <w:numId w:val="9"/>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项目需求</w:t>
      </w:r>
      <w:r/>
    </w:p>
    <w:p>
      <w:pPr>
        <w:numPr>
          <w:ilvl w:val="0"/>
          <w:numId w:val="9"/>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评标方法与评标标准</w:t>
      </w:r>
      <w:r/>
    </w:p>
    <w:p>
      <w:pPr>
        <w:numPr>
          <w:ilvl w:val="0"/>
          <w:numId w:val="9"/>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投标文件格式</w:t>
      </w:r>
      <w:r/>
    </w:p>
    <w:p>
      <w:p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请仔细检查招标文件是否齐全，如有缺漏请立即与张家港保税区汇采招投标代理有限公司联系解决。</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firstLine="241"/>
        <w:jc w:val="left"/>
        <w:spacing w:line="400" w:lineRule="exact"/>
        <w:rPr>
          <w:rFonts w:hint="eastAsia" w:ascii="宋体" w:hAnsi="宋体" w:cs="宋体"/>
          <w:b/>
          <w:bCs/>
          <w:color w:val="auto"/>
          <w:sz w:val="24"/>
        </w:rPr>
        <w:outlineLvl w:val="2"/>
      </w:pPr>
      <w:r/>
      <w:bookmarkStart w:id="74" w:name="_Toc21877"/>
      <w:r>
        <w:rPr>
          <w:rFonts w:hint="eastAsia" w:ascii="宋体" w:hAnsi="宋体" w:cs="宋体"/>
          <w:b/>
          <w:bCs/>
          <w:color w:val="auto"/>
          <w:sz w:val="24"/>
        </w:rPr>
        <w:t xml:space="preserve">招标文件的澄清及修改</w:t>
      </w:r>
      <w:bookmarkEnd w:id="74"/>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在投标截止时间前。张家港保税区汇采招投标代理有限公司可以对招标文件进行澄清或修改。</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张家港保税区汇采招投标代理有限公司有权按照法定的要求推迟投标截止日期和开标日期。</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招标文件的实质性变动或修改将在政府采购公告媒体网通知，投标人可自行下载。补充文件将作为招标文件的组成部分，并对投标人具有约束力。</w:t>
      </w:r>
      <w:r/>
    </w:p>
    <w:p>
      <w:pPr>
        <w:numPr>
          <w:ilvl w:val="1"/>
          <w:numId w:val="6"/>
        </w:numPr>
        <w:ind w:firstLine="0"/>
        <w:jc w:val="left"/>
        <w:spacing w:line="400" w:lineRule="exact"/>
        <w:rPr>
          <w:rStyle w:val="1117"/>
          <w:rFonts w:hint="eastAsia" w:ascii="宋体" w:hAnsi="宋体" w:cs="宋体"/>
          <w:bCs w:val="0"/>
          <w:color w:val="auto"/>
          <w:sz w:val="24"/>
          <w:szCs w:val="24"/>
        </w:rPr>
        <w:outlineLvl w:val="1"/>
      </w:pPr>
      <w:r/>
      <w:bookmarkStart w:id="75" w:name="_Toc21471"/>
      <w:r/>
      <w:bookmarkStart w:id="76" w:name="_Toc20600"/>
      <w:r/>
      <w:bookmarkStart w:id="77" w:name="_Toc54119648"/>
      <w:r/>
      <w:bookmarkStart w:id="78" w:name="_Toc9095"/>
      <w:r/>
      <w:bookmarkStart w:id="79" w:name="_Toc256000004"/>
      <w:r/>
      <w:bookmarkStart w:id="80" w:name="_Toc35244870"/>
      <w:r>
        <w:rPr>
          <w:rStyle w:val="1117"/>
          <w:rFonts w:hint="eastAsia" w:ascii="宋体" w:hAnsi="宋体" w:cs="宋体"/>
          <w:bCs w:val="0"/>
          <w:color w:val="auto"/>
          <w:sz w:val="24"/>
          <w:szCs w:val="24"/>
        </w:rPr>
        <w:t xml:space="preserve">投标文件的编制</w:t>
      </w:r>
      <w:bookmarkEnd w:id="75"/>
      <w:r/>
      <w:bookmarkEnd w:id="76"/>
      <w:r/>
      <w:bookmarkEnd w:id="77"/>
      <w:r/>
      <w:bookmarkEnd w:id="78"/>
      <w:r/>
      <w:bookmarkEnd w:id="79"/>
      <w:r/>
      <w:bookmarkEnd w:id="80"/>
      <w:r/>
      <w:r/>
    </w:p>
    <w:p>
      <w:pPr>
        <w:numPr>
          <w:ilvl w:val="0"/>
          <w:numId w:val="7"/>
        </w:numPr>
        <w:ind w:firstLine="241"/>
        <w:jc w:val="left"/>
        <w:spacing w:line="400" w:lineRule="exact"/>
        <w:rPr>
          <w:rFonts w:hint="eastAsia" w:ascii="宋体" w:hAnsi="宋体" w:cs="宋体"/>
          <w:b/>
          <w:bCs/>
          <w:color w:val="auto"/>
          <w:sz w:val="24"/>
        </w:rPr>
        <w:outlineLvl w:val="2"/>
      </w:pPr>
      <w:r/>
      <w:bookmarkStart w:id="81" w:name="_Toc4429"/>
      <w:r>
        <w:rPr>
          <w:rFonts w:hint="eastAsia" w:ascii="宋体" w:hAnsi="宋体" w:cs="宋体"/>
          <w:b/>
          <w:bCs/>
          <w:color w:val="auto"/>
          <w:sz w:val="24"/>
        </w:rPr>
        <w:t xml:space="preserve">投标文件的语言及度量衡单位</w:t>
      </w:r>
      <w:bookmarkEnd w:id="81"/>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投标人提交的投标文件以及投标人与张家港保税区汇采招投标代理有限公司就有关投标的所有来往通知、函件和文件均应使用简体中文。</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除技术性能另有规定外，投标文件所使用的度量衡单位，均须采用国家法定计量单位。</w:t>
      </w:r>
      <w:r/>
    </w:p>
    <w:p>
      <w:pPr>
        <w:numPr>
          <w:ilvl w:val="0"/>
          <w:numId w:val="7"/>
        </w:numPr>
        <w:ind w:firstLine="241"/>
        <w:jc w:val="left"/>
        <w:spacing w:line="400" w:lineRule="exact"/>
        <w:rPr>
          <w:rFonts w:hint="eastAsia" w:ascii="宋体" w:hAnsi="宋体" w:cs="宋体"/>
          <w:b/>
          <w:bCs/>
          <w:color w:val="auto"/>
          <w:sz w:val="24"/>
        </w:rPr>
        <w:outlineLvl w:val="2"/>
      </w:pPr>
      <w:r/>
      <w:bookmarkStart w:id="82" w:name="_Toc28334"/>
      <w:r>
        <w:rPr>
          <w:rFonts w:hint="eastAsia" w:ascii="宋体" w:hAnsi="宋体" w:cs="宋体"/>
          <w:b/>
          <w:bCs/>
          <w:color w:val="auto"/>
          <w:sz w:val="24"/>
        </w:rPr>
        <w:t xml:space="preserve">投标文件构成</w:t>
      </w:r>
      <w:bookmarkEnd w:id="82"/>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投标人编写的投标文件应包括投标函、开标一览表、资格证明文件、技术人员介绍、第四章项目需求中实质性要求响应对照表、技术及服务方案、投标人情况介绍等部分。</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特别提醒：投标人必须在投标文件接收截止时间之前在系统中提交所有与开评标相关的资料。开评标现场不接收任何资料。</w:t>
      </w:r>
      <w:r/>
    </w:p>
    <w:p>
      <w:pPr>
        <w:numPr>
          <w:ilvl w:val="0"/>
          <w:numId w:val="7"/>
        </w:numPr>
        <w:ind w:firstLine="241"/>
        <w:jc w:val="left"/>
        <w:spacing w:line="400" w:lineRule="exact"/>
        <w:rPr>
          <w:rFonts w:hint="eastAsia" w:ascii="宋体" w:hAnsi="宋体" w:cs="宋体"/>
          <w:b/>
          <w:bCs/>
          <w:color w:val="auto"/>
          <w:sz w:val="24"/>
        </w:rPr>
        <w:outlineLvl w:val="2"/>
      </w:pPr>
      <w:r/>
      <w:bookmarkStart w:id="83" w:name="_Toc5753"/>
      <w:r>
        <w:rPr>
          <w:rFonts w:hint="eastAsia" w:ascii="宋体" w:hAnsi="宋体" w:cs="宋体"/>
          <w:b/>
          <w:bCs/>
          <w:color w:val="auto"/>
          <w:sz w:val="24"/>
        </w:rPr>
        <w:t xml:space="preserve">投标函和开标一览表</w:t>
      </w:r>
      <w:bookmarkEnd w:id="83"/>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投标人应按照招标文件中提供的格式完整、正确填写投标函、开标一览表。</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bCs/>
          <w:color w:val="auto"/>
          <w:sz w:val="24"/>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cs="宋体"/>
          <w:color w:val="auto"/>
          <w:sz w:val="24"/>
        </w:rPr>
        <w:t xml:space="preserve">。</w:t>
      </w:r>
      <w:r/>
    </w:p>
    <w:p>
      <w:pPr>
        <w:numPr>
          <w:ilvl w:val="0"/>
          <w:numId w:val="7"/>
        </w:numPr>
        <w:ind w:firstLine="241"/>
        <w:jc w:val="left"/>
        <w:spacing w:line="400" w:lineRule="exact"/>
        <w:rPr>
          <w:rFonts w:hint="eastAsia" w:ascii="宋体" w:hAnsi="宋体" w:cs="宋体"/>
          <w:b/>
          <w:bCs/>
          <w:color w:val="auto"/>
          <w:sz w:val="24"/>
        </w:rPr>
        <w:outlineLvl w:val="2"/>
      </w:pPr>
      <w:r/>
      <w:bookmarkStart w:id="84" w:name="_Toc7298"/>
      <w:r>
        <w:rPr>
          <w:rFonts w:hint="eastAsia" w:ascii="宋体" w:hAnsi="宋体" w:cs="宋体"/>
          <w:b/>
          <w:bCs/>
          <w:color w:val="auto"/>
          <w:sz w:val="24"/>
        </w:rPr>
        <w:t xml:space="preserve">投标人资格证明文件</w:t>
      </w:r>
      <w:bookmarkEnd w:id="84"/>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投标人应按招标文件的要求提交资格证明文件。</w:t>
      </w:r>
      <w:r/>
    </w:p>
    <w:p>
      <w:pPr>
        <w:numPr>
          <w:ilvl w:val="0"/>
          <w:numId w:val="7"/>
        </w:numPr>
        <w:ind w:firstLine="241"/>
        <w:jc w:val="left"/>
        <w:spacing w:line="400" w:lineRule="exact"/>
        <w:rPr>
          <w:rFonts w:hint="eastAsia" w:ascii="宋体" w:hAnsi="宋体" w:cs="宋体"/>
          <w:b/>
          <w:bCs/>
          <w:color w:val="auto"/>
          <w:sz w:val="24"/>
        </w:rPr>
        <w:outlineLvl w:val="2"/>
      </w:pPr>
      <w:r/>
      <w:bookmarkStart w:id="85" w:name="_Toc6816"/>
      <w:r>
        <w:rPr>
          <w:rFonts w:hint="eastAsia" w:ascii="宋体" w:hAnsi="宋体" w:cs="宋体"/>
          <w:b/>
          <w:bCs/>
          <w:color w:val="auto"/>
          <w:sz w:val="24"/>
        </w:rPr>
        <w:t xml:space="preserve">投标配置与分项报价</w:t>
      </w:r>
      <w:bookmarkStart w:id="86" w:name="_Hlt26670373"/>
      <w:r/>
      <w:bookmarkEnd w:id="86"/>
      <w:r>
        <w:rPr>
          <w:rFonts w:hint="eastAsia" w:ascii="宋体" w:hAnsi="宋体" w:cs="宋体"/>
          <w:b/>
          <w:bCs/>
          <w:color w:val="auto"/>
          <w:sz w:val="24"/>
        </w:rPr>
        <w:t xml:space="preserve">表或经费测算明细表</w:t>
      </w:r>
      <w:bookmarkEnd w:id="85"/>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投标人应按照招标文件规定格式填报。每项货物和服务等只允许有一个报价。</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标的物</w:t>
      </w:r>
      <w:r/>
    </w:p>
    <w:p>
      <w:pPr>
        <w:numPr>
          <w:ilvl w:val="2"/>
          <w:numId w:val="7"/>
        </w:numPr>
        <w:ind w:firstLine="720"/>
        <w:jc w:val="left"/>
        <w:spacing w:line="400" w:lineRule="exact"/>
        <w:rPr>
          <w:rFonts w:hint="eastAsia" w:ascii="宋体" w:hAnsi="宋体" w:cs="宋体"/>
          <w:color w:val="auto"/>
          <w:sz w:val="24"/>
        </w:rPr>
      </w:pPr>
      <w:r>
        <w:rPr>
          <w:rFonts w:hint="eastAsia" w:ascii="宋体" w:hAnsi="宋体" w:cs="宋体"/>
          <w:color w:val="auto"/>
          <w:sz w:val="24"/>
        </w:rPr>
        <w:t xml:space="preserve">采购人需求的相关服务等。</w:t>
      </w:r>
      <w:r/>
    </w:p>
    <w:p>
      <w:pPr>
        <w:numPr>
          <w:ilvl w:val="2"/>
          <w:numId w:val="7"/>
        </w:numPr>
        <w:ind w:firstLine="720"/>
        <w:jc w:val="left"/>
        <w:spacing w:line="400" w:lineRule="exact"/>
        <w:rPr>
          <w:rFonts w:hint="eastAsia" w:ascii="宋体" w:hAnsi="宋体" w:cs="宋体"/>
          <w:color w:val="auto"/>
          <w:sz w:val="24"/>
        </w:rPr>
      </w:pPr>
      <w:r>
        <w:rPr>
          <w:rFonts w:hint="eastAsia" w:ascii="宋体" w:hAnsi="宋体" w:cs="宋体"/>
          <w:bCs/>
          <w:color w:val="auto"/>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firstLine="480"/>
        <w:jc w:val="left"/>
        <w:spacing w:line="400" w:lineRule="exact"/>
        <w:rPr>
          <w:rFonts w:hint="eastAsia" w:ascii="宋体" w:hAnsi="宋体" w:cs="宋体"/>
          <w:bCs/>
          <w:color w:val="auto"/>
          <w:sz w:val="24"/>
        </w:rPr>
      </w:pPr>
      <w:r>
        <w:rPr>
          <w:rFonts w:hint="eastAsia" w:ascii="宋体" w:hAnsi="宋体" w:cs="宋体"/>
          <w:color w:val="auto"/>
          <w:sz w:val="24"/>
        </w:rPr>
        <w:t xml:space="preserve">投标货币：投标文件中的货物单价和总价无特殊规定的采用人民币报价，以元为</w:t>
      </w:r>
      <w:r>
        <w:rPr>
          <w:rFonts w:hint="eastAsia" w:ascii="宋体" w:hAnsi="宋体" w:cs="宋体"/>
          <w:bCs/>
          <w:color w:val="auto"/>
          <w:sz w:val="24"/>
        </w:rPr>
        <w:t xml:space="preserve">单位标注。招标文件中另有规定的按规定执行。</w:t>
      </w:r>
      <w:r/>
    </w:p>
    <w:p>
      <w:pPr>
        <w:pStyle w:val="1169"/>
        <w:contextualSpacing/>
        <w:ind w:firstLine="480"/>
        <w:spacing w:line="440" w:lineRule="exact"/>
        <w:rPr>
          <w:rStyle w:val="1209"/>
          <w:rFonts w:ascii="宋体" w:hAnsi="宋体" w:cs="Courier New"/>
          <w:color w:val="auto"/>
          <w:highlight w:val="none"/>
        </w:rPr>
      </w:pPr>
      <w:r>
        <w:rPr>
          <w:rFonts w:hint="eastAsia" w:ascii="宋体" w:hAnsi="宋体" w:eastAsia="宋体" w:cs="宋体"/>
          <w:color w:val="auto"/>
          <w:sz w:val="24"/>
          <w:szCs w:val="24"/>
          <w:lang w:val="en-US" w:eastAsia="zh-CN" w:bidi="ar-SA"/>
        </w:rPr>
        <w:t xml:space="preserve">12.4.项目总价应包括但不限于</w:t>
      </w:r>
      <w:bookmarkStart w:id="87" w:name="_Hlt26670403"/>
      <w:r/>
      <w:bookmarkEnd w:id="87"/>
      <w:r/>
      <w:bookmarkStart w:id="88" w:name="_Hlt26668983"/>
      <w:r/>
      <w:bookmarkEnd w:id="88"/>
      <w:r/>
      <w:bookmarkStart w:id="89" w:name="_Hlt26670425"/>
      <w:r/>
      <w:bookmarkEnd w:id="89"/>
      <w:r/>
      <w:bookmarkStart w:id="90" w:name="_Hlt26954842"/>
      <w:r/>
      <w:bookmarkEnd w:id="90"/>
      <w:r/>
      <w:bookmarkStart w:id="91" w:name="_Hlt26954844"/>
      <w:r/>
      <w:bookmarkEnd w:id="91"/>
      <w:r>
        <w:rPr>
          <w:rFonts w:hint="eastAsia" w:ascii="宋体" w:hAnsi="宋体" w:eastAsia="宋体" w:cs="宋体"/>
          <w:color w:val="auto"/>
          <w:sz w:val="24"/>
          <w:szCs w:val="24"/>
          <w:lang w:val="en-US" w:eastAsia="zh-CN" w:bidi="ar-SA"/>
        </w:rPr>
        <w:t xml:space="preserve">货物、配件、附件、备品备件、专用工具、耗品、辅材、包</w:t>
      </w:r>
      <w:r>
        <w:rPr>
          <w:rFonts w:hint="eastAsia" w:ascii="宋体" w:hAnsi="宋体" w:cs="宋体"/>
          <w:color w:val="auto"/>
          <w:sz w:val="24"/>
          <w:szCs w:val="24"/>
          <w:highlight w:val="none"/>
        </w:rPr>
        <w:t xml:space="preserve">装、运输、装卸、安装、调试、检测、验收、保险、人员培训、售后服务、</w:t>
      </w:r>
      <w:r>
        <w:rPr>
          <w:rFonts w:hint="eastAsia" w:ascii="宋体" w:hAnsi="宋体" w:cs="宋体"/>
          <w:color w:val="auto"/>
          <w:sz w:val="24"/>
          <w:szCs w:val="24"/>
          <w:highlight w:val="none"/>
          <w:lang w:val="en-US" w:eastAsia="zh-CN"/>
        </w:rPr>
        <w:t xml:space="preserve">维保服务、</w:t>
      </w:r>
      <w:r>
        <w:rPr>
          <w:rFonts w:hint="eastAsia" w:ascii="宋体" w:hAnsi="宋体" w:cs="宋体"/>
          <w:color w:val="auto"/>
          <w:sz w:val="24"/>
          <w:szCs w:val="24"/>
          <w:highlight w:val="none"/>
        </w:rPr>
        <w:t xml:space="preserve">保修、政策性文件规定及合同包含的所有风险责任的各项费用、技术指导、利润、税金等全部费用</w:t>
      </w:r>
      <w:r>
        <w:rPr>
          <w:rStyle w:val="1209"/>
          <w:rFonts w:hint="eastAsia" w:ascii="宋体" w:hAnsi="宋体" w:cs="Courier New"/>
          <w:color w:val="auto"/>
          <w:highlight w:val="none"/>
        </w:rPr>
        <w:t xml:space="preserve">。</w:t>
      </w:r>
      <w:r/>
    </w:p>
    <w:p>
      <w:pPr>
        <w:numPr>
          <w:ilvl w:val="0"/>
          <w:numId w:val="0"/>
        </w:numPr>
        <w:ind w:left="480"/>
        <w:jc w:val="left"/>
        <w:spacing w:line="400" w:lineRule="exact"/>
        <w:rPr>
          <w:rFonts w:hint="eastAsia" w:ascii="宋体" w:hAnsi="宋体" w:cs="宋体"/>
          <w:color w:val="auto"/>
          <w:sz w:val="24"/>
        </w:rPr>
      </w:pPr>
      <w:r>
        <w:rPr>
          <w:rFonts w:hint="eastAsia" w:ascii="宋体" w:hAnsi="宋体" w:cs="宋体"/>
          <w:bCs/>
          <w:color w:val="auto"/>
          <w:sz w:val="24"/>
          <w:lang w:val="en-US" w:eastAsia="zh-CN"/>
        </w:rPr>
        <w:t xml:space="preserve">12.5.</w:t>
      </w:r>
      <w:r>
        <w:rPr>
          <w:rFonts w:hint="eastAsia" w:ascii="宋体" w:hAnsi="宋体" w:cs="宋体"/>
          <w:bCs/>
          <w:color w:val="auto"/>
          <w:sz w:val="24"/>
        </w:rPr>
        <w:t xml:space="preserve">本报价必须充分考虑所有可能影响到报价的价格因素，一旦投标结束最终成交，如发生漏、缺、少项，都将被认为是中标人的报价让利行为</w:t>
      </w:r>
      <w:r>
        <w:rPr>
          <w:rFonts w:hint="eastAsia" w:ascii="宋体" w:hAnsi="宋体" w:cs="宋体"/>
          <w:color w:val="auto"/>
          <w:sz w:val="24"/>
        </w:rPr>
        <w:t xml:space="preserve">。</w:t>
      </w:r>
      <w:r/>
    </w:p>
    <w:p>
      <w:pPr>
        <w:numPr>
          <w:ilvl w:val="0"/>
          <w:numId w:val="7"/>
        </w:numPr>
        <w:ind w:firstLine="241"/>
        <w:jc w:val="left"/>
        <w:spacing w:line="400" w:lineRule="exact"/>
        <w:rPr>
          <w:rFonts w:hint="eastAsia" w:ascii="宋体" w:hAnsi="宋体" w:cs="宋体"/>
          <w:b/>
          <w:bCs/>
          <w:color w:val="auto"/>
          <w:sz w:val="24"/>
        </w:rPr>
        <w:outlineLvl w:val="2"/>
      </w:pPr>
      <w:r/>
      <w:bookmarkStart w:id="92" w:name="_Toc5702"/>
      <w:r>
        <w:rPr>
          <w:rFonts w:hint="eastAsia" w:ascii="宋体" w:hAnsi="宋体" w:cs="宋体"/>
          <w:b/>
          <w:bCs/>
          <w:color w:val="auto"/>
          <w:sz w:val="24"/>
        </w:rPr>
        <w:t xml:space="preserve">技术参数响应及偏离表、商务条款响应及偏离表</w:t>
      </w:r>
      <w:bookmarkEnd w:id="92"/>
      <w:r/>
      <w:r/>
    </w:p>
    <w:p>
      <w:pPr>
        <w:numPr>
          <w:ilvl w:val="1"/>
          <w:numId w:val="7"/>
        </w:numPr>
        <w:ind w:firstLine="480"/>
        <w:jc w:val="left"/>
        <w:spacing w:line="400" w:lineRule="exact"/>
        <w:rPr>
          <w:rFonts w:hint="eastAsia" w:ascii="宋体" w:hAnsi="宋体" w:cs="宋体"/>
          <w:bCs/>
          <w:color w:val="auto"/>
          <w:sz w:val="24"/>
          <w:lang w:val="zh-CN"/>
        </w:rPr>
      </w:pPr>
      <w:r>
        <w:rPr>
          <w:rFonts w:hint="eastAsia" w:ascii="宋体" w:hAnsi="宋体" w:cs="宋体"/>
          <w:bCs/>
          <w:color w:val="auto"/>
          <w:sz w:val="24"/>
          <w:lang w:val="zh-CN"/>
        </w:rPr>
        <w:t xml:space="preserve">根据自己对需求的理解撰写需求分析和服务方案。</w:t>
      </w:r>
      <w:r/>
    </w:p>
    <w:p>
      <w:pPr>
        <w:numPr>
          <w:ilvl w:val="1"/>
          <w:numId w:val="7"/>
        </w:numPr>
        <w:ind w:firstLine="480"/>
        <w:jc w:val="left"/>
        <w:spacing w:line="400" w:lineRule="exact"/>
        <w:rPr>
          <w:rFonts w:hint="eastAsia" w:ascii="宋体" w:hAnsi="宋体" w:cs="宋体"/>
          <w:bCs/>
          <w:color w:val="auto"/>
          <w:sz w:val="24"/>
          <w:lang w:val="zh-CN"/>
        </w:rPr>
      </w:pPr>
      <w:r>
        <w:rPr>
          <w:rFonts w:hint="eastAsia" w:ascii="宋体" w:hAnsi="宋体" w:cs="宋体"/>
          <w:bCs/>
          <w:color w:val="auto"/>
          <w:sz w:val="24"/>
          <w:lang w:val="zh-CN"/>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firstLine="241"/>
        <w:jc w:val="left"/>
        <w:spacing w:line="400" w:lineRule="exact"/>
        <w:rPr>
          <w:rFonts w:hint="eastAsia" w:ascii="宋体" w:hAnsi="宋体" w:cs="宋体"/>
          <w:b/>
          <w:bCs/>
          <w:color w:val="auto"/>
          <w:sz w:val="24"/>
          <w:lang w:val="zh-CN"/>
        </w:rPr>
        <w:outlineLvl w:val="2"/>
      </w:pPr>
      <w:r/>
      <w:bookmarkStart w:id="93" w:name="_Toc18124"/>
      <w:r>
        <w:rPr>
          <w:rFonts w:hint="eastAsia" w:ascii="宋体" w:hAnsi="宋体" w:cs="宋体"/>
          <w:b/>
          <w:bCs/>
          <w:color w:val="auto"/>
          <w:sz w:val="24"/>
        </w:rPr>
        <w:t xml:space="preserve">投标人情况介绍</w:t>
      </w:r>
      <w:bookmarkEnd w:id="93"/>
      <w:r/>
      <w:r/>
    </w:p>
    <w:p>
      <w:pPr>
        <w:numPr>
          <w:ilvl w:val="1"/>
          <w:numId w:val="7"/>
        </w:numPr>
        <w:ind w:firstLine="480"/>
        <w:jc w:val="left"/>
        <w:spacing w:line="400" w:lineRule="exact"/>
        <w:rPr>
          <w:rFonts w:hint="eastAsia" w:ascii="宋体" w:hAnsi="宋体" w:cs="宋体"/>
          <w:bCs/>
          <w:color w:val="auto"/>
          <w:sz w:val="24"/>
          <w:lang w:val="zh-CN"/>
        </w:rPr>
      </w:pPr>
      <w:r>
        <w:rPr>
          <w:rFonts w:hint="eastAsia" w:ascii="宋体" w:hAnsi="宋体" w:cs="宋体"/>
          <w:bCs/>
          <w:color w:val="auto"/>
          <w:sz w:val="24"/>
          <w:lang w:val="zh-CN"/>
        </w:rPr>
        <w:t xml:space="preserve">投标人的总体情况应在电子投标文件中作出说明。</w:t>
      </w:r>
      <w:r/>
    </w:p>
    <w:p>
      <w:pPr>
        <w:numPr>
          <w:ilvl w:val="0"/>
          <w:numId w:val="7"/>
        </w:numPr>
        <w:ind w:firstLine="241"/>
        <w:jc w:val="left"/>
        <w:spacing w:line="400" w:lineRule="exact"/>
        <w:rPr>
          <w:rFonts w:hint="eastAsia" w:ascii="宋体" w:hAnsi="宋体" w:cs="宋体"/>
          <w:b/>
          <w:bCs/>
          <w:color w:val="auto"/>
          <w:sz w:val="24"/>
        </w:rPr>
        <w:outlineLvl w:val="2"/>
      </w:pPr>
      <w:r/>
      <w:bookmarkStart w:id="94" w:name="_Toc27190"/>
      <w:r>
        <w:rPr>
          <w:rFonts w:hint="eastAsia" w:ascii="宋体" w:hAnsi="宋体" w:cs="宋体"/>
          <w:b/>
          <w:bCs/>
          <w:color w:val="auto"/>
          <w:sz w:val="24"/>
        </w:rPr>
        <w:t xml:space="preserve">投标保证金</w:t>
      </w:r>
      <w:bookmarkEnd w:id="94"/>
      <w:r/>
      <w:r/>
    </w:p>
    <w:p>
      <w:pPr>
        <w:numPr>
          <w:ilvl w:val="1"/>
          <w:numId w:val="7"/>
        </w:numPr>
        <w:ind w:firstLine="508"/>
        <w:jc w:val="left"/>
        <w:spacing w:line="400" w:lineRule="exact"/>
        <w:rPr>
          <w:rFonts w:hint="eastAsia" w:ascii="宋体" w:hAnsi="宋体" w:cs="宋体"/>
          <w:color w:val="auto"/>
          <w:spacing w:val="7"/>
          <w:sz w:val="24"/>
          <w:highlight w:val="none"/>
        </w:rPr>
      </w:pPr>
      <w:r>
        <w:rPr>
          <w:rFonts w:hint="eastAsia" w:ascii="宋体" w:hAnsi="宋体" w:cs="宋体"/>
          <w:color w:val="auto"/>
          <w:spacing w:val="7"/>
          <w:sz w:val="24"/>
          <w:highlight w:val="none"/>
        </w:rPr>
        <w:t xml:space="preserve">本次招标不收取投标保证金。</w:t>
      </w:r>
      <w:r/>
    </w:p>
    <w:p>
      <w:pPr>
        <w:numPr>
          <w:ilvl w:val="0"/>
          <w:numId w:val="7"/>
        </w:numPr>
        <w:ind w:firstLine="241"/>
        <w:jc w:val="left"/>
        <w:spacing w:line="400" w:lineRule="exact"/>
        <w:rPr>
          <w:rFonts w:hint="eastAsia" w:ascii="宋体" w:hAnsi="宋体" w:cs="宋体"/>
          <w:b/>
          <w:bCs/>
          <w:color w:val="auto"/>
          <w:sz w:val="24"/>
        </w:rPr>
        <w:outlineLvl w:val="2"/>
      </w:pPr>
      <w:r/>
      <w:bookmarkStart w:id="95" w:name="_Toc19819"/>
      <w:r>
        <w:rPr>
          <w:rFonts w:hint="eastAsia" w:ascii="宋体" w:hAnsi="宋体" w:cs="宋体"/>
          <w:b/>
          <w:bCs/>
          <w:color w:val="auto"/>
          <w:sz w:val="24"/>
        </w:rPr>
        <w:t xml:space="preserve">投标有效期</w:t>
      </w:r>
      <w:bookmarkEnd w:id="95"/>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投标有效期为张家港保税区汇采招投标代理有限公司规定的开标之日后九十（90）天。投标有效期比规定短的将被视为非响应性投标而予以拒绝。</w:t>
      </w:r>
      <w:r/>
    </w:p>
    <w:p>
      <w:pPr>
        <w:numPr>
          <w:ilvl w:val="1"/>
          <w:numId w:val="7"/>
        </w:numPr>
        <w:ind w:firstLine="508"/>
        <w:jc w:val="left"/>
        <w:spacing w:line="400" w:lineRule="exact"/>
        <w:rPr>
          <w:rFonts w:hint="eastAsia" w:ascii="宋体" w:hAnsi="宋体" w:cs="宋体"/>
          <w:bCs/>
          <w:color w:val="auto"/>
          <w:sz w:val="24"/>
        </w:rPr>
      </w:pPr>
      <w:r>
        <w:rPr>
          <w:rFonts w:hint="eastAsia" w:ascii="宋体" w:hAnsi="宋体" w:cs="宋体"/>
          <w:color w:val="auto"/>
          <w:spacing w:val="7"/>
          <w:sz w:val="24"/>
        </w:rPr>
        <w:t xml:space="preserve">在特殊情况下，张家港保税区汇采招投标代理有限公司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firstLine="255"/>
        <w:jc w:val="left"/>
        <w:spacing w:line="400" w:lineRule="exact"/>
        <w:rPr>
          <w:rFonts w:hint="eastAsia" w:ascii="宋体" w:hAnsi="宋体" w:cs="宋体"/>
          <w:b/>
          <w:bCs/>
          <w:color w:val="auto"/>
          <w:spacing w:val="7"/>
          <w:sz w:val="24"/>
          <w:szCs w:val="32"/>
        </w:rPr>
        <w:outlineLvl w:val="2"/>
      </w:pPr>
      <w:r/>
      <w:bookmarkStart w:id="96" w:name="_Toc16988"/>
      <w:r>
        <w:rPr>
          <w:rFonts w:hint="eastAsia" w:ascii="宋体" w:hAnsi="宋体" w:cs="宋体"/>
          <w:b/>
          <w:bCs/>
          <w:color w:val="auto"/>
          <w:spacing w:val="7"/>
          <w:sz w:val="24"/>
          <w:szCs w:val="32"/>
        </w:rPr>
        <w:t xml:space="preserve">投标文件签署</w:t>
      </w:r>
      <w:bookmarkEnd w:id="96"/>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本招标文件所表述（指定）的公章是指法定名称章，不包括合同专用章、业务专用章等印章。</w:t>
      </w:r>
      <w:r/>
    </w:p>
    <w:p>
      <w:pPr>
        <w:numPr>
          <w:ilvl w:val="1"/>
          <w:numId w:val="6"/>
        </w:numPr>
        <w:ind w:firstLine="0"/>
        <w:jc w:val="left"/>
        <w:spacing w:line="400" w:lineRule="exact"/>
        <w:rPr>
          <w:rStyle w:val="1117"/>
          <w:rFonts w:hint="eastAsia" w:ascii="宋体" w:hAnsi="宋体" w:cs="宋体"/>
          <w:bCs w:val="0"/>
          <w:color w:val="auto"/>
          <w:sz w:val="24"/>
          <w:szCs w:val="24"/>
        </w:rPr>
        <w:outlineLvl w:val="1"/>
      </w:pPr>
      <w:r/>
      <w:bookmarkStart w:id="97" w:name="_Toc256000005"/>
      <w:r/>
      <w:bookmarkStart w:id="98" w:name="_Toc54119649"/>
      <w:r/>
      <w:bookmarkStart w:id="99" w:name="_Toc13063"/>
      <w:r/>
      <w:bookmarkStart w:id="100" w:name="_Toc8407"/>
      <w:r/>
      <w:bookmarkStart w:id="101" w:name="_Toc9093"/>
      <w:r>
        <w:rPr>
          <w:rStyle w:val="1117"/>
          <w:rFonts w:hint="eastAsia" w:ascii="宋体" w:hAnsi="宋体" w:cs="宋体"/>
          <w:bCs w:val="0"/>
          <w:color w:val="auto"/>
          <w:sz w:val="24"/>
          <w:szCs w:val="24"/>
        </w:rPr>
        <w:t xml:space="preserve">投标文件的</w:t>
      </w:r>
      <w:bookmarkEnd w:id="97"/>
      <w:r/>
      <w:bookmarkEnd w:id="98"/>
      <w:r>
        <w:rPr>
          <w:rStyle w:val="1117"/>
          <w:rFonts w:hint="eastAsia" w:ascii="宋体" w:hAnsi="宋体" w:cs="宋体"/>
          <w:bCs w:val="0"/>
          <w:color w:val="auto"/>
          <w:sz w:val="24"/>
          <w:szCs w:val="24"/>
        </w:rPr>
        <w:t xml:space="preserve">制作、上传、提交</w:t>
      </w:r>
      <w:bookmarkEnd w:id="99"/>
      <w:r/>
      <w:bookmarkEnd w:id="100"/>
      <w:r/>
      <w:bookmarkEnd w:id="101"/>
      <w:r/>
      <w:r/>
    </w:p>
    <w:p>
      <w:pPr>
        <w:numPr>
          <w:ilvl w:val="0"/>
          <w:numId w:val="7"/>
        </w:numPr>
        <w:ind w:firstLine="255"/>
        <w:jc w:val="left"/>
        <w:spacing w:line="400" w:lineRule="exact"/>
        <w:rPr>
          <w:rFonts w:hint="eastAsia" w:ascii="宋体" w:hAnsi="宋体" w:cs="宋体"/>
          <w:b/>
          <w:bCs/>
          <w:color w:val="auto"/>
          <w:spacing w:val="7"/>
          <w:sz w:val="24"/>
          <w:szCs w:val="32"/>
        </w:rPr>
        <w:outlineLvl w:val="2"/>
      </w:pPr>
      <w:r/>
      <w:bookmarkStart w:id="102" w:name="_Toc12544"/>
      <w:r>
        <w:rPr>
          <w:rFonts w:hint="eastAsia" w:ascii="宋体" w:hAnsi="宋体" w:cs="宋体"/>
          <w:b/>
          <w:bCs/>
          <w:color w:val="auto"/>
          <w:spacing w:val="7"/>
          <w:sz w:val="24"/>
          <w:szCs w:val="32"/>
        </w:rPr>
        <w:t xml:space="preserve">投标文件的制作</w:t>
      </w:r>
      <w:bookmarkEnd w:id="102"/>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电子投标文件的递交</w:t>
      </w:r>
      <w:r/>
    </w:p>
    <w:p>
      <w:pPr>
        <w:ind w:left="8" w:firstLine="497"/>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投标人应当按照《苏采云系统供应商操作手册》规定，在投标截止时间前制作并上传电子投标文件。</w:t>
      </w:r>
      <w:r/>
    </w:p>
    <w:p>
      <w:pPr>
        <w:numPr>
          <w:ilvl w:val="0"/>
          <w:numId w:val="7"/>
        </w:numPr>
        <w:ind w:firstLine="241"/>
        <w:jc w:val="left"/>
        <w:spacing w:line="400" w:lineRule="exact"/>
        <w:rPr>
          <w:rFonts w:hint="eastAsia" w:ascii="宋体" w:hAnsi="宋体" w:cs="宋体"/>
          <w:b/>
          <w:bCs/>
          <w:color w:val="auto"/>
          <w:sz w:val="24"/>
        </w:rPr>
        <w:outlineLvl w:val="2"/>
      </w:pPr>
      <w:r/>
      <w:bookmarkStart w:id="103" w:name="_Toc6389298"/>
      <w:r/>
      <w:bookmarkStart w:id="104" w:name="_Toc6388850"/>
      <w:r/>
      <w:bookmarkStart w:id="105" w:name="_Toc19418"/>
      <w:r>
        <w:rPr>
          <w:rFonts w:hint="eastAsia" w:ascii="宋体" w:hAnsi="宋体" w:cs="宋体"/>
          <w:b/>
          <w:bCs/>
          <w:color w:val="auto"/>
          <w:sz w:val="24"/>
        </w:rPr>
        <w:t xml:space="preserve">投标截止日期</w:t>
      </w:r>
      <w:bookmarkEnd w:id="103"/>
      <w:r/>
      <w:bookmarkEnd w:id="104"/>
      <w:r/>
      <w:bookmarkEnd w:id="105"/>
      <w:r/>
      <w:r/>
    </w:p>
    <w:p>
      <w:pPr>
        <w:numPr>
          <w:ilvl w:val="1"/>
          <w:numId w:val="7"/>
        </w:numPr>
        <w:ind w:firstLine="508"/>
        <w:jc w:val="left"/>
        <w:spacing w:line="400" w:lineRule="exact"/>
        <w:rPr>
          <w:rFonts w:hint="eastAsia" w:ascii="宋体" w:hAnsi="宋体" w:cs="宋体"/>
          <w:color w:val="auto"/>
          <w:spacing w:val="7"/>
          <w:sz w:val="24"/>
        </w:rPr>
      </w:pPr>
      <w:r/>
      <w:bookmarkStart w:id="106" w:name="_Toc6389299"/>
      <w:r/>
      <w:bookmarkStart w:id="107" w:name="_Toc6388851"/>
      <w:r>
        <w:rPr>
          <w:rFonts w:hint="eastAsia" w:ascii="宋体" w:hAnsi="宋体" w:cs="宋体"/>
          <w:color w:val="auto"/>
          <w:spacing w:val="7"/>
          <w:sz w:val="24"/>
        </w:rPr>
        <w:t xml:space="preserve">投标人上传电子投标文件的时间不得迟于招标公告中规定的投标截止时间。</w:t>
      </w:r>
      <w:r/>
    </w:p>
    <w:p>
      <w:pPr>
        <w:numPr>
          <w:ilvl w:val="1"/>
          <w:numId w:val="7"/>
        </w:numPr>
        <w:ind w:firstLine="508"/>
        <w:jc w:val="left"/>
        <w:spacing w:line="400" w:lineRule="exact"/>
        <w:rPr>
          <w:rFonts w:hint="eastAsia" w:ascii="宋体" w:hAnsi="宋体" w:cs="宋体"/>
          <w:color w:val="auto"/>
          <w:spacing w:val="7"/>
          <w:sz w:val="24"/>
        </w:rPr>
      </w:pPr>
      <w:r>
        <w:rPr>
          <w:rStyle w:val="1163"/>
          <w:rFonts w:hint="eastAsia" w:ascii="宋体" w:hAnsi="宋体" w:cs="宋体"/>
          <w:color w:val="auto"/>
          <w:spacing w:val="7"/>
          <w:sz w:val="24"/>
        </w:rPr>
        <w:t xml:space="preserve">投标人应充分考虑到网络环境、网络带宽等风险因素，如因投标人自身原因造成的电子投标文件上传不成功由投标人自行承担全部责任</w:t>
      </w:r>
      <w:r>
        <w:rPr>
          <w:rFonts w:hint="eastAsia" w:ascii="宋体" w:hAnsi="宋体" w:cs="宋体"/>
          <w:color w:val="auto"/>
          <w:spacing w:val="7"/>
          <w:sz w:val="24"/>
        </w:rPr>
        <w:t xml:space="preserve">。</w:t>
      </w:r>
      <w:bookmarkEnd w:id="106"/>
      <w:r/>
      <w:bookmarkEnd w:id="107"/>
      <w:r/>
      <w:r/>
    </w:p>
    <w:p>
      <w:pPr>
        <w:numPr>
          <w:ilvl w:val="0"/>
          <w:numId w:val="7"/>
        </w:numPr>
        <w:ind w:firstLine="241"/>
        <w:jc w:val="left"/>
        <w:spacing w:line="400" w:lineRule="exact"/>
        <w:rPr>
          <w:rFonts w:hint="eastAsia" w:ascii="宋体" w:hAnsi="宋体" w:cs="宋体"/>
          <w:b/>
          <w:bCs/>
          <w:color w:val="auto"/>
          <w:sz w:val="24"/>
        </w:rPr>
        <w:outlineLvl w:val="2"/>
      </w:pPr>
      <w:r/>
      <w:bookmarkStart w:id="108" w:name="_Toc6389300"/>
      <w:r/>
      <w:bookmarkStart w:id="109" w:name="_Toc28400"/>
      <w:r/>
      <w:bookmarkStart w:id="110" w:name="_Toc6388852"/>
      <w:r>
        <w:rPr>
          <w:rFonts w:hint="eastAsia" w:ascii="宋体" w:hAnsi="宋体" w:cs="宋体"/>
          <w:b/>
          <w:bCs/>
          <w:color w:val="auto"/>
          <w:sz w:val="24"/>
        </w:rPr>
        <w:t xml:space="preserve">投标文件的递交</w:t>
      </w:r>
      <w:r/>
    </w:p>
    <w:p>
      <w:pPr>
        <w:numPr>
          <w:ilvl w:val="1"/>
          <w:numId w:val="7"/>
        </w:numPr>
        <w:ind w:firstLine="508"/>
        <w:jc w:val="left"/>
        <w:spacing w:line="400" w:lineRule="exact"/>
        <w:rPr>
          <w:rStyle w:val="1163"/>
          <w:rFonts w:hint="eastAsia" w:ascii="宋体" w:hAnsi="宋体" w:cs="宋体"/>
          <w:color w:val="auto"/>
          <w:spacing w:val="7"/>
          <w:sz w:val="24"/>
        </w:rPr>
      </w:pPr>
      <w:r>
        <w:rPr>
          <w:rStyle w:val="1163"/>
          <w:rFonts w:hint="eastAsia" w:ascii="宋体" w:hAnsi="宋体" w:cs="宋体"/>
          <w:color w:val="auto"/>
          <w:spacing w:val="7"/>
          <w:sz w:val="24"/>
        </w:rPr>
        <w:t xml:space="preserve">张家港保税区汇采招投标代理有限公司拒绝接收在其规定的投标截止时间后递交的任何投标文件。</w:t>
      </w:r>
      <w:r/>
    </w:p>
    <w:p>
      <w:pPr>
        <w:numPr>
          <w:ilvl w:val="0"/>
          <w:numId w:val="7"/>
        </w:numPr>
        <w:ind w:firstLine="241"/>
        <w:jc w:val="left"/>
        <w:spacing w:line="400" w:lineRule="exact"/>
        <w:rPr>
          <w:rFonts w:hint="eastAsia" w:ascii="宋体" w:hAnsi="宋体" w:cs="宋体"/>
          <w:b/>
          <w:bCs/>
          <w:color w:val="auto"/>
          <w:sz w:val="24"/>
        </w:rPr>
        <w:outlineLvl w:val="2"/>
      </w:pPr>
      <w:r>
        <w:rPr>
          <w:rFonts w:hint="eastAsia" w:ascii="宋体" w:hAnsi="宋体" w:cs="宋体"/>
          <w:b/>
          <w:bCs/>
          <w:color w:val="auto"/>
          <w:sz w:val="24"/>
        </w:rPr>
        <w:t xml:space="preserve">投标文件的修改和撤回</w:t>
      </w:r>
      <w:bookmarkEnd w:id="108"/>
      <w:r/>
      <w:bookmarkEnd w:id="109"/>
      <w:r/>
      <w:bookmarkEnd w:id="110"/>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投标人撤回电子投标文件，则认为其不再参与本项目投标活动。</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在投标截止时间之后，投标人不得对其电子投标文件作任何修改。</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在投标截止时间至招标文件中规定的投标有效期满之间的这段时间内，投标人不得撤销其投标。</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不论投标人中标与否，投标文件均不退回。</w:t>
      </w:r>
      <w:r/>
    </w:p>
    <w:p>
      <w:pPr>
        <w:numPr>
          <w:ilvl w:val="1"/>
          <w:numId w:val="6"/>
        </w:numPr>
        <w:ind w:firstLine="0"/>
        <w:jc w:val="left"/>
        <w:spacing w:line="400" w:lineRule="exact"/>
        <w:rPr>
          <w:rStyle w:val="1117"/>
          <w:rFonts w:hint="eastAsia" w:ascii="宋体" w:hAnsi="宋体" w:cs="宋体"/>
          <w:bCs w:val="0"/>
          <w:color w:val="auto"/>
          <w:sz w:val="24"/>
          <w:szCs w:val="24"/>
        </w:rPr>
        <w:outlineLvl w:val="1"/>
      </w:pPr>
      <w:r/>
      <w:bookmarkStart w:id="111" w:name="_Toc256000006"/>
      <w:r/>
      <w:bookmarkStart w:id="112" w:name="_Toc21743"/>
      <w:r/>
      <w:bookmarkStart w:id="113" w:name="_Toc22772"/>
      <w:r/>
      <w:bookmarkStart w:id="114" w:name="_Toc54119650"/>
      <w:r/>
      <w:bookmarkStart w:id="115" w:name="_Toc35244872"/>
      <w:r/>
      <w:bookmarkStart w:id="116" w:name="_Toc5723"/>
      <w:r>
        <w:rPr>
          <w:rStyle w:val="1117"/>
          <w:rFonts w:hint="eastAsia" w:ascii="宋体" w:hAnsi="宋体" w:cs="宋体"/>
          <w:bCs w:val="0"/>
          <w:color w:val="auto"/>
          <w:sz w:val="24"/>
          <w:szCs w:val="24"/>
        </w:rPr>
        <w:t xml:space="preserve">开标与评标</w:t>
      </w:r>
      <w:bookmarkEnd w:id="111"/>
      <w:r/>
      <w:bookmarkEnd w:id="112"/>
      <w:r/>
      <w:bookmarkEnd w:id="113"/>
      <w:r/>
      <w:bookmarkEnd w:id="114"/>
      <w:r/>
      <w:bookmarkEnd w:id="115"/>
      <w:r/>
      <w:bookmarkEnd w:id="116"/>
      <w:r/>
      <w:r/>
    </w:p>
    <w:p>
      <w:pPr>
        <w:numPr>
          <w:ilvl w:val="0"/>
          <w:numId w:val="7"/>
        </w:numPr>
        <w:ind w:firstLine="241"/>
        <w:jc w:val="left"/>
        <w:spacing w:line="400" w:lineRule="exact"/>
        <w:rPr>
          <w:rFonts w:hint="eastAsia" w:ascii="宋体" w:hAnsi="宋体" w:cs="宋体"/>
          <w:b/>
          <w:bCs/>
          <w:color w:val="auto"/>
          <w:sz w:val="24"/>
        </w:rPr>
        <w:outlineLvl w:val="2"/>
      </w:pPr>
      <w:r/>
      <w:bookmarkStart w:id="117" w:name="_Toc30366"/>
      <w:r>
        <w:rPr>
          <w:rFonts w:hint="eastAsia" w:ascii="宋体" w:hAnsi="宋体" w:cs="宋体"/>
          <w:b/>
          <w:bCs/>
          <w:color w:val="auto"/>
          <w:sz w:val="24"/>
        </w:rPr>
        <w:t xml:space="preserve">开标</w:t>
      </w:r>
      <w:bookmarkEnd w:id="117"/>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spacing w:line="400" w:lineRule="exact"/>
        <w:rPr>
          <w:rFonts w:hint="eastAsia" w:ascii="宋体" w:hAnsi="宋体" w:cs="宋体"/>
          <w:color w:val="auto"/>
          <w:spacing w:val="7"/>
          <w:sz w:val="24"/>
        </w:rPr>
      </w:pPr>
      <w:r/>
      <w:bookmarkStart w:id="118" w:name="_Toc4671"/>
      <w:r>
        <w:rPr>
          <w:rFonts w:hint="eastAsia" w:ascii="宋体" w:hAnsi="宋体" w:cs="宋体"/>
          <w:color w:val="auto"/>
          <w:spacing w:val="7"/>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firstLine="241"/>
        <w:jc w:val="left"/>
        <w:spacing w:line="400" w:lineRule="exact"/>
        <w:rPr>
          <w:rFonts w:hint="eastAsia" w:ascii="宋体" w:hAnsi="宋体" w:cs="宋体"/>
          <w:b/>
          <w:bCs/>
          <w:color w:val="auto"/>
          <w:sz w:val="24"/>
        </w:rPr>
        <w:outlineLvl w:val="2"/>
      </w:pPr>
      <w:r>
        <w:rPr>
          <w:rFonts w:hint="eastAsia" w:ascii="宋体" w:hAnsi="宋体" w:cs="宋体"/>
          <w:b/>
          <w:bCs/>
          <w:color w:val="auto"/>
          <w:sz w:val="24"/>
        </w:rPr>
        <w:t xml:space="preserve">评标委员会</w:t>
      </w:r>
      <w:bookmarkEnd w:id="118"/>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开标后，张家港保税区汇采招投标代理有限公司将立即组织评标委员会（以下简称评委会）进行评标。</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评委会由评审专家、采购人代表组成，且人员构成符合政府采购有关规定。</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评委会将对投标人的商业、技术秘密予以保密。</w:t>
      </w:r>
      <w:r/>
    </w:p>
    <w:p>
      <w:pPr>
        <w:numPr>
          <w:ilvl w:val="0"/>
          <w:numId w:val="7"/>
        </w:numPr>
        <w:ind w:firstLine="241"/>
        <w:jc w:val="left"/>
        <w:spacing w:line="400" w:lineRule="exact"/>
        <w:rPr>
          <w:rFonts w:hint="eastAsia" w:ascii="宋体" w:hAnsi="宋体" w:cs="宋体"/>
          <w:b/>
          <w:bCs/>
          <w:color w:val="auto"/>
          <w:sz w:val="24"/>
        </w:rPr>
        <w:outlineLvl w:val="2"/>
      </w:pPr>
      <w:r/>
      <w:bookmarkStart w:id="119" w:name="_Toc2623"/>
      <w:r>
        <w:rPr>
          <w:rFonts w:hint="eastAsia" w:ascii="宋体" w:hAnsi="宋体" w:cs="宋体"/>
          <w:b/>
          <w:bCs/>
          <w:color w:val="auto"/>
          <w:sz w:val="24"/>
        </w:rPr>
        <w:t xml:space="preserve">评标过程的保密与公正</w:t>
      </w:r>
      <w:bookmarkEnd w:id="119"/>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在评标过程中，如果投标人试图向张家港保税区汇采招投标代理有限公司和参与评标的人员施加任何影响，都将会导致其投标被拒绝。</w:t>
      </w:r>
      <w:r/>
    </w:p>
    <w:p>
      <w:pPr>
        <w:numPr>
          <w:ilvl w:val="0"/>
          <w:numId w:val="7"/>
        </w:numPr>
        <w:ind w:firstLine="241"/>
        <w:jc w:val="left"/>
        <w:spacing w:line="400" w:lineRule="exact"/>
        <w:rPr>
          <w:rFonts w:hint="eastAsia" w:ascii="宋体" w:hAnsi="宋体" w:cs="宋体"/>
          <w:b/>
          <w:bCs/>
          <w:color w:val="auto"/>
          <w:sz w:val="24"/>
        </w:rPr>
        <w:outlineLvl w:val="2"/>
      </w:pPr>
      <w:r/>
      <w:bookmarkStart w:id="120" w:name="_Toc6849"/>
      <w:r>
        <w:rPr>
          <w:rFonts w:hint="eastAsia" w:ascii="宋体" w:hAnsi="宋体" w:cs="宋体"/>
          <w:b/>
          <w:bCs/>
          <w:color w:val="auto"/>
          <w:sz w:val="24"/>
        </w:rPr>
        <w:t xml:space="preserve">投标的澄清</w:t>
      </w:r>
      <w:bookmarkEnd w:id="120"/>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8" w:firstLine="500"/>
        <w:jc w:val="left"/>
        <w:spacing w:line="400" w:lineRule="exact"/>
        <w:rPr>
          <w:rFonts w:hint="eastAsia" w:ascii="宋体" w:hAnsi="宋体" w:cs="宋体"/>
          <w:color w:val="auto"/>
          <w:spacing w:val="7"/>
          <w:sz w:val="24"/>
        </w:rPr>
      </w:pPr>
      <w:r>
        <w:rPr>
          <w:rFonts w:hint="eastAsia" w:ascii="宋体" w:hAnsi="宋体" w:cs="宋体"/>
          <w:b/>
          <w:bCs/>
          <w:color w:val="auto"/>
          <w:spacing w:val="7"/>
          <w:sz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pacing w:val="7"/>
          <w:sz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接到评委会澄清要求的投标人如未按规定做出澄清，其风险由投标人自行承担。</w:t>
      </w:r>
      <w:r/>
    </w:p>
    <w:p>
      <w:pPr>
        <w:numPr>
          <w:ilvl w:val="0"/>
          <w:numId w:val="7"/>
        </w:numPr>
        <w:ind w:firstLine="241"/>
        <w:jc w:val="left"/>
        <w:spacing w:line="400" w:lineRule="exact"/>
        <w:rPr>
          <w:rFonts w:hint="eastAsia" w:ascii="宋体" w:hAnsi="宋体" w:cs="宋体"/>
          <w:b/>
          <w:bCs/>
          <w:color w:val="auto"/>
          <w:sz w:val="24"/>
        </w:rPr>
        <w:outlineLvl w:val="2"/>
      </w:pPr>
      <w:r/>
      <w:bookmarkStart w:id="121" w:name="_Toc13348"/>
      <w:r>
        <w:rPr>
          <w:rFonts w:hint="eastAsia" w:ascii="宋体" w:hAnsi="宋体" w:cs="宋体"/>
          <w:b/>
          <w:bCs/>
          <w:color w:val="auto"/>
          <w:sz w:val="24"/>
        </w:rPr>
        <w:t xml:space="preserve">对投标文件的初审</w:t>
      </w:r>
      <w:bookmarkEnd w:id="121"/>
      <w:r/>
      <w:r/>
    </w:p>
    <w:p>
      <w:pPr>
        <w:numPr>
          <w:ilvl w:val="1"/>
          <w:numId w:val="7"/>
        </w:numPr>
        <w:ind w:firstLine="508"/>
        <w:jc w:val="left"/>
        <w:spacing w:line="400" w:lineRule="exact"/>
        <w:rPr>
          <w:rFonts w:hint="eastAsia" w:ascii="宋体" w:hAnsi="宋体" w:cs="宋体"/>
          <w:color w:val="auto"/>
          <w:sz w:val="24"/>
        </w:rPr>
      </w:pPr>
      <w:r>
        <w:rPr>
          <w:rFonts w:hint="eastAsia" w:ascii="宋体" w:hAnsi="宋体" w:cs="宋体"/>
          <w:color w:val="auto"/>
          <w:spacing w:val="7"/>
          <w:sz w:val="24"/>
        </w:rPr>
        <w:t xml:space="preserve">投标文件初审分为资格审查和符合性审查。</w:t>
      </w:r>
      <w:r/>
    </w:p>
    <w:p>
      <w:pPr>
        <w:numPr>
          <w:ilvl w:val="2"/>
          <w:numId w:val="7"/>
        </w:numPr>
        <w:ind w:firstLine="508"/>
        <w:jc w:val="left"/>
        <w:spacing w:line="400" w:lineRule="exact"/>
        <w:rPr>
          <w:rFonts w:hint="eastAsia" w:ascii="宋体" w:hAnsi="宋体" w:cs="宋体"/>
          <w:color w:val="auto"/>
          <w:sz w:val="24"/>
        </w:rPr>
      </w:pPr>
      <w:r>
        <w:rPr>
          <w:rFonts w:hint="eastAsia" w:ascii="宋体" w:hAnsi="宋体" w:cs="宋体"/>
          <w:color w:val="auto"/>
          <w:spacing w:val="7"/>
          <w:sz w:val="24"/>
        </w:rPr>
        <w:t xml:space="preserve">资格性审查：采购人或者采购代理机构依法对投标人的资格进行审查。</w:t>
      </w:r>
      <w:r/>
    </w:p>
    <w:p>
      <w:pPr>
        <w:numPr>
          <w:ilvl w:val="3"/>
          <w:numId w:val="7"/>
        </w:numPr>
        <w:ind w:firstLine="508"/>
        <w:jc w:val="left"/>
        <w:spacing w:line="400" w:lineRule="exact"/>
        <w:rPr>
          <w:rFonts w:hint="eastAsia" w:ascii="宋体" w:hAnsi="宋体" w:cs="宋体"/>
          <w:color w:val="auto"/>
          <w:sz w:val="24"/>
          <w:lang w:val="zh-CN"/>
        </w:rPr>
      </w:pPr>
      <w:r>
        <w:rPr>
          <w:rFonts w:hint="eastAsia" w:ascii="宋体" w:hAnsi="宋体" w:cs="宋体"/>
          <w:color w:val="auto"/>
          <w:spacing w:val="7"/>
          <w:sz w:val="24"/>
          <w:lang w:val="zh-CN"/>
        </w:rPr>
        <w:t xml:space="preserve">关于信用查询：</w:t>
      </w:r>
      <w:r/>
    </w:p>
    <w:p>
      <w:pPr>
        <w:numPr>
          <w:ilvl w:val="4"/>
          <w:numId w:val="7"/>
        </w:numPr>
        <w:ind w:firstLine="480"/>
        <w:jc w:val="left"/>
        <w:spacing w:line="400" w:lineRule="exact"/>
        <w:rPr>
          <w:rFonts w:hint="eastAsia" w:ascii="宋体" w:hAnsi="宋体" w:cs="宋体"/>
          <w:color w:val="auto"/>
          <w:sz w:val="24"/>
          <w:lang w:val="zh-CN"/>
        </w:rPr>
      </w:pPr>
      <w:r>
        <w:rPr>
          <w:rFonts w:hint="eastAsia" w:ascii="宋体" w:hAnsi="宋体" w:cs="宋体"/>
          <w:color w:val="auto"/>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firstLine="480"/>
        <w:jc w:val="left"/>
        <w:spacing w:line="400" w:lineRule="exact"/>
        <w:rPr>
          <w:rFonts w:hint="eastAsia" w:ascii="宋体" w:hAnsi="宋体" w:cs="宋体"/>
          <w:color w:val="auto"/>
          <w:sz w:val="24"/>
          <w:lang w:val="zh-CN"/>
        </w:rPr>
      </w:pPr>
      <w:r>
        <w:rPr>
          <w:rFonts w:hint="eastAsia" w:ascii="宋体" w:hAnsi="宋体" w:cs="宋体"/>
          <w:color w:val="auto"/>
          <w:sz w:val="24"/>
          <w:lang w:val="zh-CN"/>
        </w:rPr>
        <w:t xml:space="preserve">查询时间：投标文件提交截止时间。</w:t>
      </w:r>
      <w:r/>
    </w:p>
    <w:p>
      <w:pPr>
        <w:numPr>
          <w:ilvl w:val="4"/>
          <w:numId w:val="7"/>
        </w:numPr>
        <w:ind w:firstLine="480"/>
        <w:jc w:val="left"/>
        <w:spacing w:line="400" w:lineRule="exact"/>
        <w:rPr>
          <w:rFonts w:hint="eastAsia" w:ascii="宋体" w:hAnsi="宋体" w:cs="宋体"/>
          <w:color w:val="auto"/>
          <w:sz w:val="24"/>
          <w:lang w:val="zh-CN"/>
        </w:rPr>
      </w:pPr>
      <w:r>
        <w:rPr>
          <w:rFonts w:hint="eastAsia" w:ascii="宋体" w:hAnsi="宋体" w:cs="宋体"/>
          <w:color w:val="auto"/>
          <w:sz w:val="24"/>
          <w:lang w:val="zh-CN"/>
        </w:rPr>
        <w:t xml:space="preserve">查询渠道：通过“信用中国”网站等渠道查询相关主体信用记录。</w:t>
      </w:r>
      <w:r/>
    </w:p>
    <w:p>
      <w:pPr>
        <w:numPr>
          <w:ilvl w:val="2"/>
          <w:numId w:val="7"/>
        </w:numPr>
        <w:ind w:firstLine="508"/>
        <w:jc w:val="left"/>
        <w:spacing w:line="400" w:lineRule="exact"/>
        <w:rPr>
          <w:rFonts w:hint="eastAsia" w:ascii="宋体" w:hAnsi="宋体" w:cs="宋体"/>
          <w:bCs/>
          <w:color w:val="auto"/>
          <w:sz w:val="24"/>
        </w:rPr>
      </w:pPr>
      <w:r>
        <w:rPr>
          <w:rFonts w:hint="eastAsia" w:ascii="宋体" w:hAnsi="宋体" w:cs="宋体"/>
          <w:color w:val="auto"/>
          <w:spacing w:val="7"/>
          <w:sz w:val="24"/>
        </w:rPr>
        <w:t xml:space="preserve">符合性审查：</w:t>
      </w:r>
      <w:r>
        <w:rPr>
          <w:rFonts w:hint="eastAsia" w:ascii="宋体" w:hAnsi="宋体" w:cs="宋体"/>
          <w:bCs/>
          <w:color w:val="auto"/>
          <w:sz w:val="24"/>
        </w:rPr>
        <w:t xml:space="preserve">依据招标文件的规定，由评委会对投标文件进行审查，以确定是否对招标文件的实质性要求作出响应。</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19"/>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spacing w:line="400" w:lineRule="exact"/>
        <w:rPr>
          <w:rFonts w:hint="eastAsia" w:ascii="宋体" w:hAnsi="宋体" w:cs="宋体"/>
          <w:bCs/>
          <w:color w:val="auto"/>
          <w:sz w:val="24"/>
        </w:rPr>
      </w:pPr>
      <w:r>
        <w:rPr>
          <w:rFonts w:hint="eastAsia" w:ascii="宋体" w:hAnsi="宋体" w:cs="宋体"/>
          <w:color w:val="auto"/>
          <w:spacing w:val="7"/>
          <w:sz w:val="24"/>
        </w:rPr>
        <w:t xml:space="preserve">投标文件报价出现前后不一致的，按下列规定修正：</w:t>
      </w:r>
      <w:r/>
    </w:p>
    <w:p>
      <w:pPr>
        <w:numPr>
          <w:ilvl w:val="0"/>
          <w:numId w:val="10"/>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投标文件中开标一览表（报价表）内容与投标文件中相应内容不一致的，以开标一览表（报价表）为准；</w:t>
      </w:r>
      <w:r/>
    </w:p>
    <w:p>
      <w:pPr>
        <w:numPr>
          <w:ilvl w:val="0"/>
          <w:numId w:val="10"/>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大写金额和小写金额不一致的，以大写金额为准；</w:t>
      </w:r>
      <w:r/>
    </w:p>
    <w:p>
      <w:pPr>
        <w:numPr>
          <w:ilvl w:val="0"/>
          <w:numId w:val="10"/>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单价金额小数点或者百分比有明显错位的，以开标一览表的总价为准，并修改单价；</w:t>
      </w:r>
      <w:r/>
    </w:p>
    <w:p>
      <w:pPr>
        <w:numPr>
          <w:ilvl w:val="0"/>
          <w:numId w:val="10"/>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总价金额与按单价汇总金额不一致的，以单价金额计算结果为准。</w:t>
      </w:r>
      <w:r/>
    </w:p>
    <w:p>
      <w:p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同时出现两种以上不一致的，按照前款规定的顺序修正。修正后的报价按照财政部87号令第五十一条第二款的规定经投标人确认后产生约束力。</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spacing w:line="400" w:lineRule="exact"/>
        <w:rPr>
          <w:rFonts w:hint="eastAsia" w:ascii="宋体" w:hAnsi="宋体" w:cs="宋体"/>
          <w:color w:val="auto"/>
          <w:spacing w:val="7"/>
          <w:sz w:val="24"/>
          <w:highlight w:val="none"/>
        </w:rPr>
      </w:pPr>
      <w:r>
        <w:rPr>
          <w:rFonts w:hint="eastAsia" w:ascii="宋体" w:hAnsi="宋体" w:cs="宋体"/>
          <w:color w:val="auto"/>
          <w:spacing w:val="7"/>
          <w:sz w:val="24"/>
          <w:highlight w:val="none"/>
        </w:rPr>
        <w:t xml:space="preserve">启动异常低价投标（响应）审查的情形和要求</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根据</w:t>
      </w:r>
      <w:r>
        <w:rPr>
          <w:rFonts w:ascii="宋体" w:hAnsi="宋体" w:cs="宋体"/>
          <w:color w:val="auto"/>
          <w:sz w:val="24"/>
        </w:rPr>
        <w:t xml:space="preserve">财库〔2026</w:t>
      </w:r>
      <w:r>
        <w:rPr>
          <w:rFonts w:hint="eastAsia" w:ascii="宋体" w:hAnsi="宋体" w:cs="宋体"/>
          <w:color w:val="auto"/>
          <w:spacing w:val="7"/>
          <w:sz w:val="24"/>
        </w:rPr>
        <w:t xml:space="preserve">〕2号《</w:t>
      </w:r>
      <w:r>
        <w:rPr>
          <w:rFonts w:ascii="宋体" w:hAnsi="宋体" w:cs="宋体"/>
          <w:color w:val="auto"/>
          <w:sz w:val="24"/>
        </w:rPr>
        <w:t xml:space="preserve">财政部关于推动解决政府采购异常低价问题的通知</w:t>
      </w:r>
      <w:r>
        <w:rPr>
          <w:rFonts w:hint="eastAsia" w:ascii="宋体" w:hAnsi="宋体" w:cs="宋体"/>
          <w:color w:val="auto"/>
          <w:spacing w:val="7"/>
          <w:sz w:val="24"/>
        </w:rPr>
        <w:t xml:space="preserve">》，</w:t>
      </w:r>
      <w:r>
        <w:rPr>
          <w:color w:val="auto"/>
          <w:spacing w:val="7"/>
          <w:sz w:val="24"/>
          <w:highlight w:val="none"/>
        </w:rPr>
        <w:t xml:space="preserve">评审过程中出现下列情形之一的</w:t>
      </w:r>
      <w:r>
        <w:rPr>
          <w:rFonts w:hint="eastAsia" w:ascii="宋体" w:hAnsi="宋体" w:cs="宋体"/>
          <w:color w:val="auto"/>
          <w:spacing w:val="7"/>
          <w:sz w:val="24"/>
          <w:highlight w:val="none"/>
        </w:rPr>
        <w:t xml:space="preserve">，评审</w:t>
      </w:r>
      <w:r>
        <w:rPr>
          <w:rFonts w:hint="eastAsia" w:ascii="宋体" w:hAnsi="宋体" w:cs="宋体"/>
          <w:color w:val="auto"/>
          <w:spacing w:val="7"/>
          <w:sz w:val="24"/>
        </w:rPr>
        <w:t xml:space="preserve">委员会应当启动异常低价投标（响应）审查程序：</w:t>
      </w:r>
      <w:r/>
    </w:p>
    <w:p>
      <w:pPr>
        <w:numPr>
          <w:ilvl w:val="1"/>
          <w:numId w:val="0"/>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1.投标（响应）报价低于全部通过符合性审查供应商投标（响应）报价平均50%的，即投标（响应）报价&lt;全部通过符合性审查供应商投标（响应）报价平均值×50%；</w:t>
      </w:r>
      <w:r/>
    </w:p>
    <w:p>
      <w:pPr>
        <w:numPr>
          <w:ilvl w:val="1"/>
          <w:numId w:val="0"/>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2.投标（响应）报价低于通过符合性审查的次低报价供应商投标（响应）报价50%的，即投标（响应）报价&lt;通过符合性审查的次低报价供应商投标（响应）报价×50%；</w:t>
      </w:r>
      <w:r/>
    </w:p>
    <w:p>
      <w:pPr>
        <w:numPr>
          <w:ilvl w:val="1"/>
          <w:numId w:val="0"/>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3.投标（响应）报价低于采购项目最高限价45%的，即投标（响应）报价&lt;采购项目最高限价×45%；</w:t>
      </w:r>
      <w:r/>
    </w:p>
    <w:p>
      <w:pPr>
        <w:numPr>
          <w:ilvl w:val="1"/>
          <w:numId w:val="0"/>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4.评审委员会基于专业判断，认为供应商报价过低，有可能影响产品质量或者不能诚信履约的其他情形。</w:t>
      </w:r>
      <w:r/>
    </w:p>
    <w:p>
      <w:pPr>
        <w:numPr>
          <w:ilvl w:val="1"/>
          <w:numId w:val="0"/>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在评审报告中进行记录。</w:t>
      </w:r>
      <w:r/>
    </w:p>
    <w:p>
      <w:pPr>
        <w:numPr>
          <w:ilvl w:val="0"/>
          <w:numId w:val="7"/>
        </w:numPr>
        <w:ind w:firstLine="241"/>
        <w:jc w:val="left"/>
        <w:spacing w:line="400" w:lineRule="exact"/>
        <w:rPr>
          <w:rFonts w:hint="eastAsia" w:ascii="宋体" w:hAnsi="宋体" w:cs="宋体"/>
          <w:b/>
          <w:bCs/>
          <w:color w:val="auto"/>
          <w:sz w:val="24"/>
        </w:rPr>
        <w:outlineLvl w:val="2"/>
      </w:pPr>
      <w:r/>
      <w:bookmarkStart w:id="122" w:name="_Toc10736"/>
      <w:r>
        <w:rPr>
          <w:rFonts w:hint="eastAsia" w:ascii="宋体" w:hAnsi="宋体" w:cs="宋体"/>
          <w:b/>
          <w:bCs/>
          <w:color w:val="auto"/>
          <w:sz w:val="24"/>
        </w:rPr>
        <w:t xml:space="preserve">无效投标条款和废标条款</w:t>
      </w:r>
      <w:bookmarkEnd w:id="122"/>
      <w:r/>
      <w:r/>
    </w:p>
    <w:p>
      <w:pPr>
        <w:numPr>
          <w:ilvl w:val="1"/>
          <w:numId w:val="7"/>
        </w:numPr>
        <w:ind w:firstLine="510"/>
        <w:jc w:val="left"/>
        <w:spacing w:line="400" w:lineRule="exact"/>
        <w:rPr>
          <w:rFonts w:hint="eastAsia" w:ascii="宋体" w:hAnsi="宋体" w:cs="宋体"/>
          <w:b/>
          <w:bCs/>
          <w:color w:val="auto"/>
          <w:spacing w:val="7"/>
          <w:sz w:val="24"/>
        </w:rPr>
      </w:pPr>
      <w:r>
        <w:rPr>
          <w:rFonts w:hint="eastAsia" w:ascii="宋体" w:hAnsi="宋体" w:cs="宋体"/>
          <w:b/>
          <w:bCs/>
          <w:color w:val="auto"/>
          <w:spacing w:val="7"/>
          <w:sz w:val="24"/>
        </w:rPr>
        <w:t xml:space="preserve">无效投标条款</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投标人未按照招标文件要求上传电子投标文件的；</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投标人在规定时间内不解密投标文件或未成功解密投标文件的（因系统原因导致的除外)；</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投标文件中没有《开标一览表》或《开标一览表》未加盖投标人公章的；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投标文件中任何有选择的报价；</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投标文件报价出现前后不一致的，按招标文件规定修正后投标人不确认的；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不同投标人的投标文件由同一单位或者个人编制；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不同投标人委托同一单位或者个人办理投标事宜；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不同投标人的投标文件载明的项目管理成员或者联系人员为同一人；</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不同投标人的投标文件异常一致或者投标报价呈规律性差异；</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不同投标人的投标文件制作机器码（包括但不限于IP地址、MAC地址、标书制作工具客户端标识码等）一致的；</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投标人被列入失信被执行人名单、重大税收违法案件当事人名单、政府采购严重违法失信行为记录名单以及其他不符合《中华人民共和国政府采购法》第二十二条规定条件的信用记录的；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不同投标人的单位负责人为同一人或者存在直接控股、管理关系的；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为采购项目提供整体设计、规范编制或者项目管理、监理、检测等服务的；</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资格证明文件中要求加盖公章而未加盖公章的；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投标文件未按招标文件要求签署、盖章的；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不具备招标文件中规定的资格要求或未按招标文件规定的要求提供资格证明文件的或未通过符合性审查的；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报价超过招标文件中规定的预算金额或者最高限价的；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投标文件含有采购人不能接受的附加条件的； </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不响应招标文件中规定的实质性要求的（本招标文件中斜体且有下划线部分为实质性要求）； </w:t>
      </w:r>
      <w:r/>
    </w:p>
    <w:p>
      <w:pPr>
        <w:numPr>
          <w:ilvl w:val="2"/>
          <w:numId w:val="7"/>
        </w:numPr>
        <w:ind w:firstLine="508"/>
        <w:jc w:val="left"/>
        <w:spacing w:line="400" w:lineRule="exact"/>
        <w:rPr>
          <w:rFonts w:hint="eastAsia" w:ascii="宋体" w:hAnsi="宋体" w:cs="宋体"/>
          <w:bCs/>
          <w:color w:val="auto"/>
          <w:sz w:val="24"/>
        </w:rPr>
      </w:pPr>
      <w:r>
        <w:rPr>
          <w:rFonts w:hint="eastAsia" w:ascii="宋体" w:hAnsi="宋体" w:cs="宋体"/>
          <w:color w:val="auto"/>
          <w:spacing w:val="7"/>
          <w:sz w:val="24"/>
        </w:rPr>
        <w:t xml:space="preserve">法律、法规和采购文件规定的其他无效情形; </w:t>
      </w:r>
      <w:r/>
    </w:p>
    <w:p>
      <w:pPr>
        <w:numPr>
          <w:ilvl w:val="1"/>
          <w:numId w:val="7"/>
        </w:numPr>
        <w:ind w:firstLine="510"/>
        <w:jc w:val="left"/>
        <w:spacing w:line="400" w:lineRule="exact"/>
        <w:rPr>
          <w:rFonts w:hint="eastAsia" w:ascii="宋体" w:hAnsi="宋体" w:cs="宋体"/>
          <w:b/>
          <w:bCs/>
          <w:color w:val="auto"/>
          <w:spacing w:val="7"/>
        </w:rPr>
      </w:pPr>
      <w:r>
        <w:rPr>
          <w:rFonts w:hint="eastAsia" w:ascii="宋体" w:hAnsi="宋体" w:cs="宋体"/>
          <w:b/>
          <w:bCs/>
          <w:color w:val="auto"/>
          <w:spacing w:val="7"/>
          <w:sz w:val="24"/>
        </w:rPr>
        <w:t xml:space="preserve">废标条款</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符合专业条件的供应商或者对招标文件作实质响应的供应商不足三家的；</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出现影响采购公正的违法、违规行为的；</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投标人的报价均超过了采购预算，采购人不能支付的；</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因重大变故，采购任务取消的。</w:t>
      </w:r>
      <w:r/>
    </w:p>
    <w:p>
      <w:pPr>
        <w:numPr>
          <w:ilvl w:val="2"/>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因苏采云系统系统故障原因造成开标不成功的。</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投标截止时间结束后参加投标的供应商不足三家的处理：</w:t>
      </w:r>
      <w:r/>
    </w:p>
    <w:p>
      <w:pPr>
        <w:numPr>
          <w:ilvl w:val="2"/>
          <w:numId w:val="7"/>
        </w:numPr>
        <w:ind w:firstLine="508"/>
        <w:jc w:val="left"/>
        <w:spacing w:line="400" w:lineRule="exact"/>
        <w:rPr>
          <w:rFonts w:hint="eastAsia" w:ascii="宋体" w:hAnsi="宋体" w:cs="宋体"/>
          <w:color w:val="auto"/>
          <w:spacing w:val="7"/>
        </w:rPr>
      </w:pPr>
      <w:r>
        <w:rPr>
          <w:rFonts w:hint="eastAsia" w:ascii="宋体" w:hAnsi="宋体" w:cs="宋体"/>
          <w:color w:val="auto"/>
          <w:spacing w:val="7"/>
          <w:sz w:val="24"/>
          <w:szCs w:val="32"/>
        </w:rPr>
        <w:t xml:space="preserve">如出现投标截止时间结束后参加投标的供应商或者在评标期间对招标文件做出实质响应的供应商不足三家情况</w:t>
      </w:r>
      <w:bookmarkStart w:id="123" w:name="_Toc54119651"/>
      <w:r/>
      <w:bookmarkStart w:id="124" w:name="_Toc256000007"/>
      <w:r/>
      <w:bookmarkStart w:id="125" w:name="_Toc35244873"/>
      <w:r>
        <w:rPr>
          <w:rFonts w:hint="eastAsia" w:ascii="宋体" w:hAnsi="宋体" w:cs="宋体"/>
          <w:color w:val="auto"/>
          <w:spacing w:val="7"/>
          <w:sz w:val="24"/>
          <w:szCs w:val="32"/>
        </w:rPr>
        <w:t xml:space="preserve">，</w:t>
      </w:r>
      <w:r>
        <w:rPr>
          <w:rStyle w:val="1087"/>
          <w:rFonts w:ascii="宋体" w:hAnsi="宋体" w:cs="宋体"/>
          <w:color w:val="auto"/>
          <w:spacing w:val="7"/>
          <w:sz w:val="24"/>
        </w:rPr>
        <w:t xml:space="preserve">按财政部第87号令第四十三条的规定执行</w:t>
      </w:r>
      <w:r>
        <w:rPr>
          <w:rFonts w:hint="eastAsia" w:ascii="宋体" w:hAnsi="宋体" w:cs="宋体"/>
          <w:color w:val="auto"/>
          <w:spacing w:val="7"/>
          <w:sz w:val="24"/>
          <w:szCs w:val="32"/>
        </w:rPr>
        <w:t xml:space="preserve">。</w:t>
      </w:r>
      <w:r/>
    </w:p>
    <w:p>
      <w:pPr>
        <w:numPr>
          <w:ilvl w:val="1"/>
          <w:numId w:val="6"/>
        </w:numPr>
        <w:ind w:firstLine="0"/>
        <w:jc w:val="left"/>
        <w:spacing w:line="400" w:lineRule="exact"/>
        <w:rPr>
          <w:rStyle w:val="1117"/>
          <w:rFonts w:hint="eastAsia" w:ascii="宋体" w:hAnsi="宋体" w:cs="宋体"/>
          <w:bCs w:val="0"/>
          <w:color w:val="auto"/>
          <w:sz w:val="24"/>
          <w:szCs w:val="24"/>
        </w:rPr>
        <w:outlineLvl w:val="1"/>
      </w:pPr>
      <w:r/>
      <w:bookmarkStart w:id="126" w:name="_Toc24282"/>
      <w:r/>
      <w:bookmarkStart w:id="127" w:name="_Toc23197"/>
      <w:r/>
      <w:bookmarkStart w:id="128" w:name="_Toc4706"/>
      <w:r>
        <w:rPr>
          <w:rStyle w:val="1117"/>
          <w:rFonts w:hint="eastAsia" w:ascii="宋体" w:hAnsi="宋体" w:cs="宋体"/>
          <w:bCs w:val="0"/>
          <w:color w:val="auto"/>
          <w:sz w:val="24"/>
          <w:szCs w:val="24"/>
        </w:rPr>
        <w:t xml:space="preserve">定标</w:t>
      </w:r>
      <w:bookmarkEnd w:id="123"/>
      <w:r/>
      <w:bookmarkEnd w:id="124"/>
      <w:r/>
      <w:bookmarkEnd w:id="125"/>
      <w:r/>
      <w:bookmarkEnd w:id="126"/>
      <w:r/>
      <w:bookmarkEnd w:id="127"/>
      <w:r/>
      <w:bookmarkEnd w:id="128"/>
      <w:r/>
      <w:r/>
    </w:p>
    <w:p>
      <w:pPr>
        <w:numPr>
          <w:ilvl w:val="0"/>
          <w:numId w:val="7"/>
        </w:numPr>
        <w:ind w:firstLine="241"/>
        <w:jc w:val="left"/>
        <w:spacing w:line="400" w:lineRule="exact"/>
        <w:rPr>
          <w:rFonts w:hint="eastAsia" w:ascii="宋体" w:hAnsi="宋体" w:cs="宋体"/>
          <w:b/>
          <w:bCs/>
          <w:color w:val="auto"/>
          <w:sz w:val="24"/>
        </w:rPr>
        <w:outlineLvl w:val="2"/>
      </w:pPr>
      <w:r/>
      <w:bookmarkStart w:id="129" w:name="_Toc19094"/>
      <w:r>
        <w:rPr>
          <w:rFonts w:hint="eastAsia" w:ascii="宋体" w:hAnsi="宋体" w:cs="宋体"/>
          <w:b/>
          <w:bCs/>
          <w:color w:val="auto"/>
          <w:sz w:val="24"/>
        </w:rPr>
        <w:t xml:space="preserve">确定中标单位</w:t>
      </w:r>
      <w:bookmarkEnd w:id="129"/>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评委会根据本招标文件规定评标办法与评标标准向采购人推荐出3名中标候选人。</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采购人应根据评委会推荐的中标候选人确定中标人。</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自中标人确定之日起2个工作日内，中标结果将在省级以上财政部门指定的媒体上进行公告，公告期限为1个工作日。</w:t>
      </w:r>
      <w:r/>
    </w:p>
    <w:p>
      <w:pPr>
        <w:numPr>
          <w:ilvl w:val="1"/>
          <w:numId w:val="7"/>
        </w:numPr>
        <w:ind w:firstLine="508"/>
        <w:jc w:val="left"/>
        <w:spacing w:line="400" w:lineRule="exact"/>
        <w:rPr>
          <w:rFonts w:hint="eastAsia" w:ascii="宋体" w:hAnsi="宋体" w:cs="宋体"/>
          <w:color w:val="auto"/>
          <w:sz w:val="24"/>
        </w:rPr>
      </w:pPr>
      <w:r>
        <w:rPr>
          <w:rFonts w:hint="eastAsia" w:ascii="宋体" w:hAnsi="宋体" w:cs="宋体"/>
          <w:color w:val="auto"/>
          <w:spacing w:val="7"/>
          <w:sz w:val="24"/>
        </w:rPr>
        <w:t xml:space="preserve">若有充分证据证明，中标人出现下列情况之一的，一经查实，</w:t>
      </w:r>
      <w:r>
        <w:rPr>
          <w:rFonts w:hint="eastAsia" w:ascii="宋体" w:hAnsi="宋体"/>
          <w:color w:val="auto"/>
          <w:sz w:val="24"/>
        </w:rPr>
        <w:t xml:space="preserve">中标无效</w:t>
      </w:r>
      <w:r>
        <w:rPr>
          <w:rFonts w:hint="eastAsia" w:ascii="宋体" w:hAnsi="宋体" w:cs="宋体"/>
          <w:color w:val="auto"/>
          <w:spacing w:val="7"/>
          <w:sz w:val="24"/>
        </w:rPr>
        <w:t xml:space="preserve">：</w:t>
      </w:r>
      <w:r/>
    </w:p>
    <w:p>
      <w:pPr>
        <w:numPr>
          <w:ilvl w:val="0"/>
          <w:numId w:val="11"/>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提供虚假材料谋取中标的；</w:t>
      </w:r>
      <w:r/>
    </w:p>
    <w:p>
      <w:pPr>
        <w:numPr>
          <w:ilvl w:val="0"/>
          <w:numId w:val="11"/>
        </w:numPr>
        <w:ind w:firstLine="480"/>
        <w:jc w:val="left"/>
        <w:spacing w:line="400" w:lineRule="exact"/>
        <w:rPr>
          <w:rFonts w:hint="eastAsia" w:ascii="宋体" w:hAnsi="宋体" w:cs="宋体"/>
          <w:color w:val="auto"/>
          <w:sz w:val="24"/>
        </w:rPr>
      </w:pPr>
      <w:r>
        <w:rPr>
          <w:rFonts w:hint="eastAsia" w:ascii="宋体" w:hAnsi="宋体"/>
          <w:color w:val="auto"/>
          <w:sz w:val="24"/>
          <w:lang w:val="zh-CN"/>
        </w:rPr>
        <w:t xml:space="preserve">采取不正当手段诋毁、排挤其他供应商的；</w:t>
      </w:r>
      <w:r/>
    </w:p>
    <w:p>
      <w:pPr>
        <w:numPr>
          <w:ilvl w:val="0"/>
          <w:numId w:val="11"/>
        </w:numPr>
        <w:ind w:firstLine="480"/>
        <w:jc w:val="left"/>
        <w:spacing w:line="400" w:lineRule="exact"/>
        <w:rPr>
          <w:rFonts w:hint="eastAsia" w:ascii="宋体" w:hAnsi="宋体" w:cs="宋体"/>
          <w:color w:val="auto"/>
          <w:sz w:val="24"/>
        </w:rPr>
      </w:pPr>
      <w:r>
        <w:rPr>
          <w:rFonts w:hint="eastAsia" w:ascii="宋体" w:hAnsi="宋体" w:cs="宋体"/>
          <w:color w:val="auto"/>
          <w:sz w:val="24"/>
          <w:lang w:val="zh-CN"/>
        </w:rPr>
        <w:t xml:space="preserve">与采购人、其他供应商或者采购代理机构恶意串通的</w:t>
      </w:r>
      <w:r>
        <w:rPr>
          <w:rFonts w:hint="eastAsia" w:ascii="宋体" w:hAnsi="宋体" w:cs="宋体"/>
          <w:color w:val="auto"/>
          <w:sz w:val="24"/>
        </w:rPr>
        <w:t xml:space="preserve">；</w:t>
      </w:r>
      <w:r/>
    </w:p>
    <w:p>
      <w:pPr>
        <w:numPr>
          <w:ilvl w:val="0"/>
          <w:numId w:val="11"/>
        </w:numPr>
        <w:ind w:firstLine="480"/>
        <w:jc w:val="left"/>
        <w:spacing w:line="400" w:lineRule="exact"/>
        <w:rPr>
          <w:rFonts w:hint="eastAsia" w:ascii="宋体" w:hAnsi="宋体" w:cs="宋体"/>
          <w:color w:val="auto"/>
          <w:sz w:val="24"/>
        </w:rPr>
      </w:pPr>
      <w:r>
        <w:rPr>
          <w:rFonts w:hint="eastAsia" w:ascii="宋体" w:hAnsi="宋体" w:cs="宋体"/>
          <w:color w:val="auto"/>
          <w:sz w:val="24"/>
          <w:lang w:val="zh-CN"/>
        </w:rPr>
        <w:t xml:space="preserve">向采购人、采购代理机构行贿或者提供其他不正当利益的</w:t>
      </w:r>
      <w:r>
        <w:rPr>
          <w:rFonts w:hint="eastAsia" w:ascii="宋体" w:hAnsi="宋体" w:cs="宋体"/>
          <w:color w:val="auto"/>
          <w:sz w:val="24"/>
        </w:rPr>
        <w:t xml:space="preserve">；</w:t>
      </w:r>
      <w:r/>
    </w:p>
    <w:p>
      <w:pPr>
        <w:numPr>
          <w:ilvl w:val="0"/>
          <w:numId w:val="11"/>
        </w:numPr>
        <w:ind w:firstLine="480"/>
        <w:jc w:val="left"/>
        <w:spacing w:line="400" w:lineRule="exact"/>
        <w:rPr>
          <w:rFonts w:hint="eastAsia" w:ascii="宋体" w:hAnsi="宋体" w:cs="宋体"/>
          <w:color w:val="auto"/>
          <w:sz w:val="24"/>
        </w:rPr>
      </w:pPr>
      <w:r>
        <w:rPr>
          <w:rFonts w:hint="eastAsia" w:ascii="宋体" w:hAnsi="宋体" w:cs="宋体"/>
          <w:color w:val="auto"/>
          <w:sz w:val="24"/>
          <w:lang w:val="zh-CN"/>
        </w:rPr>
        <w:t xml:space="preserve">在招标采购过程中与采购人进行协商谈判的</w:t>
      </w:r>
      <w:r>
        <w:rPr>
          <w:rFonts w:hint="eastAsia" w:ascii="宋体" w:hAnsi="宋体" w:cs="宋体"/>
          <w:color w:val="auto"/>
          <w:sz w:val="24"/>
        </w:rPr>
        <w:t xml:space="preserve">；</w:t>
      </w:r>
      <w:r/>
    </w:p>
    <w:p>
      <w:pPr>
        <w:numPr>
          <w:ilvl w:val="0"/>
          <w:numId w:val="11"/>
        </w:numPr>
        <w:ind w:firstLine="480"/>
        <w:jc w:val="left"/>
        <w:spacing w:line="400" w:lineRule="exact"/>
        <w:rPr>
          <w:rFonts w:hint="eastAsia" w:ascii="宋体" w:hAnsi="宋体" w:cs="宋体"/>
          <w:color w:val="auto"/>
          <w:sz w:val="24"/>
        </w:rPr>
      </w:pPr>
      <w:r>
        <w:rPr>
          <w:rFonts w:hint="eastAsia" w:ascii="宋体" w:hAnsi="宋体" w:cs="宋体"/>
          <w:color w:val="auto"/>
          <w:sz w:val="24"/>
          <w:lang w:val="zh-CN"/>
        </w:rPr>
        <w:t xml:space="preserve">向评标委员会行贿或者提供其他不正当利益</w:t>
      </w:r>
      <w:r>
        <w:rPr>
          <w:rFonts w:hint="eastAsia" w:ascii="宋体" w:hAnsi="宋体" w:cs="宋体"/>
          <w:color w:val="auto"/>
          <w:sz w:val="24"/>
        </w:rPr>
        <w:t xml:space="preserve">；</w:t>
      </w:r>
      <w:r/>
    </w:p>
    <w:p>
      <w:pPr>
        <w:numPr>
          <w:ilvl w:val="0"/>
          <w:numId w:val="7"/>
        </w:numPr>
        <w:ind w:firstLine="241"/>
        <w:jc w:val="left"/>
        <w:spacing w:line="400" w:lineRule="exact"/>
        <w:rPr>
          <w:rFonts w:hint="eastAsia" w:ascii="宋体" w:hAnsi="宋体" w:cs="宋体"/>
          <w:b/>
          <w:bCs/>
          <w:color w:val="auto"/>
          <w:sz w:val="24"/>
        </w:rPr>
        <w:outlineLvl w:val="2"/>
      </w:pPr>
      <w:r/>
      <w:bookmarkStart w:id="130" w:name="_Toc3103"/>
      <w:r>
        <w:rPr>
          <w:rFonts w:hint="eastAsia" w:ascii="宋体" w:hAnsi="宋体" w:cs="宋体"/>
          <w:b/>
          <w:bCs/>
          <w:color w:val="auto"/>
          <w:sz w:val="24"/>
        </w:rPr>
        <w:t xml:space="preserve">质疑</w:t>
      </w:r>
      <w:bookmarkEnd w:id="130"/>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质疑形式</w:t>
      </w:r>
      <w:r/>
    </w:p>
    <w:p>
      <w:pPr>
        <w:numPr>
          <w:ilvl w:val="2"/>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p>
    <w:p>
      <w:pPr>
        <w:numPr>
          <w:ilvl w:val="2"/>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质疑必须按《政府采购法》、《政府采购法实施条例》及财政部94号令的相关规定提交，未按上述要求提交的质疑函张家港保税区汇采招投标代理有限公司有权不予受理。</w:t>
      </w:r>
      <w:r/>
    </w:p>
    <w:p>
      <w:pPr>
        <w:numPr>
          <w:ilvl w:val="2"/>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质疑函应当包括下列内容：</w:t>
      </w:r>
      <w:r/>
    </w:p>
    <w:p>
      <w:pPr>
        <w:ind w:firstLine="480"/>
        <w:rPr>
          <w:rFonts w:hint="eastAsia" w:ascii="宋体" w:hAnsi="宋体" w:cs="宋体"/>
          <w:color w:val="auto"/>
          <w:sz w:val="24"/>
        </w:rPr>
      </w:pPr>
      <w:r>
        <w:rPr>
          <w:rFonts w:hint="eastAsia" w:ascii="宋体" w:hAnsi="宋体" w:cs="宋体"/>
          <w:color w:val="auto"/>
          <w:sz w:val="24"/>
        </w:rPr>
        <w:t xml:space="preserve">29.1.3.1供应商的姓名或者名称、地址、邮编、联系人及联系电话；</w:t>
      </w:r>
      <w:r/>
    </w:p>
    <w:p>
      <w:pPr>
        <w:ind w:firstLine="480"/>
        <w:rPr>
          <w:rFonts w:hint="eastAsia" w:ascii="宋体" w:hAnsi="宋体" w:cs="宋体"/>
          <w:color w:val="auto"/>
          <w:sz w:val="24"/>
        </w:rPr>
      </w:pPr>
      <w:r>
        <w:rPr>
          <w:rFonts w:hint="eastAsia" w:ascii="宋体" w:hAnsi="宋体" w:cs="宋体"/>
          <w:color w:val="auto"/>
          <w:sz w:val="24"/>
        </w:rPr>
        <w:t xml:space="preserve">29.1.3.2质疑项目的名称、编号；</w:t>
      </w:r>
      <w:r/>
    </w:p>
    <w:p>
      <w:pPr>
        <w:ind w:firstLine="480"/>
        <w:rPr>
          <w:rFonts w:hint="eastAsia" w:ascii="宋体" w:hAnsi="宋体" w:cs="宋体"/>
          <w:color w:val="auto"/>
          <w:sz w:val="24"/>
        </w:rPr>
      </w:pPr>
      <w:r>
        <w:rPr>
          <w:rFonts w:hint="eastAsia" w:ascii="宋体" w:hAnsi="宋体" w:cs="宋体"/>
          <w:color w:val="auto"/>
          <w:sz w:val="24"/>
        </w:rPr>
        <w:t xml:space="preserve">29.1.3.3具体、明确的质疑事项和与质疑事项相关的请求；</w:t>
      </w:r>
      <w:r/>
    </w:p>
    <w:p>
      <w:pPr>
        <w:ind w:firstLine="480"/>
        <w:rPr>
          <w:rFonts w:hint="eastAsia" w:ascii="宋体" w:hAnsi="宋体" w:cs="宋体"/>
          <w:color w:val="auto"/>
          <w:sz w:val="24"/>
        </w:rPr>
      </w:pPr>
      <w:r>
        <w:rPr>
          <w:rFonts w:hint="eastAsia" w:ascii="宋体" w:hAnsi="宋体" w:cs="宋体"/>
          <w:color w:val="auto"/>
          <w:sz w:val="24"/>
        </w:rPr>
        <w:t xml:space="preserve">29.1.3.4事实依据；</w:t>
      </w:r>
      <w:r/>
    </w:p>
    <w:p>
      <w:pPr>
        <w:ind w:firstLine="480"/>
        <w:rPr>
          <w:rFonts w:hint="eastAsia" w:ascii="宋体" w:hAnsi="宋体" w:cs="宋体"/>
          <w:color w:val="auto"/>
          <w:sz w:val="24"/>
        </w:rPr>
      </w:pPr>
      <w:r>
        <w:rPr>
          <w:rFonts w:hint="eastAsia" w:ascii="宋体" w:hAnsi="宋体" w:cs="宋体"/>
          <w:color w:val="auto"/>
          <w:sz w:val="24"/>
        </w:rPr>
        <w:t xml:space="preserve">29.1.3.5必要的法律依据；</w:t>
      </w:r>
      <w:r/>
    </w:p>
    <w:p>
      <w:pPr>
        <w:ind w:firstLine="480"/>
        <w:rPr>
          <w:rFonts w:hint="eastAsia" w:ascii="宋体" w:hAnsi="宋体" w:cs="宋体"/>
          <w:color w:val="auto"/>
          <w:sz w:val="24"/>
        </w:rPr>
      </w:pPr>
      <w:r>
        <w:rPr>
          <w:rFonts w:hint="eastAsia" w:ascii="宋体" w:hAnsi="宋体" w:cs="宋体"/>
          <w:color w:val="auto"/>
          <w:sz w:val="24"/>
        </w:rPr>
        <w:t xml:space="preserve">29.1.3.6提出质疑的日期。</w:t>
      </w:r>
      <w:r/>
    </w:p>
    <w:p>
      <w:pPr>
        <w:numPr>
          <w:ilvl w:val="2"/>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质疑函应当由法定代表人、主要负责人，或者其授权代表签字或者盖章，并加盖公章。匿名提交的质疑将不予受理。</w:t>
      </w:r>
      <w:r/>
    </w:p>
    <w:p>
      <w:pPr>
        <w:numPr>
          <w:ilvl w:val="2"/>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质疑的送达方式</w:t>
      </w:r>
      <w:r/>
    </w:p>
    <w:p>
      <w:pPr>
        <w:ind w:firstLine="480"/>
        <w:rPr>
          <w:rFonts w:hint="eastAsia" w:ascii="宋体" w:hAnsi="宋体" w:cs="宋体"/>
          <w:color w:val="auto"/>
          <w:sz w:val="24"/>
        </w:rPr>
      </w:pPr>
      <w:r>
        <w:rPr>
          <w:rFonts w:hint="eastAsia" w:ascii="宋体" w:hAnsi="宋体" w:cs="宋体"/>
          <w:color w:val="auto"/>
          <w:sz w:val="24"/>
        </w:rPr>
        <w:t xml:space="preserve">29.1.5.1质疑函应采用邮寄送达或直接送达的方式递交，采用其他方式送达（含传真、电子邮件等）的，张家港保税区汇采招投标代理有限公司有权不予受理。</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特别提示</w:t>
      </w:r>
      <w:r/>
    </w:p>
    <w:p>
      <w:pPr>
        <w:ind w:firstLine="480"/>
        <w:rPr>
          <w:rFonts w:hint="eastAsia" w:ascii="宋体" w:hAnsi="宋体" w:cs="宋体"/>
          <w:b/>
          <w:bCs/>
          <w:color w:val="auto"/>
          <w:sz w:val="24"/>
        </w:rPr>
      </w:pPr>
      <w:r>
        <w:rPr>
          <w:rFonts w:hint="eastAsia" w:ascii="宋体" w:hAnsi="宋体" w:cs="宋体"/>
          <w:color w:val="auto"/>
          <w:sz w:val="24"/>
        </w:rPr>
        <w:t xml:space="preserve">29.2.1根据财政部94号令第十一条规定，提出质疑的供应商应当是参与所质疑项目采购活动的供应商。</w:t>
      </w:r>
      <w:r>
        <w:rPr>
          <w:rFonts w:hint="eastAsia" w:ascii="宋体" w:hAnsi="宋体" w:cs="宋体"/>
          <w:b/>
          <w:bCs/>
          <w:color w:val="auto"/>
          <w:sz w:val="24"/>
        </w:rPr>
        <w:t xml:space="preserve">因此凡是对招标文件提出质疑的供应商，必须是依法获取招标文件，请将合法获取招标文件的证明材料（即《投标供应商确认函》）与质疑函一起递交，否则不予受理。</w:t>
      </w:r>
      <w:r/>
    </w:p>
    <w:p>
      <w:pPr>
        <w:ind w:firstLine="480"/>
        <w:rPr>
          <w:rFonts w:hint="eastAsia" w:ascii="宋体" w:hAnsi="宋体" w:cs="宋体"/>
          <w:color w:val="auto"/>
          <w:sz w:val="24"/>
        </w:rPr>
      </w:pPr>
      <w:r>
        <w:rPr>
          <w:rFonts w:hint="eastAsia" w:ascii="宋体" w:hAnsi="宋体" w:cs="宋体"/>
          <w:color w:val="auto"/>
          <w:sz w:val="24"/>
        </w:rPr>
        <w:t xml:space="preserve">29.2.2供应商在法定质疑期内应一次性提出针对同一采购程序环节的质疑。</w:t>
      </w:r>
      <w:r/>
    </w:p>
    <w:p>
      <w:pPr>
        <w:ind w:firstLine="240"/>
        <w:rPr>
          <w:color w:val="auto"/>
        </w:rPr>
      </w:pPr>
      <w:r>
        <w:rPr>
          <w:rFonts w:hint="eastAsia" w:ascii="宋体" w:hAnsi="宋体" w:cs="宋体"/>
          <w:color w:val="auto"/>
          <w:sz w:val="24"/>
        </w:rPr>
        <w:t xml:space="preserve">  29.2.3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其他</w:t>
      </w:r>
      <w:r/>
    </w:p>
    <w:p>
      <w:pPr>
        <w:numPr>
          <w:ilvl w:val="2"/>
          <w:numId w:val="7"/>
        </w:numPr>
        <w:ind w:firstLine="480"/>
        <w:jc w:val="left"/>
        <w:spacing w:line="400" w:lineRule="exact"/>
        <w:rPr>
          <w:rFonts w:hint="eastAsia" w:ascii="宋体" w:hAnsi="宋体" w:cs="宋体"/>
          <w:color w:val="auto"/>
          <w:sz w:val="24"/>
        </w:rPr>
      </w:pPr>
      <w:r>
        <w:rPr>
          <w:rFonts w:hint="eastAsia" w:ascii="宋体" w:hAnsi="宋体" w:cs="宋体"/>
          <w:color w:val="auto"/>
          <w:sz w:val="24"/>
        </w:rPr>
        <w:t xml:space="preserve">采购人或张家港保税区汇采招投标代理有限公司将在收到供应商的质疑后七个工作日内作出答复，答复的内容不涉及商业秘密。</w:t>
      </w:r>
      <w:r/>
    </w:p>
    <w:p>
      <w:pPr>
        <w:numPr>
          <w:ilvl w:val="0"/>
          <w:numId w:val="7"/>
        </w:numPr>
        <w:ind w:firstLine="241"/>
        <w:jc w:val="left"/>
        <w:spacing w:line="400" w:lineRule="exact"/>
        <w:rPr>
          <w:rFonts w:hint="eastAsia" w:ascii="宋体" w:hAnsi="宋体" w:cs="宋体"/>
          <w:b/>
          <w:bCs/>
          <w:color w:val="auto"/>
          <w:sz w:val="24"/>
        </w:rPr>
        <w:outlineLvl w:val="2"/>
      </w:pPr>
      <w:r/>
      <w:bookmarkStart w:id="131" w:name="_Toc3291"/>
      <w:r>
        <w:rPr>
          <w:rFonts w:hint="eastAsia" w:ascii="宋体" w:hAnsi="宋体" w:cs="宋体"/>
          <w:b/>
          <w:bCs/>
          <w:color w:val="auto"/>
          <w:sz w:val="24"/>
        </w:rPr>
        <w:t xml:space="preserve">中标通知书</w:t>
      </w:r>
      <w:bookmarkEnd w:id="131"/>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在中标结果确定后2个工作日内，代理机构向中标供应商发出中标通知书。</w:t>
      </w:r>
      <w:r>
        <w:rPr>
          <w:rFonts w:hint="eastAsia" w:ascii="宋体" w:hAnsi="宋体" w:cs="宋体"/>
          <w:color w:val="auto"/>
          <w:sz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中标通知书将是合同的一个组成部分。</w:t>
      </w:r>
      <w:r>
        <w:rPr>
          <w:rFonts w:hint="eastAsia" w:ascii="宋体" w:hAnsi="宋体" w:cs="宋体"/>
          <w:color w:val="auto"/>
          <w:sz w:val="24"/>
        </w:rPr>
        <w:t xml:space="preserve">对采购人和</w:t>
      </w:r>
      <w:r>
        <w:rPr>
          <w:rFonts w:hint="eastAsia" w:ascii="宋体" w:hAnsi="宋体" w:cs="宋体"/>
          <w:color w:val="auto"/>
          <w:spacing w:val="7"/>
          <w:sz w:val="24"/>
        </w:rPr>
        <w:t xml:space="preserve">中标供应商均具有法律效力。中标通知书发出后，</w:t>
      </w:r>
      <w:r>
        <w:rPr>
          <w:rFonts w:hint="eastAsia" w:ascii="宋体" w:hAnsi="宋体" w:cs="宋体"/>
          <w:color w:val="auto"/>
          <w:sz w:val="24"/>
        </w:rPr>
        <w:t xml:space="preserve">采购人改变中标结果的，或者中标供应商放弃中标项目的</w:t>
      </w:r>
      <w:r>
        <w:rPr>
          <w:rFonts w:hint="eastAsia" w:ascii="宋体" w:hAnsi="宋体" w:cs="宋体"/>
          <w:color w:val="auto"/>
          <w:spacing w:val="7"/>
          <w:sz w:val="24"/>
        </w:rPr>
        <w:t xml:space="preserve">，应当依法承担法律责任</w:t>
      </w:r>
      <w:bookmarkStart w:id="132" w:name="_Toc256000008"/>
      <w:r/>
      <w:bookmarkStart w:id="133" w:name="_Toc35244874"/>
      <w:r/>
      <w:bookmarkStart w:id="134" w:name="_Toc54119652"/>
      <w:r>
        <w:rPr>
          <w:rFonts w:hint="eastAsia" w:ascii="宋体" w:hAnsi="宋体" w:cs="宋体"/>
          <w:color w:val="auto"/>
          <w:spacing w:val="7"/>
          <w:sz w:val="24"/>
        </w:rPr>
        <w:t xml:space="preserve">。</w:t>
      </w:r>
      <w:r/>
    </w:p>
    <w:p>
      <w:pPr>
        <w:numPr>
          <w:ilvl w:val="1"/>
          <w:numId w:val="6"/>
        </w:numPr>
        <w:ind w:firstLine="0"/>
        <w:jc w:val="left"/>
        <w:spacing w:line="400" w:lineRule="exact"/>
        <w:rPr>
          <w:rStyle w:val="1117"/>
          <w:rFonts w:hint="eastAsia" w:ascii="宋体" w:hAnsi="宋体" w:cs="宋体"/>
          <w:bCs w:val="0"/>
          <w:color w:val="auto"/>
          <w:sz w:val="24"/>
          <w:szCs w:val="24"/>
        </w:rPr>
        <w:outlineLvl w:val="1"/>
      </w:pPr>
      <w:r/>
      <w:bookmarkStart w:id="135" w:name="_Toc26742"/>
      <w:r/>
      <w:bookmarkStart w:id="136" w:name="_Toc3470"/>
      <w:r/>
      <w:bookmarkStart w:id="137" w:name="_Toc30218"/>
      <w:r>
        <w:rPr>
          <w:rStyle w:val="1117"/>
          <w:rFonts w:hint="eastAsia" w:ascii="宋体" w:hAnsi="宋体" w:cs="宋体"/>
          <w:bCs w:val="0"/>
          <w:color w:val="auto"/>
          <w:sz w:val="24"/>
          <w:szCs w:val="24"/>
        </w:rPr>
        <w:t xml:space="preserve">授予合同</w:t>
      </w:r>
      <w:bookmarkEnd w:id="132"/>
      <w:r/>
      <w:bookmarkEnd w:id="133"/>
      <w:r/>
      <w:bookmarkEnd w:id="134"/>
      <w:r/>
      <w:bookmarkEnd w:id="135"/>
      <w:r/>
      <w:bookmarkEnd w:id="136"/>
      <w:r/>
      <w:bookmarkEnd w:id="137"/>
      <w:r/>
      <w:r/>
    </w:p>
    <w:p>
      <w:pPr>
        <w:numPr>
          <w:ilvl w:val="0"/>
          <w:numId w:val="7"/>
        </w:numPr>
        <w:ind w:firstLine="241"/>
        <w:jc w:val="left"/>
        <w:spacing w:line="400" w:lineRule="exact"/>
        <w:rPr>
          <w:rFonts w:hint="eastAsia" w:ascii="宋体" w:hAnsi="宋体" w:cs="宋体"/>
          <w:b/>
          <w:bCs/>
          <w:color w:val="auto"/>
          <w:sz w:val="24"/>
        </w:rPr>
        <w:outlineLvl w:val="2"/>
      </w:pPr>
      <w:r/>
      <w:bookmarkStart w:id="138" w:name="_Toc18927"/>
      <w:r>
        <w:rPr>
          <w:rFonts w:hint="eastAsia" w:ascii="宋体" w:hAnsi="宋体" w:cs="宋体"/>
          <w:b/>
          <w:bCs/>
          <w:color w:val="auto"/>
          <w:sz w:val="24"/>
        </w:rPr>
        <w:t xml:space="preserve">签订合同</w:t>
      </w:r>
      <w:bookmarkEnd w:id="138"/>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b/>
          <w:color w:val="auto"/>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招标文件、中标人的投标文件及招标过程中有关澄清、承诺文件均应作为合同附件。</w:t>
      </w:r>
      <w:r/>
    </w:p>
    <w:p>
      <w:pPr>
        <w:numPr>
          <w:ilvl w:val="1"/>
          <w:numId w:val="7"/>
        </w:numPr>
        <w:ind w:firstLine="508"/>
        <w:jc w:val="left"/>
        <w:spacing w:line="400" w:lineRule="exact"/>
        <w:rPr>
          <w:rFonts w:hint="eastAsia" w:ascii="宋体" w:hAnsi="宋体" w:cs="宋体"/>
          <w:color w:val="auto"/>
          <w:sz w:val="24"/>
        </w:rPr>
      </w:pPr>
      <w:r>
        <w:rPr>
          <w:rFonts w:hint="eastAsia" w:ascii="宋体" w:hAnsi="宋体" w:cs="宋体"/>
          <w:color w:val="auto"/>
          <w:spacing w:val="7"/>
          <w:sz w:val="24"/>
        </w:rPr>
        <w:t xml:space="preserve">签订合同后，中标人不得将货物及其他相关服务进行转包和分包。</w:t>
      </w:r>
      <w:r/>
    </w:p>
    <w:p>
      <w:pPr>
        <w:numPr>
          <w:ilvl w:val="0"/>
          <w:numId w:val="7"/>
        </w:numPr>
        <w:ind w:firstLine="241"/>
        <w:jc w:val="left"/>
        <w:spacing w:line="400" w:lineRule="exact"/>
        <w:rPr>
          <w:rFonts w:hint="eastAsia" w:ascii="宋体" w:hAnsi="宋体" w:cs="宋体"/>
          <w:b/>
          <w:bCs/>
          <w:color w:val="auto"/>
          <w:sz w:val="24"/>
        </w:rPr>
        <w:outlineLvl w:val="2"/>
      </w:pPr>
      <w:r/>
      <w:bookmarkStart w:id="139" w:name="_Toc17363"/>
      <w:r>
        <w:rPr>
          <w:rFonts w:hint="eastAsia" w:ascii="宋体" w:hAnsi="宋体" w:cs="宋体"/>
          <w:b/>
          <w:bCs/>
          <w:color w:val="auto"/>
          <w:sz w:val="24"/>
        </w:rPr>
        <w:t xml:space="preserve">货物和服务的追加、减少和添购。</w:t>
      </w:r>
      <w:bookmarkEnd w:id="139"/>
      <w:r>
        <w:rPr>
          <w:rFonts w:hint="eastAsia" w:ascii="宋体" w:hAnsi="宋体" w:cs="宋体"/>
          <w:b/>
          <w:bCs/>
          <w:color w:val="auto"/>
          <w:sz w:val="24"/>
        </w:rPr>
        <w:t xml:space="preserve"> </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firstLine="241"/>
        <w:jc w:val="left"/>
        <w:spacing w:line="400" w:lineRule="exact"/>
        <w:rPr>
          <w:rFonts w:hint="eastAsia" w:ascii="宋体" w:hAnsi="宋体" w:cs="宋体"/>
          <w:b/>
          <w:bCs/>
          <w:color w:val="auto"/>
          <w:sz w:val="24"/>
          <w:highlight w:val="none"/>
        </w:rPr>
        <w:outlineLvl w:val="2"/>
      </w:pPr>
      <w:r/>
      <w:bookmarkStart w:id="140" w:name="_Toc18878"/>
      <w:r>
        <w:rPr>
          <w:rFonts w:hint="eastAsia" w:ascii="宋体" w:hAnsi="宋体" w:cs="宋体"/>
          <w:b/>
          <w:bCs/>
          <w:color w:val="auto"/>
          <w:sz w:val="24"/>
          <w:highlight w:val="none"/>
        </w:rPr>
        <w:t xml:space="preserve">履约保证金</w:t>
      </w:r>
      <w:bookmarkEnd w:id="140"/>
      <w:r/>
      <w:r/>
    </w:p>
    <w:p>
      <w:pPr>
        <w:numPr>
          <w:ilvl w:val="1"/>
          <w:numId w:val="7"/>
        </w:numPr>
        <w:ind w:firstLine="508"/>
        <w:jc w:val="left"/>
        <w:spacing w:line="400" w:lineRule="exact"/>
        <w:rPr>
          <w:rFonts w:hint="eastAsia" w:ascii="宋体" w:hAnsi="宋体" w:cs="宋体"/>
          <w:color w:val="auto"/>
          <w:spacing w:val="7"/>
          <w:sz w:val="24"/>
          <w:highlight w:val="none"/>
        </w:rPr>
      </w:pPr>
      <w:r>
        <w:rPr>
          <w:rFonts w:hint="eastAsia" w:ascii="宋体" w:hAnsi="宋体" w:cs="宋体"/>
          <w:color w:val="auto"/>
          <w:spacing w:val="7"/>
          <w:sz w:val="24"/>
          <w:highlight w:val="none"/>
        </w:rPr>
        <w:t xml:space="preserve">合同签订前，中标人向采购单位交付的履约保证金为合同金额的2％。</w:t>
      </w:r>
      <w:r>
        <w:rPr>
          <w:highlight w:val="none"/>
        </w:rP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履约保证金必须是人民币。履约保证金应当以支票、汇票、本票或者金融机构、担保机构出具的保函等非现金形式提交。</w:t>
      </w:r>
      <w:r/>
    </w:p>
    <w:p>
      <w:pPr>
        <w:numPr>
          <w:ilvl w:val="1"/>
          <w:numId w:val="7"/>
        </w:numPr>
        <w:ind w:firstLine="508"/>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firstLine="255"/>
        <w:jc w:val="left"/>
        <w:spacing w:line="400" w:lineRule="exact"/>
        <w:rPr>
          <w:rFonts w:hint="eastAsia" w:ascii="宋体" w:hAnsi="宋体" w:cs="宋体"/>
          <w:b/>
          <w:bCs/>
          <w:color w:val="auto"/>
          <w:spacing w:val="7"/>
          <w:sz w:val="24"/>
        </w:rPr>
        <w:outlineLvl w:val="2"/>
      </w:pPr>
      <w:r/>
      <w:bookmarkStart w:id="141" w:name="_Toc6954"/>
      <w:r>
        <w:rPr>
          <w:rFonts w:hint="eastAsia" w:ascii="宋体" w:hAnsi="宋体" w:cs="宋体"/>
          <w:b/>
          <w:bCs/>
          <w:color w:val="auto"/>
          <w:spacing w:val="7"/>
          <w:sz w:val="24"/>
        </w:rPr>
        <w:t xml:space="preserve">监督和公证</w:t>
      </w:r>
      <w:bookmarkEnd w:id="141"/>
      <w:r/>
      <w:r/>
    </w:p>
    <w:p>
      <w:pPr>
        <w:numPr>
          <w:ilvl w:val="1"/>
          <w:numId w:val="7"/>
        </w:numPr>
        <w:ind w:firstLine="254"/>
        <w:jc w:val="left"/>
        <w:spacing w:line="400" w:lineRule="exact"/>
        <w:rPr>
          <w:rFonts w:hint="eastAsia" w:ascii="宋体" w:hAnsi="宋体" w:cs="宋体"/>
          <w:color w:val="auto"/>
          <w:spacing w:val="7"/>
          <w:sz w:val="24"/>
        </w:rPr>
      </w:pPr>
      <w:r>
        <w:rPr>
          <w:rFonts w:hint="eastAsia" w:ascii="宋体" w:hAnsi="宋体" w:cs="宋体"/>
          <w:color w:val="auto"/>
          <w:spacing w:val="7"/>
          <w:sz w:val="24"/>
        </w:rPr>
        <w:t xml:space="preserve">政府有关监督部门将对投标全过程进行监督。</w:t>
      </w:r>
      <w:bookmarkEnd w:id="9"/>
      <w:r/>
      <w:bookmarkEnd w:id="10"/>
      <w:r/>
      <w:bookmarkEnd w:id="11"/>
      <w:r/>
      <w:bookmarkEnd w:id="12"/>
      <w:r/>
      <w:bookmarkEnd w:id="13"/>
      <w:r/>
      <w:bookmarkEnd w:id="14"/>
      <w:r/>
      <w:r/>
    </w:p>
    <w:p>
      <w:pPr>
        <w:numPr>
          <w:ilvl w:val="0"/>
          <w:numId w:val="2"/>
        </w:numPr>
        <w:jc w:val="center"/>
        <w:pageBreakBefore/>
        <w:spacing w:after="20" w:line="480" w:lineRule="exact"/>
        <w:rPr>
          <w:rFonts w:hint="eastAsia" w:ascii="宋体" w:hAnsi="宋体" w:cs="宋体"/>
          <w:b/>
          <w:bCs/>
          <w:color w:val="auto"/>
          <w:sz w:val="32"/>
          <w:szCs w:val="32"/>
        </w:rPr>
        <w:outlineLvl w:val="0"/>
      </w:pPr>
      <w:r/>
      <w:bookmarkStart w:id="142" w:name="_Toc10256"/>
      <w:r/>
      <w:bookmarkStart w:id="143" w:name="_Toc9399"/>
      <w:r/>
      <w:bookmarkStart w:id="144" w:name="_Toc26922"/>
      <w:r/>
      <w:bookmarkStart w:id="145" w:name="_Toc913"/>
      <w:r/>
      <w:bookmarkStart w:id="146" w:name="_Toc3639"/>
      <w:r/>
      <w:bookmarkStart w:id="147" w:name="_Toc9061"/>
      <w:r/>
      <w:bookmarkStart w:id="148" w:name="_Toc20823346"/>
      <w:r/>
      <w:bookmarkStart w:id="149" w:name="_Hlk65328514"/>
      <w:r/>
      <w:bookmarkStart w:id="150" w:name="_Toc16938590"/>
      <w:r/>
      <w:bookmarkStart w:id="151" w:name="_Hlt16619350"/>
      <w:r/>
      <w:bookmarkStart w:id="152" w:name="_Toc120614244"/>
      <w:r/>
      <w:bookmarkStart w:id="153" w:name="_Toc479757211"/>
      <w:r/>
      <w:bookmarkStart w:id="154" w:name="_Toc462564139"/>
      <w:r>
        <w:rPr>
          <w:rFonts w:hint="eastAsia" w:ascii="宋体" w:hAnsi="宋体" w:cs="宋体"/>
          <w:b/>
          <w:bCs/>
          <w:color w:val="auto"/>
          <w:sz w:val="32"/>
          <w:szCs w:val="32"/>
        </w:rPr>
        <w:t xml:space="preserve">合同条款及格式</w:t>
      </w:r>
      <w:bookmarkEnd w:id="142"/>
      <w:r/>
      <w:bookmarkEnd w:id="143"/>
      <w:r/>
      <w:bookmarkEnd w:id="144"/>
      <w:r/>
      <w:bookmarkEnd w:id="145"/>
      <w:r/>
      <w:bookmarkEnd w:id="146"/>
      <w:r/>
      <w:bookmarkEnd w:id="147"/>
      <w:r/>
      <w:r/>
    </w:p>
    <w:p>
      <w:pPr>
        <w:pStyle w:val="1125"/>
        <w:ind w:firstLine="480"/>
        <w:rPr>
          <w:rStyle w:val="1087"/>
          <w:rFonts w:hint="eastAsia" w:ascii="宋体" w:hAnsi="宋体" w:eastAsia="宋体" w:cs="宋体"/>
          <w:bCs/>
          <w:color w:val="auto"/>
        </w:rPr>
      </w:pPr>
      <w:r>
        <w:rPr>
          <w:rStyle w:val="1087"/>
          <w:rFonts w:hint="eastAsia" w:ascii="宋体" w:hAnsi="宋体" w:eastAsia="宋体" w:cs="宋体"/>
          <w:bCs/>
          <w:color w:val="auto"/>
        </w:rPr>
        <w:t xml:space="preserve">以下为中标(成交)后签定本项目合同的通用条款，中标(成交)供应商不得提出实质性的修改。</w:t>
      </w:r>
      <w:r/>
    </w:p>
    <w:p>
      <w:pPr>
        <w:pStyle w:val="1126"/>
        <w:ind w:firstLine="0"/>
        <w:jc w:val="center"/>
        <w:rPr>
          <w:rStyle w:val="1087"/>
          <w:rFonts w:hint="eastAsia" w:cs="宋体"/>
          <w:b/>
          <w:color w:val="auto"/>
          <w:sz w:val="32"/>
          <w:szCs w:val="32"/>
        </w:rPr>
      </w:pPr>
      <w:r>
        <w:rPr>
          <w:rStyle w:val="1087"/>
          <w:rFonts w:hint="eastAsia" w:cs="宋体"/>
          <w:b/>
          <w:color w:val="auto"/>
          <w:sz w:val="32"/>
          <w:szCs w:val="32"/>
        </w:rPr>
        <w:t xml:space="preserve">张</w:t>
      </w:r>
      <w:r>
        <w:rPr>
          <w:rStyle w:val="1087"/>
          <w:rFonts w:hint="eastAsia" w:cs="宋体"/>
          <w:b/>
          <w:color w:val="auto"/>
          <w:sz w:val="32"/>
          <w:szCs w:val="32"/>
          <w:highlight w:val="none"/>
        </w:rPr>
        <w:t xml:space="preserve">家港市政府采购合同</w:t>
      </w:r>
      <w:r/>
    </w:p>
    <w:p>
      <w:pPr>
        <w:pStyle w:val="1126"/>
        <w:keepLines w:val="0"/>
        <w:keepNext w:val="0"/>
        <w:pageBreakBefore w:val="0"/>
        <w:spacing w:line="400" w:lineRule="exact"/>
        <w:widowControl w:val="off"/>
        <w:rPr>
          <w:rStyle w:val="1087"/>
          <w:rFonts w:hint="eastAsia" w:ascii="宋体" w:hAnsi="宋体" w:eastAsia="宋体" w:cs="宋体"/>
          <w:bCs/>
          <w:color w:val="auto"/>
          <w:sz w:val="24"/>
          <w:u w:val="single"/>
        </w:rPr>
      </w:pPr>
      <w:r>
        <w:rPr>
          <w:rStyle w:val="1087"/>
          <w:rFonts w:hint="eastAsia" w:ascii="宋体" w:hAnsi="宋体" w:eastAsia="宋体" w:cs="宋体"/>
          <w:bCs/>
          <w:color w:val="auto"/>
          <w:sz w:val="24"/>
        </w:rPr>
        <w:t xml:space="preserve">项目名称：</w:t>
      </w:r>
      <w:r>
        <w:rPr>
          <w:rStyle w:val="1087"/>
          <w:rFonts w:hint="eastAsia" w:ascii="宋体" w:hAnsi="宋体" w:eastAsia="宋体" w:cs="宋体"/>
          <w:bCs/>
          <w:color w:val="auto"/>
          <w:sz w:val="24"/>
          <w:u w:val="single"/>
        </w:rPr>
        <w:t xml:space="preserve">               </w:t>
      </w:r>
      <w:r/>
    </w:p>
    <w:p>
      <w:pPr>
        <w:pStyle w:val="1126"/>
        <w:keepLines w:val="0"/>
        <w:keepNext w:val="0"/>
        <w:pageBreakBefore w:val="0"/>
        <w:spacing w:line="400" w:lineRule="exact"/>
        <w:widowControl w:val="off"/>
        <w:rPr>
          <w:rStyle w:val="1087"/>
          <w:rFonts w:hint="eastAsia" w:ascii="宋体" w:hAnsi="宋体" w:eastAsia="宋体" w:cs="宋体"/>
          <w:bCs/>
          <w:color w:val="auto"/>
          <w:sz w:val="24"/>
          <w:u w:val="single"/>
        </w:rPr>
      </w:pPr>
      <w:r>
        <w:rPr>
          <w:rStyle w:val="1087"/>
          <w:rFonts w:hint="eastAsia" w:ascii="宋体" w:hAnsi="宋体" w:eastAsia="宋体" w:cs="宋体"/>
          <w:bCs/>
          <w:color w:val="auto"/>
          <w:sz w:val="24"/>
        </w:rPr>
        <w:t xml:space="preserve">项目编号：</w:t>
      </w:r>
      <w:r>
        <w:rPr>
          <w:rStyle w:val="1087"/>
          <w:rFonts w:hint="eastAsia" w:ascii="宋体" w:hAnsi="宋体" w:eastAsia="宋体" w:cs="宋体"/>
          <w:bCs/>
          <w:color w:val="auto"/>
          <w:sz w:val="24"/>
          <w:u w:val="single"/>
        </w:rPr>
        <w:t xml:space="preserve">               </w:t>
      </w:r>
      <w:r/>
    </w:p>
    <w:p>
      <w:pPr>
        <w:pStyle w:val="1126"/>
        <w:keepLines w:val="0"/>
        <w:keepNext w:val="0"/>
        <w:pageBreakBefore w:val="0"/>
        <w:spacing w:line="400" w:lineRule="exact"/>
        <w:widowControl w:val="off"/>
        <w:rPr>
          <w:rStyle w:val="1087"/>
          <w:rFonts w:hint="eastAsia" w:ascii="宋体" w:hAnsi="宋体" w:eastAsia="宋体" w:cs="宋体"/>
          <w:bCs/>
          <w:color w:val="auto"/>
          <w:sz w:val="24"/>
          <w:u w:val="single"/>
        </w:rPr>
      </w:pPr>
      <w:r>
        <w:rPr>
          <w:rStyle w:val="1087"/>
          <w:rFonts w:hint="eastAsia" w:ascii="宋体" w:hAnsi="宋体" w:eastAsia="宋体" w:cs="宋体"/>
          <w:bCs/>
          <w:color w:val="auto"/>
          <w:sz w:val="24"/>
        </w:rPr>
        <w:t xml:space="preserve">甲方：（买方）</w:t>
      </w:r>
      <w:r>
        <w:rPr>
          <w:rStyle w:val="1087"/>
          <w:rFonts w:hint="eastAsia" w:ascii="宋体" w:hAnsi="宋体" w:eastAsia="宋体" w:cs="宋体"/>
          <w:bCs/>
          <w:color w:val="auto"/>
          <w:sz w:val="24"/>
          <w:u w:val="single"/>
        </w:rPr>
        <w:t xml:space="preserve">              </w:t>
      </w:r>
      <w:r/>
    </w:p>
    <w:p>
      <w:pPr>
        <w:pStyle w:val="1126"/>
        <w:keepLines w:val="0"/>
        <w:keepNext w:val="0"/>
        <w:pageBreakBefore w:val="0"/>
        <w:spacing w:line="400" w:lineRule="exact"/>
        <w:widowControl w:val="off"/>
        <w:rPr>
          <w:rStyle w:val="1087"/>
          <w:rFonts w:hint="eastAsia" w:ascii="宋体" w:hAnsi="宋体" w:eastAsia="宋体" w:cs="宋体"/>
          <w:bCs/>
          <w:color w:val="auto"/>
          <w:sz w:val="24"/>
          <w:u w:val="single"/>
        </w:rPr>
      </w:pPr>
      <w:r>
        <w:rPr>
          <w:rStyle w:val="1087"/>
          <w:rFonts w:hint="eastAsia" w:ascii="宋体" w:hAnsi="宋体" w:eastAsia="宋体" w:cs="宋体"/>
          <w:bCs/>
          <w:color w:val="auto"/>
          <w:sz w:val="24"/>
        </w:rPr>
        <w:t xml:space="preserve">乙方：（卖方）</w:t>
      </w:r>
      <w:r>
        <w:rPr>
          <w:rStyle w:val="1087"/>
          <w:rFonts w:hint="eastAsia" w:ascii="宋体" w:hAnsi="宋体" w:eastAsia="宋体" w:cs="宋体"/>
          <w:bCs/>
          <w:color w:val="auto"/>
          <w:sz w:val="24"/>
          <w:u w:val="single"/>
        </w:rPr>
        <w:t xml:space="preserve">              </w:t>
      </w:r>
      <w:r/>
    </w:p>
    <w:p>
      <w:pPr>
        <w:pStyle w:val="1126"/>
        <w:keepLines w:val="0"/>
        <w:keepNext w:val="0"/>
        <w:pageBreakBefore w:val="0"/>
        <w:spacing w:line="400" w:lineRule="exact"/>
        <w:widowControl w:val="off"/>
        <w:rPr>
          <w:rStyle w:val="1087"/>
          <w:rFonts w:hint="eastAsia" w:ascii="宋体" w:hAnsi="宋体" w:eastAsia="宋体" w:cs="宋体"/>
          <w:bCs/>
          <w:color w:val="auto"/>
          <w:sz w:val="24"/>
        </w:rPr>
      </w:pPr>
      <w:r>
        <w:rPr>
          <w:rStyle w:val="1087"/>
          <w:rFonts w:hint="eastAsia" w:ascii="宋体" w:hAnsi="宋体" w:eastAsia="宋体" w:cs="宋体"/>
          <w:bCs/>
          <w:color w:val="auto"/>
          <w:sz w:val="24"/>
        </w:rPr>
        <w:t xml:space="preserve">甲、乙双方根据</w:t>
      </w:r>
      <w:r>
        <w:rPr>
          <w:rStyle w:val="1087"/>
          <w:rFonts w:hint="eastAsia" w:cs="宋体"/>
          <w:bCs/>
          <w:color w:val="auto"/>
          <w:sz w:val="24"/>
          <w:lang w:eastAsia="zh-CN"/>
        </w:rPr>
        <w:t xml:space="preserve">张家港保税区汇采招投标代理有限公司</w:t>
      </w:r>
      <w:r>
        <w:rPr>
          <w:rStyle w:val="1087"/>
          <w:rFonts w:hint="eastAsia" w:ascii="宋体" w:hAnsi="宋体" w:eastAsia="宋体" w:cs="宋体"/>
          <w:bCs/>
          <w:i w:val="0"/>
          <w:iCs w:val="0"/>
          <w:color w:val="auto"/>
          <w:sz w:val="24"/>
          <w:u w:val="single"/>
        </w:rPr>
        <w:t xml:space="preserve">      </w:t>
      </w:r>
      <w:r>
        <w:rPr>
          <w:rStyle w:val="1087"/>
          <w:rFonts w:hint="eastAsia" w:ascii="宋体" w:hAnsi="宋体" w:eastAsia="宋体" w:cs="宋体"/>
          <w:bCs/>
          <w:color w:val="auto"/>
          <w:sz w:val="24"/>
        </w:rPr>
        <w:t xml:space="preserve">项目公开招标的结果，签署本合同。</w:t>
      </w:r>
      <w:r/>
    </w:p>
    <w:p>
      <w:pPr>
        <w:pStyle w:val="1125"/>
        <w:ind w:firstLine="482"/>
        <w:rPr>
          <w:rStyle w:val="1087"/>
          <w:rFonts w:ascii="宋体" w:hAnsi="宋体" w:cs="宋体"/>
          <w:b/>
          <w:bCs/>
          <w:color w:val="auto"/>
          <w:sz w:val="24"/>
        </w:rPr>
      </w:pPr>
      <w:r>
        <w:rPr>
          <w:rStyle w:val="1087"/>
          <w:rFonts w:hint="eastAsia" w:ascii="宋体" w:hAnsi="宋体" w:cs="宋体"/>
          <w:b/>
          <w:bCs/>
          <w:color w:val="auto"/>
          <w:sz w:val="24"/>
        </w:rPr>
        <w:t xml:space="preserve">一、</w:t>
      </w:r>
      <w:r>
        <w:rPr>
          <w:rStyle w:val="1087"/>
          <w:rFonts w:hint="eastAsia" w:ascii="宋体" w:hAnsi="宋体" w:eastAsia="宋体" w:cs="宋体"/>
          <w:b/>
          <w:bCs/>
          <w:color w:val="auto"/>
          <w:sz w:val="24"/>
          <w:lang w:val="en-US" w:eastAsia="zh-CN"/>
        </w:rPr>
        <w:t xml:space="preserve">货物</w:t>
      </w:r>
      <w:r>
        <w:rPr>
          <w:rStyle w:val="1087"/>
          <w:rFonts w:hint="eastAsia" w:ascii="宋体" w:hAnsi="宋体" w:cs="宋体"/>
          <w:b/>
          <w:bCs/>
          <w:color w:val="auto"/>
          <w:sz w:val="24"/>
        </w:rPr>
        <w:t xml:space="preserve">内容</w:t>
      </w:r>
      <w:r/>
    </w:p>
    <w:tbl>
      <w:tblPr>
        <w:tblStyle w:val="904"/>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125"/>
              <w:ind w:firstLine="0"/>
              <w:jc w:val="center"/>
              <w:spacing w:line="440" w:lineRule="exact"/>
              <w:widowControl w:val="off"/>
              <w:rPr>
                <w:rStyle w:val="1087"/>
                <w:rFonts w:ascii="宋体" w:hAnsi="宋体" w:eastAsia="宋体" w:cs="宋体"/>
                <w:color w:val="auto"/>
                <w:sz w:val="24"/>
                <w:szCs w:val="24"/>
                <w:lang w:val="en-US" w:eastAsia="zh-CN" w:bidi="ar-SA"/>
              </w:rPr>
            </w:pPr>
            <w:r>
              <w:rPr>
                <w:rStyle w:val="1209"/>
                <w:rFonts w:hint="eastAsia" w:ascii="宋体" w:hAnsi="宋体"/>
                <w:color w:val="auto"/>
                <w:highlight w:val="none"/>
              </w:rPr>
              <w:t xml:space="preserve">投标</w:t>
            </w:r>
            <w:r>
              <w:rPr>
                <w:rStyle w:val="1209"/>
                <w:rFonts w:hint="eastAsia" w:ascii="宋体" w:hAnsi="宋体" w:eastAsia="宋体"/>
                <w:color w:val="auto"/>
                <w:highlight w:val="none"/>
                <w:lang w:val="en-US" w:eastAsia="zh-CN"/>
              </w:rPr>
              <w:t xml:space="preserve">项目</w:t>
            </w:r>
            <w:r>
              <w:rPr>
                <w:rStyle w:val="1209"/>
                <w:rFonts w:hint="eastAsia" w:ascii="宋体" w:hAnsi="宋体"/>
                <w:color w:val="auto"/>
                <w:highlight w:val="none"/>
              </w:rPr>
              <w:t xml:space="preserve">名称</w:t>
            </w:r>
            <w:r/>
          </w:p>
        </w:tc>
        <w:tc>
          <w:tcPr>
            <w:tcW w:w="2722" w:type="dxa"/>
            <w:vAlign w:val="center"/>
            <w:textDirection w:val="lrTb"/>
            <w:noWrap w:val="false"/>
          </w:tcPr>
          <w:p>
            <w:pPr>
              <w:pStyle w:val="1125"/>
              <w:ind w:firstLine="480"/>
              <w:jc w:val="center"/>
              <w:spacing w:line="440" w:lineRule="exact"/>
              <w:widowControl w:val="off"/>
              <w:rPr>
                <w:rStyle w:val="1087"/>
                <w:rFonts w:ascii="宋体" w:hAnsi="宋体" w:eastAsia="宋体" w:cs="宋体"/>
                <w:color w:val="auto"/>
                <w:sz w:val="24"/>
                <w:szCs w:val="24"/>
                <w:lang w:val="en-US" w:eastAsia="zh-CN" w:bidi="ar-SA"/>
              </w:rPr>
            </w:pPr>
            <w:r>
              <w:rPr>
                <w:rStyle w:val="1087"/>
                <w:rFonts w:hint="eastAsia" w:ascii="宋体" w:hAnsi="宋体" w:eastAsia="宋体" w:cs="宋体"/>
                <w:color w:val="auto"/>
                <w:sz w:val="24"/>
                <w:szCs w:val="24"/>
                <w:lang w:val="en-US" w:eastAsia="zh-CN" w:bidi="ar-SA"/>
              </w:rPr>
              <w:t xml:space="preserve">总价（元）</w:t>
            </w:r>
            <w:r/>
          </w:p>
        </w:tc>
        <w:tc>
          <w:tcPr>
            <w:tcW w:w="2475" w:type="dxa"/>
            <w:vAlign w:val="center"/>
            <w:textDirection w:val="lrTb"/>
            <w:noWrap w:val="false"/>
          </w:tcPr>
          <w:p>
            <w:pPr>
              <w:pStyle w:val="1125"/>
              <w:jc w:val="center"/>
              <w:spacing w:line="440" w:lineRule="exact"/>
              <w:widowControl w:val="off"/>
              <w:rPr>
                <w:rStyle w:val="1087"/>
                <w:rFonts w:hint="default" w:ascii="宋体" w:hAnsi="宋体" w:eastAsia="宋体" w:cs="宋体"/>
                <w:color w:val="auto"/>
                <w:sz w:val="24"/>
                <w:szCs w:val="24"/>
                <w:lang w:val="en-US" w:eastAsia="zh-CN" w:bidi="ar-SA"/>
              </w:rPr>
            </w:pPr>
            <w:r>
              <w:rPr>
                <w:rStyle w:val="1087"/>
                <w:rFonts w:hint="eastAsia" w:ascii="宋体" w:hAnsi="宋体" w:eastAsia="宋体" w:cs="宋体"/>
                <w:color w:val="auto"/>
                <w:sz w:val="24"/>
                <w:szCs w:val="24"/>
                <w:lang w:val="en-US" w:eastAsia="zh-CN" w:bidi="ar-SA"/>
              </w:rPr>
              <w:t xml:space="preserve">备注</w:t>
            </w:r>
            <w:r/>
          </w:p>
        </w:tc>
      </w:tr>
      <w:tr>
        <w:trPr>
          <w:cantSplit/>
          <w:jc w:val="center"/>
          <w:trHeight w:val="658"/>
        </w:trPr>
        <w:tc>
          <w:tcPr>
            <w:tcW w:w="2723" w:type="dxa"/>
            <w:vAlign w:val="center"/>
            <w:textDirection w:val="lrTb"/>
            <w:noWrap w:val="false"/>
          </w:tcPr>
          <w:p>
            <w:pPr>
              <w:pStyle w:val="1125"/>
              <w:ind w:firstLine="0"/>
              <w:jc w:val="both"/>
              <w:spacing w:line="440" w:lineRule="exact"/>
              <w:widowControl w:val="off"/>
              <w:rPr>
                <w:rStyle w:val="1087"/>
                <w:rFonts w:ascii="宋体" w:hAnsi="宋体" w:eastAsia="宋体" w:cs="宋体"/>
                <w:color w:val="auto"/>
                <w:sz w:val="24"/>
                <w:szCs w:val="24"/>
                <w:lang w:val="en-US" w:eastAsia="zh-CN" w:bidi="ar-SA"/>
              </w:rPr>
            </w:pPr>
            <w:r>
              <w:rPr>
                <w:rStyle w:val="1087"/>
                <w:rFonts w:hint="eastAsia" w:ascii="宋体" w:hAnsi="宋体" w:eastAsia="宋体" w:cs="宋体"/>
                <w:color w:val="auto"/>
                <w:sz w:val="24"/>
                <w:szCs w:val="24"/>
                <w:lang w:val="en-US" w:eastAsia="zh-CN" w:bidi="ar-SA"/>
              </w:rPr>
              <w:t xml:space="preserve">               </w:t>
            </w:r>
            <w:r/>
          </w:p>
        </w:tc>
        <w:tc>
          <w:tcPr>
            <w:tcW w:w="2722" w:type="dxa"/>
            <w:vAlign w:val="center"/>
            <w:textDirection w:val="lrTb"/>
            <w:noWrap w:val="false"/>
          </w:tcPr>
          <w:p>
            <w:pPr>
              <w:pStyle w:val="1125"/>
              <w:ind w:firstLine="0"/>
              <w:jc w:val="both"/>
              <w:spacing w:line="440" w:lineRule="exact"/>
              <w:widowControl w:val="off"/>
              <w:rPr>
                <w:rStyle w:val="1087"/>
                <w:rFonts w:ascii="宋体" w:hAnsi="宋体" w:eastAsia="宋体" w:cs="宋体"/>
                <w:color w:val="auto"/>
                <w:sz w:val="24"/>
                <w:szCs w:val="24"/>
                <w:lang w:val="en-US" w:eastAsia="zh-CN" w:bidi="ar-SA"/>
              </w:rPr>
            </w:pPr>
            <w:r>
              <w:rPr>
                <w:rStyle w:val="1087"/>
                <w:rFonts w:hint="eastAsia" w:ascii="宋体" w:hAnsi="宋体" w:eastAsia="宋体" w:cs="宋体"/>
                <w:color w:val="auto"/>
                <w:sz w:val="24"/>
                <w:szCs w:val="24"/>
                <w:lang w:val="en-US" w:eastAsia="zh-CN" w:bidi="ar-SA"/>
              </w:rPr>
              <w:t xml:space="preserve">                </w:t>
            </w:r>
            <w:r/>
          </w:p>
        </w:tc>
        <w:tc>
          <w:tcPr>
            <w:tcW w:w="2475" w:type="dxa"/>
            <w:vAlign w:val="center"/>
            <w:textDirection w:val="lrTb"/>
            <w:noWrap w:val="false"/>
          </w:tcPr>
          <w:p>
            <w:pPr>
              <w:pStyle w:val="1125"/>
              <w:ind w:firstLine="0"/>
              <w:jc w:val="both"/>
              <w:spacing w:line="440" w:lineRule="exact"/>
              <w:widowControl w:val="off"/>
              <w:rPr>
                <w:rStyle w:val="1087"/>
                <w:rFonts w:ascii="宋体" w:hAnsi="宋体" w:eastAsia="宋体" w:cs="宋体"/>
                <w:color w:val="auto"/>
                <w:sz w:val="24"/>
                <w:szCs w:val="24"/>
                <w:lang w:val="en-US" w:eastAsia="zh-CN" w:bidi="ar-SA"/>
              </w:rPr>
            </w:pPr>
            <w:r>
              <w:rPr>
                <w:rStyle w:val="1087"/>
                <w:rFonts w:hint="eastAsia" w:ascii="宋体" w:hAnsi="宋体" w:eastAsia="宋体" w:cs="宋体"/>
                <w:color w:val="auto"/>
                <w:sz w:val="24"/>
                <w:szCs w:val="24"/>
                <w:lang w:val="en-US" w:eastAsia="zh-CN" w:bidi="ar-SA"/>
              </w:rPr>
              <w:t xml:space="preserve">             </w:t>
            </w:r>
            <w:r/>
          </w:p>
        </w:tc>
      </w:tr>
    </w:tbl>
    <w:p>
      <w:pPr>
        <w:pStyle w:val="1169"/>
        <w:contextualSpacing/>
        <w:ind w:firstLine="480"/>
        <w:spacing w:line="440" w:lineRule="exact"/>
        <w:rPr>
          <w:rStyle w:val="1209"/>
          <w:rFonts w:hint="eastAsia" w:ascii="宋体" w:hAnsi="宋体" w:eastAsia="宋体" w:cs="Times New Roman"/>
          <w:b/>
          <w:bCs/>
          <w:color w:val="auto"/>
          <w:highlight w:val="none"/>
        </w:rPr>
      </w:pPr>
      <w:r>
        <w:rPr>
          <w:rStyle w:val="1209"/>
          <w:rFonts w:hint="eastAsia" w:ascii="宋体" w:hAnsi="宋体" w:eastAsia="宋体" w:cs="Times New Roman"/>
          <w:b/>
          <w:bCs/>
          <w:color w:val="auto"/>
          <w:highlight w:val="none"/>
        </w:rPr>
        <w:t xml:space="preserve">二、合同金额</w:t>
      </w:r>
      <w:r/>
    </w:p>
    <w:p>
      <w:pPr>
        <w:pStyle w:val="1169"/>
        <w:contextualSpacing/>
        <w:ind w:firstLine="480"/>
        <w:spacing w:line="440" w:lineRule="exact"/>
        <w:rPr>
          <w:rStyle w:val="1209"/>
          <w:rFonts w:ascii="宋体" w:hAnsi="宋体" w:cs="Courier New"/>
          <w:b/>
          <w:bCs/>
          <w:color w:val="auto"/>
          <w:highlight w:val="none"/>
        </w:rPr>
      </w:pPr>
      <w:r>
        <w:rPr>
          <w:rStyle w:val="1209"/>
          <w:rFonts w:hint="eastAsia" w:ascii="宋体" w:hAnsi="宋体" w:cs="Courier New"/>
          <w:color w:val="auto"/>
          <w:highlight w:val="none"/>
        </w:rPr>
        <w:t xml:space="preserve">2.1 本合同金额为（大写）：</w:t>
      </w:r>
      <w:r>
        <w:rPr>
          <w:rStyle w:val="1209"/>
          <w:rFonts w:hint="eastAsia" w:ascii="宋体" w:hAnsi="宋体" w:cs="Courier New"/>
          <w:color w:val="auto"/>
          <w:highlight w:val="none"/>
          <w:u w:val="single"/>
        </w:rPr>
        <w:t xml:space="preserve"> </w:t>
      </w:r>
      <w:bookmarkStart w:id="155" w:name="zhongbiaopriceup"/>
      <w:r>
        <w:rPr>
          <w:rStyle w:val="1209"/>
          <w:rFonts w:hint="eastAsia" w:ascii="宋体" w:hAnsi="宋体" w:cs="Courier New"/>
          <w:color w:val="auto"/>
          <w:highlight w:val="none"/>
          <w:u w:val="single"/>
        </w:rPr>
        <w:t xml:space="preserve">                   </w:t>
      </w:r>
      <w:bookmarkEnd w:id="155"/>
      <w:r>
        <w:rPr>
          <w:rStyle w:val="1209"/>
          <w:rFonts w:hint="eastAsia" w:ascii="宋体" w:hAnsi="宋体" w:cs="Courier New"/>
          <w:color w:val="auto"/>
          <w:highlight w:val="none"/>
          <w:u w:val="single"/>
        </w:rPr>
        <w:t xml:space="preserve"> </w:t>
      </w:r>
      <w:r>
        <w:rPr>
          <w:rStyle w:val="1209"/>
          <w:rFonts w:hint="eastAsia" w:ascii="宋体" w:hAnsi="宋体" w:cs="Courier New"/>
          <w:color w:val="auto"/>
          <w:highlight w:val="none"/>
        </w:rPr>
        <w:t xml:space="preserve">（</w:t>
      </w:r>
      <w:r>
        <w:rPr>
          <w:rStyle w:val="1209"/>
          <w:rFonts w:hint="eastAsia" w:ascii="宋体" w:hAnsi="宋体" w:cs="Courier New"/>
          <w:color w:val="auto"/>
          <w:highlight w:val="none"/>
          <w:u w:val="single"/>
        </w:rPr>
        <w:t xml:space="preserve"> </w:t>
      </w:r>
      <w:bookmarkStart w:id="156" w:name="zhongbiaopricelow"/>
      <w:r>
        <w:rPr>
          <w:rStyle w:val="1209"/>
          <w:rFonts w:hint="eastAsia" w:ascii="宋体" w:hAnsi="宋体" w:cs="Courier New"/>
          <w:color w:val="auto"/>
          <w:highlight w:val="none"/>
          <w:u w:val="single"/>
        </w:rPr>
        <w:t xml:space="preserve">          </w:t>
      </w:r>
      <w:bookmarkEnd w:id="156"/>
      <w:r>
        <w:rPr>
          <w:rStyle w:val="1209"/>
          <w:rFonts w:hint="eastAsia" w:ascii="宋体" w:hAnsi="宋体" w:cs="Courier New"/>
          <w:color w:val="auto"/>
          <w:highlight w:val="none"/>
          <w:u w:val="single"/>
        </w:rPr>
        <w:t xml:space="preserve"> </w:t>
      </w:r>
      <w:r>
        <w:rPr>
          <w:rStyle w:val="1209"/>
          <w:rFonts w:hint="eastAsia" w:ascii="宋体" w:hAnsi="宋体" w:cs="Courier New"/>
          <w:color w:val="auto"/>
          <w:highlight w:val="none"/>
        </w:rPr>
        <w:t xml:space="preserve">元）人民币。</w:t>
      </w:r>
      <w:r/>
    </w:p>
    <w:p>
      <w:pPr>
        <w:pStyle w:val="1169"/>
        <w:contextualSpacing/>
        <w:ind w:firstLine="480"/>
        <w:spacing w:line="440" w:lineRule="exact"/>
        <w:rPr>
          <w:rStyle w:val="1209"/>
          <w:rFonts w:ascii="宋体" w:hAnsi="宋体" w:cs="Courier New"/>
          <w:color w:val="auto"/>
          <w:highlight w:val="none"/>
        </w:rPr>
      </w:pPr>
      <w:r>
        <w:rPr>
          <w:rFonts w:hint="eastAsia" w:ascii="宋体" w:hAnsi="宋体" w:cs="宋体"/>
          <w:color w:val="auto"/>
          <w:sz w:val="24"/>
          <w:szCs w:val="24"/>
          <w:highlight w:val="none"/>
        </w:rPr>
        <w:t xml:space="preserve">总价为综合报价，应包括但不限于：货物、配件、附件、备品备件、专用工具、耗品、辅材、包装、运输、装卸、安装、调试、检测、验收、保险、人员培训、售后服务、</w:t>
      </w:r>
      <w:r>
        <w:rPr>
          <w:rFonts w:hint="eastAsia" w:ascii="宋体" w:hAnsi="宋体" w:cs="宋体"/>
          <w:color w:val="auto"/>
          <w:sz w:val="24"/>
          <w:szCs w:val="24"/>
          <w:highlight w:val="none"/>
          <w:lang w:val="en-US" w:eastAsia="zh-CN"/>
        </w:rPr>
        <w:t xml:space="preserve">维保服务、</w:t>
      </w:r>
      <w:r>
        <w:rPr>
          <w:rFonts w:hint="eastAsia" w:ascii="宋体" w:hAnsi="宋体" w:cs="宋体"/>
          <w:color w:val="auto"/>
          <w:sz w:val="24"/>
          <w:szCs w:val="24"/>
          <w:highlight w:val="none"/>
        </w:rPr>
        <w:t xml:space="preserve">保修、</w:t>
      </w:r>
      <w:r>
        <w:rPr>
          <w:rFonts w:hint="eastAsia" w:ascii="宋体" w:hAnsi="宋体" w:eastAsia="宋体" w:cs="宋体"/>
          <w:color w:val="auto"/>
          <w:sz w:val="24"/>
          <w:szCs w:val="24"/>
          <w:highlight w:val="none"/>
          <w:lang w:val="en-US" w:eastAsia="zh-CN"/>
        </w:rPr>
        <w:t xml:space="preserve">代理服务费、</w:t>
      </w:r>
      <w:r>
        <w:rPr>
          <w:rFonts w:hint="eastAsia" w:ascii="宋体" w:hAnsi="宋体" w:cs="宋体"/>
          <w:color w:val="auto"/>
          <w:sz w:val="24"/>
          <w:szCs w:val="24"/>
          <w:highlight w:val="none"/>
        </w:rPr>
        <w:t xml:space="preserve">政策性文件规定及合同包含的所有风险责任的各项费用、技术指导、利润、税金等全部费用</w:t>
      </w:r>
      <w:r>
        <w:rPr>
          <w:rStyle w:val="1209"/>
          <w:rFonts w:hint="eastAsia" w:ascii="宋体" w:hAnsi="宋体" w:cs="Courier New"/>
          <w:color w:val="auto"/>
          <w:highlight w:val="none"/>
        </w:rPr>
        <w:t xml:space="preserve">。</w:t>
      </w:r>
      <w:r/>
    </w:p>
    <w:p>
      <w:pPr>
        <w:pStyle w:val="1169"/>
        <w:contextualSpacing/>
        <w:ind w:firstLine="480"/>
        <w:spacing w:line="440" w:lineRule="exact"/>
        <w:rPr>
          <w:rStyle w:val="1209"/>
          <w:rFonts w:hint="eastAsia" w:ascii="宋体" w:hAnsi="宋体" w:eastAsia="宋体" w:cs="Times New Roman"/>
          <w:b/>
          <w:bCs/>
          <w:color w:val="auto"/>
          <w:highlight w:val="none"/>
        </w:rPr>
      </w:pPr>
      <w:r>
        <w:rPr>
          <w:rStyle w:val="1209"/>
          <w:rFonts w:hint="eastAsia" w:ascii="宋体" w:hAnsi="宋体" w:eastAsia="宋体" w:cs="Times New Roman"/>
          <w:b/>
          <w:bCs/>
          <w:color w:val="auto"/>
          <w:highlight w:val="none"/>
        </w:rPr>
        <w:t xml:space="preserve">三、技术资料</w:t>
      </w:r>
      <w:r/>
    </w:p>
    <w:p>
      <w:pPr>
        <w:pStyle w:val="1169"/>
        <w:contextualSpacing/>
        <w:ind w:firstLine="480"/>
        <w:spacing w:line="440" w:lineRule="exact"/>
        <w:rPr>
          <w:rStyle w:val="1209"/>
          <w:rFonts w:hint="eastAsia" w:ascii="宋体" w:hAnsi="宋体"/>
          <w:color w:val="auto"/>
          <w:highlight w:val="none"/>
        </w:rPr>
      </w:pPr>
      <w:r>
        <w:rPr>
          <w:rStyle w:val="1209"/>
          <w:rFonts w:hint="eastAsia" w:ascii="宋体" w:hAnsi="宋体"/>
          <w:color w:val="auto"/>
          <w:highlight w:val="none"/>
        </w:rPr>
        <w:t xml:space="preserve">3.1乙方应按甲方规定的时间提供使用货物有关的技术资料。</w:t>
      </w:r>
      <w:r/>
    </w:p>
    <w:p>
      <w:pPr>
        <w:pStyle w:val="1169"/>
        <w:contextualSpacing/>
        <w:ind w:firstLine="480"/>
        <w:spacing w:line="440" w:lineRule="exact"/>
        <w:rPr>
          <w:rStyle w:val="1209"/>
          <w:rFonts w:ascii="宋体" w:hAnsi="宋体"/>
          <w:color w:val="auto"/>
          <w:highlight w:val="none"/>
        </w:rPr>
      </w:pPr>
      <w:r>
        <w:rPr>
          <w:rStyle w:val="1209"/>
          <w:rFonts w:hint="eastAsia" w:ascii="宋体" w:hAnsi="宋体"/>
          <w:color w:val="auto"/>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69"/>
        <w:contextualSpacing/>
        <w:ind w:firstLine="480"/>
        <w:spacing w:line="440" w:lineRule="exact"/>
        <w:rPr>
          <w:rStyle w:val="1209"/>
          <w:rFonts w:hint="eastAsia" w:ascii="宋体" w:hAnsi="宋体"/>
          <w:b/>
          <w:bCs/>
          <w:color w:val="auto"/>
          <w:highlight w:val="none"/>
        </w:rPr>
      </w:pPr>
      <w:r>
        <w:rPr>
          <w:rStyle w:val="1209"/>
          <w:rFonts w:hint="eastAsia" w:ascii="宋体" w:hAnsi="宋体"/>
          <w:b/>
          <w:bCs/>
          <w:color w:val="auto"/>
          <w:highlight w:val="none"/>
        </w:rPr>
        <w:t xml:space="preserve">四、知识产权</w:t>
      </w:r>
      <w:r/>
    </w:p>
    <w:p>
      <w:pPr>
        <w:pStyle w:val="1169"/>
        <w:contextualSpacing/>
        <w:ind w:firstLine="480"/>
        <w:spacing w:line="440" w:lineRule="exact"/>
        <w:rPr>
          <w:rStyle w:val="1209"/>
          <w:rFonts w:hint="eastAsia" w:ascii="宋体" w:hAnsi="宋体"/>
          <w:color w:val="auto"/>
          <w:highlight w:val="none"/>
        </w:rPr>
      </w:pPr>
      <w:r>
        <w:rPr>
          <w:rStyle w:val="1209"/>
          <w:rFonts w:hint="eastAsia" w:ascii="宋体" w:hAnsi="宋体"/>
          <w:color w:val="auto"/>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69"/>
        <w:contextualSpacing/>
        <w:ind w:firstLine="480"/>
        <w:spacing w:line="440" w:lineRule="exact"/>
        <w:rPr>
          <w:rStyle w:val="1209"/>
          <w:rFonts w:hint="eastAsia" w:ascii="宋体" w:hAnsi="宋体"/>
          <w:b/>
          <w:bCs/>
          <w:color w:val="auto"/>
          <w:highlight w:val="none"/>
        </w:rPr>
      </w:pPr>
      <w:r>
        <w:rPr>
          <w:rStyle w:val="1209"/>
          <w:rFonts w:hint="eastAsia" w:ascii="宋体" w:hAnsi="宋体"/>
          <w:b/>
          <w:bCs/>
          <w:color w:val="auto"/>
          <w:highlight w:val="none"/>
        </w:rPr>
        <w:t xml:space="preserve">五、产权担保</w:t>
      </w:r>
      <w:r/>
    </w:p>
    <w:p>
      <w:pPr>
        <w:pStyle w:val="1169"/>
        <w:contextualSpacing/>
        <w:ind w:firstLine="480"/>
        <w:spacing w:line="440" w:lineRule="exact"/>
        <w:rPr>
          <w:rStyle w:val="1209"/>
          <w:rFonts w:hint="eastAsia" w:ascii="宋体" w:hAnsi="宋体"/>
          <w:color w:val="auto"/>
          <w:highlight w:val="none"/>
        </w:rPr>
      </w:pPr>
      <w:r>
        <w:rPr>
          <w:rStyle w:val="1209"/>
          <w:rFonts w:hint="eastAsia" w:ascii="宋体" w:hAnsi="宋体"/>
          <w:color w:val="auto"/>
          <w:highlight w:val="none"/>
        </w:rPr>
        <w:t xml:space="preserve">5.1 乙方保证所交付的货物的所有权完全属于乙方且无任何抵押、查封等产权瑕疵。</w:t>
      </w:r>
      <w:r/>
    </w:p>
    <w:p>
      <w:pPr>
        <w:pStyle w:val="1169"/>
        <w:contextualSpacing/>
        <w:ind w:firstLine="480"/>
        <w:spacing w:line="440" w:lineRule="exact"/>
        <w:rPr>
          <w:rStyle w:val="1209"/>
          <w:rFonts w:ascii="宋体" w:hAnsi="宋体"/>
          <w:b/>
          <w:bCs/>
          <w:color w:val="auto"/>
          <w:highlight w:val="none"/>
        </w:rPr>
      </w:pPr>
      <w:r>
        <w:rPr>
          <w:rStyle w:val="1209"/>
          <w:rFonts w:hint="eastAsia" w:ascii="宋体" w:hAnsi="宋体"/>
          <w:b/>
          <w:bCs/>
          <w:color w:val="auto"/>
          <w:highlight w:val="none"/>
        </w:rPr>
        <w:t xml:space="preserve">六、履约保证金</w:t>
      </w:r>
      <w:r/>
    </w:p>
    <w:p>
      <w:pPr>
        <w:pStyle w:val="1169"/>
        <w:contextualSpacing/>
        <w:ind w:firstLine="480"/>
        <w:spacing w:line="440" w:lineRule="exact"/>
        <w:rPr>
          <w:color w:val="auto"/>
          <w:highlight w:val="none"/>
        </w:rPr>
      </w:pPr>
      <w:r>
        <w:rPr>
          <w:rStyle w:val="1209"/>
          <w:rFonts w:ascii="宋体" w:hAnsi="宋体" w:cs="Courier New"/>
          <w:color w:val="auto"/>
          <w:highlight w:val="none"/>
        </w:rPr>
        <w:t xml:space="preserve">6.1</w:t>
      </w:r>
      <w:r>
        <w:rPr>
          <w:rStyle w:val="1209"/>
          <w:rFonts w:hint="eastAsia" w:ascii="宋体" w:hAnsi="宋体"/>
          <w:color w:val="auto"/>
          <w:highlight w:val="none"/>
        </w:rPr>
        <w:t xml:space="preserve">合同签订前，</w:t>
      </w:r>
      <w:r>
        <w:rPr>
          <w:rStyle w:val="1209"/>
          <w:rFonts w:hint="eastAsia" w:ascii="宋体" w:hAnsi="宋体" w:cs="Courier New"/>
          <w:color w:val="auto"/>
          <w:highlight w:val="none"/>
        </w:rPr>
        <w:t xml:space="preserve">乙</w:t>
      </w:r>
      <w:r>
        <w:rPr>
          <w:rFonts w:hint="eastAsia" w:ascii="宋体" w:hAnsi="宋体" w:eastAsia="宋体" w:cs="宋体"/>
          <w:color w:val="auto"/>
          <w:highlight w:val="none"/>
        </w:rPr>
        <w:t xml:space="preserve">方向采购单位交纳人民币</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color w:val="auto"/>
          <w:highlight w:val="none"/>
          <w:u w:val="single"/>
        </w:rPr>
        <w:t xml:space="preserve"> </w:t>
      </w:r>
      <w:bookmarkStart w:id="157" w:name="lvbzj"/>
      <w:r>
        <w:rPr>
          <w:rFonts w:hint="eastAsia"/>
          <w:color w:val="auto"/>
          <w:highlight w:val="none"/>
          <w:u w:val="single"/>
        </w:rPr>
        <w:t xml:space="preserve"> </w:t>
      </w:r>
      <w:bookmarkEnd w:id="157"/>
      <w:r>
        <w:rPr>
          <w:rFonts w:hint="eastAsia" w:ascii="宋体" w:hAnsi="宋体" w:eastAsia="宋体" w:cs="宋体"/>
          <w:color w:val="auto"/>
          <w:highlight w:val="none"/>
        </w:rPr>
        <w:t xml:space="preserve">元作为本合同的履约保证金。履约保证金应当以支票、汇票、本票或者金融机构、担保机构出具的保函等非现金形式提交。</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6.2合同履行完毕退还履约保证金。</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6.3乙方不履行与甲方订立的合同的，履约保证金不予退还。</w:t>
      </w:r>
      <w:r/>
    </w:p>
    <w:p>
      <w:pPr>
        <w:pStyle w:val="1169"/>
        <w:contextualSpacing/>
        <w:ind w:firstLine="480"/>
        <w:spacing w:line="440" w:lineRule="exact"/>
        <w:rPr>
          <w:rStyle w:val="1209"/>
          <w:rFonts w:hint="eastAsia" w:ascii="宋体" w:hAnsi="宋体" w:eastAsia="宋体" w:cs="Times New Roman"/>
          <w:color w:val="auto"/>
          <w:highlight w:val="none"/>
        </w:rPr>
      </w:pPr>
      <w:r>
        <w:rPr>
          <w:rStyle w:val="1209"/>
          <w:rFonts w:hint="eastAsia" w:ascii="宋体" w:hAnsi="宋体" w:eastAsia="宋体" w:cs="Times New Roman"/>
          <w:color w:val="auto"/>
          <w:highlight w:val="none"/>
        </w:rPr>
        <w:t xml:space="preserve">6.4按照《江苏省财政厅国家金融监管总局江苏监管局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169"/>
        <w:contextualSpacing/>
        <w:ind w:firstLine="482"/>
        <w:spacing w:line="440" w:lineRule="exact"/>
        <w:rPr>
          <w:rStyle w:val="1209"/>
          <w:rFonts w:ascii="宋体" w:hAnsi="宋体" w:eastAsia="宋体"/>
          <w:b/>
          <w:color w:val="auto"/>
          <w:highlight w:val="none"/>
        </w:rPr>
      </w:pPr>
      <w:r>
        <w:rPr>
          <w:rStyle w:val="1209"/>
          <w:rFonts w:hint="eastAsia" w:ascii="宋体" w:hAnsi="宋体" w:eastAsia="宋体"/>
          <w:b/>
          <w:color w:val="auto"/>
          <w:highlight w:val="none"/>
        </w:rPr>
        <w:t xml:space="preserve">七、转包或分包</w:t>
      </w:r>
      <w:r/>
    </w:p>
    <w:p>
      <w:pPr>
        <w:pStyle w:val="1169"/>
        <w:contextualSpacing/>
        <w:ind w:firstLine="480"/>
        <w:spacing w:line="440" w:lineRule="exact"/>
        <w:rPr>
          <w:rStyle w:val="1209"/>
          <w:rFonts w:ascii="宋体" w:hAnsi="宋体" w:eastAsia="仿宋_GB2312"/>
          <w:color w:val="auto"/>
          <w:highlight w:val="none"/>
        </w:rPr>
      </w:pPr>
      <w:r>
        <w:rPr>
          <w:rStyle w:val="1209"/>
          <w:rFonts w:ascii="宋体" w:hAnsi="宋体"/>
          <w:color w:val="auto"/>
          <w:highlight w:val="none"/>
        </w:rPr>
        <w:t xml:space="preserve">7.1</w:t>
      </w:r>
      <w:r>
        <w:rPr>
          <w:rStyle w:val="1209"/>
          <w:rFonts w:hint="eastAsia" w:ascii="宋体" w:hAnsi="宋体"/>
          <w:color w:val="auto"/>
          <w:highlight w:val="none"/>
        </w:rPr>
        <w:t xml:space="preserve">本合同范围的货物，</w:t>
      </w:r>
      <w:r>
        <w:rPr>
          <w:rFonts w:hint="eastAsia" w:ascii="宋体" w:hAnsi="宋体" w:eastAsia="宋体" w:cs="宋体"/>
          <w:color w:val="auto"/>
          <w:sz w:val="24"/>
          <w:szCs w:val="24"/>
          <w:highlight w:val="none"/>
          <w:lang w:val="en-US" w:eastAsia="zh-CN"/>
        </w:rPr>
        <w:t xml:space="preserve">原则上</w:t>
      </w:r>
      <w:r>
        <w:rPr>
          <w:rStyle w:val="1209"/>
          <w:rFonts w:hint="eastAsia" w:ascii="宋体" w:hAnsi="宋体"/>
          <w:color w:val="auto"/>
          <w:highlight w:val="none"/>
        </w:rPr>
        <w:t xml:space="preserve">应由乙方直接供应</w:t>
      </w:r>
      <w:r>
        <w:rPr>
          <w:rStyle w:val="1209"/>
          <w:rFonts w:hint="eastAsia" w:ascii="宋体" w:hAnsi="宋体" w:eastAsia="宋体"/>
          <w:color w:val="auto"/>
          <w:highlight w:val="none"/>
          <w:lang w:eastAsia="zh-CN"/>
        </w:rPr>
        <w:t xml:space="preserve">；</w:t>
      </w:r>
      <w:r>
        <w:rPr>
          <w:rFonts w:hint="default" w:ascii="宋体" w:hAnsi="宋体" w:eastAsia="宋体" w:cs="宋体"/>
          <w:color w:val="auto"/>
          <w:sz w:val="24"/>
          <w:szCs w:val="24"/>
          <w:highlight w:val="none"/>
          <w:lang w:val="en-US" w:eastAsia="zh-CN"/>
        </w:rPr>
        <w:t xml:space="preserve">未经甲方书面同意，乙方不得将本合同权利义务</w:t>
      </w:r>
      <w:r>
        <w:rPr>
          <w:rFonts w:hint="eastAsia" w:ascii="宋体" w:hAnsi="宋体" w:eastAsia="宋体" w:cs="宋体"/>
          <w:color w:val="auto"/>
          <w:sz w:val="24"/>
          <w:szCs w:val="24"/>
          <w:highlight w:val="none"/>
          <w:lang w:val="en-US" w:eastAsia="zh-CN"/>
        </w:rPr>
        <w:t xml:space="preserve">整体</w:t>
      </w:r>
      <w:r>
        <w:rPr>
          <w:rFonts w:hint="default" w:ascii="宋体" w:hAnsi="宋体" w:eastAsia="宋体" w:cs="宋体"/>
          <w:color w:val="auto"/>
          <w:sz w:val="24"/>
          <w:szCs w:val="24"/>
          <w:highlight w:val="none"/>
          <w:lang w:val="en-US" w:eastAsia="zh-CN"/>
        </w:rPr>
        <w:t xml:space="preserve">转让给任何第三方</w:t>
      </w:r>
      <w:r>
        <w:rPr>
          <w:rFonts w:hint="eastAsia" w:ascii="宋体" w:hAnsi="宋体" w:eastAsia="宋体" w:cs="宋体"/>
          <w:color w:val="auto"/>
          <w:sz w:val="24"/>
          <w:szCs w:val="24"/>
          <w:highlight w:val="none"/>
          <w:lang w:val="en-US" w:eastAsia="zh-CN"/>
        </w:rPr>
        <w:t xml:space="preserve">。</w:t>
      </w:r>
      <w:r/>
    </w:p>
    <w:p>
      <w:pPr>
        <w:pStyle w:val="1169"/>
        <w:contextualSpacing/>
        <w:ind w:firstLine="480"/>
        <w:spacing w:line="440" w:lineRule="exact"/>
        <w:rPr>
          <w:rFonts w:ascii="宋体" w:hAnsi="宋体" w:eastAsia="宋体" w:cs="宋体"/>
          <w:color w:val="auto"/>
          <w:sz w:val="24"/>
          <w:szCs w:val="24"/>
          <w:highlight w:val="none"/>
        </w:rPr>
      </w:pPr>
      <w:r>
        <w:rPr>
          <w:rStyle w:val="1209"/>
          <w:rFonts w:ascii="宋体" w:hAnsi="宋体"/>
          <w:color w:val="auto"/>
          <w:highlight w:val="none"/>
        </w:rPr>
        <w:t xml:space="preserve">7.2</w:t>
      </w:r>
      <w:r>
        <w:rPr>
          <w:rFonts w:ascii="宋体" w:hAnsi="宋体" w:eastAsia="宋体" w:cs="宋体"/>
          <w:color w:val="auto"/>
          <w:sz w:val="24"/>
          <w:szCs w:val="24"/>
          <w:highlight w:val="none"/>
        </w:rPr>
        <w:t xml:space="preserve">乙方确需分包的，必须在分包意向协议中载明拟分包内容及分包对象，并事先经甲方书面审核同意。乙方就分包项目向甲方承担连带责任。</w:t>
      </w:r>
      <w:r/>
    </w:p>
    <w:p>
      <w:pPr>
        <w:ind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.3 乙方违反本条约定的，按下列情形处理：</w:t>
      </w:r>
      <w:r/>
    </w:p>
    <w:p>
      <w:pPr>
        <w:ind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(1)转包或违法分包：乙方将项目转包、或将</w:t>
      </w:r>
      <w:r>
        <w:rPr>
          <w:rFonts w:hint="eastAsia" w:ascii="宋体" w:hAnsi="宋体" w:eastAsia="宋体" w:cs="宋体"/>
          <w:color w:val="auto"/>
          <w:sz w:val="24"/>
          <w:szCs w:val="24"/>
          <w:highlight w:val="none"/>
          <w:lang w:val="en-US" w:eastAsia="zh-CN"/>
        </w:rPr>
        <w:t xml:space="preserve">预留份额以外的部分</w:t>
      </w:r>
      <w:r>
        <w:rPr>
          <w:rFonts w:ascii="宋体" w:hAnsi="宋体" w:eastAsia="宋体" w:cs="宋体"/>
          <w:color w:val="auto"/>
          <w:sz w:val="24"/>
          <w:szCs w:val="24"/>
          <w:highlight w:val="none"/>
        </w:rPr>
        <w:t xml:space="preserve">分包、或未经甲方同意擅自分包的，甲方有权立即终止本合同，没收履约保证金，并要求乙方承担由此造成的一切损失；同时乙方将被列入政府采购不良行为记录。</w:t>
      </w:r>
      <w:r/>
    </w:p>
    <w:p>
      <w:pPr>
        <w:pStyle w:val="1169"/>
        <w:contextualSpacing/>
        <w:ind w:firstLine="480"/>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(2)分包违约：若分包对象不符合资质要求、分包比例违规或分包对象出现违约，乙方应立即整改并承担相应赔偿责任。</w:t>
      </w:r>
      <w:r/>
    </w:p>
    <w:p>
      <w:pPr>
        <w:pStyle w:val="1169"/>
        <w:contextualSpacing/>
        <w:ind w:firstLine="482"/>
        <w:spacing w:line="440" w:lineRule="exact"/>
        <w:rPr>
          <w:rStyle w:val="1209"/>
          <w:rFonts w:ascii="宋体" w:hAnsi="宋体" w:eastAsia="宋体"/>
          <w:b/>
          <w:color w:val="auto"/>
          <w:highlight w:val="none"/>
        </w:rPr>
      </w:pPr>
      <w:r>
        <w:rPr>
          <w:rStyle w:val="1209"/>
          <w:rFonts w:hint="eastAsia" w:ascii="宋体" w:hAnsi="宋体" w:eastAsia="宋体"/>
          <w:b/>
          <w:color w:val="auto"/>
          <w:highlight w:val="none"/>
        </w:rPr>
        <w:t xml:space="preserve">八、交货期、交货方式及交货地点</w:t>
      </w:r>
      <w:r/>
    </w:p>
    <w:p>
      <w:pPr>
        <w:pStyle w:val="1169"/>
        <w:contextualSpacing/>
        <w:ind w:firstLine="480"/>
        <w:spacing w:line="440" w:lineRule="exact"/>
        <w:rPr>
          <w:rStyle w:val="1209"/>
          <w:rFonts w:ascii="宋体" w:hAnsi="宋体" w:cs="Courier New"/>
          <w:bCs/>
          <w:color w:val="auto"/>
          <w:highlight w:val="none"/>
          <w:u w:val="single"/>
        </w:rPr>
      </w:pPr>
      <w:r>
        <w:rPr>
          <w:rStyle w:val="1209"/>
          <w:rFonts w:ascii="宋体" w:hAnsi="宋体" w:cs="Courier New"/>
          <w:bCs/>
          <w:color w:val="auto"/>
          <w:highlight w:val="none"/>
        </w:rPr>
        <w:t xml:space="preserve">8.1</w:t>
      </w:r>
      <w:r>
        <w:rPr>
          <w:rStyle w:val="1209"/>
          <w:rFonts w:hint="eastAsia" w:ascii="宋体" w:hAnsi="宋体" w:cs="Courier New"/>
          <w:bCs/>
          <w:color w:val="auto"/>
          <w:highlight w:val="none"/>
        </w:rPr>
        <w:t xml:space="preserve"> 交货期：</w:t>
      </w:r>
      <w:r>
        <w:rPr>
          <w:rStyle w:val="1209"/>
          <w:rFonts w:hint="eastAsia" w:ascii="宋体" w:hAnsi="宋体"/>
          <w:color w:val="auto"/>
          <w:highlight w:val="none"/>
          <w:u w:val="single"/>
        </w:rPr>
        <w:t xml:space="preserve"> </w:t>
      </w:r>
      <w:bookmarkStart w:id="158" w:name="jiaohuoqi"/>
      <w:r>
        <w:rPr>
          <w:rStyle w:val="1209"/>
          <w:rFonts w:hint="eastAsia" w:ascii="宋体" w:hAnsi="宋体"/>
          <w:color w:val="auto"/>
          <w:highlight w:val="none"/>
          <w:u w:val="single"/>
        </w:rPr>
        <w:t xml:space="preserve">             </w:t>
      </w:r>
      <w:bookmarkEnd w:id="158"/>
      <w:r>
        <w:rPr>
          <w:rStyle w:val="1209"/>
          <w:rFonts w:hint="eastAsia" w:ascii="宋体" w:hAnsi="宋体"/>
          <w:color w:val="auto"/>
          <w:highlight w:val="none"/>
          <w:u w:val="single"/>
        </w:rPr>
        <w:t xml:space="preserve"> </w:t>
      </w:r>
      <w:r/>
    </w:p>
    <w:p>
      <w:pPr>
        <w:pStyle w:val="1169"/>
        <w:contextualSpacing/>
        <w:ind w:firstLine="480"/>
        <w:spacing w:line="440" w:lineRule="exact"/>
        <w:rPr>
          <w:rStyle w:val="1209"/>
          <w:rFonts w:ascii="宋体" w:hAnsi="宋体" w:cs="Courier New"/>
          <w:color w:val="auto"/>
          <w:highlight w:val="none"/>
        </w:rPr>
      </w:pPr>
      <w:r>
        <w:rPr>
          <w:rStyle w:val="1209"/>
          <w:rFonts w:ascii="宋体" w:hAnsi="宋体" w:cs="Courier New"/>
          <w:bCs/>
          <w:color w:val="auto"/>
          <w:highlight w:val="none"/>
        </w:rPr>
        <w:t xml:space="preserve">8.2</w:t>
      </w:r>
      <w:r>
        <w:rPr>
          <w:rStyle w:val="1209"/>
          <w:rFonts w:hint="eastAsia" w:ascii="宋体" w:hAnsi="宋体" w:cs="Courier New"/>
          <w:bCs/>
          <w:color w:val="auto"/>
          <w:highlight w:val="none"/>
        </w:rPr>
        <w:t xml:space="preserve"> 交货方式：</w:t>
      </w:r>
      <w:r>
        <w:rPr>
          <w:rStyle w:val="1209"/>
          <w:rFonts w:hint="eastAsia" w:ascii="宋体" w:hAnsi="宋体"/>
          <w:color w:val="auto"/>
          <w:highlight w:val="none"/>
          <w:u w:val="single"/>
        </w:rPr>
        <w:t xml:space="preserve"> </w:t>
      </w:r>
      <w:bookmarkStart w:id="159" w:name="jiaohuofangshi"/>
      <w:r>
        <w:rPr>
          <w:rStyle w:val="1209"/>
          <w:rFonts w:hint="eastAsia" w:ascii="宋体" w:hAnsi="宋体"/>
          <w:color w:val="auto"/>
          <w:highlight w:val="none"/>
          <w:u w:val="single"/>
        </w:rPr>
        <w:t xml:space="preserve">             </w:t>
      </w:r>
      <w:bookmarkEnd w:id="159"/>
      <w:r>
        <w:rPr>
          <w:rStyle w:val="1209"/>
          <w:rFonts w:hint="eastAsia" w:ascii="宋体" w:hAnsi="宋体"/>
          <w:color w:val="auto"/>
          <w:highlight w:val="none"/>
          <w:u w:val="single"/>
        </w:rPr>
        <w:t xml:space="preserve"> </w:t>
      </w:r>
      <w:r/>
    </w:p>
    <w:p>
      <w:pPr>
        <w:pStyle w:val="1169"/>
        <w:contextualSpacing/>
        <w:ind w:firstLine="480"/>
        <w:spacing w:line="440" w:lineRule="exact"/>
        <w:rPr>
          <w:rStyle w:val="1209"/>
          <w:rFonts w:ascii="宋体" w:hAnsi="宋体" w:cs="Courier New"/>
          <w:color w:val="auto"/>
          <w:highlight w:val="none"/>
          <w:u w:val="single"/>
        </w:rPr>
      </w:pPr>
      <w:r>
        <w:rPr>
          <w:rStyle w:val="1209"/>
          <w:rFonts w:ascii="宋体" w:hAnsi="宋体" w:cs="Courier New"/>
          <w:bCs/>
          <w:color w:val="auto"/>
          <w:highlight w:val="none"/>
        </w:rPr>
        <w:t xml:space="preserve">8.3</w:t>
      </w:r>
      <w:r>
        <w:rPr>
          <w:rStyle w:val="1209"/>
          <w:rFonts w:hint="eastAsia" w:ascii="宋体" w:hAnsi="宋体" w:cs="Courier New"/>
          <w:bCs/>
          <w:color w:val="auto"/>
          <w:highlight w:val="none"/>
        </w:rPr>
        <w:t xml:space="preserve">交货地点：</w:t>
      </w:r>
      <w:r>
        <w:rPr>
          <w:rStyle w:val="1209"/>
          <w:rFonts w:hint="eastAsia" w:ascii="宋体" w:hAnsi="宋体" w:cs="Courier New"/>
          <w:color w:val="auto"/>
          <w:highlight w:val="none"/>
          <w:u w:val="single"/>
        </w:rPr>
        <w:t xml:space="preserve"> </w:t>
      </w:r>
      <w:bookmarkStart w:id="160" w:name="jiaohuodidian"/>
      <w:r>
        <w:rPr>
          <w:rStyle w:val="1209"/>
          <w:rFonts w:hint="eastAsia" w:ascii="宋体" w:hAnsi="宋体" w:cs="Courier New"/>
          <w:color w:val="auto"/>
          <w:highlight w:val="none"/>
          <w:u w:val="single"/>
        </w:rPr>
        <w:t xml:space="preserve">             </w:t>
      </w:r>
      <w:bookmarkEnd w:id="160"/>
      <w:r>
        <w:rPr>
          <w:rStyle w:val="1209"/>
          <w:rFonts w:hint="eastAsia" w:ascii="宋体" w:hAnsi="宋体" w:cs="Courier New"/>
          <w:color w:val="auto"/>
          <w:highlight w:val="none"/>
          <w:u w:val="single"/>
        </w:rPr>
        <w:t xml:space="preserve"> </w:t>
      </w:r>
      <w:r/>
    </w:p>
    <w:p>
      <w:pPr>
        <w:pStyle w:val="1169"/>
        <w:contextualSpacing/>
        <w:ind w:firstLine="480"/>
        <w:spacing w:line="440" w:lineRule="exact"/>
        <w:rPr>
          <w:rStyle w:val="1209"/>
          <w:rFonts w:ascii="宋体" w:hAnsi="宋体" w:cs="Courier New"/>
          <w:b/>
          <w:bCs/>
          <w:color w:val="auto"/>
          <w:highlight w:val="none"/>
        </w:rPr>
      </w:pPr>
      <w:r>
        <w:rPr>
          <w:rStyle w:val="1209"/>
          <w:rFonts w:hint="eastAsia" w:ascii="宋体" w:hAnsi="宋体" w:cs="Courier New"/>
          <w:b/>
          <w:bCs/>
          <w:color w:val="auto"/>
          <w:highlight w:val="none"/>
        </w:rPr>
        <w:t xml:space="preserve">九、货款支付</w:t>
      </w:r>
      <w:r/>
    </w:p>
    <w:p>
      <w:pPr>
        <w:pStyle w:val="1169"/>
        <w:contextualSpacing/>
        <w:ind w:firstLine="480"/>
        <w:spacing w:line="440" w:lineRule="exact"/>
        <w:rPr>
          <w:rStyle w:val="1209"/>
          <w:rFonts w:ascii="宋体" w:hAnsi="宋体"/>
          <w:color w:val="auto"/>
          <w:highlight w:val="none"/>
        </w:rPr>
      </w:pPr>
      <w:r>
        <w:rPr>
          <w:rStyle w:val="1209"/>
          <w:rFonts w:ascii="宋体" w:hAnsi="宋体" w:cs="Courier New"/>
          <w:bCs/>
          <w:color w:val="auto"/>
          <w:highlight w:val="none"/>
        </w:rPr>
        <w:t xml:space="preserve">9.1</w:t>
      </w:r>
      <w:r>
        <w:rPr>
          <w:rStyle w:val="1209"/>
          <w:rFonts w:hint="eastAsia" w:ascii="宋体" w:hAnsi="宋体"/>
          <w:color w:val="auto"/>
          <w:highlight w:val="none"/>
        </w:rPr>
        <w:t xml:space="preserve">结付程序：</w:t>
      </w:r>
      <w:bookmarkStart w:id="161" w:name="_Hlk65328430"/>
      <w:r/>
      <w:bookmarkEnd w:id="161"/>
      <w:r>
        <w:rPr>
          <w:rStyle w:val="1209"/>
          <w:rFonts w:hint="eastAsia" w:ascii="宋体" w:hAnsi="宋体" w:cs="Courier New"/>
          <w:bCs/>
          <w:color w:val="auto"/>
          <w:highlight w:val="none"/>
          <w:u w:val="single"/>
        </w:rPr>
        <w:t xml:space="preserve"> </w:t>
      </w:r>
      <w:bookmarkStart w:id="162" w:name="jiefuchengxu"/>
      <w:r>
        <w:rPr>
          <w:rStyle w:val="1209"/>
          <w:rFonts w:hint="eastAsia" w:ascii="宋体" w:hAnsi="宋体" w:cs="Courier New"/>
          <w:bCs/>
          <w:color w:val="auto"/>
          <w:highlight w:val="none"/>
          <w:u w:val="single"/>
        </w:rPr>
        <w:t xml:space="preserve">            </w:t>
      </w:r>
      <w:bookmarkEnd w:id="162"/>
      <w:r>
        <w:rPr>
          <w:rStyle w:val="1209"/>
          <w:rFonts w:hint="eastAsia" w:ascii="宋体" w:hAnsi="宋体" w:cs="Courier New"/>
          <w:bCs/>
          <w:color w:val="auto"/>
          <w:highlight w:val="none"/>
          <w:u w:val="single"/>
        </w:rPr>
        <w:t xml:space="preserve">                                </w:t>
      </w:r>
      <w:r>
        <w:rPr>
          <w:rStyle w:val="1209"/>
          <w:rFonts w:hint="eastAsia" w:ascii="宋体" w:hAnsi="宋体" w:cs="Courier New"/>
          <w:bCs/>
          <w:color w:val="auto"/>
          <w:highlight w:val="none"/>
        </w:rPr>
        <w:t xml:space="preserve">。</w:t>
      </w:r>
      <w:r/>
    </w:p>
    <w:p>
      <w:pPr>
        <w:pStyle w:val="1169"/>
        <w:contextualSpacing/>
        <w:ind w:firstLine="480"/>
        <w:spacing w:line="440" w:lineRule="exact"/>
        <w:rPr>
          <w:rStyle w:val="1209"/>
          <w:rFonts w:ascii="宋体" w:hAnsi="宋体"/>
          <w:i/>
          <w:color w:val="auto"/>
          <w:highlight w:val="none"/>
        </w:rPr>
      </w:pPr>
      <w:r>
        <w:rPr>
          <w:rStyle w:val="1209"/>
          <w:rFonts w:ascii="宋体" w:hAnsi="宋体" w:cs="Courier New"/>
          <w:bCs/>
          <w:color w:val="auto"/>
          <w:highlight w:val="none"/>
        </w:rPr>
        <w:t xml:space="preserve">9.2</w:t>
      </w:r>
      <w:r>
        <w:rPr>
          <w:rStyle w:val="1209"/>
          <w:rFonts w:hint="eastAsia" w:ascii="宋体" w:hAnsi="宋体" w:cs="Courier New"/>
          <w:bCs/>
          <w:color w:val="auto"/>
          <w:highlight w:val="none"/>
        </w:rPr>
        <w:t xml:space="preserve">结付期限：</w:t>
      </w:r>
      <w:bookmarkStart w:id="163" w:name="_Hlk65328439"/>
      <w:r/>
      <w:bookmarkEnd w:id="163"/>
      <w:r>
        <w:rPr>
          <w:rStyle w:val="1209"/>
          <w:rFonts w:hint="eastAsia" w:ascii="宋体" w:hAnsi="宋体" w:cs="Courier New"/>
          <w:bCs/>
          <w:color w:val="auto"/>
          <w:highlight w:val="none"/>
          <w:u w:val="single"/>
        </w:rPr>
        <w:t xml:space="preserve"> </w:t>
      </w:r>
      <w:bookmarkStart w:id="164" w:name="jiefuqixian"/>
      <w:r>
        <w:rPr>
          <w:rStyle w:val="1209"/>
          <w:rFonts w:hint="eastAsia" w:ascii="宋体" w:hAnsi="宋体" w:cs="Courier New"/>
          <w:bCs/>
          <w:color w:val="auto"/>
          <w:highlight w:val="none"/>
          <w:u w:val="single"/>
        </w:rPr>
        <w:t xml:space="preserve">            </w:t>
      </w:r>
      <w:bookmarkEnd w:id="164"/>
      <w:r>
        <w:rPr>
          <w:rStyle w:val="1209"/>
          <w:rFonts w:hint="eastAsia" w:ascii="宋体" w:hAnsi="宋体" w:cs="Courier New"/>
          <w:bCs/>
          <w:color w:val="auto"/>
          <w:highlight w:val="none"/>
          <w:u w:val="single"/>
        </w:rPr>
        <w:t xml:space="preserve">                                </w:t>
      </w:r>
      <w:r>
        <w:rPr>
          <w:rStyle w:val="1209"/>
          <w:rFonts w:hint="eastAsia" w:ascii="宋体" w:hAnsi="宋体" w:cs="Courier New"/>
          <w:bCs/>
          <w:color w:val="auto"/>
          <w:highlight w:val="none"/>
        </w:rPr>
        <w:t xml:space="preserve">。           </w:t>
      </w:r>
      <w:r/>
    </w:p>
    <w:p>
      <w:pPr>
        <w:pStyle w:val="1169"/>
        <w:contextualSpacing/>
        <w:ind w:firstLine="480"/>
        <w:spacing w:line="440" w:lineRule="exact"/>
        <w:rPr>
          <w:rStyle w:val="1209"/>
          <w:rFonts w:ascii="宋体" w:hAnsi="宋体"/>
          <w:color w:val="auto"/>
          <w:highlight w:val="none"/>
          <w:u w:val="single"/>
        </w:rPr>
      </w:pPr>
      <w:r>
        <w:rPr>
          <w:rStyle w:val="1209"/>
          <w:rFonts w:ascii="宋体" w:hAnsi="宋体"/>
          <w:color w:val="auto"/>
          <w:highlight w:val="none"/>
        </w:rPr>
        <w:t xml:space="preserve">9.3</w:t>
      </w:r>
      <w:r>
        <w:rPr>
          <w:rStyle w:val="1209"/>
          <w:rFonts w:hint="eastAsia" w:ascii="宋体" w:hAnsi="宋体"/>
          <w:color w:val="auto"/>
          <w:highlight w:val="none"/>
        </w:rPr>
        <w:t xml:space="preserve">乙方收款账户：</w:t>
      </w:r>
      <w:r>
        <w:rPr>
          <w:rStyle w:val="1209"/>
          <w:rFonts w:hint="eastAsia" w:ascii="宋体" w:hAnsi="宋体"/>
          <w:color w:val="auto"/>
          <w:highlight w:val="none"/>
          <w:u w:val="single"/>
        </w:rPr>
        <w:t xml:space="preserve"> </w:t>
      </w:r>
      <w:bookmarkStart w:id="165" w:name="yifangzhanghao"/>
      <w:r>
        <w:rPr>
          <w:rStyle w:val="1209"/>
          <w:rFonts w:hint="eastAsia" w:ascii="宋体" w:hAnsi="宋体"/>
          <w:color w:val="auto"/>
          <w:highlight w:val="none"/>
          <w:u w:val="single"/>
        </w:rPr>
        <w:t xml:space="preserve">                                 </w:t>
      </w:r>
      <w:bookmarkEnd w:id="165"/>
      <w:r>
        <w:rPr>
          <w:rStyle w:val="1209"/>
          <w:rFonts w:hint="eastAsia" w:ascii="宋体" w:hAnsi="宋体"/>
          <w:color w:val="auto"/>
          <w:highlight w:val="none"/>
          <w:u w:val="single"/>
        </w:rPr>
        <w:t xml:space="preserve"> </w:t>
      </w:r>
      <w:r/>
    </w:p>
    <w:p>
      <w:pPr>
        <w:pStyle w:val="1126"/>
        <w:contextualSpacing/>
        <w:spacing w:line="440" w:lineRule="exact"/>
        <w:rPr>
          <w:rStyle w:val="1209"/>
          <w:color w:val="auto"/>
          <w:highlight w:val="none"/>
        </w:rPr>
      </w:pPr>
      <w:r>
        <w:rPr>
          <w:rStyle w:val="1209"/>
          <w:color w:val="auto"/>
          <w:highlight w:val="none"/>
        </w:rPr>
        <w:t xml:space="preserve">9.4</w:t>
      </w:r>
      <w:r>
        <w:rPr>
          <w:rStyle w:val="1209"/>
          <w:rFonts w:hint="eastAsia"/>
          <w:color w:val="auto"/>
          <w:highlight w:val="none"/>
        </w:rPr>
        <w:t xml:space="preserve">甲方合同款支付方式：</w:t>
      </w:r>
      <w:r>
        <w:rPr>
          <w:rStyle w:val="1209"/>
          <w:rFonts w:hint="eastAsia"/>
          <w:color w:val="auto"/>
          <w:highlight w:val="none"/>
          <w:u w:val="single"/>
        </w:rPr>
        <w:t xml:space="preserve"> </w:t>
      </w:r>
      <w:bookmarkStart w:id="166" w:name="hetongzhifutype"/>
      <w:r>
        <w:rPr>
          <w:rStyle w:val="1209"/>
          <w:rFonts w:hint="eastAsia"/>
          <w:color w:val="auto"/>
          <w:highlight w:val="none"/>
          <w:u w:val="single"/>
        </w:rPr>
        <w:t xml:space="preserve">                   </w:t>
      </w:r>
      <w:bookmarkEnd w:id="166"/>
      <w:r>
        <w:rPr>
          <w:rStyle w:val="1209"/>
          <w:rFonts w:hint="eastAsia"/>
          <w:color w:val="auto"/>
          <w:highlight w:val="none"/>
          <w:u w:val="single"/>
        </w:rPr>
        <w:t xml:space="preserve"> </w:t>
      </w:r>
      <w:r>
        <w:rPr>
          <w:rStyle w:val="1209"/>
          <w:rFonts w:hint="eastAsia"/>
          <w:color w:val="auto"/>
          <w:highlight w:val="none"/>
        </w:rPr>
        <w:t xml:space="preserve">（若乙方为中小企业，不得强制其接受非现金支付方式）</w:t>
      </w:r>
      <w:r/>
    </w:p>
    <w:p>
      <w:pPr>
        <w:pStyle w:val="1126"/>
        <w:contextualSpacing/>
        <w:ind w:firstLine="482"/>
        <w:spacing w:line="440" w:lineRule="exact"/>
        <w:rPr>
          <w:rStyle w:val="1209"/>
          <w:b/>
          <w:bCs/>
          <w:color w:val="auto"/>
          <w:highlight w:val="none"/>
        </w:rPr>
      </w:pPr>
      <w:r>
        <w:rPr>
          <w:rStyle w:val="1209"/>
          <w:rFonts w:hint="eastAsia"/>
          <w:b/>
          <w:bCs/>
          <w:color w:val="auto"/>
          <w:highlight w:val="none"/>
        </w:rPr>
        <w:t xml:space="preserve">十、税</w:t>
      </w:r>
      <w:r/>
    </w:p>
    <w:p>
      <w:pPr>
        <w:pStyle w:val="1126"/>
        <w:contextualSpacing/>
        <w:spacing w:line="440" w:lineRule="exact"/>
        <w:rPr>
          <w:rStyle w:val="1209"/>
          <w:color w:val="auto"/>
          <w:highlight w:val="none"/>
        </w:rPr>
      </w:pPr>
      <w:r>
        <w:rPr>
          <w:rStyle w:val="1209"/>
          <w:rFonts w:hint="eastAsia"/>
          <w:color w:val="auto"/>
          <w:highlight w:val="none"/>
        </w:rPr>
        <w:t xml:space="preserve">10.1本合同执行中相关的一切税费均由乙方负担。</w:t>
      </w:r>
      <w:r/>
    </w:p>
    <w:p>
      <w:pPr>
        <w:pStyle w:val="1126"/>
        <w:contextualSpacing/>
        <w:ind w:firstLine="482"/>
        <w:spacing w:line="440" w:lineRule="exact"/>
        <w:rPr>
          <w:rStyle w:val="1209"/>
          <w:rFonts w:hint="eastAsia"/>
          <w:b/>
          <w:bCs/>
          <w:color w:val="auto"/>
          <w:highlight w:val="none"/>
        </w:rPr>
      </w:pPr>
      <w:r>
        <w:rPr>
          <w:rStyle w:val="1209"/>
          <w:rFonts w:hint="eastAsia"/>
          <w:b/>
          <w:bCs/>
          <w:color w:val="auto"/>
          <w:highlight w:val="none"/>
        </w:rPr>
        <w:t xml:space="preserve">十一、质量保证及售后服务</w:t>
      </w:r>
      <w:r/>
    </w:p>
    <w:p>
      <w:pPr>
        <w:pStyle w:val="1126"/>
        <w:contextualSpacing/>
        <w:spacing w:line="440" w:lineRule="exact"/>
        <w:rPr>
          <w:rStyle w:val="1209"/>
          <w:rFonts w:hint="eastAsia"/>
          <w:color w:val="auto"/>
          <w:highlight w:val="none"/>
        </w:rPr>
      </w:pPr>
      <w:r>
        <w:rPr>
          <w:rStyle w:val="1209"/>
          <w:rFonts w:hint="eastAsia"/>
          <w:color w:val="auto"/>
          <w:highlight w:val="none"/>
        </w:rPr>
        <w:t xml:space="preserve">11.1 乙方应按招标文件规定的货物性能、技术要求、质量标准向甲方提供未经使用的全新产品。</w:t>
      </w:r>
      <w:r/>
    </w:p>
    <w:p>
      <w:pPr>
        <w:pStyle w:val="1126"/>
        <w:contextualSpacing/>
        <w:spacing w:line="440" w:lineRule="exact"/>
        <w:rPr>
          <w:rStyle w:val="1209"/>
          <w:rFonts w:hint="eastAsia"/>
          <w:color w:val="auto"/>
          <w:highlight w:val="none"/>
        </w:rPr>
      </w:pPr>
      <w:r>
        <w:rPr>
          <w:rStyle w:val="1209"/>
          <w:rFonts w:hint="eastAsia"/>
          <w:color w:val="auto"/>
          <w:highlight w:val="none"/>
        </w:rPr>
        <w:t xml:space="preserve">11.2 乙方提供的货物在免费质保期内因货物本身的质量问题发生故障，乙方应负责免费更换。对达不到技术要求者，根据实际情况，经双方协商，可按以下办法处理：</w:t>
      </w:r>
      <w:r/>
    </w:p>
    <w:p>
      <w:pPr>
        <w:pStyle w:val="1126"/>
        <w:contextualSpacing/>
        <w:spacing w:line="440" w:lineRule="exact"/>
        <w:rPr>
          <w:rStyle w:val="1209"/>
          <w:rFonts w:hint="eastAsia"/>
          <w:color w:val="auto"/>
          <w:highlight w:val="none"/>
        </w:rPr>
      </w:pPr>
      <w:r>
        <w:rPr>
          <w:rStyle w:val="1209"/>
          <w:rFonts w:hint="eastAsia"/>
          <w:color w:val="auto"/>
          <w:highlight w:val="none"/>
        </w:rPr>
        <w:t xml:space="preserve">(1)更换：由乙方承担所发生的全部费用。</w:t>
      </w:r>
      <w:r/>
    </w:p>
    <w:p>
      <w:pPr>
        <w:pStyle w:val="1126"/>
        <w:contextualSpacing/>
        <w:spacing w:line="440" w:lineRule="exact"/>
        <w:rPr>
          <w:rStyle w:val="1209"/>
          <w:rFonts w:hint="eastAsia"/>
          <w:color w:val="auto"/>
          <w:highlight w:val="none"/>
        </w:rPr>
      </w:pPr>
      <w:r>
        <w:rPr>
          <w:rStyle w:val="1209"/>
          <w:rFonts w:hint="eastAsia"/>
          <w:color w:val="auto"/>
          <w:highlight w:val="none"/>
        </w:rPr>
        <w:t xml:space="preserve">(2)贬值处理：由甲乙双方合议定价。</w:t>
      </w:r>
      <w:r/>
    </w:p>
    <w:p>
      <w:pPr>
        <w:pStyle w:val="1126"/>
        <w:contextualSpacing/>
        <w:spacing w:line="440" w:lineRule="exact"/>
        <w:rPr>
          <w:rStyle w:val="1209"/>
          <w:rFonts w:hint="eastAsia"/>
          <w:color w:val="auto"/>
          <w:highlight w:val="none"/>
        </w:rPr>
      </w:pPr>
      <w:r>
        <w:rPr>
          <w:rStyle w:val="1209"/>
          <w:rFonts w:hint="eastAsia"/>
          <w:color w:val="auto"/>
          <w:highlight w:val="none"/>
        </w:rPr>
        <w:t xml:space="preserve">(3)退货处理：乙方应退还甲方支付的合同款，同时应承担该货物的直接费用（运输、保险、检验、货款利息及银行手续费等）。</w:t>
      </w:r>
      <w:r/>
    </w:p>
    <w:p>
      <w:pPr>
        <w:pStyle w:val="1169"/>
        <w:contextualSpacing/>
        <w:ind w:firstLine="480"/>
        <w:spacing w:line="440" w:lineRule="exact"/>
        <w:rPr>
          <w:rStyle w:val="1209"/>
          <w:rFonts w:ascii="宋体" w:hAnsi="宋体" w:cs="Courier New"/>
          <w:color w:val="auto"/>
          <w:highlight w:val="none"/>
        </w:rPr>
      </w:pPr>
      <w:r>
        <w:rPr>
          <w:rStyle w:val="1209"/>
          <w:rFonts w:ascii="宋体" w:hAnsi="宋体" w:cs="Courier New"/>
          <w:color w:val="auto"/>
          <w:highlight w:val="none"/>
        </w:rPr>
        <w:t xml:space="preserve">11.3</w:t>
      </w:r>
      <w:r>
        <w:rPr>
          <w:rStyle w:val="1209"/>
          <w:rFonts w:hint="eastAsia" w:ascii="宋体" w:hAnsi="宋体" w:cs="Courier New"/>
          <w:color w:val="auto"/>
          <w:highlight w:val="none"/>
        </w:rPr>
        <w:t xml:space="preserve">响应时间：</w:t>
      </w:r>
      <w:r>
        <w:rPr>
          <w:rStyle w:val="1209"/>
          <w:rFonts w:hint="eastAsia" w:ascii="宋体" w:hAnsi="宋体" w:cs="Courier New"/>
          <w:color w:val="auto"/>
          <w:highlight w:val="none"/>
          <w:u w:val="single"/>
        </w:rPr>
        <w:t xml:space="preserve"> </w:t>
      </w:r>
      <w:bookmarkStart w:id="167" w:name="xiangyingdate"/>
      <w:r>
        <w:rPr>
          <w:rStyle w:val="1209"/>
          <w:rFonts w:hint="eastAsia" w:ascii="宋体" w:hAnsi="宋体" w:cs="Courier New"/>
          <w:color w:val="auto"/>
          <w:highlight w:val="none"/>
          <w:u w:val="single"/>
        </w:rPr>
        <w:t xml:space="preserve">           </w:t>
      </w:r>
      <w:bookmarkEnd w:id="167"/>
      <w:r>
        <w:rPr>
          <w:rStyle w:val="1209"/>
          <w:rFonts w:hint="eastAsia" w:ascii="宋体" w:hAnsi="宋体" w:cs="Courier New"/>
          <w:color w:val="auto"/>
          <w:highlight w:val="none"/>
          <w:u w:val="single"/>
        </w:rPr>
        <w:t xml:space="preserve"> </w:t>
      </w:r>
      <w:bookmarkStart w:id="168" w:name="_Hlk65328481"/>
      <w:r/>
      <w:bookmarkEnd w:id="168"/>
      <w:r>
        <w:rPr>
          <w:rStyle w:val="1209"/>
          <w:rFonts w:hint="eastAsia" w:ascii="宋体" w:hAnsi="宋体" w:cs="Courier New"/>
          <w:color w:val="auto"/>
          <w:highlight w:val="none"/>
        </w:rPr>
        <w:t xml:space="preserve">。</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11.4在免费质保期内，乙方应对货物出现的质量及安全问题负责处理解决并承担一切费用。</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11.5上述的货物免费质保期为：</w:t>
      </w:r>
      <w:r>
        <w:rPr>
          <w:rStyle w:val="1209"/>
          <w:rFonts w:hint="eastAsia" w:ascii="宋体" w:hAnsi="宋体" w:cs="Courier New"/>
          <w:color w:val="auto"/>
          <w:highlight w:val="none"/>
          <w:u w:val="single"/>
        </w:rPr>
        <w:t xml:space="preserve">           </w:t>
      </w:r>
      <w:r>
        <w:rPr>
          <w:rStyle w:val="1209"/>
          <w:rFonts w:hint="eastAsia" w:ascii="宋体" w:hAnsi="宋体" w:cs="Courier New"/>
          <w:color w:val="auto"/>
          <w:highlight w:val="none"/>
        </w:rPr>
        <w:t xml:space="preserve">。</w:t>
      </w:r>
      <w:r/>
    </w:p>
    <w:p>
      <w:pPr>
        <w:pStyle w:val="1169"/>
        <w:contextualSpacing/>
        <w:ind w:firstLine="480"/>
        <w:spacing w:line="440" w:lineRule="exact"/>
        <w:rPr>
          <w:rStyle w:val="1209"/>
          <w:rFonts w:hint="eastAsia" w:ascii="宋体" w:hAnsi="宋体" w:cs="Courier New"/>
          <w:color w:val="auto"/>
          <w:highlight w:val="none"/>
        </w:rPr>
      </w:pPr>
      <w:r>
        <w:rPr>
          <w:rFonts w:hint="eastAsia" w:ascii="宋体" w:hAnsi="宋体" w:cs="Courier New"/>
          <w:color w:val="auto"/>
          <w:sz w:val="24"/>
          <w:szCs w:val="24"/>
          <w:highlight w:val="none"/>
        </w:rPr>
        <w:t xml:space="preserve">11.</w:t>
      </w: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上述的货物</w:t>
      </w:r>
      <w:r>
        <w:rPr>
          <w:rFonts w:hint="eastAsia" w:ascii="宋体" w:hAnsi="宋体" w:cs="Courier New"/>
          <w:color w:val="auto"/>
          <w:sz w:val="24"/>
          <w:szCs w:val="24"/>
          <w:highlight w:val="none"/>
          <w:lang w:val="en-US" w:eastAsia="zh-CN"/>
        </w:rPr>
        <w:t xml:space="preserve">维保</w:t>
      </w:r>
      <w:r>
        <w:rPr>
          <w:rFonts w:hint="eastAsia" w:ascii="宋体" w:hAnsi="宋体" w:cs="Courier New"/>
          <w:color w:val="auto"/>
          <w:sz w:val="24"/>
          <w:szCs w:val="24"/>
          <w:highlight w:val="none"/>
        </w:rPr>
        <w:t xml:space="preserve">期为：</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pStyle w:val="1169"/>
        <w:contextualSpacing/>
        <w:ind w:firstLine="480"/>
        <w:spacing w:line="440" w:lineRule="exact"/>
        <w:rPr>
          <w:rStyle w:val="1209"/>
          <w:rFonts w:hint="eastAsia" w:ascii="宋体" w:hAnsi="宋体" w:cs="Courier New"/>
          <w:b/>
          <w:bCs/>
          <w:color w:val="auto"/>
          <w:highlight w:val="none"/>
        </w:rPr>
      </w:pPr>
      <w:r>
        <w:rPr>
          <w:rStyle w:val="1209"/>
          <w:rFonts w:hint="eastAsia" w:ascii="宋体" w:hAnsi="宋体" w:cs="Courier New"/>
          <w:b/>
          <w:bCs/>
          <w:color w:val="auto"/>
          <w:highlight w:val="none"/>
        </w:rPr>
        <w:t xml:space="preserve">十二、调试和验收</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12.1甲方对乙方提交的货物依据招标文件上的技术规格要求和国家有关质量标准进行现场初步验收，外观、说明书符合招标文件技术要求的，给予签收，初步验收不合格的不予签收。货到后，甲方需在</w:t>
      </w:r>
      <w:r>
        <w:rPr>
          <w:rStyle w:val="1209"/>
          <w:rFonts w:hint="eastAsia" w:ascii="宋体" w:hAnsi="宋体" w:eastAsia="宋体" w:cs="Courier New"/>
          <w:color w:val="auto"/>
          <w:highlight w:val="none"/>
          <w:u w:val="single"/>
          <w:lang w:val="en-US" w:eastAsia="zh-CN"/>
        </w:rPr>
        <w:t xml:space="preserve">   </w:t>
      </w:r>
      <w:r>
        <w:rPr>
          <w:rStyle w:val="1209"/>
          <w:rFonts w:hint="eastAsia" w:ascii="宋体" w:hAnsi="宋体" w:cs="Courier New"/>
          <w:color w:val="auto"/>
          <w:highlight w:val="none"/>
        </w:rPr>
        <w:t xml:space="preserve">个工作日内完成验收。</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12.2乙方交货前应对产品作出全面检查和对验收文件进行整理，并列出清单，作为甲方收货验收和使用的技术条件依据，检验的结果应随货物交甲方。</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12.3甲方对乙方提供的货物在使用前进行调试时，乙方需负责安装并培训甲方的使用操作人员，并协助甲方一起调试，直到符合技术要求，甲方才做最终验收。</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12.4甲方有权请国家认可的专业检测机构参与初步验收及最终验收，并由其出具质量检测报告。</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12.5验收时乙方必须在现场，验收完毕后作出验收结果报告；</w:t>
      </w:r>
      <w:r>
        <w:rPr>
          <w:rFonts w:hint="eastAsia" w:ascii="宋体" w:hAnsi="宋体" w:cs="Courier New"/>
          <w:color w:val="auto"/>
          <w:sz w:val="24"/>
          <w:szCs w:val="24"/>
          <w:highlight w:val="none"/>
        </w:rPr>
        <w:t xml:space="preserve">验收费用由乙方</w:t>
      </w:r>
      <w:r>
        <w:rPr>
          <w:rFonts w:hint="eastAsia" w:ascii="宋体" w:hAnsi="宋体" w:cs="Courier New"/>
          <w:color w:val="auto"/>
          <w:sz w:val="24"/>
          <w:szCs w:val="24"/>
          <w:highlight w:val="none"/>
          <w:lang w:val="en-US" w:eastAsia="zh-CN"/>
        </w:rPr>
        <w:t xml:space="preserve">负责</w:t>
      </w:r>
      <w:r>
        <w:rPr>
          <w:rStyle w:val="1209"/>
          <w:rFonts w:hint="eastAsia" w:ascii="宋体" w:hAnsi="宋体" w:cs="Courier New"/>
          <w:color w:val="auto"/>
          <w:highlight w:val="none"/>
        </w:rPr>
        <w:t xml:space="preserve">。</w:t>
      </w:r>
      <w:r/>
    </w:p>
    <w:p>
      <w:pPr>
        <w:pStyle w:val="1169"/>
        <w:contextualSpacing/>
        <w:ind w:firstLine="480"/>
        <w:spacing w:line="440" w:lineRule="exact"/>
        <w:rPr>
          <w:rStyle w:val="1209"/>
          <w:rFonts w:hint="eastAsia" w:ascii="宋体" w:hAnsi="宋体" w:cs="Courier New"/>
          <w:b/>
          <w:bCs/>
          <w:color w:val="auto"/>
          <w:highlight w:val="none"/>
        </w:rPr>
      </w:pPr>
      <w:r>
        <w:rPr>
          <w:rStyle w:val="1209"/>
          <w:rFonts w:hint="eastAsia" w:ascii="宋体" w:hAnsi="宋体" w:cs="Courier New"/>
          <w:b/>
          <w:bCs/>
          <w:color w:val="auto"/>
          <w:highlight w:val="none"/>
        </w:rPr>
        <w:t xml:space="preserve">十三、货物包装、发运及运输</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13.1乙方应在货物发运前对其进行满足运输距离、防潮、防震、防锈和防破损装卸等要求包装，以保证货物安全运达甲方指定地点。</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13.2 使用说明书、质量检验证明书、随配附件和工具以及清单一并附于货物内。</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13.3乙方在货物发运手续办理完毕后24小时内或货到甲方48小时前通知甲方，以准备接货。</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13.4 货物在交付甲方</w:t>
      </w:r>
      <w:r>
        <w:rPr>
          <w:rStyle w:val="1209"/>
          <w:rFonts w:hint="eastAsia" w:ascii="宋体" w:hAnsi="宋体" w:eastAsia="宋体" w:cs="Courier New"/>
          <w:color w:val="auto"/>
          <w:highlight w:val="none"/>
          <w:lang w:val="en-US" w:eastAsia="zh-CN"/>
        </w:rPr>
        <w:t xml:space="preserve">使用</w:t>
      </w:r>
      <w:r>
        <w:rPr>
          <w:rStyle w:val="1209"/>
          <w:rFonts w:hint="eastAsia" w:ascii="宋体" w:hAnsi="宋体" w:cs="Courier New"/>
          <w:color w:val="auto"/>
          <w:highlight w:val="none"/>
        </w:rPr>
        <w:t xml:space="preserve">前发生的风险均由乙方负责。</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13.5</w:t>
      </w:r>
      <w:r>
        <w:rPr>
          <w:rFonts w:hint="eastAsia" w:ascii="宋体" w:hAnsi="宋体" w:cs="Courier New"/>
          <w:color w:val="auto"/>
          <w:sz w:val="24"/>
          <w:szCs w:val="24"/>
          <w:highlight w:val="none"/>
        </w:rPr>
        <w:t xml:space="preserve">货物在规定的交付期限内由乙方送达甲方指定的地点</w:t>
      </w:r>
      <w:r>
        <w:rPr>
          <w:rFonts w:hint="eastAsia" w:ascii="宋体" w:hAnsi="宋体" w:cs="Courier New"/>
          <w:color w:val="auto"/>
          <w:sz w:val="24"/>
          <w:szCs w:val="24"/>
          <w:highlight w:val="none"/>
          <w:lang w:val="en-US" w:eastAsia="zh-CN"/>
        </w:rPr>
        <w:t xml:space="preserve">安装完成，检验合格</w:t>
      </w:r>
      <w:r>
        <w:rPr>
          <w:rFonts w:hint="eastAsia" w:ascii="宋体" w:hAnsi="宋体" w:cs="Courier New"/>
          <w:color w:val="auto"/>
          <w:sz w:val="24"/>
          <w:szCs w:val="24"/>
          <w:highlight w:val="none"/>
        </w:rPr>
        <w:t xml:space="preserve">视为交付，乙方同时需通知甲方</w:t>
      </w:r>
      <w:r>
        <w:rPr>
          <w:rFonts w:hint="eastAsia" w:ascii="宋体" w:hAnsi="宋体" w:cs="Courier New"/>
          <w:color w:val="auto"/>
          <w:sz w:val="24"/>
          <w:szCs w:val="24"/>
          <w:highlight w:val="none"/>
          <w:lang w:val="en-US" w:eastAsia="zh-CN"/>
        </w:rPr>
        <w:t xml:space="preserve">可投入使用</w:t>
      </w:r>
      <w:r>
        <w:rPr>
          <w:rStyle w:val="1209"/>
          <w:rFonts w:hint="eastAsia" w:ascii="宋体" w:hAnsi="宋体" w:cs="Courier New"/>
          <w:color w:val="auto"/>
          <w:highlight w:val="none"/>
        </w:rPr>
        <w:t xml:space="preserve">。</w:t>
      </w:r>
      <w:r/>
    </w:p>
    <w:p>
      <w:pPr>
        <w:pStyle w:val="1169"/>
        <w:contextualSpacing/>
        <w:ind w:firstLine="480"/>
        <w:spacing w:line="440" w:lineRule="exact"/>
        <w:rPr>
          <w:rStyle w:val="1209"/>
          <w:rFonts w:hint="eastAsia" w:ascii="宋体" w:hAnsi="宋体" w:cs="Courier New"/>
          <w:b/>
          <w:bCs/>
          <w:color w:val="auto"/>
          <w:highlight w:val="none"/>
        </w:rPr>
      </w:pPr>
      <w:r>
        <w:rPr>
          <w:rStyle w:val="1209"/>
          <w:rFonts w:hint="eastAsia" w:ascii="宋体" w:hAnsi="宋体" w:cs="Courier New"/>
          <w:b/>
          <w:bCs/>
          <w:color w:val="auto"/>
          <w:highlight w:val="none"/>
        </w:rPr>
        <w:t xml:space="preserve">十四、违约责任</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14.1 甲方无正当理由拒收货物的，甲方向乙方偿付拒收货款总值的百分之五违约金。</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14.2甲方逾期办理货款支付的,应当支付逾期利息，且逾期利息的利率不得低于合同订立时1年期贷款市场报价利率。</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1169"/>
        <w:contextualSpacing/>
        <w:ind w:firstLine="480"/>
        <w:spacing w:line="440" w:lineRule="exact"/>
        <w:rPr>
          <w:rStyle w:val="1209"/>
          <w:rFonts w:ascii="宋体" w:hAnsi="宋体" w:eastAsia="等线" w:cs="Courier New"/>
          <w:color w:val="auto"/>
          <w:highlight w:val="none"/>
        </w:rPr>
      </w:pPr>
      <w:r>
        <w:rPr>
          <w:rStyle w:val="1209"/>
          <w:rFonts w:hint="eastAsia" w:ascii="宋体" w:hAnsi="宋体" w:cs="Courier New"/>
          <w:color w:val="auto"/>
          <w:highlight w:val="none"/>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14.</w:t>
      </w:r>
      <w:r>
        <w:rPr>
          <w:rStyle w:val="1209"/>
          <w:rFonts w:hint="eastAsia" w:ascii="宋体" w:hAnsi="宋体" w:eastAsia="等线" w:cs="Courier New"/>
          <w:color w:val="auto"/>
          <w:highlight w:val="none"/>
        </w:rPr>
        <w:t xml:space="preserve">5</w:t>
      </w:r>
      <w:r>
        <w:rPr>
          <w:rStyle w:val="1209"/>
          <w:rFonts w:hint="eastAsia" w:ascii="宋体" w:hAnsi="宋体" w:cs="Courier New"/>
          <w:color w:val="auto"/>
          <w:highlight w:val="none"/>
        </w:rPr>
        <w:t xml:space="preserve">乙方自接到甲方通知后应及时作出响应并按时完成修复，乙方未能在规定的时间内作出响应，未能按时完成修复的，将对乙方进行2000元/次扣款。如因未按时完成修复而造成的严重后果或其他重大事件，其责任和相关费用均由乙方自行承担，同时甲方有权终止合同并没收履约保证金。</w:t>
      </w:r>
      <w:r/>
    </w:p>
    <w:p>
      <w:pPr>
        <w:pStyle w:val="1169"/>
        <w:contextualSpacing/>
        <w:ind w:firstLine="480"/>
        <w:spacing w:line="440" w:lineRule="exact"/>
        <w:rPr>
          <w:rStyle w:val="1209"/>
          <w:rFonts w:hint="eastAsia" w:ascii="宋体" w:hAnsi="宋体" w:cs="Courier New"/>
          <w:b/>
          <w:bCs/>
          <w:color w:val="auto"/>
          <w:highlight w:val="none"/>
        </w:rPr>
      </w:pPr>
      <w:r>
        <w:rPr>
          <w:rStyle w:val="1209"/>
          <w:rFonts w:hint="eastAsia" w:ascii="宋体" w:hAnsi="宋体" w:cs="Courier New"/>
          <w:b/>
          <w:bCs/>
          <w:color w:val="auto"/>
          <w:highlight w:val="none"/>
        </w:rPr>
        <w:t xml:space="preserve">十五、不可抗力事件处理</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15.1在合同有效期内，任何一方因不可抗力事件导致不能履行合同，则合同履行期可延长，其延长期与不可抗力影响期相同。</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15.2 不可抗力事件发生后，应立即通知对方，并寄送有关权威机构出具的证明。</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15.3 不可抗力事件延续120天以上，双方应通过友好协商，确定是否继续履行合同。</w:t>
      </w:r>
      <w:r/>
    </w:p>
    <w:p>
      <w:pPr>
        <w:pStyle w:val="1169"/>
        <w:contextualSpacing/>
        <w:ind w:firstLine="480"/>
        <w:spacing w:line="440" w:lineRule="exact"/>
        <w:rPr>
          <w:rStyle w:val="1209"/>
          <w:rFonts w:hint="eastAsia" w:ascii="宋体" w:hAnsi="宋体" w:cs="Courier New"/>
          <w:b/>
          <w:bCs/>
          <w:color w:val="auto"/>
          <w:highlight w:val="none"/>
        </w:rPr>
      </w:pPr>
      <w:r>
        <w:rPr>
          <w:rStyle w:val="1209"/>
          <w:rFonts w:hint="eastAsia" w:ascii="宋体" w:hAnsi="宋体" w:cs="Courier New"/>
          <w:b/>
          <w:bCs/>
          <w:color w:val="auto"/>
          <w:highlight w:val="none"/>
        </w:rPr>
        <w:t xml:space="preserve">十六、诉讼</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16.1双方在执行合同中所发生的一切争议，应通过协商解决。如协商不成，可向合同签订地法院起诉，合同签订地在此约定为张家港市。</w:t>
      </w:r>
      <w:r/>
    </w:p>
    <w:p>
      <w:pPr>
        <w:pStyle w:val="1169"/>
        <w:contextualSpacing/>
        <w:ind w:firstLine="480"/>
        <w:spacing w:line="440" w:lineRule="exact"/>
        <w:rPr>
          <w:rStyle w:val="1209"/>
          <w:rFonts w:hint="eastAsia" w:ascii="宋体" w:hAnsi="宋体" w:cs="Courier New"/>
          <w:b/>
          <w:bCs/>
          <w:color w:val="auto"/>
          <w:highlight w:val="none"/>
        </w:rPr>
      </w:pPr>
      <w:r>
        <w:rPr>
          <w:rStyle w:val="1209"/>
          <w:rFonts w:hint="eastAsia" w:ascii="宋体" w:hAnsi="宋体" w:cs="Courier New"/>
          <w:b/>
          <w:bCs/>
          <w:color w:val="auto"/>
          <w:highlight w:val="none"/>
        </w:rPr>
        <w:t xml:space="preserve">十七、合同其他文件</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17.1下列文件为本合同不可分割部份，与本合同具有同等效力。</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(1)中标通知书；</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(2)供方中标的投标书；</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(3)招标文件；</w:t>
      </w:r>
      <w:r/>
    </w:p>
    <w:p>
      <w:pPr>
        <w:pStyle w:val="1169"/>
        <w:contextualSpacing/>
        <w:ind w:firstLine="480"/>
        <w:spacing w:line="440" w:lineRule="exact"/>
        <w:rPr>
          <w:rStyle w:val="1209"/>
          <w:rFonts w:hint="eastAsia" w:ascii="宋体" w:hAnsi="宋体" w:cs="Courier New"/>
          <w:color w:val="auto"/>
          <w:highlight w:val="none"/>
        </w:rPr>
      </w:pPr>
      <w:r>
        <w:rPr>
          <w:rStyle w:val="1209"/>
          <w:rFonts w:hint="eastAsia" w:ascii="宋体" w:hAnsi="宋体" w:cs="Courier New"/>
          <w:color w:val="auto"/>
          <w:highlight w:val="none"/>
        </w:rPr>
        <w:t xml:space="preserve">(4)供方在招投标过程中所作的其他承诺、声明、书面澄清等。</w:t>
      </w:r>
      <w:r/>
    </w:p>
    <w:p>
      <w:pPr>
        <w:pStyle w:val="1169"/>
        <w:contextualSpacing/>
        <w:ind w:firstLine="480"/>
        <w:spacing w:line="440" w:lineRule="exact"/>
        <w:rPr>
          <w:rStyle w:val="1209"/>
          <w:rFonts w:hint="eastAsia" w:ascii="宋体" w:hAnsi="宋体" w:cs="Courier New"/>
          <w:b/>
          <w:bCs/>
          <w:color w:val="auto"/>
          <w:highlight w:val="none"/>
        </w:rPr>
      </w:pPr>
      <w:r>
        <w:rPr>
          <w:rStyle w:val="1209"/>
          <w:rFonts w:hint="eastAsia" w:ascii="宋体" w:hAnsi="宋体" w:cs="Courier New"/>
          <w:b/>
          <w:bCs/>
          <w:color w:val="auto"/>
          <w:highlight w:val="none"/>
        </w:rPr>
        <w:t xml:space="preserve">十八、合同生效及其它</w:t>
      </w:r>
      <w:r/>
    </w:p>
    <w:p>
      <w:pPr>
        <w:pStyle w:val="1169"/>
        <w:contextualSpacing/>
        <w:ind w:firstLine="480"/>
        <w:spacing w:line="440" w:lineRule="exact"/>
        <w:rPr>
          <w:rStyle w:val="1209"/>
          <w:rFonts w:hint="eastAsia" w:ascii="宋体" w:hAnsi="宋体" w:eastAsia="宋体" w:cs="Courier New"/>
          <w:color w:val="auto"/>
          <w:highlight w:val="none"/>
        </w:rPr>
      </w:pPr>
      <w:r>
        <w:rPr>
          <w:rStyle w:val="1209"/>
          <w:rFonts w:hint="eastAsia" w:ascii="宋体" w:hAnsi="宋体" w:eastAsia="宋体" w:cs="Courier New"/>
          <w:color w:val="auto"/>
          <w:highlight w:val="none"/>
        </w:rPr>
        <w:t xml:space="preserve">18.1合同经双方法定代表人（或负责人）或授权委托代表人签字并加盖单位公章后生效,生效后至张家港市政府采购管理中心备案。</w:t>
      </w:r>
      <w:r/>
    </w:p>
    <w:p>
      <w:pPr>
        <w:pStyle w:val="1169"/>
        <w:contextualSpacing/>
        <w:ind w:firstLine="480"/>
        <w:spacing w:line="440" w:lineRule="exact"/>
        <w:rPr>
          <w:rStyle w:val="1209"/>
          <w:rFonts w:hint="eastAsia" w:ascii="宋体" w:hAnsi="宋体" w:eastAsia="宋体" w:cs="Courier New"/>
          <w:color w:val="auto"/>
          <w:highlight w:val="none"/>
        </w:rPr>
      </w:pPr>
      <w:r>
        <w:rPr>
          <w:rStyle w:val="1209"/>
          <w:rFonts w:hint="eastAsia" w:ascii="宋体" w:hAnsi="宋体" w:eastAsia="宋体" w:cs="Courier New"/>
          <w:color w:val="auto"/>
          <w:highlight w:val="none"/>
        </w:rPr>
        <w:t xml:space="preserve">18.2 本合同未尽事宜，遵照《民法典》合同编有关条文执行。</w:t>
      </w:r>
      <w:r/>
    </w:p>
    <w:p>
      <w:pPr>
        <w:pStyle w:val="1169"/>
        <w:contextualSpacing/>
        <w:ind w:firstLine="480"/>
        <w:spacing w:line="440" w:lineRule="exact"/>
        <w:rPr>
          <w:rStyle w:val="1209"/>
          <w:rFonts w:hint="eastAsia" w:ascii="宋体" w:hAnsi="宋体" w:eastAsia="宋体" w:cs="Courier New"/>
          <w:color w:val="auto"/>
          <w:highlight w:val="none"/>
        </w:rPr>
      </w:pPr>
      <w:r>
        <w:rPr>
          <w:rStyle w:val="1209"/>
          <w:rFonts w:hint="eastAsia" w:ascii="宋体" w:hAnsi="宋体" w:eastAsia="宋体" w:cs="Courier New"/>
          <w:color w:val="auto"/>
          <w:highlight w:val="none"/>
        </w:rPr>
        <w:t xml:space="preserve">1</w:t>
      </w:r>
      <w:r>
        <w:rPr>
          <w:rStyle w:val="1209"/>
          <w:rFonts w:hint="eastAsia" w:ascii="宋体" w:hAnsi="宋体" w:eastAsia="宋体" w:cs="Courier New"/>
          <w:color w:val="auto"/>
          <w:highlight w:val="none"/>
          <w:lang w:val="en-US" w:eastAsia="zh-CN"/>
        </w:rPr>
        <w:t xml:space="preserve">8</w:t>
      </w:r>
      <w:r>
        <w:rPr>
          <w:rStyle w:val="1209"/>
          <w:rFonts w:hint="eastAsia" w:ascii="宋体" w:hAnsi="宋体" w:eastAsia="宋体" w:cs="Courier New"/>
          <w:color w:val="auto"/>
          <w:highlight w:val="none"/>
        </w:rPr>
        <w:t xml:space="preserve">.3本合同正本一式</w:t>
      </w:r>
      <w:r>
        <w:rPr>
          <w:rStyle w:val="1209"/>
          <w:rFonts w:hint="eastAsia" w:ascii="宋体" w:hAnsi="宋体" w:eastAsia="宋体" w:cs="Courier New"/>
          <w:color w:val="auto"/>
          <w:highlight w:val="none"/>
          <w:lang w:val="en-US" w:eastAsia="zh-CN"/>
        </w:rPr>
        <w:t xml:space="preserve">六</w:t>
      </w:r>
      <w:r>
        <w:rPr>
          <w:rStyle w:val="1209"/>
          <w:rFonts w:hint="eastAsia" w:ascii="宋体" w:hAnsi="宋体" w:eastAsia="宋体" w:cs="Courier New"/>
          <w:color w:val="auto"/>
          <w:highlight w:val="none"/>
        </w:rPr>
        <w:t xml:space="preserve">份，具有同等法律效力，甲</w:t>
      </w:r>
      <w:r>
        <w:rPr>
          <w:rStyle w:val="1209"/>
          <w:rFonts w:hint="eastAsia" w:ascii="宋体" w:hAnsi="宋体" w:eastAsia="宋体" w:cs="Courier New"/>
          <w:color w:val="auto"/>
          <w:highlight w:val="none"/>
          <w:lang w:val="en-US" w:eastAsia="zh-CN"/>
        </w:rPr>
        <w:t xml:space="preserve">方</w:t>
      </w:r>
      <w:r>
        <w:rPr>
          <w:rStyle w:val="1209"/>
          <w:rFonts w:hint="eastAsia" w:ascii="宋体" w:hAnsi="宋体" w:eastAsia="宋体" w:cs="Courier New"/>
          <w:color w:val="auto"/>
          <w:highlight w:val="none"/>
        </w:rPr>
        <w:t xml:space="preserve">三份，乙方、采购代理机构</w:t>
      </w:r>
      <w:r>
        <w:rPr>
          <w:rStyle w:val="1209"/>
          <w:rFonts w:hint="eastAsia" w:ascii="宋体" w:hAnsi="宋体" w:eastAsia="宋体" w:cs="Courier New"/>
          <w:color w:val="auto"/>
          <w:highlight w:val="none"/>
          <w:lang w:eastAsia="zh-CN"/>
        </w:rPr>
        <w:t xml:space="preserve">、</w:t>
      </w:r>
      <w:r>
        <w:rPr>
          <w:rStyle w:val="1209"/>
          <w:rFonts w:hint="eastAsia" w:ascii="宋体" w:hAnsi="宋体" w:eastAsia="宋体" w:cs="Courier New"/>
          <w:color w:val="auto"/>
          <w:highlight w:val="none"/>
          <w:lang w:val="en-US" w:eastAsia="zh-CN"/>
        </w:rPr>
        <w:t xml:space="preserve">张家港市政府采购管理中心</w:t>
      </w:r>
      <w:r>
        <w:rPr>
          <w:rStyle w:val="1209"/>
          <w:rFonts w:hint="eastAsia" w:ascii="宋体" w:hAnsi="宋体" w:eastAsia="宋体" w:cs="Courier New"/>
          <w:color w:val="auto"/>
          <w:highlight w:val="none"/>
        </w:rPr>
        <w:t xml:space="preserve">各执一份。</w:t>
      </w:r>
      <w:r/>
    </w:p>
    <w:tbl>
      <w:tblPr>
        <w:tblStyle w:val="904"/>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129"/>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甲方：</w:t>
            </w:r>
            <w:r/>
          </w:p>
          <w:p>
            <w:pPr>
              <w:pStyle w:val="1129"/>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地址：</w:t>
            </w:r>
            <w:r/>
          </w:p>
          <w:p>
            <w:pPr>
              <w:ind w:firstLine="0"/>
              <w:jc w:val="left"/>
              <w:spacing w:line="400" w:lineRule="exact"/>
              <w:rPr>
                <w:rFonts w:hint="eastAsia" w:ascii="宋体" w:hAnsi="宋体" w:cs="宋体"/>
                <w:color w:val="auto"/>
                <w:sz w:val="24"/>
              </w:rPr>
            </w:pPr>
            <w:r>
              <w:rPr>
                <w:rFonts w:hint="eastAsia" w:ascii="宋体" w:hAnsi="宋体" w:cs="宋体"/>
                <w:color w:val="auto"/>
                <w:sz w:val="24"/>
              </w:rPr>
              <w:t xml:space="preserve">法定代表人或授权代表：</w:t>
            </w:r>
            <w:r/>
          </w:p>
          <w:p>
            <w:pPr>
              <w:ind w:firstLine="0"/>
              <w:jc w:val="left"/>
              <w:spacing w:line="400" w:lineRule="exact"/>
              <w:rPr>
                <w:rFonts w:hint="eastAsia" w:ascii="宋体" w:hAnsi="宋体" w:cs="宋体"/>
                <w:color w:val="auto"/>
                <w:sz w:val="24"/>
              </w:rPr>
            </w:pPr>
            <w:r>
              <w:rPr>
                <w:rFonts w:hint="eastAsia" w:ascii="宋体" w:hAnsi="宋体" w:cs="宋体"/>
                <w:color w:val="auto"/>
                <w:sz w:val="24"/>
              </w:rPr>
              <w:t xml:space="preserve">联系电话：</w:t>
            </w:r>
            <w:r/>
          </w:p>
          <w:p>
            <w:pPr>
              <w:ind w:firstLine="0"/>
              <w:jc w:val="right"/>
              <w:spacing w:line="400" w:lineRule="exact"/>
              <w:rPr>
                <w:rFonts w:hint="eastAsia" w:ascii="宋体" w:hAnsi="宋体" w:cs="宋体"/>
                <w:color w:val="auto"/>
                <w:sz w:val="24"/>
              </w:rPr>
            </w:pPr>
            <w:r>
              <w:rPr>
                <w:rFonts w:hint="eastAsia" w:ascii="宋体" w:hAnsi="宋体" w:cs="宋体"/>
                <w:color w:val="auto"/>
                <w:sz w:val="24"/>
              </w:rPr>
              <w:t xml:space="preserve">签订日期：      年    月   日</w:t>
            </w:r>
            <w:r/>
          </w:p>
        </w:tc>
        <w:tc>
          <w:tcPr>
            <w:tcMar>
              <w:top w:w="100" w:type="dxa"/>
              <w:bottom w:w="100" w:type="dxa"/>
            </w:tcMar>
            <w:tcW w:w="5123" w:type="dxa"/>
            <w:vAlign w:val="center"/>
            <w:textDirection w:val="lrTb"/>
            <w:noWrap w:val="false"/>
          </w:tcPr>
          <w:p>
            <w:pPr>
              <w:pStyle w:val="1129"/>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乙方：</w:t>
            </w:r>
            <w:r/>
          </w:p>
          <w:p>
            <w:pPr>
              <w:pStyle w:val="1129"/>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地址：</w:t>
            </w:r>
            <w:r/>
          </w:p>
          <w:p>
            <w:pPr>
              <w:ind w:firstLine="0"/>
              <w:jc w:val="left"/>
              <w:spacing w:line="400" w:lineRule="exact"/>
              <w:rPr>
                <w:rFonts w:hint="eastAsia" w:ascii="宋体" w:hAnsi="宋体" w:cs="宋体"/>
                <w:color w:val="auto"/>
                <w:sz w:val="24"/>
              </w:rPr>
            </w:pPr>
            <w:r>
              <w:rPr>
                <w:rFonts w:hint="eastAsia" w:ascii="宋体" w:hAnsi="宋体" w:cs="宋体"/>
                <w:color w:val="auto"/>
                <w:sz w:val="24"/>
              </w:rPr>
              <w:t xml:space="preserve">法定代表人或授权代表：</w:t>
            </w:r>
            <w:r/>
          </w:p>
          <w:p>
            <w:pPr>
              <w:ind w:firstLine="0"/>
              <w:jc w:val="left"/>
              <w:spacing w:line="400" w:lineRule="exact"/>
              <w:rPr>
                <w:rFonts w:hint="eastAsia" w:ascii="宋体" w:hAnsi="宋体" w:cs="宋体"/>
                <w:color w:val="auto"/>
                <w:sz w:val="24"/>
              </w:rPr>
            </w:pPr>
            <w:r>
              <w:rPr>
                <w:rFonts w:hint="eastAsia" w:ascii="宋体" w:hAnsi="宋体" w:cs="宋体"/>
                <w:color w:val="auto"/>
                <w:sz w:val="24"/>
              </w:rPr>
              <w:t xml:space="preserve">联系电话：</w:t>
            </w:r>
            <w:r/>
          </w:p>
          <w:p>
            <w:pPr>
              <w:pStyle w:val="1129"/>
              <w:jc w:val="right"/>
              <w:spacing w:line="400" w:lineRule="exact"/>
              <w:widowControl w:val="off"/>
              <w:rPr>
                <w:rStyle w:val="1087"/>
                <w:rFonts w:hint="eastAsia" w:ascii="宋体" w:hAnsi="宋体" w:eastAsia="宋体" w:cs="宋体"/>
                <w:color w:val="auto"/>
              </w:rPr>
            </w:pPr>
            <w:r>
              <w:rPr>
                <w:rFonts w:hint="eastAsia" w:ascii="宋体" w:hAnsi="宋体" w:eastAsia="宋体" w:cs="宋体"/>
                <w:color w:val="auto"/>
              </w:rPr>
              <w:t xml:space="preserve">签订日期：      年    月   日</w:t>
            </w:r>
            <w:r/>
          </w:p>
        </w:tc>
      </w:tr>
      <w:tr>
        <w:trPr>
          <w:trHeight w:val="1563"/>
        </w:trPr>
        <w:tc>
          <w:tcPr>
            <w:tcMar>
              <w:top w:w="100" w:type="dxa"/>
              <w:bottom w:w="100" w:type="dxa"/>
            </w:tcMar>
            <w:tcW w:w="5120" w:type="dxa"/>
            <w:vAlign w:val="center"/>
            <w:textDirection w:val="lrTb"/>
            <w:noWrap w:val="false"/>
          </w:tcPr>
          <w:p>
            <w:pPr>
              <w:pStyle w:val="1091"/>
              <w:ind w:firstLine="0"/>
              <w:jc w:val="left"/>
              <w:spacing w:after="0" w:line="400" w:lineRule="exact"/>
              <w:rPr>
                <w:rFonts w:hint="eastAsia" w:ascii="宋体" w:hAnsi="宋体" w:cs="宋体"/>
                <w:color w:val="auto"/>
                <w:sz w:val="24"/>
              </w:rPr>
            </w:pPr>
            <w:r>
              <w:rPr>
                <w:rStyle w:val="1087"/>
                <w:rFonts w:hint="eastAsia" w:ascii="宋体" w:hAnsi="宋体" w:cs="宋体"/>
                <w:color w:val="auto"/>
                <w:sz w:val="22"/>
                <w:szCs w:val="22"/>
              </w:rPr>
              <w:t xml:space="preserve">代理机构：张家港保税区汇采招投标代理有限公司</w:t>
            </w:r>
            <w:r/>
          </w:p>
        </w:tc>
        <w:tc>
          <w:tcPr>
            <w:tcMar>
              <w:top w:w="100" w:type="dxa"/>
              <w:bottom w:w="100" w:type="dxa"/>
            </w:tcMar>
            <w:tcW w:w="5123" w:type="dxa"/>
            <w:vAlign w:val="center"/>
            <w:textDirection w:val="lrTb"/>
            <w:noWrap w:val="false"/>
          </w:tcPr>
          <w:p>
            <w:pPr>
              <w:pStyle w:val="1129"/>
              <w:jc w:val="center"/>
              <w:spacing w:line="400" w:lineRule="exact"/>
              <w:widowControl w:val="off"/>
              <w:rPr>
                <w:rFonts w:hint="eastAsia" w:ascii="宋体" w:hAnsi="宋体" w:eastAsia="宋体" w:cs="宋体"/>
                <w:color w:val="auto"/>
              </w:rPr>
            </w:pPr>
            <w:r>
              <w:rPr>
                <w:rStyle w:val="1087"/>
                <w:rFonts w:hint="eastAsia" w:ascii="宋体" w:hAnsi="宋体" w:cs="宋体"/>
                <w:color w:val="auto"/>
              </w:rPr>
              <w:t xml:space="preserve">张家港市政府釆购管理中心（备案章）</w:t>
            </w:r>
            <w:r/>
          </w:p>
        </w:tc>
      </w:tr>
    </w:tbl>
    <w:p>
      <w:pPr>
        <w:rPr>
          <w:color w:val="auto"/>
        </w:rPr>
      </w:pPr>
      <w:r>
        <w:rPr>
          <w:color w:val="auto"/>
        </w:rPr>
      </w:r>
      <w:bookmarkEnd w:id="148"/>
      <w:r/>
      <w:bookmarkEnd w:id="149"/>
      <w:r/>
      <w:bookmarkEnd w:id="150"/>
      <w:r/>
      <w:bookmarkEnd w:id="151"/>
      <w:r/>
      <w:bookmarkEnd w:id="152"/>
      <w:r/>
      <w:r/>
    </w:p>
    <w:p>
      <w:pPr>
        <w:numPr>
          <w:ilvl w:val="0"/>
          <w:numId w:val="2"/>
        </w:numPr>
        <w:jc w:val="center"/>
        <w:pageBreakBefore/>
        <w:spacing w:after="20" w:line="480" w:lineRule="exact"/>
        <w:rPr>
          <w:rFonts w:hint="eastAsia" w:ascii="宋体" w:hAnsi="宋体" w:cs="宋体"/>
          <w:b/>
          <w:bCs/>
          <w:color w:val="auto"/>
          <w:sz w:val="32"/>
          <w:szCs w:val="32"/>
        </w:rPr>
        <w:outlineLvl w:val="0"/>
      </w:pPr>
      <w:r/>
      <w:bookmarkStart w:id="169" w:name="_Toc13251"/>
      <w:r/>
      <w:bookmarkStart w:id="170" w:name="_Toc2284"/>
      <w:r/>
      <w:bookmarkStart w:id="171" w:name="_Toc7502"/>
      <w:r/>
      <w:bookmarkStart w:id="172" w:name="_Toc3329"/>
      <w:r/>
      <w:bookmarkStart w:id="173" w:name="_Toc25031"/>
      <w:r/>
      <w:bookmarkStart w:id="174" w:name="_Toc18404"/>
      <w:r/>
      <w:bookmarkStart w:id="175" w:name="_Toc49090575"/>
      <w:r/>
      <w:bookmarkStart w:id="176" w:name="_Toc26554093"/>
      <w:r/>
      <w:bookmarkStart w:id="177" w:name="_Toc120614281"/>
      <w:r>
        <w:rPr>
          <w:rFonts w:hint="eastAsia" w:ascii="宋体" w:hAnsi="宋体" w:cs="宋体"/>
          <w:b/>
          <w:bCs/>
          <w:color w:val="auto"/>
          <w:sz w:val="32"/>
          <w:szCs w:val="32"/>
        </w:rPr>
        <w:t xml:space="preserve">项目需求</w:t>
      </w:r>
      <w:bookmarkEnd w:id="169"/>
      <w:r/>
      <w:bookmarkEnd w:id="170"/>
      <w:r/>
      <w:bookmarkEnd w:id="171"/>
      <w:r/>
      <w:bookmarkEnd w:id="172"/>
      <w:r/>
      <w:bookmarkEnd w:id="173"/>
      <w:r/>
      <w:bookmarkEnd w:id="174"/>
      <w:r/>
      <w:r/>
    </w:p>
    <w:p>
      <w:pPr>
        <w:numPr>
          <w:ilvl w:val="0"/>
          <w:numId w:val="12"/>
        </w:numPr>
        <w:ind w:firstLine="0"/>
        <w:spacing w:before="120" w:after="120"/>
        <w:widowControl/>
        <w:rPr>
          <w:rFonts w:hint="eastAsia" w:ascii="宋体" w:hAnsi="宋体" w:cs="宋体"/>
          <w:b/>
          <w:color w:val="auto"/>
          <w:sz w:val="28"/>
          <w:szCs w:val="28"/>
        </w:rPr>
        <w:outlineLvl w:val="1"/>
      </w:pPr>
      <w:r/>
      <w:bookmarkStart w:id="178" w:name="_Toc9671"/>
      <w:r/>
      <w:bookmarkStart w:id="179" w:name="_Toc14486"/>
      <w:r/>
      <w:bookmarkStart w:id="180" w:name="_Toc6092"/>
      <w:r>
        <w:rPr>
          <w:rFonts w:hint="eastAsia" w:ascii="宋体" w:hAnsi="宋体" w:cs="宋体"/>
          <w:b/>
          <w:color w:val="auto"/>
          <w:sz w:val="28"/>
          <w:szCs w:val="28"/>
        </w:rPr>
        <w:t xml:space="preserve">清单</w:t>
      </w:r>
      <w:bookmarkEnd w:id="178"/>
      <w:r/>
      <w:bookmarkEnd w:id="179"/>
      <w:r/>
      <w:bookmarkEnd w:id="180"/>
      <w:r/>
      <w:r/>
    </w:p>
    <w:p>
      <w:pPr>
        <w:pStyle w:val="1134"/>
        <w:ind w:firstLine="508"/>
        <w:spacing w:line="440" w:lineRule="exact"/>
        <w:rPr>
          <w:rStyle w:val="1087"/>
          <w:rFonts w:ascii="宋体" w:hAnsi="宋体" w:eastAsia="宋体" w:cs="宋体"/>
          <w:color w:val="auto"/>
          <w:spacing w:val="7"/>
        </w:rPr>
        <w:outlineLvl w:val="2"/>
      </w:pPr>
      <w:r/>
      <w:bookmarkStart w:id="181" w:name="_Toc30918"/>
      <w:r>
        <w:rPr>
          <w:rFonts w:ascii="宋体" w:hAnsi="宋体" w:eastAsia="宋体" w:cs="宋体"/>
          <w:color w:val="auto"/>
          <w:spacing w:val="7"/>
        </w:rPr>
        <w:t xml:space="preserve">1</w:t>
      </w:r>
      <w:r>
        <w:rPr>
          <w:rFonts w:hint="eastAsia" w:ascii="宋体" w:hAnsi="宋体" w:eastAsia="宋体" w:cs="宋体"/>
          <w:color w:val="auto"/>
          <w:spacing w:val="7"/>
        </w:rPr>
        <w:t xml:space="preserve">、货物</w:t>
      </w:r>
      <w:r>
        <w:rPr>
          <w:rStyle w:val="1087"/>
          <w:rFonts w:ascii="宋体" w:hAnsi="宋体" w:eastAsia="宋体" w:cs="宋体"/>
          <w:color w:val="auto"/>
          <w:spacing w:val="7"/>
        </w:rPr>
        <w:t xml:space="preserve">清单</w:t>
      </w:r>
      <w:bookmarkEnd w:id="181"/>
      <w:r/>
      <w:r/>
    </w:p>
    <w:tbl>
      <w:tblPr>
        <w:tblStyle w:val="904"/>
        <w:tblW w:w="93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3"/>
        <w:gridCol w:w="1824"/>
        <w:gridCol w:w="765"/>
        <w:gridCol w:w="813"/>
        <w:gridCol w:w="3910"/>
        <w:gridCol w:w="1098"/>
      </w:tblGrid>
      <w:tr>
        <w:trPr>
          <w:jc w:val="center"/>
          <w:trHeight w:val="313"/>
        </w:trPr>
        <w:tc>
          <w:tcPr>
            <w:gridSpan w:val="6"/>
            <w:shd w:val="clear" w:color="auto" w:fill="auto"/>
            <w:tcBorders>
              <w:top w:val="single" w:color="000000" w:sz="4" w:space="0"/>
              <w:left w:val="single" w:color="000000" w:sz="4" w:space="0"/>
              <w:bottom w:val="single" w:color="000000" w:sz="4" w:space="0"/>
              <w:right w:val="single" w:color="000000" w:sz="4" w:space="0"/>
            </w:tcBorders>
            <w:tcW w:w="9393" w:type="dxa"/>
            <w:vAlign w:val="center"/>
            <w:textDirection w:val="lrTb"/>
            <w:noWrap w:val="false"/>
          </w:tcPr>
          <w:p>
            <w:pPr>
              <w:ind w:firstLine="0"/>
              <w:jc w:val="both"/>
              <w:keepLines w:val="0"/>
              <w:keepNext w:val="0"/>
              <w:spacing w:line="240" w:lineRule="auto"/>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一、西二环地面道路照明</w:t>
            </w:r>
            <w:r/>
          </w:p>
        </w:tc>
      </w:tr>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标的属性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LED单臂路灯三（河面桥）</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LED单臂路灯四（河面桥）</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LED单臂路灯五</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LED双臂路灯二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LED双臂路灯三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LED双臂路灯四</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LED双臂路灯五</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LED吸顶式路灯二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LED吸顶式路灯三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424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80W LED灯头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150W LED灯头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240W LED灯头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电缆手孔井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路灯接地极</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227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207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单灯集中控器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410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14356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13924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8772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8772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通信用室外光缆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3390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14106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549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光缆套管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850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四通道排管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100x75钢制热镀锌喷塑槽式桥架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580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13870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牵引力拖拉管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388"/>
        </w:trPr>
        <w:tc>
          <w:tcPr>
            <w:gridSpan w:val="6"/>
            <w:shd w:val="clear" w:color="auto" w:fill="auto"/>
            <w:tcBorders>
              <w:top w:val="single" w:color="000000" w:sz="4" w:space="0"/>
              <w:left w:val="single" w:color="000000" w:sz="4" w:space="0"/>
              <w:bottom w:val="single" w:color="000000" w:sz="4" w:space="0"/>
              <w:right w:val="single" w:color="000000" w:sz="4" w:space="0"/>
            </w:tcBorders>
            <w:tcW w:w="9393" w:type="dxa"/>
            <w:vAlign w:val="center"/>
            <w:textDirection w:val="lrTb"/>
            <w:noWrap w:val="false"/>
          </w:tcPr>
          <w:p>
            <w:pPr>
              <w:ind w:firstLine="0"/>
              <w:jc w:val="both"/>
              <w:keepLines w:val="0"/>
              <w:keepNext w:val="0"/>
              <w:spacing w:line="240" w:lineRule="auto"/>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二、西二环高架道路照明</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标的属性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240W  LED路灯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rPr>
                <w:rFonts w:hint="eastAsia" w:ascii="宋体" w:hAnsi="宋体" w:cs="宋体"/>
                <w:i w:val="0"/>
                <w:iCs w:val="0"/>
                <w:color w:val="auto"/>
                <w:sz w:val="22"/>
                <w:szCs w:val="22"/>
                <w:u w:val="none"/>
                <w:lang w:val="en-US" w:eastAsia="zh-CN" w:bidi="ar"/>
              </w:rPr>
              <w:t xml:space="preserve">4775</w:t>
            </w:r>
            <w:r>
              <w:rPr>
                <w:rFonts w:hint="eastAsia" w:ascii="宋体" w:hAnsi="宋体" w:eastAsia="宋体" w:cs="宋体"/>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11002</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5540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5540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390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default"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339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9393" w:type="dxa"/>
            <w:vAlign w:val="center"/>
            <w:textDirection w:val="lrTb"/>
            <w:noWrap w:val="false"/>
          </w:tcPr>
          <w:p>
            <w:pPr>
              <w:ind w:firstLine="0"/>
              <w:jc w:val="both"/>
              <w:keepLines w:val="0"/>
              <w:keepNext w:val="0"/>
              <w:spacing w:line="240" w:lineRule="auto"/>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三、张杨公路地面道路照明</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标的属性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LED单臂路灯五</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LED双臂路灯三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79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LED双臂路灯四</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LED吸顶式路灯二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79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LED吸顶式路灯三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LED漫反射隧道灯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LED中杆灯一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单灯控制开关电源保护箱</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80W LED灯头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150W LED灯头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240W LED灯头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150W LED投光灯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240W LED灯头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电缆手孔井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路灯接地极</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单灯控制开关电源保护箱接地极</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单灯集中控器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11487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526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4917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4190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4190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11320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450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2850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两通道排管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四通道排管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6079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牵引力拖拉管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451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363"/>
        </w:trPr>
        <w:tc>
          <w:tcPr>
            <w:gridSpan w:val="6"/>
            <w:shd w:val="clear" w:color="auto" w:fill="auto"/>
            <w:tcBorders>
              <w:top w:val="single" w:color="000000" w:sz="4" w:space="0"/>
              <w:left w:val="single" w:color="000000" w:sz="4" w:space="0"/>
              <w:bottom w:val="single" w:color="000000" w:sz="4" w:space="0"/>
              <w:right w:val="single" w:color="000000" w:sz="4" w:space="0"/>
            </w:tcBorders>
            <w:tcW w:w="9393" w:type="dxa"/>
            <w:vAlign w:val="center"/>
            <w:textDirection w:val="lrTb"/>
            <w:noWrap w:val="false"/>
          </w:tcPr>
          <w:p>
            <w:pPr>
              <w:ind w:firstLine="0"/>
              <w:jc w:val="both"/>
              <w:keepLines w:val="0"/>
              <w:keepNext w:val="0"/>
              <w:spacing w:line="240" w:lineRule="auto"/>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四、张杨公路高架道路照明</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标的属性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LED护栏灯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1700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240W  LED路灯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单灯控制边护栏接线箱内元器件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4686</w:t>
            </w:r>
            <w:r>
              <w:rPr>
                <w:rFonts w:hint="eastAsia" w:ascii="宋体" w:hAnsi="宋体" w:eastAsia="宋体" w:cs="宋体"/>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7964</w:t>
            </w:r>
            <w:r>
              <w:rPr>
                <w:rFonts w:hint="eastAsia" w:ascii="宋体" w:hAnsi="宋体" w:eastAsia="宋体" w:cs="宋体"/>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default" w:ascii="宋体" w:hAnsi="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5030</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3100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6100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4440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3900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390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6140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default"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425"/>
        </w:trPr>
        <w:tc>
          <w:tcPr>
            <w:gridSpan w:val="6"/>
            <w:shd w:val="clear" w:color="auto" w:fill="auto"/>
            <w:tcBorders>
              <w:top w:val="single" w:color="000000" w:sz="4" w:space="0"/>
              <w:left w:val="single" w:color="000000" w:sz="4" w:space="0"/>
              <w:bottom w:val="single" w:color="000000" w:sz="4" w:space="0"/>
              <w:right w:val="single" w:color="000000" w:sz="4" w:space="0"/>
            </w:tcBorders>
            <w:tcW w:w="9393" w:type="dxa"/>
            <w:vAlign w:val="center"/>
            <w:textDirection w:val="lrTb"/>
            <w:noWrap w:val="false"/>
          </w:tcPr>
          <w:p>
            <w:pPr>
              <w:ind w:firstLine="0"/>
              <w:jc w:val="both"/>
              <w:keepLines w:val="0"/>
              <w:keepNext w:val="0"/>
              <w:spacing w:line="240" w:lineRule="auto"/>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五、西二环（北二环-福新路）地面道路照明</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标的属性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LED单臂路灯四</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LED单臂路灯五</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LED两火路灯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LED吸顶式路灯二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LED吸顶式路灯三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150W  LED路灯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电缆手孔井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路灯接地极</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1350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580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630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630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1383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555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393" w:type="dxa"/>
            <w:vAlign w:val="center"/>
            <w:textDirection w:val="lrTb"/>
            <w:noWrap w:val="false"/>
          </w:tcPr>
          <w:p>
            <w:pPr>
              <w:ind w:firstLine="0"/>
              <w:jc w:val="both"/>
              <w:keepLines w:val="0"/>
              <w:keepNext w:val="0"/>
              <w:spacing w:line="240" w:lineRule="auto"/>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六、西二环（北二环-福新路）高架道路照明</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标的属性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240W  LED路灯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940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345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485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485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393" w:type="dxa"/>
            <w:vAlign w:val="center"/>
            <w:textDirection w:val="lrTb"/>
            <w:noWrap w:val="false"/>
          </w:tcPr>
          <w:p>
            <w:pPr>
              <w:ind w:firstLine="0"/>
              <w:jc w:val="both"/>
              <w:keepLines w:val="0"/>
              <w:keepNext w:val="0"/>
              <w:spacing w:line="240" w:lineRule="auto"/>
              <w:widowControl/>
              <w:rPr>
                <w:rFonts w:hint="eastAsia"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七、西二环（福新路-晨阳路）道路照明</w:t>
            </w:r>
            <w:r/>
          </w:p>
        </w:tc>
      </w:tr>
      <w:tr>
        <w:trPr>
          <w:jc w:val="center"/>
          <w:trHeight w:val="338"/>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标的属性</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LED单臂路灯二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LED两火路灯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LED中杆灯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单灯集中控器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单灯集中控器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2850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1860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1860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货物类</w:t>
            </w:r>
            <w:r/>
          </w:p>
        </w:tc>
      </w:tr>
      <w:tr>
        <w:trPr>
          <w:jc w:val="center"/>
          <w:trHeight w:val="489"/>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拆除路灯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其他未列明行业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服务</w:t>
            </w:r>
            <w:r>
              <w:rPr>
                <w:rFonts w:hint="eastAsia" w:ascii="宋体" w:hAnsi="宋体" w:eastAsia="宋体" w:cs="宋体"/>
                <w:i w:val="0"/>
                <w:iCs w:val="0"/>
                <w:color w:val="auto"/>
                <w:sz w:val="22"/>
                <w:szCs w:val="22"/>
                <w:u w:val="none"/>
                <w:lang w:val="en-US" w:eastAsia="zh-CN" w:bidi="ar"/>
              </w:rPr>
              <w:t xml:space="preserve">类</w:t>
            </w:r>
            <w:r/>
          </w:p>
        </w:tc>
      </w:tr>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拆除旧电缆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1330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其他未列明行业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服务</w:t>
            </w:r>
            <w:r>
              <w:rPr>
                <w:rFonts w:hint="eastAsia" w:ascii="宋体" w:hAnsi="宋体" w:eastAsia="宋体" w:cs="宋体"/>
                <w:i w:val="0"/>
                <w:iCs w:val="0"/>
                <w:color w:val="auto"/>
                <w:sz w:val="22"/>
                <w:szCs w:val="22"/>
                <w:u w:val="none"/>
                <w:lang w:val="en-US" w:eastAsia="zh-CN" w:bidi="ar"/>
              </w:rPr>
              <w:t xml:space="preserve">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路灯基础不锈钢包封拆除及恢复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3910"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其他未列明行业</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服务</w:t>
            </w:r>
            <w:r>
              <w:rPr>
                <w:rFonts w:hint="eastAsia" w:ascii="宋体" w:hAnsi="宋体" w:eastAsia="宋体" w:cs="宋体"/>
                <w:i w:val="0"/>
                <w:iCs w:val="0"/>
                <w:color w:val="auto"/>
                <w:sz w:val="22"/>
                <w:szCs w:val="22"/>
                <w:u w:val="none"/>
                <w:lang w:val="en-US" w:eastAsia="zh-CN" w:bidi="ar"/>
              </w:rPr>
              <w:t xml:space="preserve">类</w:t>
            </w:r>
            <w:r/>
          </w:p>
        </w:tc>
      </w:tr>
    </w:tbl>
    <w:p>
      <w:pPr>
        <w:pStyle w:val="1135"/>
        <w:ind w:firstLine="500"/>
        <w:spacing w:line="440" w:lineRule="exact"/>
        <w:rPr>
          <w:rStyle w:val="1087"/>
          <w:rFonts w:hint="eastAsia" w:ascii="宋体" w:hAnsi="宋体" w:eastAsia="宋体" w:cs="宋体"/>
          <w:color w:val="auto"/>
          <w:spacing w:val="7"/>
        </w:rPr>
      </w:pPr>
      <w:r>
        <w:rPr>
          <w:rStyle w:val="1087"/>
          <w:rFonts w:hint="eastAsia" w:ascii="宋体" w:hAnsi="宋体" w:eastAsia="宋体" w:cs="宋体"/>
          <w:color w:val="auto"/>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35"/>
        <w:ind w:firstLine="500"/>
        <w:spacing w:line="440" w:lineRule="exact"/>
        <w:rPr>
          <w:rStyle w:val="1087"/>
          <w:rFonts w:hint="eastAsia" w:ascii="宋体" w:hAnsi="宋体" w:eastAsia="宋体" w:cs="宋体"/>
          <w:color w:val="auto"/>
          <w:spacing w:val="7"/>
          <w:highlight w:val="none"/>
        </w:rPr>
      </w:pPr>
      <w:r>
        <w:rPr>
          <w:rStyle w:val="1087"/>
          <w:rFonts w:hint="eastAsia" w:ascii="宋体" w:hAnsi="宋体" w:eastAsia="宋体" w:cs="宋体"/>
          <w:color w:val="auto"/>
          <w:spacing w:val="7"/>
          <w:highlight w:val="none"/>
        </w:rPr>
        <w:t xml:space="preserve">所有灯杆必须张贴路灯编号标识牌，标识牌必须确保10年不褪色、不老化，张贴时与招标方确认尺寸、颜色等相关参数。</w:t>
      </w:r>
      <w:r/>
    </w:p>
    <w:p>
      <w:pPr>
        <w:pStyle w:val="1135"/>
        <w:ind w:firstLine="500"/>
        <w:spacing w:line="440" w:lineRule="exact"/>
        <w:rPr>
          <w:rStyle w:val="1087"/>
          <w:rFonts w:hint="eastAsia" w:ascii="宋体" w:hAnsi="宋体" w:eastAsia="宋体" w:cs="宋体"/>
          <w:color w:val="auto"/>
          <w:spacing w:val="7"/>
          <w:highlight w:val="none"/>
        </w:rPr>
      </w:pPr>
      <w:r>
        <w:rPr>
          <w:rStyle w:val="1087"/>
          <w:rFonts w:hint="eastAsia" w:ascii="宋体" w:hAnsi="宋体" w:eastAsia="宋体" w:cs="宋体"/>
          <w:color w:val="auto"/>
          <w:spacing w:val="7"/>
          <w:highlight w:val="none"/>
        </w:rPr>
        <w:t xml:space="preserve">投标报价应包含单灯控制器、集中控制器及五年通讯数据流量费。</w:t>
      </w:r>
      <w:r/>
    </w:p>
    <w:p>
      <w:pPr>
        <w:pStyle w:val="1135"/>
        <w:ind w:firstLine="500"/>
        <w:spacing w:line="440" w:lineRule="exact"/>
        <w:rPr>
          <w:rStyle w:val="1087"/>
          <w:rFonts w:hint="eastAsia" w:ascii="宋体" w:hAnsi="宋体" w:eastAsia="宋体" w:cs="宋体"/>
          <w:color w:val="auto"/>
          <w:spacing w:val="7"/>
        </w:rPr>
      </w:pPr>
      <w:r>
        <w:rPr>
          <w:rFonts w:hint="eastAsia" w:ascii="宋体" w:hAnsi="宋体" w:eastAsia="宋体" w:cs="宋体"/>
          <w:color w:val="auto"/>
          <w:spacing w:val="7"/>
        </w:rPr>
      </w:r>
      <w:r/>
    </w:p>
    <w:p>
      <w:pPr>
        <w:pStyle w:val="1150"/>
        <w:ind w:firstLine="508"/>
        <w:spacing w:line="440" w:lineRule="exact"/>
        <w:rPr>
          <w:rStyle w:val="1087"/>
          <w:rFonts w:hint="eastAsia" w:ascii="宋体" w:hAnsi="宋体" w:eastAsia="宋体" w:cs="宋体"/>
          <w:color w:val="auto"/>
          <w:spacing w:val="7"/>
          <w:highlight w:val="none"/>
        </w:rPr>
        <w:outlineLvl w:val="2"/>
      </w:pPr>
      <w:r/>
      <w:bookmarkStart w:id="182" w:name="_Toc24467"/>
      <w:r>
        <w:rPr>
          <w:rStyle w:val="1087"/>
          <w:rFonts w:ascii="宋体" w:hAnsi="宋体" w:eastAsia="宋体" w:cs="宋体"/>
          <w:color w:val="auto"/>
          <w:spacing w:val="7"/>
          <w:highlight w:val="none"/>
        </w:rPr>
        <w:t xml:space="preserve">2</w:t>
      </w:r>
      <w:r>
        <w:rPr>
          <w:rStyle w:val="1087"/>
          <w:rFonts w:hint="eastAsia" w:ascii="宋体" w:hAnsi="宋体" w:eastAsia="宋体" w:cs="宋体"/>
          <w:color w:val="auto"/>
          <w:spacing w:val="7"/>
          <w:highlight w:val="none"/>
        </w:rPr>
        <w:t xml:space="preserve">、</w:t>
      </w:r>
      <w:r>
        <w:rPr>
          <w:rStyle w:val="1087"/>
          <w:rFonts w:ascii="宋体" w:hAnsi="宋体" w:eastAsia="宋体" w:cs="宋体"/>
          <w:color w:val="auto"/>
          <w:spacing w:val="7"/>
          <w:highlight w:val="none"/>
        </w:rPr>
        <w:t xml:space="preserve">核心产品清单</w:t>
      </w:r>
      <w:bookmarkEnd w:id="182"/>
      <w:r>
        <w:rPr>
          <w:rStyle w:val="1087"/>
          <w:rFonts w:hint="eastAsia" w:ascii="宋体" w:hAnsi="宋体" w:eastAsia="宋体" w:cs="宋体"/>
          <w:color w:val="auto"/>
          <w:spacing w:val="7"/>
          <w:highlight w:val="none"/>
        </w:rPr>
        <w:t xml:space="preserve">：</w:t>
      </w:r>
      <w:r/>
    </w:p>
    <w:tbl>
      <w:tblPr>
        <w:tblStyle w:val="904"/>
        <w:tblW w:w="46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20"/>
        <w:gridCol w:w="7481"/>
      </w:tblGrid>
      <w:tr>
        <w:trPr>
          <w:jc w:val="center"/>
        </w:trPr>
        <w:tc>
          <w:tcPr>
            <w:tcMar>
              <w:top w:w="100" w:type="dxa"/>
              <w:bottom w:w="100" w:type="dxa"/>
            </w:tcMar>
            <w:tcW w:w="1720" w:type="dxa"/>
            <w:vAlign w:val="center"/>
            <w:textDirection w:val="lrTb"/>
            <w:noWrap w:val="false"/>
          </w:tcPr>
          <w:p>
            <w:pPr>
              <w:pStyle w:val="1136"/>
              <w:jc w:val="center"/>
              <w:rPr>
                <w:rStyle w:val="1087"/>
                <w:rFonts w:ascii="宋体" w:hAnsi="宋体" w:eastAsia="宋体" w:cs="宋体"/>
                <w:b w:val="0"/>
                <w:sz w:val="24"/>
                <w:szCs w:val="24"/>
              </w:rPr>
            </w:pPr>
            <w:r>
              <w:rPr>
                <w:rStyle w:val="1087"/>
                <w:rFonts w:ascii="宋体" w:hAnsi="宋体" w:eastAsia="宋体" w:cs="宋体"/>
                <w:b w:val="0"/>
                <w:color w:val="000000"/>
                <w:sz w:val="24"/>
                <w:szCs w:val="24"/>
              </w:rPr>
              <w:t xml:space="preserve">序号</w:t>
            </w:r>
            <w:r/>
          </w:p>
        </w:tc>
        <w:tc>
          <w:tcPr>
            <w:tcMar>
              <w:top w:w="100" w:type="dxa"/>
              <w:bottom w:w="100" w:type="dxa"/>
            </w:tcMar>
            <w:tcW w:w="7481" w:type="dxa"/>
            <w:vAlign w:val="center"/>
            <w:textDirection w:val="lrTb"/>
            <w:noWrap w:val="false"/>
          </w:tcPr>
          <w:p>
            <w:pPr>
              <w:pStyle w:val="1136"/>
              <w:jc w:val="center"/>
              <w:rPr>
                <w:rStyle w:val="1087"/>
                <w:rFonts w:ascii="宋体" w:hAnsi="宋体" w:eastAsia="宋体" w:cs="宋体"/>
                <w:b w:val="0"/>
                <w:sz w:val="24"/>
                <w:szCs w:val="24"/>
              </w:rPr>
            </w:pPr>
            <w:r>
              <w:rPr>
                <w:rStyle w:val="1087"/>
                <w:rFonts w:ascii="宋体" w:hAnsi="宋体" w:eastAsia="宋体" w:cs="宋体"/>
                <w:b w:val="0"/>
                <w:color w:val="000000"/>
                <w:sz w:val="24"/>
                <w:szCs w:val="24"/>
              </w:rPr>
              <w:t xml:space="preserve">名称</w:t>
            </w:r>
            <w:r/>
          </w:p>
        </w:tc>
      </w:tr>
      <w:tr>
        <w:trPr>
          <w:jc w:val="center"/>
        </w:trPr>
        <w:tc>
          <w:tcPr>
            <w:tcMar>
              <w:top w:w="100" w:type="dxa"/>
              <w:bottom w:w="100" w:type="dxa"/>
            </w:tcMar>
            <w:tcW w:w="1720" w:type="dxa"/>
            <w:vAlign w:val="center"/>
            <w:textDirection w:val="lrTb"/>
            <w:noWrap w:val="false"/>
          </w:tcPr>
          <w:p>
            <w:pPr>
              <w:pStyle w:val="1136"/>
              <w:jc w:val="center"/>
              <w:rPr>
                <w:rStyle w:val="1087"/>
                <w:rFonts w:ascii="宋体" w:hAnsi="宋体" w:eastAsia="宋体" w:cs="宋体"/>
                <w:b w:val="0"/>
                <w:sz w:val="24"/>
                <w:szCs w:val="24"/>
              </w:rPr>
            </w:pPr>
            <w:r>
              <w:rPr>
                <w:rStyle w:val="1087"/>
                <w:rFonts w:ascii="宋体" w:hAnsi="宋体" w:eastAsia="宋体" w:cs="宋体"/>
                <w:b w:val="0"/>
                <w:color w:val="000000"/>
                <w:sz w:val="24"/>
                <w:szCs w:val="24"/>
              </w:rPr>
              <w:t xml:space="preserve">1</w:t>
            </w:r>
            <w:r/>
          </w:p>
        </w:tc>
        <w:tc>
          <w:tcPr>
            <w:tcMar>
              <w:top w:w="100" w:type="dxa"/>
              <w:bottom w:w="100" w:type="dxa"/>
            </w:tcMar>
            <w:tcW w:w="7481" w:type="dxa"/>
            <w:vAlign w:val="center"/>
            <w:textDirection w:val="lrTb"/>
            <w:noWrap w:val="false"/>
          </w:tcPr>
          <w:p>
            <w:pPr>
              <w:pStyle w:val="1136"/>
              <w:jc w:val="center"/>
              <w:rPr>
                <w:rStyle w:val="1087"/>
                <w:rFonts w:hint="eastAsia" w:ascii="宋体" w:hAnsi="宋体" w:eastAsia="宋体" w:cs="宋体"/>
                <w:b w:val="0"/>
                <w:sz w:val="24"/>
                <w:szCs w:val="24"/>
                <w:lang w:eastAsia="zh-CN"/>
              </w:rPr>
            </w:pPr>
            <w:r>
              <w:rPr>
                <w:rStyle w:val="1087"/>
                <w:rFonts w:hint="eastAsia" w:ascii="宋体" w:hAnsi="宋体" w:eastAsia="宋体" w:cs="宋体"/>
                <w:b w:val="0"/>
                <w:sz w:val="24"/>
                <w:szCs w:val="24"/>
              </w:rPr>
              <w:t xml:space="preserve">LED单臂路灯</w:t>
            </w:r>
            <w:r>
              <w:rPr>
                <w:rStyle w:val="1087"/>
                <w:rFonts w:hint="eastAsia" w:ascii="宋体" w:hAnsi="宋体" w:eastAsia="宋体" w:cs="宋体"/>
                <w:b w:val="0"/>
                <w:sz w:val="24"/>
                <w:szCs w:val="24"/>
                <w:lang w:val="en-US" w:eastAsia="zh-CN"/>
              </w:rPr>
              <w:t xml:space="preserve">一</w:t>
            </w:r>
            <w:r/>
          </w:p>
        </w:tc>
      </w:tr>
    </w:tbl>
    <w:p>
      <w:pPr>
        <w:pStyle w:val="1151"/>
        <w:ind w:firstLine="508"/>
        <w:spacing w:line="440" w:lineRule="exact"/>
        <w:rPr>
          <w:rStyle w:val="1087"/>
          <w:rFonts w:hint="eastAsia" w:ascii="宋体" w:hAnsi="宋体" w:eastAsia="宋体" w:cs="宋体"/>
          <w:color w:val="auto"/>
          <w:spacing w:val="7"/>
        </w:rPr>
      </w:pPr>
      <w:r>
        <w:rPr>
          <w:rStyle w:val="1087"/>
          <w:rFonts w:ascii="宋体" w:hAnsi="宋体" w:eastAsia="宋体" w:cs="宋体"/>
          <w:color w:val="auto"/>
          <w:spacing w:val="7"/>
        </w:rPr>
        <w:t xml:space="preserve">3</w:t>
      </w:r>
      <w:r>
        <w:rPr>
          <w:rStyle w:val="1087"/>
          <w:rFonts w:hint="eastAsia" w:ascii="宋体" w:hAnsi="宋体" w:eastAsia="宋体" w:cs="宋体"/>
          <w:color w:val="auto"/>
          <w:spacing w:val="7"/>
        </w:rPr>
        <w:t xml:space="preserve">、</w:t>
      </w:r>
      <w:r>
        <w:rPr>
          <w:rStyle w:val="1087"/>
          <w:rFonts w:ascii="宋体" w:hAnsi="宋体" w:eastAsia="宋体" w:cs="宋体"/>
          <w:color w:val="auto"/>
          <w:spacing w:val="7"/>
        </w:rPr>
        <w:t xml:space="preserve">节能、环境标志产品清单(请提供国家确定的认证机构出具的、处于有效期之内的节能产品、环境标志产品认证证书（若证书有附件（附录）的，附件（附录）须随证书一起提供)）</w:t>
      </w:r>
      <w:r/>
    </w:p>
    <w:p>
      <w:pPr>
        <w:pStyle w:val="1151"/>
        <w:ind w:firstLine="508"/>
        <w:spacing w:line="440" w:lineRule="exact"/>
        <w:rPr>
          <w:rStyle w:val="1087"/>
          <w:rFonts w:hint="eastAsia" w:ascii="宋体" w:hAnsi="宋体" w:eastAsia="宋体" w:cs="宋体"/>
          <w:color w:val="auto"/>
          <w:spacing w:val="7"/>
        </w:rPr>
      </w:pPr>
      <w:r>
        <w:rPr>
          <w:rStyle w:val="1087"/>
          <w:rFonts w:ascii="宋体" w:hAnsi="宋体" w:eastAsia="宋体" w:cs="宋体"/>
          <w:color w:val="auto"/>
          <w:spacing w:val="7"/>
        </w:rPr>
        <w:t xml:space="preserve">节能产品政府采购品目清单： </w:t>
      </w:r>
      <w:r/>
    </w:p>
    <w:p>
      <w:pPr>
        <w:pStyle w:val="1151"/>
        <w:ind w:firstLine="480"/>
        <w:spacing w:line="440" w:lineRule="exact"/>
        <w:rPr>
          <w:rStyle w:val="1087"/>
          <w:rFonts w:hint="eastAsia" w:ascii="宋体" w:hAnsi="宋体" w:eastAsia="宋体" w:cs="宋体"/>
          <w:color w:val="auto"/>
          <w:spacing w:val="7"/>
          <w:lang w:eastAsia="zh-CN"/>
        </w:rPr>
      </w:pPr>
      <w:r>
        <w:rPr>
          <w:rFonts w:ascii="宋体" w:hAnsi="宋体" w:eastAsia="宋体" w:cs="宋体"/>
          <w:sz w:val="24"/>
          <w:szCs w:val="24"/>
        </w:rPr>
        <w:t xml:space="preserve">属于财库〔2019〕19 号</w:t>
      </w:r>
      <w:r>
        <w:rPr>
          <w:rFonts w:hint="eastAsia" w:ascii="宋体" w:hAnsi="宋体" w:eastAsia="宋体" w:cs="宋体"/>
          <w:sz w:val="24"/>
          <w:szCs w:val="24"/>
        </w:rPr>
        <w:t xml:space="preserve">节能产品政府采购品目清单</w:t>
      </w:r>
      <w:r>
        <w:rPr>
          <w:rFonts w:hint="eastAsia" w:ascii="宋体" w:hAnsi="宋体" w:eastAsia="宋体" w:cs="宋体"/>
          <w:sz w:val="24"/>
          <w:szCs w:val="24"/>
          <w:lang w:val="en-US" w:eastAsia="zh-CN"/>
        </w:rPr>
        <w:t xml:space="preserve">范围内的</w:t>
      </w:r>
      <w:r>
        <w:rPr>
          <w:rFonts w:hint="eastAsia" w:ascii="宋体" w:hAnsi="宋体" w:eastAsia="宋体" w:cs="宋体"/>
          <w:sz w:val="24"/>
          <w:szCs w:val="24"/>
          <w:lang w:eastAsia="zh-CN"/>
        </w:rPr>
        <w:t xml:space="preserve">。</w:t>
      </w:r>
      <w:r/>
    </w:p>
    <w:p>
      <w:pPr>
        <w:pStyle w:val="1151"/>
        <w:ind w:firstLine="508"/>
        <w:spacing w:line="440" w:lineRule="exact"/>
        <w:rPr>
          <w:rStyle w:val="1087"/>
          <w:rFonts w:hint="eastAsia" w:ascii="宋体" w:hAnsi="宋体" w:eastAsia="宋体" w:cs="宋体"/>
          <w:color w:val="auto"/>
          <w:spacing w:val="7"/>
        </w:rPr>
      </w:pPr>
      <w:r>
        <w:rPr>
          <w:rStyle w:val="1087"/>
          <w:rFonts w:ascii="宋体" w:hAnsi="宋体" w:eastAsia="宋体" w:cs="宋体"/>
          <w:color w:val="auto"/>
          <w:spacing w:val="7"/>
        </w:rPr>
        <w:t xml:space="preserve">环境标志产品政府采购品目清单</w:t>
      </w:r>
      <w:r>
        <w:rPr>
          <w:rStyle w:val="1087"/>
          <w:rFonts w:hint="eastAsia" w:ascii="宋体" w:hAnsi="宋体" w:eastAsia="宋体" w:cs="宋体"/>
          <w:color w:val="auto"/>
          <w:spacing w:val="7"/>
        </w:rPr>
        <w:t xml:space="preserve">：</w:t>
      </w:r>
      <w:r/>
    </w:p>
    <w:p>
      <w:pPr>
        <w:pStyle w:val="1152"/>
        <w:ind w:firstLine="508"/>
        <w:spacing w:line="440" w:lineRule="exact"/>
        <w:rPr>
          <w:rStyle w:val="1087"/>
          <w:rFonts w:hint="eastAsia" w:ascii="宋体" w:hAnsi="宋体" w:eastAsia="宋体" w:cs="宋体"/>
          <w:color w:val="auto"/>
          <w:spacing w:val="7"/>
        </w:rPr>
      </w:pPr>
      <w:r>
        <w:rPr>
          <w:rStyle w:val="1087"/>
          <w:rFonts w:ascii="宋体" w:hAnsi="宋体" w:eastAsia="宋体" w:cs="宋体"/>
          <w:color w:val="auto"/>
          <w:spacing w:val="7"/>
        </w:rPr>
        <w:t xml:space="preserve">无</w:t>
      </w:r>
      <w:r/>
    </w:p>
    <w:p>
      <w:pPr>
        <w:pStyle w:val="1151"/>
        <w:ind w:firstLine="508"/>
        <w:spacing w:line="440" w:lineRule="exact"/>
        <w:rPr>
          <w:rStyle w:val="1087"/>
          <w:rFonts w:hint="eastAsia" w:ascii="宋体" w:hAnsi="宋体" w:eastAsia="宋体" w:cs="宋体"/>
          <w:color w:val="auto"/>
          <w:spacing w:val="7"/>
        </w:rPr>
      </w:pPr>
      <w:r>
        <w:rPr>
          <w:rStyle w:val="1087"/>
          <w:rFonts w:hint="eastAsia" w:ascii="宋体" w:hAnsi="宋体" w:eastAsia="宋体" w:cs="宋体"/>
          <w:color w:val="auto"/>
          <w:spacing w:val="7"/>
        </w:rPr>
        <w:t xml:space="preserve">4、绿色采购其他政策： </w:t>
      </w:r>
      <w:r>
        <w:rPr>
          <w:rStyle w:val="1087"/>
          <w:rFonts w:hint="eastAsia" w:ascii="宋体" w:hAnsi="宋体" w:eastAsia="宋体" w:cs="宋体"/>
          <w:color w:val="auto"/>
          <w:spacing w:val="7"/>
        </w:rPr>
        <w:br/>
      </w:r>
      <w:r>
        <w:rPr>
          <w:rStyle w:val="1087"/>
          <w:rFonts w:hint="eastAsia" w:ascii="宋体" w:hAnsi="宋体" w:eastAsia="宋体" w:cs="宋体"/>
          <w:color w:val="auto"/>
          <w:spacing w:val="7"/>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087"/>
          <w:rFonts w:hint="eastAsia" w:ascii="宋体" w:hAnsi="宋体" w:eastAsia="宋体" w:cs="宋体"/>
          <w:color w:val="auto"/>
          <w:spacing w:val="7"/>
        </w:rPr>
        <w:br/>
      </w:r>
      <w:r>
        <w:rPr>
          <w:rStyle w:val="1087"/>
          <w:rFonts w:hint="eastAsia" w:ascii="宋体" w:hAnsi="宋体" w:eastAsia="宋体" w:cs="宋体"/>
          <w:color w:val="auto"/>
          <w:spacing w:val="7"/>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52"/>
        <w:spacing w:line="440" w:lineRule="exact"/>
        <w:rPr>
          <w:rStyle w:val="1087"/>
          <w:rFonts w:hint="eastAsia" w:ascii="宋体" w:hAnsi="宋体" w:eastAsia="宋体" w:cs="宋体"/>
          <w:color w:val="auto"/>
          <w:spacing w:val="7"/>
        </w:rPr>
      </w:pPr>
      <w:r>
        <w:rPr>
          <w:rFonts w:hint="eastAsia" w:ascii="宋体" w:hAnsi="宋体" w:eastAsia="宋体" w:cs="宋体"/>
          <w:color w:val="auto"/>
          <w:spacing w:val="7"/>
        </w:rPr>
      </w:r>
      <w:r/>
    </w:p>
    <w:p>
      <w:pPr>
        <w:numPr>
          <w:ilvl w:val="0"/>
          <w:numId w:val="12"/>
        </w:numPr>
        <w:ind w:firstLine="0"/>
        <w:spacing w:before="120" w:after="120"/>
        <w:widowControl/>
        <w:rPr>
          <w:color w:val="auto"/>
        </w:rPr>
        <w:outlineLvl w:val="1"/>
      </w:pPr>
      <w:r/>
      <w:bookmarkStart w:id="183" w:name="_Toc5508"/>
      <w:r/>
      <w:bookmarkStart w:id="184" w:name="_Toc24848"/>
      <w:r/>
      <w:bookmarkStart w:id="185" w:name="_Toc25985"/>
      <w:r>
        <w:rPr>
          <w:rFonts w:hint="eastAsia" w:ascii="宋体" w:hAnsi="宋体" w:cs="宋体"/>
          <w:b/>
          <w:color w:val="auto"/>
          <w:sz w:val="28"/>
          <w:szCs w:val="28"/>
        </w:rPr>
        <w:t xml:space="preserve">技术要求</w:t>
      </w:r>
      <w:bookmarkEnd w:id="183"/>
      <w:r/>
      <w:bookmarkEnd w:id="184"/>
      <w:r/>
      <w:bookmarkEnd w:id="185"/>
      <w:r/>
      <w:r/>
    </w:p>
    <w:p>
      <w:pPr>
        <w:pStyle w:val="935"/>
        <w:rPr>
          <w:rFonts w:hint="default" w:eastAsia="宋体"/>
          <w:color w:val="auto"/>
          <w:lang w:val="en-US" w:eastAsia="zh-CN"/>
        </w:rPr>
      </w:pPr>
      <w:r>
        <w:rPr>
          <w:rFonts w:hint="eastAsia" w:cs="宋体"/>
          <w:b/>
          <w:color w:val="auto"/>
          <w:sz w:val="28"/>
          <w:szCs w:val="28"/>
          <w:lang w:eastAsia="zh-CN"/>
        </w:rPr>
        <w:t xml:space="preserve">（</w:t>
      </w:r>
      <w:r>
        <w:rPr>
          <w:rFonts w:hint="eastAsia" w:cs="宋体"/>
          <w:b/>
          <w:color w:val="auto"/>
          <w:sz w:val="28"/>
          <w:szCs w:val="28"/>
          <w:lang w:val="en-US" w:eastAsia="zh-CN"/>
        </w:rPr>
        <w:t xml:space="preserve">一）货物技术参数</w:t>
      </w:r>
      <w:r/>
    </w:p>
    <w:tbl>
      <w:tblPr>
        <w:tblStyle w:val="904"/>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6"/>
        <w:gridCol w:w="1559"/>
        <w:gridCol w:w="7631"/>
      </w:tblGrid>
      <w:tr>
        <w:trP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keepLines w:val="0"/>
              <w:keepNext w:val="0"/>
              <w:pageBreakBefore w:val="0"/>
              <w:spacing w:line="240" w:lineRule="atLeast"/>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一、西二环地面道路照明</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特征描述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LED单臂路灯二</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AC220V，LED，截光型，4000K，240W，180lm/W，灯杆高12m，Q235B钢灯杆热镀锌喷塑，含单灯控制器接口、2道挂载C槽、4套热镀锌双螺帽及4厚热镀锌垫片；含接线盒：RT-14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AC220V，LED，截光型，4000K，80W，180lm/W，灯杆高7m，Q235B钢灯杆热镀锌喷塑，含单灯控制器接口、4套热镀锌双螺帽及4厚热镀锌垫片；含接线盒：RT-14 6A 3位220V熔断器，8位带盖接线排，标准卡槽，配4厚环氧树脂接线板用于安装元器件，安装在灯杆检修门内；含基础：Q235B钢预埋件，螺纹热镀锌，C30砼，见详图；使用部位：地面慢车道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LED单臂路灯三（河面桥）</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AC220V，LED，截光型，4000K，80W，180lm/W，灯杆高7m，Q235B钢灯杆热镀锌喷塑，含单灯控制器接口、4套热镀锌双螺帽及4厚热镀锌垫片；含接线盒：RT-14 6A 3位220V熔断器，8位带盖接线排，标准卡槽，配4厚环氧树脂接线板用于安装元器件，安装在灯杆检修门内；使用部位：地面河面桥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LED单臂路灯四（河面桥）</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AC220V，LED，截光型，4000K，150W，180lm/W，灯杆高8m，Q235B钢灯杆热镀锌喷塑，含单灯控制器接口、2道挂载C槽、4套热镀锌双螺帽及4厚热镀锌垫片；含接线盒：RT-14 6A 3位220V熔断器，8位带盖接线排，标准卡槽，配4厚环氧树脂接线板用于安装元器件，安装在灯杆检修门内；使用部位：地面河面桥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LED单臂路灯五</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AC220V，LED，截光型，4000K，150W，180lm/W，灯杆高9m，Q235B钢灯杆热镀锌喷塑，含单灯控制器接口、2道挂载C槽、4套热镀锌双螺帽及4厚热镀锌垫片；含接线盒：RT-14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LED双臂路灯二</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AC220V，LED，截光型，4000K，240W+80W，180lm/W，灯杆高10.5m，Q235B钢灯杆热镀锌喷塑，含单灯控制器接口、2道挂载C槽、4套热镀锌双螺帽及4厚热镀锌垫片；含接线盒：RT-14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LED双臂路灯三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AC220V，LED，截光型，4000K，150W+80W，180lm/W，灯杆高8m，Q235B钢灯杆热镀锌喷塑，含单灯控制器接口、2道挂载C槽、4套热镀锌双螺帽及4厚热镀锌垫片；含接线盒：RT-14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LED双臂路灯四</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AC220V，LED，截光型，4000K，240W+80W，180lm/W，灯杆高12m，Q235B钢灯杆热镀锌喷塑，含单灯控制器接口、2道挂载C槽、4套热镀锌双螺帽及4厚热镀锌垫片；含接线盒：RT-14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LED双臂路灯五</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AC220V，LED，截光型，4000K，240W+80W，180lm/W，灯杆高11m，Q235B钢灯杆热镀锌喷塑，含单灯控制器接口、2道挂载C槽、4套热镀锌双螺帽及4厚热镀锌垫片；含接线盒：RT-14 6A 3位220V熔断器，8位带盖接线排，标准卡槽，配4厚环氧树脂接线板用于安装元器件，安装在灯杆检修门内；使用部位：地面主线桥面</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LED吸顶式路灯二</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AC220V，LED，截光型，4000K，120W，180lm/W，吸顶式，含单灯控制器；含转接板等热镀锌五金件；使用部位：高架下地面道路及匝道箱梁底面</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LED吸顶式路灯三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AC220V，LED，截光型，4000K，150W，180lm/W，吸顶式，含单灯控制器；含转接板等热镀锌五金件；使用部位：高架下地面道路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 LED灯头</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AC220V，LED，截光型，4000K，80W，180lm/W，含单灯控制器接口；使用部位：地面交安及智能化合杆路灯，合杆路灯杆件非本项目范围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 LED灯头</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AC220V，LED，截光型，4000K，150W，180lm/W，含单灯控制器接口；使用部位：地面交安及智能化合杆路灯，合杆路灯杆件非本项目范围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240W LED灯头</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AC220V，LED，截光型，4000K，240W，180lm/W，含单灯控制器接口；使用部位：地面交安及智能化合杆路灯，合杆路灯杆件非本项目范围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电缆手孔井</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800mmx800mmx1000mm，成品井圈防盗井盖，井盖凹字宋体“路灯”，字高100mm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路灯接地极</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4mm厚4#热镀锌扁钢+5mm厚5#热镀锌角钢，角钢长2.5米，整体热镀锌</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一拖一，HPLC宽带电力载波（主通信链路）+CAT1（辅通信链路），安装在灯杆检修门内</w:t>
            </w:r>
            <w:r>
              <w:rPr>
                <w:rStyle w:val="1207"/>
                <w:color w:val="auto"/>
                <w:lang w:val="en-US" w:eastAsia="zh-CN" w:bidi="ar"/>
              </w:rPr>
              <w:t xml:space="preserve">，适用单臂路灯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一拖二，HPLC宽带电力载波（主通信链路）+CAT1（辅通信链路），安装在灯杆检修门内，适用双臂路灯，中杆灯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单灯集中控器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上行通信：支持4G无线接口及1000Mbps以太网接口主动连接上级平台系统。下行通信：支持HPLC宽带电力载波通信及2.4G无线双模通信方式。安装在路灯计量控制箱内。详细技术参数见招标文件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2mm厚304不锈钢箱体，含低压电气，详见系统图，箱内安装单灯集中控制器，箱体尺寸1765mmx950mx550mm。含基础：标准砖砌筑，Q235B预埋件，螺纹热镀锌，C30砼。含热镀锌接地极。见详图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VV-0.6/1KV-4x70，控制箱进线电缆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VV-0.6/1KV-5x16，路灯回路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VV-0.6/1KV-5x10，路灯回路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VV-0.6/1KV-5x6，吸顶路灯分支回路，超高施工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BVV-0.45/0.75KV-3×2.5，路灯头接线电缆，护套线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KVVP-2x0.75，单灯控制器至灯头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通信用室外光缆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GYTS-144B1，室外层绞式铠装144芯单模光缆，干线 报价含光缆的连接以及分接盒等相关附属工作</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PE63电力管，允许公差+0～0.03，管壁厚4mm，内径φ55mm。埋地。含电缆沟开挖恢复，断面见详图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8xCPVC110+8xPE63，CPVC110电力管，允许公差±0.2，管壁厚5mm，PE63电力管，允许公差+0～0.03，管壁厚4mm，C30砼包管。埋地。含电缆沟开挖恢复，断面见详图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G50热镀锌钢管，外径∅60，管壁厚4.5mm，含304不锈钢骑马卡，1.5米一道，过桥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DN20，304不锈钢包塑软管，灯具出线套管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PE50硅芯管，允许公差+0～0.03，管壁厚3.2mm，内径∅43.6mm。埋地。含电缆沟开挖恢复，断面见详图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四通道排管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2x2xCPVC160排管，公差±0.2，管壁厚5mm，C15垫层，C30砼包管，控制箱进线电缆管道，用二备二。埋地。含电缆沟开挖恢复，断面见详图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100x75钢制热镀锌喷塑槽式桥架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100mmx75mm，1.5mm厚，钢制热镀锌喷塑，盖板螺栓固定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50mmx30mm，1.5mm厚，铝合金喷塑，盖板和底壳整体用304不锈钢钢丝捆扎加固，超高施工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500mmx150mm，2mm厚，钢制热镀锌喷塑，盖板螺栓固定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牵引力拖拉管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2xMPP90改性聚丙烯电力电缆保护管，管壁厚6mm，内径∅78mm，牵引力拖拉管</w:t>
            </w:r>
            <w:r/>
          </w:p>
        </w:tc>
      </w:tr>
      <w:tr>
        <w:trP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keepLines w:val="0"/>
              <w:keepNext w:val="0"/>
              <w:pageBreakBefore w:val="0"/>
              <w:spacing w:line="240" w:lineRule="atLeast"/>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二、西二环高架道路照明</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特征描述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LED单臂路灯一</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AC220V，LED，截光型，4000K，240W，180lm/W，灯杆高11m，Q235B钢灯杆热镀锌喷塑，含单灯控制器接口、450双面发光标识（制作安装要求详见图纸）、2道挂载C槽、8套热镀锌双螺帽及4厚热镀锌垫片；含接线盒：RT-14 6A 3位220V熔断器，8位带盖接线排，标准卡槽，配4厚环氧树脂接线板用于安装元器件，安装在灯杆检修门内，其中有5G法兰69杆，见详图；使用部位：西二环高架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AC220V，LED，截光型，4000K，120W，180lm/W，灯杆高7m，Q235B钢灯杆热镀锌喷塑，含单灯控制器接口、4套热镀锌双螺帽及4厚热镀锌垫片；含接线盒：RT-14 6A 3位220V熔断器，8位带盖接线排，标准卡槽，配4厚环氧树脂接线板用于安装元器件，安装在灯杆检修门内；使用部位：匝道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240W  LED路灯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AC220V，LED，截光型，4000K，240W,180lm/W，含单灯控制器接口；使用部位：高架主线交安及智能化合杆路灯，合杆路灯杆件非本项目范围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VV-0.6/1KV-5x16，路灯回路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VV-0.6/1KV-5x10，路灯回路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VV-0.6/1KV-5x10，吸顶路灯边护栏直通干线回路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BVV-0.45/0.75KV-3×2.5，路灯头接线电缆，护套线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KVVP-2x0.75，单灯控制器至灯头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500mmx150mm，2mm厚，钢制热镀锌喷塑，盖板螺栓固定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100mmx75mm，1.5mm厚，钢制热镀锌喷塑，盖板螺栓固定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一拖一，HPLC宽带电力载波（主通信链路）+CAT1（辅通信链路），安装在灯杆检修门内，适用LED单臂路灯三</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一拖二，HPLC宽带电力载波（主通信链路）+CAT1（辅通信链路），安装在灯杆检修门内，适用带LOGO LED单臂路灯一</w:t>
            </w:r>
            <w:r/>
          </w:p>
        </w:tc>
      </w:tr>
      <w:tr>
        <w:trP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keepLines w:val="0"/>
              <w:keepNext w:val="0"/>
              <w:pageBreakBefore w:val="0"/>
              <w:spacing w:line="240" w:lineRule="atLeast"/>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三、张杨公路地面道路照明</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特征描述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LED单臂路灯二</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AC220V，LED，截光型，4000K，240W，180lm/W，灯杆高12m，Q235B钢灯杆热镀锌喷塑，含单灯控制器接口、2道挂载C槽、4套热镀锌双螺帽及4厚热镀锌垫片；含接线盒：RT-14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AC220V，LED，截光型，4000K，80W，180lm/W，灯杆高7m，Q235B钢灯杆热镀锌喷塑，含单灯控制器接口、4套热镀锌双螺帽及4厚热镀锌垫片；含接线盒：RT-14 6A 3位220V熔断器，8位带盖接线排，标准卡槽，配4厚环氧树脂接线板用于安装元器件，安装在灯杆检修门内；含基础：Q235B钢预埋件，螺纹热镀锌，C30砼，见详图；使用部位：地面慢车道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LED单臂路灯五</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AC220V，LED，截光型，4000K，150W，180lm/W，灯杆高9m，Q235B钢灯杆热镀锌喷塑，含单灯控制器接口、2道挂载C槽、4套热镀锌双螺帽及4厚热镀锌垫片；含接线盒：RT-14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LED双臂路灯三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AC220V，LED，截光型，4000K，150W+80W，180lm/W，灯杆高8m，Q235B钢灯杆热镀锌喷塑，含单灯控制器接口、2道挂载C槽、4套热镀锌双螺帽及4厚热镀锌垫片；含接线盒：RT-14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LED双臂路灯四</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AC220V，LED，截光型，4000K，240W+80W，180lm/W，灯杆高12m，Q235B钢灯杆热镀锌喷塑，含单灯控制器接口、2道挂载C槽、4套热镀锌双螺帽及4厚热镀锌垫片；含接线盒：RT-14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LED吸顶式路灯二</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AC220V，LED，截光型，4000K，120W，180lm/W，吸顶式，含单灯控制器；含转接板等热镀锌五金件；使用部位：高架下地面道路及匝道箱梁底面</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LED吸顶式路灯三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AC220V，LED，截光型，4000K，150W，180lm/W，吸顶式，含单灯控制器；含转接板等热镀锌五金件；使用部位：高架下地面道路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LED漫反射隧道灯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AC220V，LED，漫反射非对称配光，15W，4000K，180lm/W，吸顶式；使用部位：箱涵及下穿道路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LED中杆灯一</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AC220V，LED，投光型，4000K，4×150W，180lm/W,灯杆高14m，Q235B钢灯杆热镀锌喷塑，含单灯控制器接口、2道挂载C槽、8套热镀锌双螺帽及4厚热镀锌垫片；含接线盒：RT-14 6A 3位220V熔断器，8位带盖接线排，标准卡槽，配4厚环氧树脂接线板用于安装元器件，安装在灯杆检修门内；含基础：Q355B钢预埋件，螺纹热镀锌，C30砼，配筋基础，见详图；使用部位：地面主线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单灯控制开关电源保护箱</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2mm厚304不锈钢挂壁式箱体，含外置天线一拖一单灯控制器，低压电气，箱体尺寸600mmx500mx300mm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 LED灯头</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AC220V，LED，截光型，4000K，80W，180lm/W，含单灯控制器接口；使用部位：地面交安及智能化合杆路灯，合杆路灯杆件非本项目范围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 LED灯头</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AC220V，LED，截光型，4000K，150W，180lm/W，含单灯控制器接口；使用部位：地面交安及智能化合杆路灯，合杆路灯杆件非本项目范围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240W LED灯头</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AC220V，LED，截光型，4000K，240W，180lm/W，含单灯控制器接口；使用部位：地面交安及智能化合杆路灯，合杆路灯杆件非本项目范围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 LED投光灯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AC220V，LED，截光型，4000K，150W，180lm/W，含单灯控制器接口；使用部位：地面交安及智能化合杆路灯，合杆路灯杆件非本项目范围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240W LED灯头</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AC220V，LED，截光型，4000K，240W，180lm/W，含单灯控制器接口；使用部位：工程范围外，回路控制范围内的老路灯换灯头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电缆手孔井</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800mmx800mmx1000mm，成品井圈防盗井盖，井盖凹字宋体“路灯”，字高100mm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路灯接地极</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4mm厚4#热镀锌扁钢+5mm厚5#热镀锌角钢，角钢长2.5米，整体热镀锌</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单灯控制开关电源保护箱接地极</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4mm厚4#热镀锌扁钢+5mm厚5#热镀锌角钢，角钢长2.5米，整体热镀锌</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一拖一，HPLC宽带电力载波（主通信链路）+CAT1（辅通信链路），安装在灯杆检修门内，适用单臂路灯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一拖二，HPLC宽带电力载波（主通信链路）+CAT1（辅通信链路），安装在灯杆检修门内，适用双臂路灯，中杆灯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单灯集中控器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上行通信：支持4G无线接口及1000Mbps以太网接口主动连接上级平台系统。下行通信：支持HPLC宽带电力载波通信及2.4G无线双模通信方式。安装在路灯计量控制箱内。详细技术参数见招标文件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2mm厚304不锈钢箱体，含低压电气，详见系统图，箱内安装单灯集中控制器，箱体尺寸1765mmx950mx550mm。含基础：标准砖砌筑，Q235B预埋件，螺纹热镀锌，C30砼。含热镀锌接地极。见详图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VV-0.6/1KV-4x70，控制箱进线电缆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VV-0.6/1KV-5x10，路灯回路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VV-0.6/1KV-5x6，地面分支回路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VV-0.6/1KV-5x6，吸顶路灯分支回路，超高施工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BVV-0.45/0.75KV-3×2.5，路灯头接线电缆，护套线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KVVP-2x0.75，单灯控制器至灯头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PE63电力管，允许公差+0～0.03，管壁厚4mm，内径∅55mm。埋地。含电缆沟开挖恢复，断面见详图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G50热镀锌钢管，外径∅60，管壁厚4.5mm，300x300断面C30砼包管，机动车道。埋地。含电缆沟开挖恢复，断面见详图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G32热镀锌钢管，外径∅42，管壁厚3.5mm，304不锈钢骑马卡，1.5米一道，地面人行通道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DN20，304不锈钢包塑软管，灯具出线套管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两通道排管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2xCPVC160排管，公差±0.2，管壁厚5mm，C15垫层，C30砼包管，控制箱进线电缆管道，用一备一。埋地。含电缆沟开挖恢复，断面见详图。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四通道排管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2x2xCPVC160排管，公差±0.2，管壁厚5mm，C15垫层，C30砼包管，控制箱进线电缆管道，用二备二。埋地。含电缆沟开挖恢复，断面见详图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50mmx30mm，1.5mm厚，铝合金喷塑，盖板和底壳整体用304不锈钢钢丝捆扎加固，超高施工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牵引力拖拉管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2xMPP90改性聚丙烯电力电缆保护管，管壁厚6mm，内径∅78mm，牵引力拖拉管</w:t>
            </w:r>
            <w:r/>
          </w:p>
        </w:tc>
      </w:tr>
      <w:tr>
        <w:trP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keepLines w:val="0"/>
              <w:keepNext w:val="0"/>
              <w:pageBreakBefore w:val="0"/>
              <w:spacing w:line="240" w:lineRule="atLeast"/>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四、张杨公路高架道路照明</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特征描述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LED单臂路灯一</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AC220V，LED，截光型，4000K，240W，灯杆高11m，Q235B钢灯杆热镀锌喷塑，含单灯控制器接口、450双面发光标识（制作安装要求详见图纸）、2道挂载C槽、8套热镀锌双螺帽及4厚热镀锌垫片；含接线盒：RT-14 6A 3位220V熔断器，8位带盖接线排，标准卡槽，配4厚环氧树脂接线板用于安装元器件，安装在灯杆检修门内，其中有5G法兰45杆，见详图；使用部位：张杨公路高架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AC220V，LED，截光型，4000K，120W，180lm/W，灯杆高7m，Q235B钢灯杆热镀锌喷塑，含单灯控制器接口、4套热镀锌双螺帽及4厚热镀锌垫片；含接线盒：RT-14 6A 3位220V熔断器，8位带盖接线排，标准卡槽，配4厚环氧树脂接线板用于安装元器件，安装在灯杆检修门内；使用部位：匝道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LED护栏灯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DC24V，LED，截光偏光防眩光型，4000K，10W，≥100lm/W，另配单灯控制式接线箱；使用部位：张杨公路互通匝道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240W  LED路灯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AC220V，LED，截光型，4000K，180lm/W，含单灯控制器接口；使用部位：高架主线交安及智能化合杆路灯，合杆路灯杆件非本项目范围</w:t>
            </w:r>
            <w:r/>
          </w:p>
        </w:tc>
      </w:tr>
      <w:tr>
        <w:trPr>
          <w:trHeight w:val="731"/>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单灯控制边护栏接线箱内元器件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含350W防雨开关电源、16A/1P+N带漏电断路器、外置天线一拖一单灯控制器各1套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VV-0.6/1KV-5x16，路灯回路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VV-0.6/1KV-5x10，路灯回路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VV-0.6/1KV-5x10，吸顶路灯边护栏直通干线回路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VV-0.6/1KV-5x10，护栏灯边护栏直通干线回路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VVR-0.6/1KV-2x4，护栏灯低压回路，超高施工，超高施工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BVV-0.45/0.75KV-3×2.5，路灯头接线电缆，护套线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KVVP-2x0.75，单灯控制器至灯头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500mmx150mm，2mm厚，钢制热镀锌喷塑，盖板螺栓固定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100mmx75mm，1.5mm厚，钢制热镀锌喷塑，盖板螺栓固定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50mmx30mm，1.5mm厚，铝合金喷塑，盖板和底壳整体用304不锈钢钢丝捆扎加固，超高施工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一拖一，HPLC宽带电力载波（主通信链路）+CAT1（辅通信链路），安装在灯杆检修门内，适用LED单臂路灯三</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一拖二，HPLC宽带电力载波（主通信链路）+CAT1（辅通信链路），安装在灯杆检修门内，适用带LOGO LED单臂路灯一</w:t>
            </w:r>
            <w:r/>
          </w:p>
        </w:tc>
      </w:tr>
      <w:tr>
        <w:trP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keepLines w:val="0"/>
              <w:keepNext w:val="0"/>
              <w:pageBreakBefore w:val="0"/>
              <w:spacing w:line="240" w:lineRule="atLeast"/>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五、西二环（北二环-福新路）地面道路照明</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特征描述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LED单臂路灯四</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AC220V，LED，截光型，4000K，150W，180lm/W，灯杆高8m，Q235B钢灯杆热镀锌喷塑，含单灯控制器接口、2道挂载C槽、4套热镀锌双螺帽及4厚热镀锌垫片；含接线盒：RT-14 6A 3位220V熔断器，8位带盖接线排，标准卡槽，配4厚环氧树脂接线板用于安装元器件，安装在灯杆检修门内；使用部位：桥面</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LED单臂路灯五</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AC220V，LED，截光型，4000K，150W，180lm/W，灯杆高9m，Q235B钢灯杆热镀锌喷塑，含单灯控制器接口、2道挂载C槽、4套热镀锌双螺帽及4厚热镀锌垫片；含接线盒：RT-14 6A 3位220V熔断器，8位带盖接线排，标准卡槽，配4厚环氧树脂接线板用于安装元器件，安装在灯杆检修门内；含基础：Q235B钢预埋件，螺纹热镀锌，C30砼，见详图；使用部位：地面主线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AC220V，LED，截光型，4000K，80W，180lm/W，灯杆高7m，Q235B钢灯杆热镀锌喷塑，含单灯控制器接口、4套热镀锌双螺帽及4厚热镀锌垫片；含接线盒：RT-14 6A 3位220V熔断器，8位带盖接线排，标准卡槽，配4厚环氧树脂接线板用于安装元器件，安装在灯杆检修门内；含基础：Q235B钢预埋件，螺纹热镀锌，C30砼，见详图；使用部位：地面辅道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LED两火路灯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AC220V，LED，投光型，4000K，2×240W，180lm/W，灯杆高12m，Q235B钢灯杆热镀锌喷塑，含单灯控制器接口、4套热镀锌双螺帽及4厚热镀锌垫片；含接线盒：RT-14 6A 3位220V熔断器，8位带盖接线排，标准卡槽，配4厚环氧树脂接线板用于安装元器件，安装在灯杆检修门内；含基础：Q235B钢预埋件，螺纹热镀锌，C30砼，见详图；使用部位：主线渠化段</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LED吸顶式路灯二</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AC220V，LED，截光型，4000K，120W，180lm/W，吸顶式，含单灯控制器；含转接板等热镀锌五金件；使用部位：高架下地面道路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LED吸顶式路灯三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AC220V，LED，截光型，4000K，150W，180lm/W，吸顶式，含单灯控制器；含转接板等热镀锌五金件；使用部位：高架下地面道路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  LED路灯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AC220V，LED，截光型，4000K，150W，180lm/W，含单灯控制器接口；使用部位：地面交安及智能化合杆路灯，合杆路灯杆件非本项目范围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电缆手孔井</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800mmx800mmx1000mm，成品井圈防盗井盖，井盖凹字宋体“路灯”，字高100mm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路灯接地极</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4mm厚4#热镀锌扁钢+5mm厚5#热镀锌角钢，角钢长2.5米，整体热镀锌</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一拖一，HPLC宽带电力载波（主通信链路）+CAT1（辅通信链路），安装在灯杆检修门内，适用单臂路灯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一拖二，HPLC宽带电力载波（主通信链路）+CAT1（辅通信链路），安装在灯杆检修门内，适用双臂路灯，中杆灯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VV-0.6/1KV-5x10，路灯回路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VV-0.6/1KV-5x6，吸顶路灯分支回路，超高</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BVV-0.45/0.75KV-3×2.5，路灯头接线电缆，护套线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KVVP-2x0.75，单灯控制器至灯头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PE63电力管，允许公差+0～0.03，管壁厚4mm，内径∅55mm。埋地。含电缆沟开挖恢复，断面见详图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G50热镀锌钢管，外径∅60，管壁厚4.5mm，C30砼包管。埋地。含电缆沟开挖恢复，断面见详图</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电缆套管</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DN20，304不锈钢包塑软管，灯具出线套管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50mmx30mm，1.2mm厚，铝合金喷塑，盖板捆扎加固，吸顶路灯分支回路，超高</w:t>
            </w:r>
            <w:r/>
          </w:p>
        </w:tc>
      </w:tr>
      <w:tr>
        <w:trP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keepLines w:val="0"/>
              <w:keepNext w:val="0"/>
              <w:pageBreakBefore w:val="0"/>
              <w:spacing w:line="240" w:lineRule="atLeast"/>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六、西二环（北二环-福新路）高架道路照明</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特征描述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LED单臂路灯一</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AC220V，LED，截光型，4000K，240W，180lm/W，灯杆高11m，Q235B钢灯杆热镀锌喷塑，含单灯控制器接口、450双面发光标识（制作安装要求详见图纸）、2道挂载C槽、8套热镀锌双螺帽及4厚热镀锌垫片；含接线盒：RT-14 6A 3位220V熔断器，8位带盖接线排，标准卡槽，配4厚环氧树脂接线板用于安装元器件，安装在灯杆检修门内，其中有5G法兰4杆，见详图；使用部位：西二环高架主线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LED单臂路灯三</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AC220V，LED，截光型，4000K，120W，180lm/W，灯杆高7m，Q235B钢灯杆热镀锌喷塑，含单灯控制器接口、4套热镀锌双螺帽及4厚热镀锌垫片；含接线盒：RT-14 6A 3位220V熔断器，8位带盖接线排，标准卡槽，配4厚环氧树脂接线板用于安装元器件，安装在灯杆检修门内；使用部位：9m匝道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240W  LED路灯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AC220V，LED，截光型，4000K，240W，180lm/W，含单灯控制器接口；使用部位：使用部位：高架主线交安及智能化合杆路灯，合杆路灯杆件非本项目范围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VV-0.6/1KV-5x10，路灯回路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VV-0.6/1KV-5x10，吸顶路灯边护栏直通干线回路，超高施工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BVV-0.45/0.75KV-3×2.5，路灯头接线电缆，护套线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KVVP-2x0.75，单灯控制器至灯头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一拖一，HPLC宽带电力载波（主通信链路）+CAT1（辅通信链路），安装在灯杆检修门内，适用LED单臂路灯三</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一拖二，HPLC宽带电力载波（主通信链路）+CAT1（辅通信链路），安装在灯杆检修门内，适用带LOGO LED单臂路灯一</w:t>
            </w:r>
            <w:r/>
          </w:p>
        </w:tc>
      </w:tr>
      <w:tr>
        <w:trP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0"/>
              <w:jc w:val="both"/>
              <w:keepLines w:val="0"/>
              <w:keepNext w:val="0"/>
              <w:pageBreakBefore w:val="0"/>
              <w:spacing w:line="240" w:lineRule="atLeast"/>
              <w:widowControl/>
              <w:rPr>
                <w:rFonts w:hint="eastAsia" w:ascii="宋体" w:hAnsi="宋体" w:eastAsia="宋体" w:cs="宋体"/>
                <w:b/>
                <w:bCs/>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七、西二环（福新路-晨阳路）道路照明</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特征描述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LED单臂路灯一</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AC220V，LED，截光型，4000K，240W，180lm/W，灯杆高12m，Q235B钢灯杆热镀锌喷塑，含单灯控制器接口、4套热镀锌双螺帽及4厚热镀锌垫片，含接线盒：RT-14 6A 3位220V熔断器，8位带盖接线排，标准卡槽，配4厚环氧树脂接线板用于安装元器件，安装在灯杆检修门内；使用部位：地面主线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LED单臂路灯二</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AC220V，LED，截光型，4000K，120W，180lm/W，灯杆高8.5m，Q235B钢灯杆热镀锌喷塑，灯杆法兰特殊尺寸，含单灯控制器接口、4套热镀锌双螺帽及4厚热镀锌垫片，含接线盒：RT-14 6A 3位220V熔断器，8位带盖接线排，标准卡槽，配4厚环氧树脂接线板用于安装元器件，安装在灯杆检修门内；使用部位：隧道引道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AC220V，LED，截光型，4000K，240W+80W，180lm/W，灯杆高12m，Q235B钢灯杆热镀锌喷塑，含单灯控制器接口、4套热镀锌双螺帽及4厚热镀锌垫片，含接线盒：RT-14 6A 3位220V熔断器，8位带盖接线排，标准卡槽，配4厚环氧树脂接线板用于安装元器件，安装在灯杆检修门内；使用部位：地面主线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LED两火路灯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AC220V，LED，投光型，4000K，2×240W，180lm/W，灯杆高12m，Q235B钢灯杆热镀锌喷塑，含单灯控制器接口、4套热镀锌双螺帽及4厚热镀锌垫片，含接线盒：RT-14 6A 3位220V熔断器，8位带盖接线排，标准卡槽，配4厚环氧树脂接线板用于安装元器件，安装在灯杆检修门内；使用部位：地面主线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LED中杆灯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AC220V，LED，投光型，4000K，4×150W，180lm/W，灯杆高14m，Q235B钢灯杆热镀锌喷塑，含单灯控制器接口、6套热镀锌双螺帽及4厚热镀锌垫片，含接线盒：RT-14 6A 3位220V熔断器，8位带盖接线排，标准卡槽，配4厚环氧树脂接线板用于安装元器件，安装在灯杆检修门内；使用部位：地面路口</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一拖一单灯控制器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一拖一，HPLC宽带电力载波（主通信链路）+CAT1（辅通信链路），安装在灯杆检修门内，适用单臂路灯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一拖二单灯控制器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一拖二，HPLC宽带电力载波（主通信链路）+CAT1（辅通信链路），安装在灯杆检修门内，适用双臂路灯，中杆灯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单灯集中控器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上行通信：支持4G无线接口及1000Mbps以太网接口主动连接上级平台系统。下行通信：支持HPLC宽带电力载波通信及2.4G无线双模通信方式。安装在AL2路灯计量控制箱内。详细技术参数见招标文件。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单灯集中控器</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按杨舍镇要求，安装晨阳路北侧AL1路灯控制箱内</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VV-0.6/1KV-5x16，路灯回路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BVV-0.45/0.75KV-3×2.5，路灯接线电缆，护套线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KVVP-2x0.75，单灯控制器至灯头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拆除路灯</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成品保护运输至市政服务中心指定仓库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拆除旧电缆</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运输至市政服务中心指定仓库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路灯基础不锈钢包封拆除及恢复</w:t>
            </w:r>
            <w:r/>
          </w:p>
        </w:tc>
        <w:tc>
          <w:tcPr>
            <w:shd w:val="clear" w:color="auto" w:fill="auto"/>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成品保护，原状恢复</w:t>
            </w:r>
            <w:r/>
          </w:p>
        </w:tc>
      </w:tr>
    </w:tbl>
    <w:p>
      <w:pPr>
        <w:ind w:firstLine="0"/>
        <w:rPr>
          <w:color w:val="auto"/>
        </w:rPr>
      </w:pPr>
      <w:r>
        <w:rPr>
          <w:color w:val="auto"/>
        </w:rPr>
      </w:r>
      <w:r/>
    </w:p>
    <w:p>
      <w:pPr>
        <w:pStyle w:val="935"/>
        <w:numPr>
          <w:ilvl w:val="0"/>
          <w:numId w:val="0"/>
        </w:numPr>
        <w:ind w:firstLine="0"/>
        <w:spacing w:line="360" w:lineRule="exact"/>
        <w:rPr>
          <w:rFonts w:hint="eastAsia"/>
          <w:b/>
          <w:bCs/>
          <w:color w:val="auto"/>
        </w:rPr>
      </w:pPr>
      <w:r>
        <w:rPr>
          <w:rFonts w:hint="eastAsia" w:ascii="宋体" w:hAnsi="宋体" w:eastAsia="宋体" w:cs="Times New Roman"/>
          <w:b/>
          <w:bCs/>
          <w:color w:val="auto"/>
          <w:sz w:val="24"/>
          <w:szCs w:val="24"/>
          <w:lang w:val="en-US" w:eastAsia="zh-CN" w:bidi="ar-SA"/>
        </w:rPr>
        <w:t xml:space="preserve">（</w:t>
      </w:r>
      <w:r>
        <w:rPr>
          <w:rFonts w:hint="eastAsia" w:cs="Times New Roman"/>
          <w:b/>
          <w:bCs/>
          <w:color w:val="auto"/>
          <w:sz w:val="24"/>
          <w:szCs w:val="24"/>
          <w:lang w:val="en-US" w:eastAsia="zh-CN" w:bidi="ar-SA"/>
        </w:rPr>
        <w:t xml:space="preserve">二</w:t>
      </w:r>
      <w:r>
        <w:rPr>
          <w:rFonts w:hint="eastAsia" w:ascii="宋体" w:hAnsi="宋体" w:eastAsia="宋体" w:cs="Times New Roman"/>
          <w:b/>
          <w:bCs/>
          <w:color w:val="auto"/>
          <w:sz w:val="24"/>
          <w:szCs w:val="24"/>
          <w:lang w:val="en-US" w:eastAsia="zh-CN" w:bidi="ar-SA"/>
        </w:rPr>
        <w:t xml:space="preserve">）</w:t>
      </w:r>
      <w:r>
        <w:rPr>
          <w:rFonts w:hint="eastAsia"/>
          <w:b/>
          <w:bCs/>
          <w:color w:val="auto"/>
        </w:rPr>
        <w:t xml:space="preserve">项目需求</w:t>
      </w:r>
      <w:r/>
    </w:p>
    <w:p>
      <w:pPr>
        <w:pStyle w:val="935"/>
        <w:spacing w:line="360" w:lineRule="exact"/>
        <w:rPr>
          <w:rFonts w:hint="eastAsia" w:cs="宋体"/>
          <w:color w:val="auto"/>
          <w:shd w:val="clear" w:color="auto" w:fill="ffffff"/>
        </w:rPr>
      </w:pPr>
      <w:r>
        <w:rPr>
          <w:rFonts w:hint="eastAsia" w:ascii="宋体" w:hAnsi="宋体" w:eastAsia="宋体" w:cs="宋体"/>
          <w:color w:val="auto"/>
          <w:shd w:val="clear" w:color="auto" w:fill="ffffff"/>
        </w:rPr>
        <w:t xml:space="preserve">本项目实施范围起点位于长安南路，对既有老路采用高架型式进行快速化改造，主线高架跨越老张杨公路落地后，以隧道形式下穿南沿江铁路与晨丰公路，止于晨阳路，路线全长约 8.737km。与张杨公路交叉设全互通枢纽，并同时改造张杨公路（港城大道-疏港高速段）约4.222km。</w:t>
      </w:r>
      <w:r>
        <w:rPr>
          <w:rFonts w:hint="eastAsia" w:cs="宋体"/>
          <w:color w:val="auto"/>
          <w:shd w:val="clear" w:color="auto" w:fill="ffffff"/>
        </w:rPr>
        <w:t xml:space="preserve">本项目主要包含路灯、灯具、吸顶灯、隧道灯、护栏灯等相关设备的供货、安装、调试以及售后服务等相关工作。</w:t>
      </w:r>
      <w:r/>
    </w:p>
    <w:p>
      <w:pPr>
        <w:pStyle w:val="1123"/>
        <w:ind w:firstLine="508"/>
        <w:spacing w:line="400" w:lineRule="exact"/>
        <w:rPr>
          <w:rFonts w:hint="eastAsia" w:ascii="宋体" w:hAnsi="宋体" w:eastAsia="宋体" w:cs="宋体"/>
          <w:i/>
          <w:iCs/>
          <w:color w:val="auto"/>
          <w:spacing w:val="0"/>
          <w:u w:val="single"/>
          <w:shd w:val="clear" w:color="auto" w:fill="ffffff"/>
          <w:lang w:eastAsia="zh-CN"/>
        </w:rPr>
      </w:pPr>
      <w:r>
        <w:rPr>
          <w:rFonts w:hint="eastAsia" w:ascii="宋体" w:hAnsi="宋体" w:eastAsia="宋体" w:cs="宋体"/>
          <w:i/>
          <w:iCs/>
          <w:color w:val="auto"/>
          <w:spacing w:val="0"/>
          <w:u w:val="single"/>
          <w:shd w:val="clear" w:color="auto" w:fill="ffffff"/>
        </w:rPr>
        <w:t xml:space="preserve">本项目安装的路灯智能控制系统</w:t>
      </w:r>
      <w:r>
        <w:rPr>
          <w:rFonts w:hint="eastAsia" w:ascii="宋体" w:hAnsi="宋体" w:eastAsia="宋体" w:cs="宋体"/>
          <w:i/>
          <w:iCs/>
          <w:color w:val="auto"/>
          <w:spacing w:val="0"/>
          <w:u w:val="single"/>
          <w:shd w:val="clear" w:color="auto" w:fill="ffffff"/>
          <w:lang w:val="en-US" w:eastAsia="zh-CN"/>
        </w:rPr>
        <w:t xml:space="preserve">须</w:t>
      </w:r>
      <w:r>
        <w:rPr>
          <w:rFonts w:hint="eastAsia" w:ascii="宋体" w:hAnsi="宋体" w:eastAsia="宋体" w:cs="宋体"/>
          <w:i/>
          <w:iCs/>
          <w:color w:val="auto"/>
          <w:spacing w:val="0"/>
          <w:u w:val="single"/>
          <w:shd w:val="clear" w:color="auto" w:fill="ffffff"/>
        </w:rPr>
        <w:t xml:space="preserve">接入现有张家港市智慧照明管理平台，所有操作与数据均应在张家港市智慧照明管理平台操作显示（中标单位需承担所有平台对接及开发所产生的费用</w:t>
      </w:r>
      <w:r>
        <w:rPr>
          <w:rFonts w:hint="eastAsia" w:ascii="宋体" w:hAnsi="宋体" w:eastAsia="宋体" w:cs="宋体"/>
          <w:i/>
          <w:iCs/>
          <w:color w:val="auto"/>
          <w:spacing w:val="0"/>
          <w:u w:val="single"/>
          <w:shd w:val="clear" w:color="auto" w:fill="ffffff"/>
          <w:lang w:eastAsia="zh-CN"/>
        </w:rPr>
        <w:t xml:space="preserve">）。</w:t>
      </w:r>
      <w:r/>
    </w:p>
    <w:p>
      <w:pPr>
        <w:pStyle w:val="1123"/>
        <w:ind w:firstLine="508"/>
        <w:spacing w:line="400" w:lineRule="exact"/>
        <w:rPr>
          <w:rFonts w:hint="eastAsia" w:ascii="宋体" w:hAnsi="宋体" w:eastAsia="宋体" w:cs="宋体"/>
          <w:i/>
          <w:iCs/>
          <w:color w:val="auto"/>
          <w:spacing w:val="0"/>
          <w:u w:val="single"/>
          <w:shd w:val="clear" w:color="auto" w:fill="ffffff"/>
          <w:lang w:eastAsia="zh-CN"/>
        </w:rPr>
      </w:pPr>
      <w:r>
        <w:rPr>
          <w:rFonts w:hint="eastAsia" w:ascii="宋体" w:hAnsi="宋体" w:eastAsia="宋体" w:cs="宋体"/>
          <w:i/>
          <w:iCs/>
          <w:color w:val="auto"/>
          <w:spacing w:val="0"/>
          <w:u w:val="single"/>
          <w:shd w:val="clear" w:color="auto" w:fill="ffffff"/>
          <w:lang w:eastAsia="zh-CN"/>
        </w:rPr>
      </w:r>
      <w:r/>
    </w:p>
    <w:p>
      <w:pPr>
        <w:pStyle w:val="935"/>
        <w:numPr>
          <w:ilvl w:val="0"/>
          <w:numId w:val="0"/>
        </w:numPr>
        <w:ind w:firstLine="0"/>
        <w:spacing w:line="360" w:lineRule="exact"/>
        <w:rPr>
          <w:rFonts w:hint="eastAsia"/>
          <w:b/>
          <w:bCs/>
          <w:color w:val="auto"/>
        </w:rPr>
      </w:pPr>
      <w:r>
        <w:rPr>
          <w:rFonts w:hint="eastAsia" w:ascii="宋体" w:hAnsi="宋体" w:eastAsia="宋体" w:cs="Times New Roman"/>
          <w:b/>
          <w:bCs/>
          <w:color w:val="auto"/>
          <w:sz w:val="24"/>
          <w:szCs w:val="24"/>
          <w:lang w:val="en-US" w:eastAsia="zh-CN" w:bidi="ar-SA"/>
        </w:rPr>
        <w:t xml:space="preserve">（</w:t>
      </w:r>
      <w:r>
        <w:rPr>
          <w:rFonts w:hint="eastAsia" w:cs="Times New Roman"/>
          <w:b/>
          <w:bCs/>
          <w:color w:val="auto"/>
          <w:sz w:val="24"/>
          <w:szCs w:val="24"/>
          <w:lang w:val="en-US" w:eastAsia="zh-CN" w:bidi="ar-SA"/>
        </w:rPr>
        <w:t xml:space="preserve">三</w:t>
      </w:r>
      <w:r>
        <w:rPr>
          <w:rFonts w:hint="eastAsia" w:ascii="宋体" w:hAnsi="宋体" w:eastAsia="宋体" w:cs="Times New Roman"/>
          <w:b/>
          <w:bCs/>
          <w:color w:val="auto"/>
          <w:sz w:val="24"/>
          <w:szCs w:val="24"/>
          <w:lang w:val="en-US" w:eastAsia="zh-CN" w:bidi="ar-SA"/>
        </w:rPr>
        <w:t xml:space="preserve">）</w:t>
      </w:r>
      <w:r>
        <w:rPr>
          <w:rFonts w:hint="eastAsia"/>
          <w:b/>
          <w:bCs/>
          <w:color w:val="auto"/>
        </w:rPr>
        <w:t xml:space="preserve">建设标准</w:t>
      </w:r>
      <w:r/>
    </w:p>
    <w:p>
      <w:pPr>
        <w:pStyle w:val="1168"/>
        <w:ind w:firstLine="482"/>
        <w:spacing w:line="360" w:lineRule="exact"/>
        <w:rPr>
          <w:rStyle w:val="1163"/>
          <w:rFonts w:hint="eastAsia" w:ascii="宋体" w:hAnsi="宋体" w:eastAsia="宋体" w:cs="宋体"/>
          <w:b/>
          <w:bCs/>
          <w:iCs/>
          <w:color w:val="auto"/>
          <w:sz w:val="24"/>
          <w:szCs w:val="32"/>
        </w:rPr>
      </w:pPr>
      <w:r>
        <w:rPr>
          <w:rStyle w:val="1163"/>
          <w:rFonts w:hint="eastAsia" w:ascii="宋体" w:hAnsi="宋体" w:eastAsia="宋体" w:cs="宋体"/>
          <w:b/>
          <w:bCs/>
          <w:iCs/>
          <w:color w:val="auto"/>
          <w:sz w:val="24"/>
          <w:szCs w:val="32"/>
          <w:lang w:val="en-US" w:eastAsia="zh-CN"/>
        </w:rPr>
        <w:t xml:space="preserve">3</w:t>
      </w:r>
      <w:r>
        <w:rPr>
          <w:rStyle w:val="1163"/>
          <w:rFonts w:hint="eastAsia" w:ascii="宋体" w:hAnsi="宋体" w:eastAsia="宋体" w:cs="宋体"/>
          <w:b/>
          <w:bCs/>
          <w:iCs/>
          <w:color w:val="auto"/>
          <w:sz w:val="24"/>
          <w:szCs w:val="32"/>
        </w:rPr>
        <w:t xml:space="preserve">.1  建设标准</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本项目技术要求中引用以下技术规范和标准（包括但不限于），如有最新规范以新规范为准：</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（1）项目验收标准及测量方法：</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GB/T5700-2023    《照明测量方法》；</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CJJ45-2015       《城市道路照明设计标准》；</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（2）灯具产品规范与标准：</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GB/T 7000.1-2023 《灯具 第1部分:一般要求与试验》；                      </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GB7000.203-2013  《灯具 第2-3部分：特殊要求道路与街路照明灯具》；</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GB/T20138-2023   《电气设备外壳对外界机械碰撞的防护等级》；</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GB/T17626.5-2019 《电磁兼容试验和测量技术浪涌(冲击)抗扰度试验》；</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GB/T 2423.101-2025 《环境试验 第2部分：试验方法 试验：倾斜和摇摆》；</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w:t>
      </w:r>
      <w:r>
        <w:rPr>
          <w:rStyle w:val="1163"/>
          <w:rFonts w:hint="eastAsia" w:ascii="宋体" w:hAnsi="宋体" w:eastAsia="宋体" w:cs="宋体"/>
          <w:iCs/>
          <w:color w:val="auto"/>
          <w:sz w:val="24"/>
          <w:szCs w:val="32"/>
          <w:highlight w:val="none"/>
          <w:lang w:val="en-US"/>
        </w:rPr>
        <w:t xml:space="preserve">/T</w:t>
      </w:r>
      <w:r>
        <w:rPr>
          <w:rStyle w:val="1163"/>
          <w:rFonts w:hint="eastAsia" w:ascii="宋体" w:hAnsi="宋体" w:eastAsia="宋体" w:cs="宋体"/>
          <w:iCs/>
          <w:color w:val="auto"/>
          <w:sz w:val="24"/>
          <w:szCs w:val="32"/>
          <w:highlight w:val="none"/>
        </w:rPr>
        <w:t xml:space="preserve"> 17743-2021  《电气照明和类似设备的无线电骚扰特性的限值和测量方法》；</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 17625.1-2022  《电磁兼容 限值 第1部分：谐波电流发射限值（设备每相输入电流≤16A）》；</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GB/T 18595-2014  《一般照明用设备电磁兼容抗扰度要求》；</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GB/T 4208-2017   《外壳防护等级（IP代码）》；</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GB/T 24819-2023  《普通照明用LED模块 安全规范》；</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GB/T 9468-2008   《灯具分布光度测量的一般要求》；</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GB/T 24825-2022  《LED模块用直流或交流电子控制装置性能规范》；</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GB/T 2423.22-2012《环境试验 第2部分：试验方法 试验N：温度变化》；</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GB/T 24824-2009  《普通照明用LED模块测试方法》；</w:t>
      </w:r>
      <w:r/>
    </w:p>
    <w:p>
      <w:pPr>
        <w:pStyle w:val="1168"/>
        <w:ind w:firstLine="480"/>
        <w:spacing w:line="360" w:lineRule="exact"/>
        <w:rPr>
          <w:rStyle w:val="1163"/>
          <w:rFonts w:hint="eastAsia" w:ascii="宋体" w:hAnsi="宋体" w:eastAsia="宋体" w:cs="宋体"/>
          <w:iCs/>
          <w:color w:val="auto"/>
          <w:sz w:val="24"/>
          <w:szCs w:val="32"/>
          <w:highlight w:val="none"/>
        </w:rPr>
      </w:pPr>
      <w:r>
        <w:rPr>
          <w:rStyle w:val="1163"/>
          <w:rFonts w:hint="eastAsia" w:ascii="宋体" w:hAnsi="宋体" w:eastAsia="宋体" w:cs="宋体"/>
          <w:iCs/>
          <w:color w:val="auto"/>
          <w:sz w:val="24"/>
          <w:szCs w:val="32"/>
          <w:highlight w:val="none"/>
        </w:rPr>
        <w:t xml:space="preserve">GB/T 2423.17-2024《环境试验 第2部分：试验方法 试验Ka：盐雾》；</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IES LM-79-08     《固态照明产品电气和光度测量方法》；</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IES LM-79-19     《固态照明产品光学和电气测量方法》；</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GB/T24825-2022   《LED模块用直流或交流电子控制装置性能规范》；</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GB/T2423.22-2012 《环境试验 第2部分：试验方法 试验N：温度变化》；</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GB/T 19510.211-2023 《光源控制装置 第2-11部分：与灯具联用的杂类电子线路的特殊要求》；</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CJ/T 527-2018 《道路照明灯杆技术条件》；</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GB/T 40994-2021 《智慧城市智慧多功能杆服务功能与运行管理规范》。</w:t>
      </w:r>
      <w:r/>
    </w:p>
    <w:p>
      <w:pPr>
        <w:pStyle w:val="1168"/>
        <w:ind w:firstLine="482"/>
        <w:spacing w:line="360" w:lineRule="exact"/>
        <w:rPr>
          <w:rStyle w:val="1163"/>
          <w:rFonts w:hint="eastAsia" w:ascii="宋体" w:hAnsi="宋体" w:eastAsia="宋体" w:cs="宋体"/>
          <w:b/>
          <w:bCs/>
          <w:iCs/>
          <w:color w:val="auto"/>
          <w:sz w:val="24"/>
          <w:szCs w:val="32"/>
        </w:rPr>
      </w:pPr>
      <w:r>
        <w:rPr>
          <w:rStyle w:val="1163"/>
          <w:rFonts w:hint="eastAsia" w:ascii="宋体" w:hAnsi="宋体" w:eastAsia="宋体" w:cs="宋体"/>
          <w:b/>
          <w:bCs/>
          <w:iCs/>
          <w:color w:val="auto"/>
          <w:sz w:val="24"/>
          <w:szCs w:val="32"/>
          <w:lang w:val="en-US" w:eastAsia="zh-CN"/>
        </w:rPr>
        <w:t xml:space="preserve">3</w:t>
      </w:r>
      <w:r>
        <w:rPr>
          <w:rStyle w:val="1163"/>
          <w:rFonts w:hint="eastAsia" w:ascii="宋体" w:hAnsi="宋体" w:eastAsia="宋体" w:cs="宋体"/>
          <w:b/>
          <w:bCs/>
          <w:iCs/>
          <w:color w:val="auto"/>
          <w:sz w:val="24"/>
          <w:szCs w:val="32"/>
        </w:rPr>
        <w:t xml:space="preserve">.2  照明标准</w:t>
      </w:r>
      <w:r/>
    </w:p>
    <w:p>
      <w:pPr>
        <w:pStyle w:val="1168"/>
        <w:ind w:firstLine="480"/>
        <w:spacing w:line="360" w:lineRule="exact"/>
        <w:rPr>
          <w:rStyle w:val="1163"/>
          <w:rFonts w:hint="eastAsia" w:ascii="宋体" w:hAnsi="宋体" w:eastAsia="宋体" w:cs="宋体"/>
          <w:iCs/>
          <w:color w:val="auto"/>
          <w:sz w:val="24"/>
          <w:szCs w:val="32"/>
        </w:rPr>
      </w:pPr>
      <w:r>
        <w:rPr>
          <w:rStyle w:val="1163"/>
          <w:rFonts w:hint="eastAsia" w:ascii="宋体" w:hAnsi="宋体" w:eastAsia="宋体" w:cs="宋体"/>
          <w:iCs/>
          <w:color w:val="auto"/>
          <w:sz w:val="24"/>
          <w:szCs w:val="32"/>
        </w:rPr>
        <w:t xml:space="preserve">本项目根据道路照明要求《城市道路照明设计标准》（CJJ45-2015），属于城市快速路。灯具设备采用高光效灯具，要求灯具防护等级不低于IP65。投标单位应确保道路照明相关指标和LED灯具符合《城市道路照明设计标准》（CJJ45-2015）和本项目路灯技术要求。</w:t>
      </w:r>
      <w:r/>
    </w:p>
    <w:p>
      <w:pPr>
        <w:pStyle w:val="1168"/>
        <w:ind w:firstLine="422"/>
        <w:jc w:val="center"/>
        <w:spacing w:line="360" w:lineRule="exact"/>
        <w:rPr>
          <w:rStyle w:val="1163"/>
          <w:rFonts w:hint="eastAsia" w:ascii="宋体" w:hAnsi="宋体" w:eastAsia="宋体" w:cs="宋体"/>
          <w:b/>
          <w:bCs/>
          <w:iCs/>
          <w:color w:val="auto"/>
          <w:sz w:val="24"/>
          <w:szCs w:val="32"/>
        </w:rPr>
      </w:pPr>
      <w:r>
        <w:rPr>
          <w:rStyle w:val="1163"/>
          <w:rFonts w:hint="eastAsia" w:ascii="宋体" w:hAnsi="宋体" w:eastAsia="宋体" w:cs="宋体"/>
          <w:b/>
          <w:bCs/>
          <w:iCs/>
          <w:color w:val="auto"/>
          <w:sz w:val="24"/>
          <w:szCs w:val="32"/>
        </w:rPr>
        <w:t xml:space="preserve">表1 机动车交通道路照明标准值</w:t>
      </w:r>
      <w:r/>
    </w:p>
    <w:tbl>
      <w:tblPr>
        <w:tblStyle w:val="904"/>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
        <w:gridCol w:w="1075"/>
        <w:gridCol w:w="1063"/>
        <w:gridCol w:w="962"/>
        <w:gridCol w:w="1052"/>
        <w:gridCol w:w="1340"/>
        <w:gridCol w:w="1235"/>
        <w:gridCol w:w="1445"/>
        <w:gridCol w:w="1104"/>
      </w:tblGrid>
      <w:tr>
        <w:trPr>
          <w:jc w:val="center"/>
          <w:trHeight w:val="441"/>
        </w:trPr>
        <w:tc>
          <w:tcPr>
            <w:tcW w:w="539" w:type="dxa"/>
            <w:vAlign w:val="center"/>
            <w:vMerge w:val="restart"/>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级别</w:t>
            </w:r>
            <w:r/>
          </w:p>
        </w:tc>
        <w:tc>
          <w:tcPr>
            <w:tcW w:w="1075" w:type="dxa"/>
            <w:vAlign w:val="center"/>
            <w:vMerge w:val="restart"/>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道路</w:t>
            </w:r>
            <w:r/>
          </w:p>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类型</w:t>
            </w:r>
            <w:r/>
          </w:p>
        </w:tc>
        <w:tc>
          <w:tcPr>
            <w:gridSpan w:val="3"/>
            <w:tcW w:w="3077"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路面亮度</w:t>
            </w:r>
            <w:r/>
          </w:p>
        </w:tc>
        <w:tc>
          <w:tcPr>
            <w:gridSpan w:val="2"/>
            <w:tcW w:w="2575"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路面照度</w:t>
            </w:r>
            <w:r/>
          </w:p>
        </w:tc>
        <w:tc>
          <w:tcPr>
            <w:tcW w:w="1445" w:type="dxa"/>
            <w:vAlign w:val="center"/>
            <w:vMerge w:val="restart"/>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眩光限制阈值增量T1（%）最大初始值</w:t>
            </w:r>
            <w:r/>
          </w:p>
        </w:tc>
        <w:tc>
          <w:tcPr>
            <w:tcW w:w="1104" w:type="dxa"/>
            <w:vAlign w:val="center"/>
            <w:vMerge w:val="restart"/>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环境比SR最小</w:t>
            </w:r>
            <w:r/>
          </w:p>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值</w:t>
            </w:r>
            <w:r/>
          </w:p>
        </w:tc>
      </w:tr>
      <w:tr>
        <w:trPr>
          <w:jc w:val="center"/>
          <w:trHeight w:val="1117"/>
        </w:trPr>
        <w:tc>
          <w:tcPr>
            <w:tcW w:w="539"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c>
          <w:tcPr>
            <w:tcW w:w="1075"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c>
          <w:tcPr>
            <w:tcW w:w="1063"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平均亮度Lav（cd/m2）</w:t>
            </w:r>
            <w:r/>
          </w:p>
        </w:tc>
        <w:tc>
          <w:tcPr>
            <w:tcW w:w="96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总均匀度U</w:t>
            </w:r>
            <w:r>
              <w:rPr>
                <w:rStyle w:val="1163"/>
                <w:rFonts w:hint="eastAsia" w:ascii="宋体" w:hAnsi="宋体" w:eastAsia="宋体" w:cs="宋体"/>
                <w:iCs/>
                <w:color w:val="auto"/>
                <w:vertAlign w:val="subscript"/>
              </w:rPr>
              <w:t xml:space="preserve">o</w:t>
            </w:r>
            <w:r>
              <w:rPr>
                <w:rStyle w:val="1163"/>
                <w:rFonts w:hint="eastAsia" w:ascii="宋体" w:hAnsi="宋体" w:eastAsia="宋体" w:cs="宋体"/>
                <w:iCs/>
                <w:color w:val="auto"/>
              </w:rPr>
              <w:t xml:space="preserve">最小值</w:t>
            </w:r>
            <w:r/>
          </w:p>
        </w:tc>
        <w:tc>
          <w:tcPr>
            <w:tcW w:w="105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纵向均匀度U</w:t>
            </w:r>
            <w:r>
              <w:rPr>
                <w:rStyle w:val="1163"/>
                <w:rFonts w:hint="eastAsia" w:ascii="宋体" w:hAnsi="宋体" w:eastAsia="宋体" w:cs="宋体"/>
                <w:iCs/>
                <w:color w:val="auto"/>
                <w:vertAlign w:val="subscript"/>
              </w:rPr>
              <w:t xml:space="preserve">L</w:t>
            </w:r>
            <w:r>
              <w:rPr>
                <w:rStyle w:val="1163"/>
                <w:rFonts w:hint="eastAsia" w:ascii="宋体" w:hAnsi="宋体" w:eastAsia="宋体" w:cs="宋体"/>
                <w:iCs/>
                <w:color w:val="auto"/>
              </w:rPr>
              <w:t xml:space="preserve">最小值</w:t>
            </w:r>
            <w:r/>
          </w:p>
        </w:tc>
        <w:tc>
          <w:tcPr>
            <w:tcW w:w="1340"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平均照</w:t>
            </w:r>
            <w:r/>
          </w:p>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度Eh,av（lx）维持值</w:t>
            </w:r>
            <w:r/>
          </w:p>
        </w:tc>
        <w:tc>
          <w:tcPr>
            <w:tcW w:w="1235"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均匀度UE最小值</w:t>
            </w:r>
            <w:r/>
          </w:p>
        </w:tc>
        <w:tc>
          <w:tcPr>
            <w:tcW w:w="1445"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c>
          <w:tcPr>
            <w:tcW w:w="1104"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r>
      <w:tr>
        <w:trPr>
          <w:jc w:val="center"/>
          <w:trHeight w:val="847"/>
        </w:trPr>
        <w:tc>
          <w:tcPr>
            <w:tcW w:w="539"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Ⅰ</w:t>
            </w:r>
            <w:r/>
          </w:p>
        </w:tc>
        <w:tc>
          <w:tcPr>
            <w:tcW w:w="1075"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快速路、主干路</w:t>
            </w:r>
            <w:r/>
          </w:p>
        </w:tc>
        <w:tc>
          <w:tcPr>
            <w:tcW w:w="1063"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1.5/2.0</w:t>
            </w:r>
            <w:r/>
          </w:p>
        </w:tc>
        <w:tc>
          <w:tcPr>
            <w:tcW w:w="962"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0.4</w:t>
            </w:r>
            <w:r/>
          </w:p>
        </w:tc>
        <w:tc>
          <w:tcPr>
            <w:tcW w:w="1052"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0.7</w:t>
            </w:r>
            <w:r/>
          </w:p>
        </w:tc>
        <w:tc>
          <w:tcPr>
            <w:tcW w:w="1340"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20/30</w:t>
            </w:r>
            <w:r/>
          </w:p>
        </w:tc>
        <w:tc>
          <w:tcPr>
            <w:tcW w:w="1235"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0.4</w:t>
            </w:r>
            <w:r/>
          </w:p>
        </w:tc>
        <w:tc>
          <w:tcPr>
            <w:tcW w:w="1445"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10</w:t>
            </w:r>
            <w:r/>
          </w:p>
        </w:tc>
        <w:tc>
          <w:tcPr>
            <w:tcW w:w="1104" w:type="dxa"/>
            <w:vAlign w:val="center"/>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0.5</w:t>
            </w:r>
            <w:r/>
          </w:p>
        </w:tc>
      </w:tr>
    </w:tbl>
    <w:p>
      <w:pPr>
        <w:pStyle w:val="1168"/>
        <w:ind w:firstLine="422"/>
        <w:jc w:val="center"/>
        <w:spacing w:line="360" w:lineRule="exact"/>
        <w:rPr>
          <w:rStyle w:val="1163"/>
          <w:rFonts w:hint="eastAsia" w:ascii="宋体" w:hAnsi="宋体" w:eastAsia="宋体" w:cs="宋体"/>
          <w:b/>
          <w:bCs/>
          <w:iCs/>
          <w:color w:val="auto"/>
        </w:rPr>
      </w:pPr>
      <w:r>
        <w:rPr>
          <w:rFonts w:hint="eastAsia" w:ascii="宋体" w:hAnsi="宋体" w:eastAsia="宋体" w:cs="宋体"/>
          <w:b/>
          <w:bCs/>
          <w:iCs/>
          <w:color w:val="auto"/>
        </w:rPr>
      </w:r>
      <w:r/>
    </w:p>
    <w:p>
      <w:pPr>
        <w:pStyle w:val="1168"/>
        <w:jc w:val="center"/>
        <w:spacing w:line="360" w:lineRule="exact"/>
        <w:rPr>
          <w:rStyle w:val="1163"/>
          <w:rFonts w:hint="eastAsia" w:ascii="宋体" w:hAnsi="宋体" w:eastAsia="宋体" w:cs="宋体"/>
          <w:b/>
          <w:bCs/>
          <w:iCs/>
          <w:color w:val="auto"/>
          <w:sz w:val="24"/>
          <w:szCs w:val="32"/>
        </w:rPr>
      </w:pPr>
      <w:r>
        <w:rPr>
          <w:rStyle w:val="1163"/>
          <w:rFonts w:hint="eastAsia" w:ascii="宋体" w:hAnsi="宋体" w:eastAsia="宋体" w:cs="宋体"/>
          <w:b/>
          <w:bCs/>
          <w:iCs/>
          <w:color w:val="auto"/>
          <w:sz w:val="24"/>
          <w:szCs w:val="32"/>
        </w:rPr>
        <w:t xml:space="preserve">表2交会区照明标准值</w:t>
      </w:r>
      <w:r/>
    </w:p>
    <w:tbl>
      <w:tblPr>
        <w:tblStyle w:val="9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2"/>
        <w:gridCol w:w="1813"/>
        <w:gridCol w:w="1402"/>
        <w:gridCol w:w="3997"/>
      </w:tblGrid>
      <w:tr>
        <w:trPr>
          <w:jc w:val="center"/>
          <w:trHeight w:val="605"/>
        </w:trPr>
        <w:tc>
          <w:tcPr>
            <w:tcW w:w="247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交会区类型</w:t>
            </w:r>
            <w:r/>
          </w:p>
        </w:tc>
        <w:tc>
          <w:tcPr>
            <w:tcW w:w="1813"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路面平均照度Eh,av（lx），维持值</w:t>
            </w:r>
            <w:r/>
          </w:p>
        </w:tc>
        <w:tc>
          <w:tcPr>
            <w:tcW w:w="140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照度均匀度UE</w:t>
            </w:r>
            <w:r/>
          </w:p>
        </w:tc>
        <w:tc>
          <w:tcPr>
            <w:tcW w:w="3997"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眩光限制</w:t>
            </w:r>
            <w:r/>
          </w:p>
        </w:tc>
      </w:tr>
      <w:tr>
        <w:trPr>
          <w:cantSplit/>
          <w:jc w:val="center"/>
        </w:trPr>
        <w:tc>
          <w:tcPr>
            <w:tcW w:w="247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主干路与主干路交会</w:t>
            </w:r>
            <w:r/>
          </w:p>
        </w:tc>
        <w:tc>
          <w:tcPr>
            <w:tcW w:w="1813" w:type="dxa"/>
            <w:vAlign w:val="center"/>
            <w:vMerge w:val="restart"/>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30/50</w:t>
            </w:r>
            <w:r/>
          </w:p>
        </w:tc>
        <w:tc>
          <w:tcPr>
            <w:tcW w:w="1402" w:type="dxa"/>
            <w:vAlign w:val="center"/>
            <w:vMerge w:val="restart"/>
            <w:textDirection w:val="lrTb"/>
            <w:noWrap w:val="false"/>
          </w:tcPr>
          <w:p>
            <w:pPr>
              <w:pStyle w:val="1168"/>
              <w:jc w:val="center"/>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0.4</w:t>
            </w:r>
            <w:r/>
          </w:p>
        </w:tc>
        <w:tc>
          <w:tcPr>
            <w:tcW w:w="3997" w:type="dxa"/>
            <w:vAlign w:val="center"/>
            <w:vMerge w:val="restart"/>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在驾驶员观看灯具的方位角上，灯具在80°和90°高度角方向上的光强分别不得超过30cd/1000lm和10cd/1000lm</w:t>
            </w:r>
            <w:r/>
          </w:p>
        </w:tc>
      </w:tr>
      <w:tr>
        <w:trPr>
          <w:cantSplit/>
          <w:jc w:val="center"/>
        </w:trPr>
        <w:tc>
          <w:tcPr>
            <w:tcW w:w="247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主干路与次干路交会</w:t>
            </w:r>
            <w:r/>
          </w:p>
        </w:tc>
        <w:tc>
          <w:tcPr>
            <w:tcW w:w="1813"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c>
          <w:tcPr>
            <w:tcW w:w="1402"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c>
          <w:tcPr>
            <w:tcW w:w="3997"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r>
      <w:tr>
        <w:trPr>
          <w:cantSplit/>
          <w:jc w:val="center"/>
        </w:trPr>
        <w:tc>
          <w:tcPr>
            <w:tcW w:w="247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主干路与支路交会</w:t>
            </w:r>
            <w:r/>
          </w:p>
        </w:tc>
        <w:tc>
          <w:tcPr>
            <w:tcW w:w="1813"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c>
          <w:tcPr>
            <w:tcW w:w="1402"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c>
          <w:tcPr>
            <w:tcW w:w="3997"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r>
    </w:tbl>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p>
      <w:pPr>
        <w:pStyle w:val="1168"/>
        <w:jc w:val="center"/>
        <w:spacing w:line="360" w:lineRule="exact"/>
        <w:rPr>
          <w:rStyle w:val="1163"/>
          <w:rFonts w:hint="eastAsia" w:ascii="宋体" w:hAnsi="宋体" w:eastAsia="宋体" w:cs="宋体"/>
          <w:b/>
          <w:bCs/>
          <w:iCs/>
          <w:color w:val="auto"/>
          <w:sz w:val="24"/>
          <w:szCs w:val="32"/>
        </w:rPr>
      </w:pPr>
      <w:r>
        <w:rPr>
          <w:rStyle w:val="1163"/>
          <w:rFonts w:hint="eastAsia" w:ascii="宋体" w:hAnsi="宋体" w:eastAsia="宋体" w:cs="宋体"/>
          <w:b/>
          <w:bCs/>
          <w:iCs/>
          <w:color w:val="auto"/>
          <w:sz w:val="24"/>
          <w:szCs w:val="32"/>
        </w:rPr>
        <w:t xml:space="preserve">表3人行道标准值</w:t>
      </w:r>
      <w:r/>
    </w:p>
    <w:tbl>
      <w:tblPr>
        <w:tblStyle w:val="904"/>
        <w:tblW w:w="9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332"/>
        <w:gridCol w:w="1962"/>
        <w:gridCol w:w="1953"/>
        <w:gridCol w:w="2423"/>
      </w:tblGrid>
      <w:tr>
        <w:trPr>
          <w:jc w:val="center"/>
          <w:trHeight w:val="890"/>
        </w:trPr>
        <w:tc>
          <w:tcPr>
            <w:tcW w:w="1835"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夜间行人流量</w:t>
            </w:r>
            <w:r/>
          </w:p>
        </w:tc>
        <w:tc>
          <w:tcPr>
            <w:tcW w:w="133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区域</w:t>
            </w:r>
            <w:r/>
          </w:p>
        </w:tc>
        <w:tc>
          <w:tcPr>
            <w:tcW w:w="1962" w:type="dxa"/>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路面平均照度Eh,av（lx），维持值</w:t>
            </w:r>
            <w:r/>
          </w:p>
        </w:tc>
        <w:tc>
          <w:tcPr>
            <w:tcW w:w="1953" w:type="dxa"/>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路面最小照度Emin（lx），维持值</w:t>
            </w:r>
            <w:r/>
          </w:p>
        </w:tc>
        <w:tc>
          <w:tcPr>
            <w:tcW w:w="2423" w:type="dxa"/>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最小垂直照度Evmin（lx），维持值</w:t>
            </w:r>
            <w:r/>
          </w:p>
        </w:tc>
      </w:tr>
      <w:tr>
        <w:trPr>
          <w:jc w:val="center"/>
          <w:trHeight w:val="303"/>
        </w:trPr>
        <w:tc>
          <w:tcPr>
            <w:tcW w:w="1835" w:type="dxa"/>
            <w:vAlign w:val="center"/>
            <w:vMerge w:val="restart"/>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流量大的道路</w:t>
            </w:r>
            <w:r/>
          </w:p>
        </w:tc>
        <w:tc>
          <w:tcPr>
            <w:tcW w:w="133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商业区</w:t>
            </w:r>
            <w:r/>
          </w:p>
        </w:tc>
        <w:tc>
          <w:tcPr>
            <w:tcW w:w="1962" w:type="dxa"/>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20 </w:t>
            </w:r>
            <w:r/>
          </w:p>
        </w:tc>
        <w:tc>
          <w:tcPr>
            <w:tcW w:w="1953" w:type="dxa"/>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7.5 </w:t>
            </w:r>
            <w:r/>
          </w:p>
        </w:tc>
        <w:tc>
          <w:tcPr>
            <w:tcW w:w="2423" w:type="dxa"/>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4 </w:t>
            </w:r>
            <w:r/>
          </w:p>
        </w:tc>
      </w:tr>
      <w:tr>
        <w:trPr>
          <w:jc w:val="center"/>
          <w:trHeight w:val="303"/>
        </w:trPr>
        <w:tc>
          <w:tcPr>
            <w:tcW w:w="1835" w:type="dxa"/>
            <w:vAlign w:val="center"/>
            <w:vMerge w:val="continue"/>
            <w:textDirection w:val="lrTb"/>
            <w:noWrap w:val="false"/>
          </w:tcPr>
          <w:p>
            <w:pPr>
              <w:pStyle w:val="1168"/>
              <w:spacing w:line="360" w:lineRule="exact"/>
              <w:rPr>
                <w:rStyle w:val="1163"/>
                <w:rFonts w:hint="eastAsia" w:ascii="宋体" w:hAnsi="宋体" w:eastAsia="宋体" w:cs="宋体"/>
                <w:iCs/>
                <w:color w:val="auto"/>
              </w:rPr>
            </w:pPr>
            <w:r>
              <w:rPr>
                <w:rFonts w:hint="eastAsia" w:ascii="宋体" w:hAnsi="宋体" w:eastAsia="宋体" w:cs="宋体"/>
                <w:iCs/>
                <w:color w:val="auto"/>
              </w:rPr>
            </w:r>
            <w:r/>
          </w:p>
        </w:tc>
        <w:tc>
          <w:tcPr>
            <w:tcW w:w="1332" w:type="dxa"/>
            <w:vAlign w:val="center"/>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居住区</w:t>
            </w:r>
            <w:r/>
          </w:p>
        </w:tc>
        <w:tc>
          <w:tcPr>
            <w:tcW w:w="1962" w:type="dxa"/>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10 </w:t>
            </w:r>
            <w:r/>
          </w:p>
        </w:tc>
        <w:tc>
          <w:tcPr>
            <w:tcW w:w="1953" w:type="dxa"/>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3 </w:t>
            </w:r>
            <w:r/>
          </w:p>
        </w:tc>
        <w:tc>
          <w:tcPr>
            <w:tcW w:w="2423" w:type="dxa"/>
            <w:textDirection w:val="lrTb"/>
            <w:noWrap w:val="false"/>
          </w:tcPr>
          <w:p>
            <w:pPr>
              <w:pStyle w:val="1168"/>
              <w:spacing w:line="360" w:lineRule="exact"/>
              <w:rPr>
                <w:rStyle w:val="1163"/>
                <w:rFonts w:hint="eastAsia" w:ascii="宋体" w:hAnsi="宋体" w:eastAsia="宋体" w:cs="宋体"/>
                <w:iCs/>
                <w:color w:val="auto"/>
              </w:rPr>
            </w:pPr>
            <w:r>
              <w:rPr>
                <w:rStyle w:val="1163"/>
                <w:rFonts w:hint="eastAsia" w:ascii="宋体" w:hAnsi="宋体" w:eastAsia="宋体" w:cs="宋体"/>
                <w:iCs/>
                <w:color w:val="auto"/>
              </w:rPr>
              <w:t xml:space="preserve">2 </w:t>
            </w:r>
            <w:r/>
          </w:p>
        </w:tc>
      </w:tr>
    </w:tbl>
    <w:p>
      <w:pPr>
        <w:ind w:firstLine="482"/>
        <w:jc w:val="left"/>
        <w:spacing w:line="360" w:lineRule="exact"/>
        <w:rPr>
          <w:rFonts w:hint="eastAsia" w:ascii="宋体" w:hAnsi="宋体" w:cs="宋体"/>
          <w:b/>
          <w:bCs/>
          <w:color w:val="auto"/>
          <w:sz w:val="24"/>
        </w:rPr>
      </w:pPr>
      <w:r>
        <w:rPr>
          <w:rFonts w:hint="eastAsia" w:ascii="宋体" w:hAnsi="宋体" w:cs="宋体"/>
          <w:b/>
          <w:bCs/>
          <w:color w:val="auto"/>
          <w:sz w:val="24"/>
        </w:rPr>
        <w:t xml:space="preserve">3.</w:t>
      </w: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 路灯技术要求</w:t>
      </w:r>
      <w:r/>
    </w:p>
    <w:p>
      <w:pPr>
        <w:pStyle w:val="935"/>
        <w:jc w:val="both"/>
        <w:spacing w:line="360" w:lineRule="exact"/>
        <w:rPr>
          <w:rFonts w:hint="eastAsia"/>
          <w:color w:val="auto"/>
        </w:rPr>
      </w:pPr>
      <w:r>
        <w:rPr>
          <w:rFonts w:hint="eastAsia"/>
          <w:color w:val="auto"/>
        </w:rPr>
        <w:t xml:space="preserve">（1）灯具额定供电电压AC220V，电压波动±20%内灯具应能正常工作；</w:t>
      </w:r>
      <w:r/>
    </w:p>
    <w:p>
      <w:pPr>
        <w:pStyle w:val="935"/>
        <w:jc w:val="both"/>
        <w:spacing w:line="360" w:lineRule="exact"/>
        <w:rPr>
          <w:rFonts w:hint="eastAsia"/>
          <w:color w:val="auto"/>
        </w:rPr>
      </w:pPr>
      <w:r>
        <w:rPr>
          <w:rFonts w:hint="eastAsia"/>
          <w:color w:val="auto"/>
        </w:rPr>
        <w:t xml:space="preserve">（2）灯具色温要求：</w:t>
      </w:r>
      <w:r>
        <w:rPr>
          <w:rFonts w:hint="eastAsia" w:ascii="Times New Roman" w:hAnsi="Times New Roman"/>
          <w:color w:val="auto"/>
        </w:rPr>
        <w:t xml:space="preserve">相关</w:t>
      </w:r>
      <w:r>
        <w:rPr>
          <w:rFonts w:hint="eastAsia"/>
          <w:color w:val="auto"/>
        </w:rPr>
        <w:t xml:space="preserve">色温4000K±150K</w:t>
      </w:r>
      <w:r>
        <w:rPr>
          <w:rFonts w:hint="eastAsia" w:ascii="Times New Roman" w:hAnsi="Times New Roman"/>
          <w:color w:val="auto"/>
        </w:rPr>
        <w:t xml:space="preserve">；</w:t>
      </w:r>
      <w:r/>
    </w:p>
    <w:p>
      <w:pPr>
        <w:pStyle w:val="935"/>
        <w:jc w:val="both"/>
        <w:spacing w:line="360" w:lineRule="exact"/>
        <w:rPr>
          <w:rFonts w:hint="eastAsia"/>
          <w:color w:val="auto"/>
        </w:rPr>
      </w:pPr>
      <w:r>
        <w:rPr>
          <w:rFonts w:hint="eastAsia"/>
          <w:color w:val="auto"/>
        </w:rPr>
        <w:t xml:space="preserve">（3）灯具显色指数＞70，灯具整灯光效≥180lm/W；  </w:t>
      </w:r>
      <w:r/>
    </w:p>
    <w:p>
      <w:pPr>
        <w:pStyle w:val="935"/>
        <w:jc w:val="both"/>
        <w:spacing w:line="360" w:lineRule="exact"/>
        <w:rPr>
          <w:rFonts w:hint="eastAsia" w:eastAsia="宋体"/>
          <w:color w:val="auto"/>
          <w:lang w:eastAsia="zh-CN"/>
        </w:rPr>
      </w:pPr>
      <w:r>
        <w:rPr>
          <w:rFonts w:hint="eastAsia"/>
          <w:color w:val="auto"/>
        </w:rPr>
        <w:t xml:space="preserve">（4）灯具功率因数≥0.95；</w:t>
      </w:r>
      <w:r/>
    </w:p>
    <w:p>
      <w:pPr>
        <w:pStyle w:val="935"/>
        <w:jc w:val="both"/>
        <w:spacing w:line="360" w:lineRule="exact"/>
        <w:rPr>
          <w:rFonts w:hint="eastAsia"/>
          <w:color w:val="auto"/>
        </w:rPr>
      </w:pPr>
      <w:r>
        <w:rPr>
          <w:rFonts w:hint="eastAsia"/>
          <w:color w:val="auto"/>
        </w:rPr>
        <w:t xml:space="preserve">（5）灯具防护等级≥IP66；</w:t>
      </w:r>
      <w:r/>
    </w:p>
    <w:p>
      <w:pPr>
        <w:pStyle w:val="935"/>
        <w:jc w:val="both"/>
        <w:spacing w:line="360" w:lineRule="exact"/>
        <w:rPr>
          <w:rFonts w:hint="eastAsia"/>
          <w:color w:val="auto"/>
        </w:rPr>
      </w:pPr>
      <w:r>
        <w:rPr>
          <w:rFonts w:hint="eastAsia"/>
          <w:color w:val="auto"/>
        </w:rPr>
        <w:t xml:space="preserve">（6）电器绝缘等级:Class I；</w:t>
      </w:r>
      <w:r/>
    </w:p>
    <w:p>
      <w:pPr>
        <w:pStyle w:val="935"/>
        <w:jc w:val="both"/>
        <w:spacing w:line="360" w:lineRule="exact"/>
        <w:rPr>
          <w:rFonts w:hint="eastAsia"/>
          <w:color w:val="auto"/>
        </w:rPr>
      </w:pPr>
      <w:r>
        <w:rPr>
          <w:rFonts w:hint="eastAsia"/>
          <w:color w:val="auto"/>
        </w:rPr>
        <w:t xml:space="preserve">（7）灯具适用环境温度范围-40℃~+55℃；</w:t>
      </w:r>
      <w:r/>
    </w:p>
    <w:p>
      <w:pPr>
        <w:pStyle w:val="935"/>
        <w:jc w:val="both"/>
        <w:spacing w:line="360" w:lineRule="exact"/>
        <w:rPr>
          <w:rFonts w:hint="eastAsia"/>
          <w:color w:val="auto"/>
        </w:rPr>
      </w:pPr>
      <w:r>
        <w:rPr>
          <w:rFonts w:hint="eastAsia"/>
          <w:color w:val="auto"/>
        </w:rPr>
        <w:t xml:space="preserve">（8）灯具壳体为压铸铝铝合金材质或高强度塑料外壳，灯具外表面喷塑或烤漆。灯体具备雨水自洁性能和对流散热性能。灯具开闭紧固装置须为金属材质，上开盖免工具开启。灯具需有独立的电源腔。内部导线应为耐高温导线。灯具需有防坠落结构。灯具安装接口尺寸φ60mm。</w:t>
      </w:r>
      <w:r/>
    </w:p>
    <w:p>
      <w:pPr>
        <w:pStyle w:val="935"/>
        <w:jc w:val="both"/>
        <w:spacing w:line="360" w:lineRule="exact"/>
        <w:rPr>
          <w:rFonts w:hint="eastAsia"/>
          <w:color w:val="auto"/>
          <w:highlight w:val="none"/>
        </w:rPr>
      </w:pPr>
      <w:r>
        <w:rPr>
          <w:rFonts w:hint="eastAsia"/>
          <w:color w:val="auto"/>
          <w:highlight w:val="none"/>
        </w:rPr>
        <w:t xml:space="preserve">（9）灯具满足GB 37478《道路和隧道照明用LED灯具能效限定值及能效等级》中1级能效等级的要求，且通过节能认证，路灯功率分布在40W≤功率≤90W、100W≤功率≤150W、180W≤功率≤250W范围内。（</w:t>
      </w:r>
      <w:r>
        <w:rPr>
          <w:rFonts w:hint="eastAsia"/>
          <w:color w:val="auto"/>
          <w:highlight w:val="none"/>
          <w:lang w:val="en-US" w:eastAsia="zh-CN"/>
        </w:rPr>
        <w:t xml:space="preserve">投标文件中需</w:t>
      </w:r>
      <w:r>
        <w:rPr>
          <w:rFonts w:hint="eastAsia"/>
          <w:color w:val="auto"/>
          <w:highlight w:val="none"/>
        </w:rPr>
        <w:t xml:space="preserve">提供国家确定的认证机构出具的有效认证证书）</w:t>
      </w:r>
      <w:r/>
    </w:p>
    <w:p>
      <w:pPr>
        <w:pStyle w:val="935"/>
        <w:jc w:val="both"/>
        <w:spacing w:line="360" w:lineRule="exact"/>
        <w:rPr>
          <w:rFonts w:hint="eastAsia"/>
          <w:color w:val="auto"/>
        </w:rPr>
      </w:pPr>
      <w:r>
        <w:rPr>
          <w:rFonts w:hint="eastAsia"/>
          <w:color w:val="auto"/>
        </w:rPr>
        <w:t xml:space="preserve">（10）灯具满足</w:t>
      </w:r>
      <w:r>
        <w:rPr>
          <w:rFonts w:hint="eastAsia"/>
          <w:color w:val="auto"/>
          <w:lang w:eastAsia="zh-CN"/>
        </w:rPr>
        <w:t xml:space="preserve">GB/T 20138-2023</w:t>
      </w:r>
      <w:r>
        <w:rPr>
          <w:rFonts w:hint="eastAsia"/>
          <w:color w:val="auto"/>
        </w:rPr>
        <w:t xml:space="preserve">《电气设备外壳对外界机械碰撞的防护等级》的要求，防冲击性能不低于IK08。 </w:t>
      </w:r>
      <w:r/>
    </w:p>
    <w:p>
      <w:pPr>
        <w:pStyle w:val="935"/>
        <w:jc w:val="both"/>
        <w:spacing w:line="360" w:lineRule="exact"/>
        <w:rPr>
          <w:rFonts w:hint="eastAsia"/>
          <w:color w:val="auto"/>
        </w:rPr>
      </w:pPr>
      <w:r>
        <w:rPr>
          <w:rFonts w:hint="eastAsia"/>
          <w:color w:val="auto"/>
        </w:rPr>
        <w:t xml:space="preserve">（11）灯具应获得中国质量认证中心(CQC 认证)出具的认证证书；</w:t>
      </w:r>
      <w:r/>
    </w:p>
    <w:p>
      <w:pPr>
        <w:pStyle w:val="935"/>
        <w:jc w:val="both"/>
        <w:spacing w:line="360" w:lineRule="exact"/>
        <w:rPr>
          <w:rFonts w:hint="eastAsia"/>
          <w:color w:val="auto"/>
        </w:rPr>
      </w:pPr>
      <w:r>
        <w:rPr>
          <w:rFonts w:hint="eastAsia"/>
          <w:color w:val="auto"/>
        </w:rPr>
        <w:t xml:space="preserve">（12）灯具浪涌抗扰度应符合《一般照明用设备电磁兼容抗扰度要求》GB/T 18595-2014 的规定；</w:t>
      </w:r>
      <w:r/>
    </w:p>
    <w:p>
      <w:pPr>
        <w:pStyle w:val="935"/>
        <w:jc w:val="both"/>
        <w:spacing w:line="360" w:lineRule="exact"/>
        <w:rPr>
          <w:rFonts w:hint="eastAsia"/>
          <w:color w:val="auto"/>
        </w:rPr>
      </w:pPr>
      <w:r>
        <w:rPr>
          <w:rFonts w:hint="eastAsia"/>
          <w:color w:val="auto"/>
        </w:rPr>
        <w:t xml:space="preserve">（12）灯具的控制装置的浪涌抗扰度应符合《电磁兼容 试验和测量技术浪涌(冲击)抗扰度试验》GB/T 17626.5-2019</w:t>
      </w:r>
      <w:r>
        <w:rPr>
          <w:rFonts w:hint="default"/>
          <w:color w:val="auto"/>
        </w:rPr>
        <w:t xml:space="preserve"> </w:t>
      </w:r>
      <w:r>
        <w:rPr>
          <w:rFonts w:hint="eastAsia"/>
          <w:color w:val="auto"/>
        </w:rPr>
        <w:t xml:space="preserve">的规定；</w:t>
      </w:r>
      <w:r/>
    </w:p>
    <w:p>
      <w:pPr>
        <w:pStyle w:val="935"/>
        <w:jc w:val="both"/>
        <w:spacing w:line="360" w:lineRule="exact"/>
        <w:rPr>
          <w:rFonts w:hint="eastAsia"/>
          <w:color w:val="auto"/>
        </w:rPr>
      </w:pPr>
      <w:r>
        <w:rPr>
          <w:rFonts w:hint="eastAsia"/>
          <w:color w:val="auto"/>
        </w:rPr>
        <w:t xml:space="preserve">（13）驱动电源效率≥88%，具有过流、短路、抑制涌浪电压等保护功能，含10KV浪涌保护器；</w:t>
      </w:r>
      <w:r/>
    </w:p>
    <w:p>
      <w:pPr>
        <w:pStyle w:val="935"/>
        <w:jc w:val="both"/>
        <w:spacing w:line="360" w:lineRule="exact"/>
        <w:rPr>
          <w:rFonts w:hint="eastAsia"/>
          <w:color w:val="auto"/>
        </w:rPr>
      </w:pPr>
      <w:r>
        <w:rPr>
          <w:rFonts w:hint="eastAsia"/>
          <w:color w:val="auto"/>
        </w:rPr>
        <w:t xml:space="preserve">（14）LED发光芯片采用原厂封装大功率LED发光管，单颗光源额定功率不低于2W，不得采用COB集成式芯片；</w:t>
      </w:r>
      <w:r/>
    </w:p>
    <w:p>
      <w:pPr>
        <w:pStyle w:val="935"/>
        <w:jc w:val="both"/>
        <w:spacing w:line="360" w:lineRule="exact"/>
        <w:rPr>
          <w:rFonts w:hint="eastAsia"/>
          <w:color w:val="auto"/>
        </w:rPr>
      </w:pPr>
      <w:r>
        <w:rPr>
          <w:rFonts w:hint="eastAsia"/>
          <w:color w:val="auto"/>
        </w:rPr>
        <w:t xml:space="preserve">（15）灯具使用寿命不低于50000h。</w:t>
      </w:r>
      <w:r/>
    </w:p>
    <w:p>
      <w:pPr>
        <w:ind w:firstLine="480"/>
        <w:spacing w:line="360" w:lineRule="exact"/>
        <w:rPr>
          <w:rFonts w:hint="eastAsia" w:ascii="宋体" w:hAnsi="宋体"/>
          <w:color w:val="auto"/>
          <w:sz w:val="24"/>
        </w:rPr>
      </w:pPr>
      <w:r>
        <w:rPr>
          <w:rFonts w:hint="eastAsia" w:ascii="宋体" w:hAnsi="宋体"/>
          <w:color w:val="auto"/>
          <w:sz w:val="24"/>
        </w:rPr>
        <w:t xml:space="preserve">（16）灯具具有智能控制功能，能并入张家港市现有路灯智能控制管理系统进行管理。应能实现以下基本功能:能在控制室控制和设置开关灯时间、亮灯模式;具有自动巡检故障定位功能;远程监控路灯工作状态功能;亮灯率统计功能；同时也可以在控制室对配电箱的运行情况、回路状态以及用电量进行显示；支持对配电箱回路的远程开关功能。所有操作与数据均应在张家港市智慧照明管理平台操作显示。</w:t>
      </w:r>
      <w:r/>
    </w:p>
    <w:p>
      <w:pPr>
        <w:pStyle w:val="935"/>
        <w:ind w:firstLine="482"/>
        <w:jc w:val="both"/>
        <w:spacing w:line="360" w:lineRule="exact"/>
        <w:rPr>
          <w:rFonts w:hint="eastAsia"/>
          <w:b/>
          <w:bCs/>
          <w:color w:val="auto"/>
        </w:rPr>
      </w:pPr>
      <w:r>
        <w:rPr>
          <w:rFonts w:hint="eastAsia"/>
          <w:b/>
          <w:bCs/>
          <w:color w:val="auto"/>
        </w:rPr>
        <w:t xml:space="preserve">3.</w:t>
      </w:r>
      <w:r>
        <w:rPr>
          <w:rFonts w:hint="eastAsia"/>
          <w:b/>
          <w:bCs/>
          <w:color w:val="auto"/>
          <w:lang w:val="en-US" w:eastAsia="zh-CN"/>
        </w:rPr>
        <w:t xml:space="preserve">4</w:t>
      </w:r>
      <w:r>
        <w:rPr>
          <w:rFonts w:hint="eastAsia"/>
          <w:b/>
          <w:bCs/>
          <w:color w:val="auto"/>
        </w:rPr>
        <w:t xml:space="preserve">护栏灯技术要求</w:t>
      </w:r>
      <w:r/>
    </w:p>
    <w:p>
      <w:pPr>
        <w:ind w:firstLine="480"/>
        <w:spacing w:line="360" w:lineRule="exact"/>
        <w:rPr>
          <w:rFonts w:hint="eastAsia" w:ascii="宋体" w:hAnsi="宋体"/>
          <w:color w:val="auto"/>
          <w:sz w:val="24"/>
        </w:rPr>
      </w:pPr>
      <w:r>
        <w:rPr>
          <w:rFonts w:hint="eastAsia"/>
          <w:color w:val="auto"/>
          <w:sz w:val="24"/>
        </w:rPr>
        <w:t xml:space="preserve">（1）</w:t>
      </w:r>
      <w:r>
        <w:rPr>
          <w:rFonts w:hint="eastAsia" w:ascii="宋体" w:hAnsi="宋体"/>
          <w:color w:val="auto"/>
          <w:sz w:val="24"/>
        </w:rPr>
        <w:t xml:space="preserve">总体要求</w:t>
      </w:r>
      <w:r/>
    </w:p>
    <w:p>
      <w:pPr>
        <w:ind w:firstLine="480"/>
        <w:spacing w:line="360" w:lineRule="exact"/>
        <w:rPr>
          <w:rFonts w:hint="eastAsia" w:ascii="宋体" w:hAnsi="宋体"/>
          <w:color w:val="auto"/>
          <w:sz w:val="24"/>
        </w:rPr>
      </w:pPr>
      <w:r>
        <w:rPr>
          <w:rFonts w:hint="eastAsia" w:ascii="宋体" w:hAnsi="宋体"/>
          <w:color w:val="auto"/>
          <w:sz w:val="24"/>
        </w:rPr>
        <w:t xml:space="preserve">护栏灯采用1</w:t>
      </w:r>
      <w:r>
        <w:rPr>
          <w:rFonts w:hint="eastAsia" w:ascii="宋体" w:hAnsi="宋体"/>
          <w:color w:val="auto"/>
          <w:sz w:val="24"/>
          <w:lang w:val="en-US" w:eastAsia="zh-CN"/>
        </w:rPr>
        <w:t xml:space="preserve">0</w:t>
      </w:r>
      <w:r>
        <w:rPr>
          <w:rFonts w:hint="eastAsia" w:ascii="宋体" w:hAnsi="宋体"/>
          <w:color w:val="auto"/>
          <w:sz w:val="24"/>
        </w:rPr>
        <w:t xml:space="preserve">W灯具，选用当前国际一流品牌，采用光学级透镜，根据项目需求进行定制化二次光学设计，完全满足环境的照明需求。产品具有防潮、防水且易安装、易拆卸、易维护等特点。</w:t>
      </w:r>
      <w:r/>
    </w:p>
    <w:p>
      <w:pPr>
        <w:ind w:firstLine="480"/>
        <w:spacing w:line="360" w:lineRule="exact"/>
        <w:rPr>
          <w:rFonts w:hint="eastAsia" w:ascii="宋体" w:hAnsi="宋体"/>
          <w:color w:val="auto"/>
          <w:sz w:val="24"/>
        </w:rPr>
      </w:pPr>
      <w:r>
        <w:rPr>
          <w:rFonts w:hint="eastAsia"/>
          <w:color w:val="auto"/>
          <w:sz w:val="24"/>
        </w:rPr>
        <w:t xml:space="preserve">（2）</w:t>
      </w:r>
      <w:r>
        <w:rPr>
          <w:rFonts w:hint="eastAsia" w:ascii="宋体" w:hAnsi="宋体"/>
          <w:color w:val="auto"/>
          <w:sz w:val="24"/>
        </w:rPr>
        <w:t xml:space="preserve">灯具材质及结构要求</w:t>
      </w:r>
      <w:r/>
    </w:p>
    <w:p>
      <w:pPr>
        <w:ind w:firstLine="480"/>
        <w:spacing w:line="360" w:lineRule="exact"/>
        <w:rPr>
          <w:rFonts w:hint="eastAsia" w:ascii="宋体" w:hAnsi="宋体"/>
          <w:color w:val="auto"/>
          <w:sz w:val="24"/>
        </w:rPr>
      </w:pPr>
      <w:r>
        <w:rPr>
          <w:rFonts w:hint="eastAsia" w:ascii="宋体" w:hAnsi="宋体"/>
          <w:color w:val="auto"/>
          <w:sz w:val="24"/>
        </w:rPr>
        <w:t xml:space="preserve">灯具的外壳选用优质铝合金加工成型，结构牢固，重量轻巧；</w:t>
      </w:r>
      <w:r/>
    </w:p>
    <w:p>
      <w:pPr>
        <w:ind w:firstLine="480"/>
        <w:spacing w:line="360" w:lineRule="exact"/>
        <w:rPr>
          <w:rFonts w:hint="eastAsia" w:ascii="宋体" w:hAnsi="宋体"/>
          <w:color w:val="auto"/>
          <w:sz w:val="24"/>
        </w:rPr>
      </w:pPr>
      <w:r>
        <w:rPr>
          <w:rFonts w:hint="eastAsia" w:ascii="宋体" w:hAnsi="宋体"/>
          <w:color w:val="auto"/>
          <w:sz w:val="24"/>
        </w:rPr>
        <w:t xml:space="preserve">灯具的端盖和灯体之间采用不锈钢紧固件连接，外观好，使用寿命长；</w:t>
      </w:r>
      <w:r/>
    </w:p>
    <w:p>
      <w:pPr>
        <w:ind w:firstLine="480"/>
        <w:spacing w:line="360" w:lineRule="exact"/>
        <w:rPr>
          <w:rFonts w:hint="eastAsia" w:ascii="宋体" w:hAnsi="宋体"/>
          <w:color w:val="auto"/>
          <w:sz w:val="24"/>
        </w:rPr>
      </w:pPr>
      <w:r>
        <w:rPr>
          <w:rFonts w:hint="eastAsia" w:ascii="宋体" w:hAnsi="宋体"/>
          <w:color w:val="auto"/>
          <w:sz w:val="24"/>
        </w:rPr>
        <w:t xml:space="preserve">透光灯罩采用优质PC材质加工成型，具优良的透光性、抗紫外特性、耐腐蚀特性；</w:t>
      </w:r>
      <w:r/>
    </w:p>
    <w:p>
      <w:pPr>
        <w:ind w:firstLine="480"/>
        <w:spacing w:line="360" w:lineRule="exact"/>
        <w:rPr>
          <w:rFonts w:hint="eastAsia" w:ascii="宋体" w:hAnsi="宋体"/>
          <w:color w:val="auto"/>
          <w:sz w:val="24"/>
        </w:rPr>
      </w:pPr>
      <w:r>
        <w:rPr>
          <w:rFonts w:hint="eastAsia" w:ascii="宋体" w:hAnsi="宋体"/>
          <w:color w:val="auto"/>
          <w:sz w:val="24"/>
        </w:rPr>
        <w:t xml:space="preserve">灯具采用透镜配光，且配光应采用顺光照明设计，即光线顺着行车的方向偏斜，从而有效地避免灯具眩光，提高行车的舒适性；</w:t>
      </w:r>
      <w:r/>
    </w:p>
    <w:p>
      <w:pPr>
        <w:ind w:firstLine="480"/>
        <w:spacing w:line="360" w:lineRule="exact"/>
        <w:rPr>
          <w:rFonts w:hint="eastAsia" w:ascii="宋体" w:hAnsi="宋体"/>
          <w:color w:val="auto"/>
          <w:sz w:val="24"/>
        </w:rPr>
      </w:pPr>
      <w:r>
        <w:rPr>
          <w:rFonts w:hint="eastAsia" w:ascii="宋体" w:hAnsi="宋体"/>
          <w:color w:val="auto"/>
          <w:sz w:val="24"/>
        </w:rPr>
        <w:t xml:space="preserve">灯具防护等级≥IP65；</w:t>
      </w:r>
      <w:r/>
    </w:p>
    <w:p>
      <w:pPr>
        <w:ind w:firstLine="480"/>
        <w:spacing w:line="360" w:lineRule="exact"/>
        <w:rPr>
          <w:rFonts w:hint="eastAsia" w:ascii="宋体" w:hAnsi="宋体"/>
          <w:color w:val="auto"/>
          <w:sz w:val="24"/>
        </w:rPr>
      </w:pPr>
      <w:r>
        <w:rPr>
          <w:rFonts w:hint="eastAsia" w:ascii="宋体" w:hAnsi="宋体"/>
          <w:color w:val="auto"/>
          <w:sz w:val="24"/>
        </w:rPr>
        <w:t xml:space="preserve">（3）灯具光电要求</w:t>
      </w:r>
      <w:r/>
    </w:p>
    <w:p>
      <w:pPr>
        <w:ind w:firstLine="480"/>
        <w:spacing w:line="360" w:lineRule="exact"/>
        <w:rPr>
          <w:rFonts w:hint="eastAsia" w:ascii="宋体" w:hAnsi="宋体"/>
          <w:color w:val="auto"/>
          <w:sz w:val="24"/>
        </w:rPr>
      </w:pPr>
      <w:r>
        <w:rPr>
          <w:rFonts w:hint="eastAsia" w:ascii="宋体" w:hAnsi="宋体"/>
          <w:color w:val="auto"/>
          <w:sz w:val="24"/>
        </w:rPr>
        <w:t xml:space="preserve">灯具功率：10W；</w:t>
      </w:r>
      <w:r/>
    </w:p>
    <w:p>
      <w:pPr>
        <w:ind w:firstLine="480"/>
        <w:spacing w:line="360" w:lineRule="exact"/>
        <w:rPr>
          <w:rFonts w:hint="eastAsia" w:ascii="宋体" w:hAnsi="宋体"/>
          <w:color w:val="auto"/>
          <w:sz w:val="24"/>
        </w:rPr>
      </w:pPr>
      <w:r>
        <w:rPr>
          <w:rFonts w:hint="eastAsia" w:ascii="宋体" w:hAnsi="宋体"/>
          <w:color w:val="auto"/>
          <w:sz w:val="24"/>
        </w:rPr>
        <w:t xml:space="preserve">灯具光效：≥100LM/W；</w:t>
      </w:r>
      <w:r/>
    </w:p>
    <w:p>
      <w:pPr>
        <w:ind w:firstLine="480"/>
        <w:spacing w:line="360" w:lineRule="exact"/>
        <w:rPr>
          <w:rFonts w:hint="eastAsia" w:ascii="宋体" w:hAnsi="宋体"/>
          <w:color w:val="auto"/>
          <w:sz w:val="24"/>
        </w:rPr>
      </w:pPr>
      <w:r>
        <w:rPr>
          <w:rFonts w:hint="eastAsia" w:ascii="宋体" w:hAnsi="宋体"/>
          <w:color w:val="auto"/>
          <w:sz w:val="24"/>
        </w:rPr>
        <w:t xml:space="preserve">灯具色温：4000K；</w:t>
      </w:r>
      <w:r/>
    </w:p>
    <w:p>
      <w:pPr>
        <w:ind w:firstLine="480"/>
        <w:spacing w:line="360" w:lineRule="exact"/>
        <w:rPr>
          <w:rFonts w:hint="eastAsia" w:ascii="宋体" w:hAnsi="宋体"/>
          <w:color w:val="auto"/>
          <w:sz w:val="24"/>
        </w:rPr>
      </w:pPr>
      <w:r>
        <w:rPr>
          <w:rFonts w:hint="eastAsia" w:ascii="宋体" w:hAnsi="宋体"/>
          <w:color w:val="auto"/>
          <w:sz w:val="24"/>
        </w:rPr>
        <w:t xml:space="preserve">显色指数：≥70；</w:t>
      </w:r>
      <w:r/>
    </w:p>
    <w:p>
      <w:pPr>
        <w:ind w:firstLine="480"/>
        <w:spacing w:line="360" w:lineRule="exact"/>
        <w:rPr>
          <w:rFonts w:hint="eastAsia" w:ascii="宋体" w:hAnsi="宋体"/>
          <w:color w:val="auto"/>
          <w:sz w:val="24"/>
        </w:rPr>
      </w:pPr>
      <w:r>
        <w:rPr>
          <w:rFonts w:hint="eastAsia" w:ascii="宋体" w:hAnsi="宋体"/>
          <w:color w:val="auto"/>
          <w:sz w:val="24"/>
        </w:rPr>
        <w:t xml:space="preserve">输入电压：DC24V；</w:t>
      </w:r>
      <w:r/>
    </w:p>
    <w:p>
      <w:pPr>
        <w:ind w:firstLine="480"/>
        <w:spacing w:line="360" w:lineRule="exact"/>
        <w:rPr>
          <w:rFonts w:hint="eastAsia" w:ascii="宋体" w:hAnsi="宋体"/>
          <w:color w:val="auto"/>
          <w:sz w:val="24"/>
        </w:rPr>
      </w:pPr>
      <w:r>
        <w:rPr>
          <w:rFonts w:hint="eastAsia" w:ascii="宋体" w:hAnsi="宋体"/>
          <w:color w:val="auto"/>
          <w:sz w:val="24"/>
        </w:rPr>
        <w:t xml:space="preserve">采用超高亮度LED光源，选用国际一流的NICHIA、LUMILEDS或OSRAM品牌；</w:t>
      </w:r>
      <w:r/>
    </w:p>
    <w:p>
      <w:pPr>
        <w:ind w:firstLine="480"/>
        <w:spacing w:line="360" w:lineRule="exact"/>
        <w:rPr>
          <w:rFonts w:hint="eastAsia" w:ascii="宋体" w:hAnsi="宋体"/>
          <w:color w:val="auto"/>
          <w:sz w:val="24"/>
        </w:rPr>
      </w:pPr>
      <w:r>
        <w:rPr>
          <w:rFonts w:hint="eastAsia" w:ascii="宋体" w:hAnsi="宋体"/>
          <w:color w:val="auto"/>
          <w:sz w:val="24"/>
        </w:rPr>
        <w:t xml:space="preserve">灯具配光应采用顺光照明设计，且照度和均匀度需满足《城市道路照明设计标准》要求；（需提供照度计算书并提供灯具配光曲线图及与配光曲线相匹配的IES文件供校核）</w:t>
      </w:r>
      <w:r/>
    </w:p>
    <w:p>
      <w:pPr>
        <w:ind w:firstLine="480"/>
        <w:spacing w:line="360" w:lineRule="exact"/>
        <w:rPr>
          <w:rFonts w:hint="eastAsia" w:ascii="宋体" w:hAnsi="宋体"/>
          <w:color w:val="auto"/>
          <w:sz w:val="24"/>
        </w:rPr>
      </w:pPr>
      <w:r>
        <w:rPr>
          <w:rFonts w:hint="eastAsia" w:ascii="宋体" w:hAnsi="宋体"/>
          <w:color w:val="auto"/>
          <w:sz w:val="24"/>
        </w:rPr>
        <w:t xml:space="preserve">工作环境温度：-40℃~+55℃</w:t>
      </w:r>
      <w:r/>
    </w:p>
    <w:p>
      <w:pPr>
        <w:ind w:firstLine="480"/>
        <w:spacing w:line="360" w:lineRule="exact"/>
        <w:rPr>
          <w:color w:val="auto"/>
        </w:rPr>
      </w:pPr>
      <w:r>
        <w:rPr>
          <w:rFonts w:hint="eastAsia" w:ascii="宋体" w:hAnsi="宋体"/>
          <w:color w:val="auto"/>
          <w:sz w:val="24"/>
        </w:rPr>
        <w:t xml:space="preserve">工作环境湿度：10~98% RH</w:t>
      </w:r>
      <w:r/>
    </w:p>
    <w:p>
      <w:pPr>
        <w:pStyle w:val="935"/>
        <w:ind w:firstLine="482"/>
        <w:jc w:val="both"/>
        <w:spacing w:line="360" w:lineRule="exact"/>
        <w:rPr>
          <w:rFonts w:hint="eastAsia"/>
          <w:b/>
          <w:bCs/>
          <w:color w:val="auto"/>
        </w:rPr>
      </w:pPr>
      <w:r>
        <w:rPr>
          <w:rFonts w:hint="eastAsia"/>
          <w:b/>
          <w:bCs/>
          <w:color w:val="auto"/>
        </w:rPr>
        <w:t xml:space="preserve">3.</w:t>
      </w:r>
      <w:r>
        <w:rPr>
          <w:rFonts w:hint="eastAsia"/>
          <w:b/>
          <w:bCs/>
          <w:color w:val="auto"/>
          <w:lang w:val="en-US" w:eastAsia="zh-CN"/>
        </w:rPr>
        <w:t xml:space="preserve">5</w:t>
      </w:r>
      <w:r>
        <w:rPr>
          <w:rFonts w:hint="eastAsia"/>
          <w:b/>
          <w:bCs/>
          <w:color w:val="auto"/>
        </w:rPr>
        <w:t xml:space="preserve"> LED单灯控制器技术要求</w:t>
      </w:r>
      <w:r/>
    </w:p>
    <w:p>
      <w:pPr>
        <w:pStyle w:val="935"/>
        <w:jc w:val="both"/>
        <w:spacing w:line="360" w:lineRule="exact"/>
        <w:rPr>
          <w:rFonts w:hint="eastAsia"/>
          <w:color w:val="auto"/>
        </w:rPr>
      </w:pPr>
      <w:r>
        <w:rPr>
          <w:rFonts w:hint="eastAsia"/>
          <w:color w:val="auto"/>
        </w:rPr>
        <w:t xml:space="preserve">(1)通信方式</w:t>
      </w:r>
      <w:r/>
    </w:p>
    <w:p>
      <w:pPr>
        <w:pStyle w:val="935"/>
        <w:jc w:val="both"/>
        <w:spacing w:line="360" w:lineRule="exact"/>
        <w:rPr>
          <w:rFonts w:hint="eastAsia"/>
          <w:color w:val="auto"/>
        </w:rPr>
      </w:pPr>
      <w:r>
        <w:rPr>
          <w:rFonts w:hint="eastAsia"/>
          <w:color w:val="auto"/>
        </w:rPr>
        <w:t xml:space="preserve">为保证单灯控制器的可靠性，防止因各类外因造成灯具不可控，要求单灯控制器设备的上行通信应具备双模通信功能：支持HPLC有线宽带电力载波（主通信链路）及Cat1（辅助通信链路）。</w:t>
      </w:r>
      <w:r/>
    </w:p>
    <w:p>
      <w:pPr>
        <w:pStyle w:val="935"/>
        <w:jc w:val="both"/>
        <w:spacing w:line="360" w:lineRule="exact"/>
        <w:rPr>
          <w:rFonts w:hint="eastAsia"/>
          <w:color w:val="auto"/>
        </w:rPr>
      </w:pPr>
      <w:r>
        <w:rPr>
          <w:rFonts w:hint="eastAsia"/>
          <w:color w:val="auto"/>
        </w:rPr>
        <w:t xml:space="preserve">下行通信：支持RS485接口，可采集传感器信息；</w:t>
      </w:r>
      <w:r/>
    </w:p>
    <w:p>
      <w:pPr>
        <w:pStyle w:val="935"/>
        <w:jc w:val="both"/>
        <w:spacing w:line="360" w:lineRule="exact"/>
        <w:rPr>
          <w:rFonts w:hint="eastAsia"/>
          <w:color w:val="auto"/>
        </w:rPr>
      </w:pPr>
      <w:r>
        <w:rPr>
          <w:rFonts w:hint="eastAsia"/>
          <w:color w:val="auto"/>
        </w:rPr>
        <w:t xml:space="preserve">(2)控制功能</w:t>
      </w:r>
      <w:r/>
    </w:p>
    <w:p>
      <w:pPr>
        <w:pStyle w:val="935"/>
        <w:jc w:val="both"/>
        <w:spacing w:line="360" w:lineRule="exact"/>
        <w:rPr>
          <w:rFonts w:hint="eastAsia"/>
          <w:color w:val="auto"/>
        </w:rPr>
      </w:pPr>
      <w:r>
        <w:rPr>
          <w:rFonts w:hint="eastAsia"/>
          <w:color w:val="auto"/>
        </w:rPr>
        <w:t xml:space="preserve">根据需求，支持1、2或3路独立开关灯控制及0-10V调光，满足双灯头以及logo灯独立调光或开关需要；</w:t>
      </w:r>
      <w:r/>
    </w:p>
    <w:p>
      <w:pPr>
        <w:pStyle w:val="935"/>
        <w:jc w:val="both"/>
        <w:spacing w:line="360" w:lineRule="exact"/>
        <w:rPr>
          <w:rFonts w:hint="eastAsia"/>
          <w:color w:val="auto"/>
        </w:rPr>
      </w:pPr>
      <w:r>
        <w:rPr>
          <w:rFonts w:hint="eastAsia"/>
          <w:color w:val="auto"/>
        </w:rPr>
        <w:t xml:space="preserve">(3)数据采集</w:t>
      </w:r>
      <w:r/>
    </w:p>
    <w:p>
      <w:pPr>
        <w:pStyle w:val="935"/>
        <w:jc w:val="both"/>
        <w:spacing w:line="360" w:lineRule="exact"/>
        <w:rPr>
          <w:rFonts w:hint="eastAsia"/>
          <w:color w:val="auto"/>
        </w:rPr>
      </w:pPr>
      <w:r>
        <w:rPr>
          <w:rFonts w:hint="eastAsia"/>
          <w:color w:val="auto"/>
        </w:rPr>
        <w:t xml:space="preserve">支持灯具的电压、电流、功率（有功和无功）、功率因数、能耗采集、开关灯状态、调光等级、可统计总亮灯时间、总工作时间等；</w:t>
      </w:r>
      <w:r/>
    </w:p>
    <w:p>
      <w:pPr>
        <w:pStyle w:val="935"/>
        <w:jc w:val="both"/>
        <w:spacing w:line="360" w:lineRule="exact"/>
        <w:rPr>
          <w:rFonts w:hint="eastAsia"/>
          <w:color w:val="auto"/>
        </w:rPr>
      </w:pPr>
      <w:r>
        <w:rPr>
          <w:rFonts w:hint="eastAsia"/>
          <w:color w:val="auto"/>
        </w:rPr>
        <w:t xml:space="preserve">支持通信信号质量（信号强度，信噪比，小区ID）；</w:t>
      </w:r>
      <w:r/>
    </w:p>
    <w:p>
      <w:pPr>
        <w:pStyle w:val="935"/>
        <w:jc w:val="both"/>
        <w:spacing w:line="360" w:lineRule="exact"/>
        <w:rPr>
          <w:rFonts w:hint="eastAsia"/>
          <w:color w:val="auto"/>
        </w:rPr>
      </w:pPr>
      <w:r>
        <w:rPr>
          <w:rFonts w:hint="eastAsia"/>
          <w:color w:val="auto"/>
        </w:rPr>
        <w:t xml:space="preserve">支持灯具漏电采集功能。</w:t>
      </w:r>
      <w:r/>
    </w:p>
    <w:p>
      <w:pPr>
        <w:pStyle w:val="935"/>
        <w:jc w:val="both"/>
        <w:spacing w:line="360" w:lineRule="exact"/>
        <w:rPr>
          <w:rFonts w:hint="eastAsia"/>
          <w:color w:val="auto"/>
        </w:rPr>
      </w:pPr>
      <w:r>
        <w:rPr>
          <w:rFonts w:hint="eastAsia"/>
          <w:color w:val="auto"/>
        </w:rPr>
        <w:t xml:space="preserve">(4)状态采集</w:t>
      </w:r>
      <w:r/>
    </w:p>
    <w:p>
      <w:pPr>
        <w:pStyle w:val="935"/>
        <w:jc w:val="both"/>
        <w:spacing w:line="360" w:lineRule="exact"/>
        <w:rPr>
          <w:rFonts w:hint="eastAsia"/>
          <w:color w:val="auto"/>
        </w:rPr>
      </w:pPr>
      <w:r>
        <w:rPr>
          <w:rFonts w:hint="eastAsia"/>
          <w:color w:val="auto"/>
        </w:rPr>
        <w:t xml:space="preserve">支持灯杆倾斜度状态采集，精度为1°；</w:t>
      </w:r>
      <w:r/>
    </w:p>
    <w:p>
      <w:pPr>
        <w:pStyle w:val="935"/>
        <w:jc w:val="both"/>
        <w:spacing w:line="360" w:lineRule="exact"/>
        <w:rPr>
          <w:rFonts w:hint="eastAsia"/>
          <w:color w:val="auto"/>
        </w:rPr>
      </w:pPr>
      <w:r>
        <w:rPr>
          <w:rFonts w:hint="eastAsia"/>
          <w:color w:val="auto"/>
        </w:rPr>
        <w:t xml:space="preserve">支持设备自身防雷器状态采集；</w:t>
      </w:r>
      <w:r/>
    </w:p>
    <w:p>
      <w:pPr>
        <w:pStyle w:val="935"/>
        <w:jc w:val="both"/>
        <w:spacing w:line="360" w:lineRule="exact"/>
        <w:rPr>
          <w:rFonts w:hint="eastAsia"/>
          <w:color w:val="auto"/>
        </w:rPr>
      </w:pPr>
      <w:r>
        <w:rPr>
          <w:rFonts w:hint="eastAsia"/>
          <w:color w:val="auto"/>
        </w:rPr>
        <w:t xml:space="preserve">(5)报警管理</w:t>
      </w:r>
      <w:r/>
    </w:p>
    <w:p>
      <w:pPr>
        <w:pStyle w:val="935"/>
        <w:jc w:val="both"/>
        <w:spacing w:line="360" w:lineRule="exact"/>
        <w:rPr>
          <w:rFonts w:hint="eastAsia"/>
          <w:color w:val="auto"/>
        </w:rPr>
      </w:pPr>
      <w:r>
        <w:rPr>
          <w:rFonts w:hint="eastAsia"/>
          <w:color w:val="auto"/>
        </w:rPr>
        <w:t xml:space="preserve">故障告警：支持异常开灯、异常关灯、倾斜告警、通信异常/离线、欠流、欠压、过流、过压报警、防雷器故障告警。</w:t>
      </w:r>
      <w:r/>
    </w:p>
    <w:p>
      <w:pPr>
        <w:pStyle w:val="935"/>
        <w:jc w:val="both"/>
        <w:spacing w:line="360" w:lineRule="exact"/>
        <w:rPr>
          <w:rFonts w:hint="eastAsia"/>
          <w:color w:val="auto"/>
        </w:rPr>
      </w:pPr>
      <w:r>
        <w:rPr>
          <w:rFonts w:hint="eastAsia"/>
          <w:color w:val="auto"/>
        </w:rPr>
        <w:t xml:space="preserve">告警恢复：当灯具故障恢复正常时，主动向平台上报解除报警信息。</w:t>
      </w:r>
      <w:r/>
    </w:p>
    <w:p>
      <w:pPr>
        <w:pStyle w:val="935"/>
        <w:jc w:val="both"/>
        <w:spacing w:line="360" w:lineRule="exact"/>
        <w:rPr>
          <w:rFonts w:hint="eastAsia"/>
          <w:color w:val="auto"/>
        </w:rPr>
      </w:pPr>
      <w:r>
        <w:rPr>
          <w:rFonts w:hint="eastAsia"/>
          <w:color w:val="auto"/>
        </w:rPr>
        <w:t xml:space="preserve">(6)智能策略</w:t>
      </w:r>
      <w:r/>
    </w:p>
    <w:p>
      <w:pPr>
        <w:pStyle w:val="935"/>
        <w:jc w:val="both"/>
        <w:spacing w:line="360" w:lineRule="exact"/>
        <w:rPr>
          <w:rFonts w:hint="eastAsia"/>
          <w:color w:val="auto"/>
        </w:rPr>
      </w:pPr>
      <w:r>
        <w:rPr>
          <w:rFonts w:hint="eastAsia"/>
          <w:color w:val="auto"/>
        </w:rPr>
        <w:t xml:space="preserve">可按配置参数进行自主控制功能，可接受系统控制平台开关灯策略管理，按需（0~100%）进行调光和开关；</w:t>
      </w:r>
      <w:r/>
    </w:p>
    <w:p>
      <w:pPr>
        <w:pStyle w:val="935"/>
        <w:jc w:val="both"/>
        <w:spacing w:line="360" w:lineRule="exact"/>
        <w:rPr>
          <w:rFonts w:hint="eastAsia"/>
          <w:color w:val="auto"/>
        </w:rPr>
      </w:pPr>
      <w:r>
        <w:rPr>
          <w:rFonts w:hint="eastAsia"/>
          <w:color w:val="auto"/>
        </w:rPr>
        <w:t xml:space="preserve">支持每路各20组8段及以上预置开关和调光策略。 </w:t>
      </w:r>
      <w:r/>
    </w:p>
    <w:p>
      <w:pPr>
        <w:pStyle w:val="935"/>
        <w:jc w:val="both"/>
        <w:spacing w:line="360" w:lineRule="exact"/>
        <w:rPr>
          <w:rFonts w:hint="eastAsia"/>
          <w:color w:val="auto"/>
        </w:rPr>
      </w:pPr>
      <w:r>
        <w:rPr>
          <w:rFonts w:hint="eastAsia"/>
          <w:color w:val="auto"/>
        </w:rPr>
        <w:t xml:space="preserve">(7)时钟校时</w:t>
      </w:r>
      <w:r/>
    </w:p>
    <w:p>
      <w:pPr>
        <w:pStyle w:val="935"/>
        <w:jc w:val="both"/>
        <w:spacing w:line="360" w:lineRule="exact"/>
        <w:rPr>
          <w:rFonts w:hint="eastAsia"/>
          <w:color w:val="auto"/>
        </w:rPr>
      </w:pPr>
      <w:r>
        <w:rPr>
          <w:rFonts w:hint="eastAsia"/>
          <w:color w:val="auto"/>
        </w:rPr>
        <w:t xml:space="preserve">内置RTC实时时钟，支持远程校时功能；</w:t>
      </w:r>
      <w:r/>
    </w:p>
    <w:p>
      <w:pPr>
        <w:pStyle w:val="935"/>
        <w:jc w:val="both"/>
        <w:spacing w:line="360" w:lineRule="exact"/>
        <w:rPr>
          <w:rFonts w:hint="eastAsia"/>
          <w:color w:val="auto"/>
        </w:rPr>
      </w:pPr>
      <w:r>
        <w:rPr>
          <w:rFonts w:hint="eastAsia"/>
          <w:color w:val="auto"/>
        </w:rPr>
        <w:t xml:space="preserve">(8)在线升级：支持远程无线升级。 </w:t>
      </w:r>
      <w:r/>
    </w:p>
    <w:p>
      <w:pPr>
        <w:pStyle w:val="935"/>
        <w:jc w:val="both"/>
        <w:spacing w:line="360" w:lineRule="exact"/>
        <w:rPr>
          <w:rFonts w:hint="eastAsia"/>
          <w:color w:val="auto"/>
        </w:rPr>
      </w:pPr>
      <w:r>
        <w:rPr>
          <w:rFonts w:hint="eastAsia"/>
          <w:color w:val="auto"/>
        </w:rPr>
        <w:t xml:space="preserve">(9)掉电保存：时钟及存储信号掉电后不丢失，确保在现场恢复供电后继续运行。</w:t>
      </w:r>
      <w:r/>
    </w:p>
    <w:p>
      <w:pPr>
        <w:pStyle w:val="935"/>
        <w:jc w:val="both"/>
        <w:spacing w:line="360" w:lineRule="exact"/>
        <w:rPr>
          <w:rFonts w:hint="eastAsia"/>
          <w:color w:val="auto"/>
        </w:rPr>
      </w:pPr>
      <w:r>
        <w:rPr>
          <w:rFonts w:hint="eastAsia"/>
          <w:color w:val="auto"/>
        </w:rPr>
        <w:t xml:space="preserve">(10)扩展功能</w:t>
      </w:r>
      <w:r/>
    </w:p>
    <w:p>
      <w:pPr>
        <w:pStyle w:val="935"/>
        <w:jc w:val="both"/>
        <w:spacing w:line="360" w:lineRule="exact"/>
        <w:rPr>
          <w:rFonts w:hint="eastAsia"/>
          <w:color w:val="auto"/>
        </w:rPr>
      </w:pPr>
      <w:r>
        <w:rPr>
          <w:rFonts w:hint="eastAsia"/>
          <w:color w:val="auto"/>
        </w:rPr>
        <w:t xml:space="preserve">支持1路RS485接口，可通过RS485扩展环境传感器、照度传感器功能等；</w:t>
      </w:r>
      <w:r/>
    </w:p>
    <w:p>
      <w:pPr>
        <w:pStyle w:val="935"/>
        <w:jc w:val="both"/>
        <w:spacing w:line="360" w:lineRule="exact"/>
        <w:rPr>
          <w:rFonts w:hint="eastAsia"/>
          <w:color w:val="auto"/>
        </w:rPr>
      </w:pPr>
      <w:r>
        <w:rPr>
          <w:rFonts w:hint="eastAsia"/>
          <w:color w:val="auto"/>
        </w:rPr>
        <w:t xml:space="preserve">支持1路开关量接口，可采集外部设备状态，如水浸检测；</w:t>
      </w:r>
      <w:r/>
    </w:p>
    <w:p>
      <w:pPr>
        <w:pStyle w:val="935"/>
        <w:jc w:val="both"/>
        <w:spacing w:line="360" w:lineRule="exact"/>
        <w:rPr>
          <w:rFonts w:hint="eastAsia"/>
          <w:color w:val="auto"/>
        </w:rPr>
      </w:pPr>
      <w:r>
        <w:rPr>
          <w:rFonts w:hint="eastAsia"/>
          <w:color w:val="auto"/>
        </w:rPr>
        <w:t xml:space="preserve">支持1路12V/3W直流电源输出接口，便于给低功耗传感器设备供电；</w:t>
      </w:r>
      <w:r/>
    </w:p>
    <w:p>
      <w:pPr>
        <w:pStyle w:val="935"/>
        <w:jc w:val="both"/>
        <w:spacing w:line="360" w:lineRule="exact"/>
        <w:rPr>
          <w:rFonts w:hint="eastAsia"/>
          <w:color w:val="auto"/>
        </w:rPr>
      </w:pPr>
      <w:r>
        <w:rPr>
          <w:rFonts w:hint="eastAsia"/>
          <w:color w:val="auto"/>
        </w:rPr>
        <w:t xml:space="preserve">内置防雷器保护及防雷器状态监测；</w:t>
      </w:r>
      <w:r/>
    </w:p>
    <w:p>
      <w:pPr>
        <w:pStyle w:val="935"/>
        <w:jc w:val="both"/>
        <w:spacing w:line="360" w:lineRule="exact"/>
        <w:rPr>
          <w:rFonts w:hint="eastAsia"/>
          <w:color w:val="auto"/>
        </w:rPr>
      </w:pPr>
      <w:r>
        <w:rPr>
          <w:rFonts w:hint="eastAsia"/>
          <w:color w:val="auto"/>
        </w:rPr>
        <w:t xml:space="preserve">内置熔断器，并可单独替换。</w:t>
      </w:r>
      <w:r/>
    </w:p>
    <w:p>
      <w:pPr>
        <w:pStyle w:val="935"/>
        <w:jc w:val="both"/>
        <w:spacing w:line="360" w:lineRule="exact"/>
        <w:rPr>
          <w:rFonts w:hint="eastAsia"/>
          <w:color w:val="auto"/>
        </w:rPr>
      </w:pPr>
      <w:r>
        <w:rPr>
          <w:rFonts w:hint="eastAsia"/>
          <w:color w:val="auto"/>
        </w:rPr>
        <w:t xml:space="preserve">(11)自运行：应用本地策略，满足网络异常、断电、无网和控制中心系统失效等异常状态下的智能控制（系统可按预先设置的开关时间或调光计划，自动开关灯和调光），确保照明线路的运行。</w:t>
      </w:r>
      <w:r/>
    </w:p>
    <w:p>
      <w:pPr>
        <w:pStyle w:val="935"/>
        <w:jc w:val="both"/>
        <w:spacing w:line="360" w:lineRule="exact"/>
        <w:rPr>
          <w:rFonts w:hint="eastAsia"/>
          <w:color w:val="auto"/>
        </w:rPr>
      </w:pPr>
      <w:r>
        <w:rPr>
          <w:rFonts w:hint="eastAsia"/>
          <w:color w:val="auto"/>
        </w:rPr>
        <w:t xml:space="preserve">(12)安装方便</w:t>
      </w:r>
      <w:r/>
    </w:p>
    <w:p>
      <w:pPr>
        <w:pStyle w:val="935"/>
        <w:jc w:val="both"/>
        <w:spacing w:line="360" w:lineRule="exact"/>
        <w:rPr>
          <w:rFonts w:hint="eastAsia"/>
          <w:color w:val="auto"/>
        </w:rPr>
      </w:pPr>
      <w:r>
        <w:rPr>
          <w:rFonts w:hint="eastAsia"/>
          <w:color w:val="auto"/>
        </w:rPr>
        <w:t xml:space="preserve">支持便捷式扫码获取设备地址信息；</w:t>
      </w:r>
      <w:r/>
    </w:p>
    <w:p>
      <w:pPr>
        <w:pStyle w:val="935"/>
        <w:jc w:val="both"/>
        <w:spacing w:line="360" w:lineRule="exact"/>
        <w:rPr>
          <w:rFonts w:hint="eastAsia"/>
          <w:color w:val="auto"/>
        </w:rPr>
      </w:pPr>
      <w:r>
        <w:rPr>
          <w:rFonts w:hint="eastAsia"/>
          <w:color w:val="auto"/>
        </w:rPr>
        <w:t xml:space="preserve">采用接线盒方式，壁挂式安装；</w:t>
      </w:r>
      <w:r/>
    </w:p>
    <w:p>
      <w:pPr>
        <w:pStyle w:val="935"/>
        <w:jc w:val="both"/>
        <w:spacing w:line="360" w:lineRule="exact"/>
        <w:rPr>
          <w:rFonts w:hint="eastAsia"/>
          <w:color w:val="auto"/>
        </w:rPr>
      </w:pPr>
      <w:r>
        <w:rPr>
          <w:rFonts w:hint="eastAsia"/>
          <w:color w:val="auto"/>
        </w:rPr>
        <w:t xml:space="preserve">安装于灯杆检修门内。</w:t>
      </w:r>
      <w:r/>
    </w:p>
    <w:p>
      <w:pPr>
        <w:pStyle w:val="935"/>
        <w:jc w:val="both"/>
        <w:spacing w:line="360" w:lineRule="exact"/>
        <w:rPr>
          <w:rFonts w:hint="eastAsia"/>
          <w:color w:val="auto"/>
        </w:rPr>
      </w:pPr>
      <w:r>
        <w:rPr>
          <w:rFonts w:hint="eastAsia"/>
          <w:color w:val="auto"/>
        </w:rPr>
        <w:t xml:space="preserve">(13)状态指示</w:t>
      </w:r>
      <w:r/>
    </w:p>
    <w:p>
      <w:pPr>
        <w:pStyle w:val="935"/>
        <w:jc w:val="both"/>
        <w:spacing w:line="360" w:lineRule="exact"/>
        <w:rPr>
          <w:rFonts w:hint="eastAsia"/>
          <w:color w:val="auto"/>
        </w:rPr>
      </w:pPr>
      <w:r>
        <w:rPr>
          <w:rFonts w:hint="eastAsia"/>
          <w:color w:val="auto"/>
        </w:rPr>
        <w:t xml:space="preserve">提供多个指示灯，如电源灯、运行/故障灯、上行灯、下行灯、灯1灯、灯2灯、灯3灯；</w:t>
      </w:r>
      <w:r/>
    </w:p>
    <w:p>
      <w:pPr>
        <w:pStyle w:val="935"/>
        <w:jc w:val="both"/>
        <w:spacing w:line="360" w:lineRule="exact"/>
        <w:rPr>
          <w:rFonts w:hint="eastAsia"/>
          <w:color w:val="auto"/>
        </w:rPr>
      </w:pPr>
      <w:r>
        <w:rPr>
          <w:rFonts w:hint="eastAsia"/>
          <w:color w:val="auto"/>
        </w:rPr>
        <w:t xml:space="preserve">应具备透明可视窗口，可直观观察指示灯的运行状态；</w:t>
      </w:r>
      <w:r/>
    </w:p>
    <w:p>
      <w:pPr>
        <w:pStyle w:val="935"/>
        <w:jc w:val="both"/>
        <w:spacing w:line="360" w:lineRule="exact"/>
        <w:rPr>
          <w:rFonts w:hint="eastAsia" w:ascii="宋体" w:hAnsi="宋体" w:eastAsia="宋体"/>
          <w:color w:val="auto"/>
        </w:rPr>
      </w:pPr>
      <w:r>
        <w:rPr>
          <w:rFonts w:hint="eastAsia" w:ascii="宋体" w:hAnsi="宋体" w:eastAsia="宋体"/>
          <w:color w:val="auto"/>
          <w:lang w:val="en-US" w:eastAsia="zh-CN"/>
        </w:rPr>
        <w:t xml:space="preserve">(14)</w:t>
      </w:r>
      <w:r>
        <w:rPr>
          <w:rFonts w:hint="eastAsia" w:ascii="宋体" w:hAnsi="宋体" w:eastAsia="宋体"/>
          <w:color w:val="auto"/>
        </w:rPr>
        <w:t xml:space="preserve">防护性能</w:t>
      </w:r>
      <w:r/>
    </w:p>
    <w:p>
      <w:pPr>
        <w:pStyle w:val="935"/>
        <w:jc w:val="both"/>
        <w:spacing w:line="360" w:lineRule="exact"/>
        <w:rPr>
          <w:rFonts w:hint="eastAsia" w:ascii="宋体" w:hAnsi="宋体" w:eastAsia="宋体"/>
          <w:color w:val="auto"/>
        </w:rPr>
      </w:pPr>
      <w:r>
        <w:rPr>
          <w:rFonts w:hint="eastAsia" w:ascii="宋体" w:hAnsi="宋体" w:eastAsia="宋体"/>
          <w:color w:val="auto"/>
        </w:rPr>
        <w:t xml:space="preserve">工作温度应不小于：-40℃~55℃</w:t>
      </w:r>
      <w:r/>
    </w:p>
    <w:p>
      <w:pPr>
        <w:pStyle w:val="935"/>
        <w:jc w:val="both"/>
        <w:spacing w:line="360" w:lineRule="exact"/>
        <w:rPr>
          <w:rFonts w:hint="eastAsia" w:ascii="宋体" w:hAnsi="宋体" w:eastAsia="宋体"/>
          <w:color w:val="auto"/>
        </w:rPr>
      </w:pPr>
      <w:r>
        <w:rPr>
          <w:rFonts w:hint="eastAsia" w:ascii="宋体" w:hAnsi="宋体" w:eastAsia="宋体"/>
          <w:color w:val="auto"/>
        </w:rPr>
        <w:t xml:space="preserve">IP等级应不低于IP67</w:t>
      </w:r>
      <w:r/>
    </w:p>
    <w:p>
      <w:pPr>
        <w:pStyle w:val="935"/>
        <w:jc w:val="both"/>
        <w:spacing w:line="360" w:lineRule="exact"/>
        <w:rPr>
          <w:rFonts w:hint="eastAsia" w:ascii="宋体" w:hAnsi="宋体" w:eastAsia="宋体"/>
          <w:color w:val="auto"/>
        </w:rPr>
      </w:pPr>
      <w:r>
        <w:rPr>
          <w:rFonts w:hint="eastAsia" w:ascii="宋体" w:hAnsi="宋体" w:eastAsia="宋体"/>
          <w:color w:val="auto"/>
        </w:rPr>
        <w:t xml:space="preserve">(1</w:t>
      </w:r>
      <w:r>
        <w:rPr>
          <w:rFonts w:hint="eastAsia" w:ascii="宋体" w:hAnsi="宋体" w:eastAsia="宋体"/>
          <w:color w:val="auto"/>
          <w:lang w:val="en-US" w:eastAsia="zh-CN"/>
        </w:rPr>
        <w:t xml:space="preserve">5</w:t>
      </w:r>
      <w:r>
        <w:rPr>
          <w:rFonts w:hint="eastAsia" w:ascii="宋体" w:hAnsi="宋体" w:eastAsia="宋体"/>
          <w:color w:val="auto"/>
        </w:rPr>
        <w:t xml:space="preserve">)单灯控制器需获得CQC产品认证证书</w:t>
      </w:r>
      <w:r/>
    </w:p>
    <w:p>
      <w:pPr>
        <w:pStyle w:val="935"/>
        <w:jc w:val="both"/>
        <w:spacing w:line="360" w:lineRule="exact"/>
        <w:rPr>
          <w:rFonts w:hint="eastAsia" w:ascii="宋体" w:hAnsi="宋体" w:eastAsia="宋体"/>
          <w:color w:val="auto"/>
        </w:rPr>
      </w:pPr>
      <w:r>
        <w:rPr>
          <w:rFonts w:hint="eastAsia" w:ascii="宋体" w:hAnsi="宋体" w:eastAsia="宋体"/>
          <w:color w:val="auto"/>
        </w:rPr>
        <w:t xml:space="preserve">(1</w:t>
      </w:r>
      <w:r>
        <w:rPr>
          <w:rFonts w:hint="eastAsia" w:ascii="宋体" w:hAnsi="宋体" w:eastAsia="宋体"/>
          <w:color w:val="auto"/>
          <w:lang w:val="en-US" w:eastAsia="zh-CN"/>
        </w:rPr>
        <w:t xml:space="preserve">6</w:t>
      </w:r>
      <w:r>
        <w:rPr>
          <w:rFonts w:hint="eastAsia" w:ascii="宋体" w:hAnsi="宋体" w:eastAsia="宋体"/>
          <w:color w:val="auto"/>
        </w:rPr>
        <w:t xml:space="preserve">)单灯控制器需要通过耐久性测试，实验室实测≥1000h</w:t>
      </w:r>
      <w:r/>
    </w:p>
    <w:p>
      <w:pPr>
        <w:pStyle w:val="935"/>
        <w:jc w:val="both"/>
        <w:spacing w:line="360" w:lineRule="exact"/>
        <w:rPr>
          <w:rFonts w:hint="eastAsia" w:ascii="宋体" w:hAnsi="宋体" w:eastAsia="宋体"/>
          <w:color w:val="auto"/>
        </w:rPr>
      </w:pPr>
      <w:r>
        <w:rPr>
          <w:rFonts w:hint="eastAsia" w:ascii="宋体" w:hAnsi="宋体" w:eastAsia="宋体"/>
          <w:color w:val="auto"/>
        </w:rPr>
        <w:t xml:space="preserve">(1</w:t>
      </w:r>
      <w:r>
        <w:rPr>
          <w:rFonts w:hint="eastAsia" w:ascii="宋体" w:hAnsi="宋体" w:eastAsia="宋体"/>
          <w:color w:val="auto"/>
          <w:lang w:val="en-US" w:eastAsia="zh-CN"/>
        </w:rPr>
        <w:t xml:space="preserve">7</w:t>
      </w:r>
      <w:r>
        <w:rPr>
          <w:rFonts w:hint="eastAsia" w:ascii="宋体" w:hAnsi="宋体" w:eastAsia="宋体"/>
          <w:color w:val="auto"/>
        </w:rPr>
        <w:t xml:space="preserve">)为保证整体运行的可靠性与兼容性，灯具、控制装置、控制器为同一品牌。</w:t>
      </w:r>
      <w:r/>
    </w:p>
    <w:p>
      <w:pPr>
        <w:pStyle w:val="935"/>
        <w:ind w:firstLine="482"/>
        <w:jc w:val="both"/>
        <w:spacing w:line="360" w:lineRule="exact"/>
        <w:rPr>
          <w:rFonts w:hint="eastAsia"/>
          <w:b/>
          <w:bCs/>
          <w:color w:val="auto"/>
        </w:rPr>
      </w:pPr>
      <w:r>
        <w:rPr>
          <w:rFonts w:hint="eastAsia"/>
          <w:b/>
          <w:bCs/>
          <w:color w:val="auto"/>
        </w:rPr>
        <w:t xml:space="preserve">3.</w:t>
      </w:r>
      <w:r>
        <w:rPr>
          <w:rFonts w:hint="eastAsia"/>
          <w:b/>
          <w:bCs/>
          <w:color w:val="auto"/>
          <w:lang w:val="en-US" w:eastAsia="zh-CN"/>
        </w:rPr>
        <w:t xml:space="preserve">6</w:t>
      </w:r>
      <w:r>
        <w:rPr>
          <w:rFonts w:hint="eastAsia"/>
          <w:b/>
          <w:bCs/>
          <w:color w:val="auto"/>
        </w:rPr>
        <w:t xml:space="preserve"> 集中控制器技术要求</w:t>
      </w:r>
      <w:r/>
    </w:p>
    <w:p>
      <w:pPr>
        <w:pStyle w:val="935"/>
        <w:jc w:val="both"/>
        <w:spacing w:line="360" w:lineRule="exact"/>
        <w:rPr>
          <w:rFonts w:hint="eastAsia"/>
          <w:color w:val="auto"/>
        </w:rPr>
      </w:pPr>
      <w:r>
        <w:rPr>
          <w:color w:val="auto"/>
        </w:rPr>
        <w:t xml:space="preserve">(1)</w:t>
      </w:r>
      <w:r>
        <w:rPr>
          <w:rFonts w:hint="eastAsia"/>
          <w:color w:val="auto"/>
        </w:rPr>
        <w:t xml:space="preserve">通信方式</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上行通信：支持4G无线接口及1000Mbps以太网接口主动连接上级平台系统； </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下行通信：支持HPLC宽带电力载波通信及2.4G无线双模通信方式</w:t>
      </w:r>
      <w:r>
        <w:rPr>
          <w:rFonts w:hint="eastAsia" w:ascii="宋体" w:hAnsi="宋体"/>
          <w:color w:val="auto"/>
          <w:sz w:val="24"/>
        </w:rPr>
        <w:t xml:space="preserve">。</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(2)控制功能</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支持远程控制，支持8路开关信号输出控制功能，可用于路灯出线电缆的开关控制，开关信号接口需同时支持常闭常开接口。</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(3)数据采集</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采集配电柜和回路信息采集：包括配电柜进线电压、出线电压、出线电流，各路灯供电输出回路的电压、电流、功率因素、功率、总能耗、回路开关状态、漏电状态</w:t>
      </w:r>
      <w:r>
        <w:rPr>
          <w:rFonts w:hint="eastAsia" w:ascii="宋体" w:hAnsi="宋体"/>
          <w:color w:val="auto"/>
          <w:sz w:val="24"/>
        </w:rPr>
        <w:t xml:space="preserve">，并具有远程抄表功能</w:t>
      </w:r>
      <w:r>
        <w:rPr>
          <w:rFonts w:ascii="宋体" w:hAnsi="宋体"/>
          <w:color w:val="auto"/>
          <w:sz w:val="24"/>
        </w:rPr>
        <w:t xml:space="preserve">；</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单灯监控终端信息采集：具有定时或实时接收下辖所有单灯监控终端采集到的电压、电流、有功功率、功率因数和当前故障信息等数据。</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(4)状态采集</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支持16路开关量信号输入，可用于检测交流接触器回路状态、手动/自动状态和门磁状态等。</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(5)报警管理</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故障告警：集中控制器具有自动上传告警功能，报警类型包括集中控制器异常开灯、异常关灯、缺相报警、漏电报警、欠流、欠压、过流、过压告警报警。</w:t>
      </w:r>
      <w:r/>
    </w:p>
    <w:p>
      <w:pPr>
        <w:ind w:firstLine="480"/>
        <w:spacing w:line="360" w:lineRule="exact"/>
        <w:tabs>
          <w:tab w:val="left" w:pos="312" w:leader="none"/>
        </w:tabs>
        <w:rPr>
          <w:rFonts w:hint="eastAsia" w:ascii="宋体" w:hAnsi="宋体"/>
          <w:color w:val="auto"/>
          <w:sz w:val="24"/>
        </w:rPr>
      </w:pPr>
      <w:r>
        <w:rPr>
          <w:rFonts w:ascii="宋体" w:hAnsi="宋体"/>
          <w:color w:val="auto"/>
          <w:sz w:val="24"/>
        </w:rPr>
        <w:t xml:space="preserve">告警恢复：当故障恢复正常时，主动向平台上报解除报警信息。</w:t>
      </w:r>
      <w:r/>
    </w:p>
    <w:p>
      <w:pPr>
        <w:pStyle w:val="935"/>
        <w:ind w:firstLine="482"/>
        <w:jc w:val="both"/>
        <w:spacing w:line="360" w:lineRule="exact"/>
        <w:rPr>
          <w:rFonts w:hint="eastAsia"/>
          <w:b/>
          <w:bCs/>
          <w:color w:val="auto"/>
        </w:rPr>
      </w:pPr>
      <w:r>
        <w:rPr>
          <w:rFonts w:hint="eastAsia"/>
          <w:b/>
          <w:bCs/>
          <w:color w:val="auto"/>
        </w:rPr>
        <w:t xml:space="preserve">3.</w:t>
      </w:r>
      <w:r>
        <w:rPr>
          <w:rFonts w:hint="eastAsia"/>
          <w:b/>
          <w:bCs/>
          <w:color w:val="auto"/>
          <w:lang w:val="en-US" w:eastAsia="zh-CN"/>
        </w:rPr>
        <w:t xml:space="preserve">7 </w:t>
      </w:r>
      <w:r>
        <w:rPr>
          <w:rFonts w:hint="eastAsia"/>
          <w:b/>
          <w:bCs/>
          <w:color w:val="auto"/>
        </w:rPr>
        <w:t xml:space="preserve">灯杆技术要求</w:t>
      </w:r>
      <w:r/>
    </w:p>
    <w:p>
      <w:pPr>
        <w:pStyle w:val="935"/>
        <w:jc w:val="both"/>
        <w:spacing w:line="360" w:lineRule="exact"/>
        <w:rPr>
          <w:rFonts w:hint="eastAsia"/>
          <w:color w:val="auto"/>
        </w:rPr>
      </w:pPr>
      <w:r>
        <w:rPr>
          <w:rFonts w:hint="eastAsia"/>
          <w:color w:val="auto"/>
        </w:rPr>
        <w:t xml:space="preserve">（1）灯杆技术条件符合行业标准《灯杆照明设施技术条件》CJ/T 3076的规定。</w:t>
      </w:r>
      <w:r/>
    </w:p>
    <w:p>
      <w:pPr>
        <w:pStyle w:val="935"/>
        <w:jc w:val="both"/>
        <w:spacing w:line="360" w:lineRule="exact"/>
        <w:rPr>
          <w:rFonts w:hint="eastAsia"/>
          <w:color w:val="auto"/>
        </w:rPr>
      </w:pPr>
      <w:r>
        <w:rPr>
          <w:rFonts w:hint="eastAsia"/>
          <w:color w:val="auto"/>
        </w:rPr>
        <w:t xml:space="preserve">（2）</w:t>
      </w:r>
      <w:r>
        <w:rPr>
          <w:rFonts w:hint="eastAsia"/>
          <w:color w:val="auto"/>
          <w:highlight w:val="none"/>
        </w:rPr>
        <w:t xml:space="preserve">灯杆供货商应持有</w:t>
      </w:r>
      <w:r>
        <w:rPr>
          <w:rFonts w:hint="eastAsia"/>
          <w:color w:val="auto"/>
          <w:highlight w:val="none"/>
          <w:lang w:val="en-US" w:eastAsia="zh-CN"/>
        </w:rPr>
        <w:t xml:space="preserve">安全</w:t>
      </w:r>
      <w:r>
        <w:rPr>
          <w:rFonts w:hint="eastAsia"/>
          <w:color w:val="auto"/>
          <w:highlight w:val="none"/>
        </w:rPr>
        <w:t xml:space="preserve">生产许可证</w:t>
      </w:r>
      <w:r>
        <w:rPr>
          <w:rFonts w:hint="eastAsia"/>
          <w:color w:val="auto"/>
        </w:rPr>
        <w:t xml:space="preserve">，其设计与制造应符合国家标准GBI35－90《高耸结构设计规范》及GB17－88《钢结构设计规范》。</w:t>
      </w:r>
      <w:r/>
    </w:p>
    <w:p>
      <w:pPr>
        <w:pStyle w:val="935"/>
        <w:jc w:val="both"/>
        <w:spacing w:line="360" w:lineRule="exact"/>
        <w:rPr>
          <w:rFonts w:hint="eastAsia"/>
          <w:color w:val="auto"/>
        </w:rPr>
      </w:pPr>
      <w:r>
        <w:rPr>
          <w:rFonts w:hint="eastAsia"/>
          <w:color w:val="auto"/>
        </w:rPr>
        <w:t xml:space="preserve">（3）杆体内外作热沉浸锌防腐处理，热镀锌层厚度大于85um，热浸镀锌应符合 GB/T 13912 的相关规定。热浸锌层表面无鼓泡、粗糙、起壳、裂纹、渣结、漏镀区之类的明显缺陷。镀锌处理后采用聚酯抗紫外线塑粉喷涂，喷塑厚度大于100um，镀层硬度大于1H,镀层附着力为1级,热镀锌层表面可保持20年不腐蚀，喷塑层可保持5年不褪色，10年不剥落。</w:t>
      </w:r>
      <w:r/>
    </w:p>
    <w:p>
      <w:pPr>
        <w:pStyle w:val="935"/>
        <w:jc w:val="both"/>
        <w:spacing w:line="360" w:lineRule="exact"/>
        <w:rPr>
          <w:rFonts w:hint="eastAsia"/>
          <w:color w:val="auto"/>
        </w:rPr>
      </w:pPr>
      <w:r>
        <w:rPr>
          <w:rFonts w:hint="eastAsia"/>
          <w:color w:val="auto"/>
        </w:rPr>
        <w:t xml:space="preserve">（4）带电部件之间以及带电部件与易接触的金属部件之间有足够爬电距离，其最小满足下列要求：a）爬电距离&gt;4mm；b）电气间隙&gt;3mm。</w:t>
      </w:r>
      <w:r/>
    </w:p>
    <w:p>
      <w:pPr>
        <w:pStyle w:val="935"/>
        <w:jc w:val="both"/>
        <w:spacing w:line="360" w:lineRule="exact"/>
        <w:rPr>
          <w:rFonts w:hint="eastAsia"/>
          <w:color w:val="auto"/>
        </w:rPr>
      </w:pPr>
      <w:r>
        <w:rPr>
          <w:rFonts w:hint="eastAsia"/>
          <w:color w:val="auto"/>
        </w:rPr>
        <w:t xml:space="preserve">（5）灯杆底座带有法兰盘，法兰盘需热镀锌，通过地脚螺栓安装在基础上。</w:t>
      </w:r>
      <w:r/>
    </w:p>
    <w:p>
      <w:pPr>
        <w:pStyle w:val="935"/>
        <w:jc w:val="both"/>
        <w:spacing w:line="360" w:lineRule="exact"/>
        <w:rPr>
          <w:rFonts w:hint="eastAsia"/>
          <w:color w:val="auto"/>
        </w:rPr>
      </w:pPr>
      <w:r>
        <w:rPr>
          <w:rFonts w:hint="eastAsia"/>
          <w:color w:val="auto"/>
        </w:rPr>
        <w:t xml:space="preserve">（</w:t>
      </w:r>
      <w:r>
        <w:rPr>
          <w:rFonts w:hint="eastAsia"/>
          <w:color w:val="auto"/>
          <w:lang w:val="en-US" w:eastAsia="zh-CN"/>
        </w:rPr>
        <w:t xml:space="preserve">6</w:t>
      </w:r>
      <w:r>
        <w:rPr>
          <w:rFonts w:hint="eastAsia"/>
          <w:color w:val="auto"/>
        </w:rPr>
        <w:t xml:space="preserve">）防腐处理:防腐质量符合现行国家标准《金属覆盖及其他覆盖层维氏和努氏显微硬度试验》（GB/T9790）、《热喷涂金属件表面须处理通则》（GB/T11373）。</w:t>
      </w:r>
      <w:r/>
    </w:p>
    <w:p>
      <w:pPr>
        <w:pStyle w:val="935"/>
        <w:jc w:val="both"/>
        <w:spacing w:line="360" w:lineRule="exact"/>
        <w:rPr>
          <w:rFonts w:hint="eastAsia"/>
          <w:color w:val="auto"/>
        </w:rPr>
      </w:pPr>
      <w:r>
        <w:rPr>
          <w:rFonts w:hint="eastAsia"/>
          <w:color w:val="auto"/>
        </w:rPr>
        <w:t xml:space="preserve">（</w:t>
      </w:r>
      <w:r>
        <w:rPr>
          <w:rFonts w:hint="eastAsia"/>
          <w:color w:val="auto"/>
          <w:lang w:val="en-US" w:eastAsia="zh-CN"/>
        </w:rPr>
        <w:t xml:space="preserve">7</w:t>
      </w:r>
      <w:r>
        <w:rPr>
          <w:rFonts w:hint="eastAsia"/>
          <w:color w:val="auto"/>
        </w:rPr>
        <w:t xml:space="preserve">）所有金属件（不含不锈钢材料）采用内外热镀锌工艺进行防腐处理、喷塑，喷塑只外部喷涂，内部不进行。锌层均匀，表面色泽一致，要求48小时盐雾试验合格。热镀锌后表面须喷塑。</w:t>
      </w:r>
      <w:r/>
    </w:p>
    <w:p>
      <w:pPr>
        <w:pStyle w:val="935"/>
        <w:jc w:val="both"/>
        <w:spacing w:line="360" w:lineRule="exact"/>
        <w:rPr>
          <w:rFonts w:hint="eastAsia"/>
          <w:color w:val="auto"/>
        </w:rPr>
      </w:pPr>
      <w:r>
        <w:rPr>
          <w:rFonts w:hint="eastAsia"/>
          <w:color w:val="auto"/>
        </w:rPr>
        <w:t xml:space="preserve">（</w:t>
      </w:r>
      <w:r>
        <w:rPr>
          <w:rFonts w:hint="eastAsia"/>
          <w:color w:val="auto"/>
          <w:lang w:val="en-US" w:eastAsia="zh-CN"/>
        </w:rPr>
        <w:t xml:space="preserve">8</w:t>
      </w:r>
      <w:r>
        <w:rPr>
          <w:rFonts w:hint="eastAsia"/>
          <w:color w:val="auto"/>
        </w:rPr>
        <w:t xml:space="preserve">）灯杆喷塑应符合 JG/T 495 和 JG/T 3045.2的相关规定，灯杆表面喷塑厚度</w:t>
      </w:r>
      <w:r>
        <w:rPr>
          <w:rFonts w:hint="eastAsia"/>
          <w:color w:val="auto"/>
          <w:lang w:eastAsia="zh-CN"/>
        </w:rPr>
        <w:t xml:space="preserve">≥</w:t>
      </w:r>
      <w:r>
        <w:rPr>
          <w:rFonts w:hint="eastAsia"/>
          <w:color w:val="auto"/>
        </w:rPr>
        <w:t xml:space="preserve">100μm，附着力达到GB9286-880级，表面光滑：硬度</w:t>
      </w:r>
      <w:r>
        <w:rPr>
          <w:rFonts w:hint="eastAsia"/>
          <w:color w:val="auto"/>
          <w:lang w:eastAsia="zh-CN"/>
        </w:rPr>
        <w:t xml:space="preserve">≥</w:t>
      </w:r>
      <w:r>
        <w:rPr>
          <w:rFonts w:hint="eastAsia"/>
          <w:color w:val="auto"/>
        </w:rPr>
        <w:t xml:space="preserve">2H，采用室外耐候性材料，喷塑材料为全聚酯塑粉。</w:t>
      </w:r>
      <w:r/>
    </w:p>
    <w:p>
      <w:pPr>
        <w:pStyle w:val="935"/>
        <w:jc w:val="both"/>
        <w:spacing w:line="360" w:lineRule="exact"/>
        <w:rPr>
          <w:rFonts w:hint="eastAsia"/>
          <w:color w:val="auto"/>
        </w:rPr>
      </w:pPr>
      <w:r>
        <w:rPr>
          <w:rFonts w:hint="eastAsia"/>
          <w:color w:val="auto"/>
        </w:rPr>
        <w:t xml:space="preserve">（</w:t>
      </w:r>
      <w:r>
        <w:rPr>
          <w:rFonts w:hint="eastAsia"/>
          <w:color w:val="auto"/>
          <w:lang w:val="en-US" w:eastAsia="zh-CN"/>
        </w:rPr>
        <w:t xml:space="preserve">9</w:t>
      </w:r>
      <w:r>
        <w:rPr>
          <w:rFonts w:hint="eastAsia"/>
          <w:color w:val="auto"/>
        </w:rPr>
        <w:t xml:space="preserve">）灯杆应具备优异的抗腐蚀性，依据能在经历不小于500小时酸性盐雾环境下依旧保持优异的抗腐蚀性能：锌层厚度不小于85um、附着力在锤击试验后锌层无剥离无突起且锌层保护评级不低于7级。酸性盐雾试验应按照</w:t>
      </w:r>
      <w:r>
        <w:rPr>
          <w:rFonts w:hint="eastAsia"/>
          <w:color w:val="auto"/>
          <w:highlight w:val="none"/>
        </w:rPr>
        <w:t xml:space="preserve">GB/T 13912-2020《金属覆盖层钢铁制件热浸镀锌层技术要求及实验方法》、GB/T 10125-2021</w:t>
      </w:r>
      <w:r>
        <w:rPr>
          <w:rFonts w:hint="eastAsia"/>
          <w:color w:val="auto"/>
        </w:rPr>
        <w:t xml:space="preserve">《人造气氛腐蚀试验</w:t>
      </w:r>
      <w:r>
        <w:rPr>
          <w:rFonts w:hint="eastAsia"/>
          <w:color w:val="auto"/>
          <w:lang w:val="en-US" w:eastAsia="zh-CN"/>
        </w:rPr>
        <w:t xml:space="preserve"> </w:t>
      </w:r>
      <w:r>
        <w:rPr>
          <w:rFonts w:hint="eastAsia"/>
          <w:color w:val="auto"/>
        </w:rPr>
        <w:t xml:space="preserve">盐雾试验》、</w:t>
      </w:r>
      <w:r>
        <w:rPr>
          <w:rFonts w:hint="eastAsia"/>
          <w:color w:val="auto"/>
          <w:highlight w:val="none"/>
          <w:lang w:eastAsia="zh-CN"/>
        </w:rPr>
        <w:t xml:space="preserve">GB/T 4956</w:t>
      </w:r>
      <w:r>
        <w:rPr>
          <w:rFonts w:hint="eastAsia"/>
          <w:color w:val="auto"/>
        </w:rPr>
        <w:t xml:space="preserve">《磁性基体上非磁性覆盖层</w:t>
      </w:r>
      <w:r>
        <w:rPr>
          <w:rFonts w:hint="eastAsia"/>
          <w:color w:val="auto"/>
          <w:lang w:val="en-US" w:eastAsia="zh-CN"/>
        </w:rPr>
        <w:t xml:space="preserve"> </w:t>
      </w:r>
      <w:r>
        <w:rPr>
          <w:rFonts w:hint="eastAsia"/>
          <w:color w:val="auto"/>
        </w:rPr>
        <w:t xml:space="preserve">覆盖层厚度测量</w:t>
      </w:r>
      <w:r>
        <w:rPr>
          <w:rFonts w:hint="eastAsia"/>
          <w:color w:val="auto"/>
          <w:lang w:val="en-US" w:eastAsia="zh-CN"/>
        </w:rPr>
        <w:t xml:space="preserve"> </w:t>
      </w:r>
      <w:r>
        <w:rPr>
          <w:rFonts w:hint="eastAsia"/>
          <w:color w:val="auto"/>
        </w:rPr>
        <w:t xml:space="preserve">磁性法》执行并进行评级；</w:t>
      </w:r>
      <w:r/>
    </w:p>
    <w:p>
      <w:pPr>
        <w:pStyle w:val="935"/>
        <w:jc w:val="both"/>
        <w:spacing w:line="360" w:lineRule="exact"/>
        <w:rPr>
          <w:rFonts w:hint="eastAsia"/>
          <w:color w:val="auto"/>
        </w:rPr>
      </w:pPr>
      <w:r>
        <w:rPr>
          <w:rFonts w:hint="eastAsia"/>
          <w:color w:val="auto"/>
        </w:rPr>
        <w:t xml:space="preserve">（1</w:t>
      </w:r>
      <w:r>
        <w:rPr>
          <w:rFonts w:hint="eastAsia"/>
          <w:color w:val="auto"/>
          <w:lang w:val="en-US" w:eastAsia="zh-CN"/>
        </w:rPr>
        <w:t xml:space="preserve">0</w:t>
      </w:r>
      <w:r>
        <w:rPr>
          <w:rFonts w:hint="eastAsia"/>
          <w:color w:val="auto"/>
        </w:rPr>
        <w:t xml:space="preserve">）灯杆塑层应具备优异的抗紫外老化能力，能在经历500小时紫外老化后依旧保持优异的硬度及附着力：老化测试后硬度不低于3H，且附着力不低于0级。紫外老化试验应按照GB/T 14522-2008《机械工业产品用塑料、涂料、橡胶材料人工气候老化试验方法荧光紫外灯》、GB/T 9286-2021《色漆和清漆</w:t>
      </w:r>
      <w:r>
        <w:rPr>
          <w:rFonts w:hint="eastAsia"/>
          <w:color w:val="auto"/>
          <w:lang w:val="en-US" w:eastAsia="zh-CN"/>
        </w:rPr>
        <w:t xml:space="preserve"> </w:t>
      </w:r>
      <w:r>
        <w:rPr>
          <w:rFonts w:hint="eastAsia"/>
          <w:color w:val="auto"/>
        </w:rPr>
        <w:t xml:space="preserve">划格试验》、GB/T 13452.2-2008《色漆和清漆 漆膜厚度的测定》、GB/T 6739《色漆和清漆 铅笔法测定漆膜硬度》执行并进行评级。</w:t>
      </w:r>
      <w:r/>
    </w:p>
    <w:p>
      <w:pPr>
        <w:pStyle w:val="935"/>
        <w:jc w:val="both"/>
        <w:spacing w:line="360" w:lineRule="exact"/>
        <w:rPr>
          <w:rFonts w:hint="eastAsia"/>
          <w:color w:val="auto"/>
        </w:rPr>
      </w:pPr>
      <w:r>
        <w:rPr>
          <w:rFonts w:hint="eastAsia"/>
          <w:color w:val="auto"/>
        </w:rPr>
        <w:t xml:space="preserve">（1</w:t>
      </w:r>
      <w:r>
        <w:rPr>
          <w:rFonts w:hint="eastAsia"/>
          <w:color w:val="auto"/>
          <w:lang w:val="en-US" w:eastAsia="zh-CN"/>
        </w:rPr>
        <w:t xml:space="preserve">1</w:t>
      </w:r>
      <w:r>
        <w:rPr>
          <w:rFonts w:hint="eastAsia"/>
          <w:color w:val="auto"/>
        </w:rPr>
        <w:t xml:space="preserve">）灯杆杆体及构件、设备外壳、配电及控制箱等外露可导电部分应进行保护接地，防雷接地设计应符合GB 50057等的规定，灯杆接地电阻应&lt;1欧姆。</w:t>
      </w:r>
      <w:r/>
    </w:p>
    <w:p>
      <w:pPr>
        <w:pStyle w:val="935"/>
        <w:jc w:val="both"/>
        <w:spacing w:line="360" w:lineRule="exact"/>
        <w:rPr>
          <w:rFonts w:hint="eastAsia"/>
          <w:color w:val="auto"/>
        </w:rPr>
      </w:pPr>
      <w:r>
        <w:rPr>
          <w:rFonts w:hint="eastAsia"/>
          <w:color w:val="auto"/>
        </w:rPr>
        <w:t xml:space="preserve">（1</w:t>
      </w:r>
      <w:r>
        <w:rPr>
          <w:rFonts w:hint="eastAsia"/>
          <w:color w:val="auto"/>
          <w:lang w:val="en-US" w:eastAsia="zh-CN"/>
        </w:rPr>
        <w:t xml:space="preserve">2</w:t>
      </w:r>
      <w:r>
        <w:rPr>
          <w:rFonts w:hint="eastAsia"/>
          <w:color w:val="auto"/>
        </w:rPr>
        <w:t xml:space="preserve">）灯杆应具备一定的防撞能力，在小客车以不低于65km/h的时速90°撞击后灯杆杆体应无断裂及明显裂痕；灯杆主要焊缝（法兰盘与主杆间的焊缝、主杆与悬臂法连之间的焊缝及棱杆纵向焊缝）应无断裂；灯头及横臂上挂载的设备应无脱落。</w:t>
      </w:r>
      <w:r/>
    </w:p>
    <w:p>
      <w:pPr>
        <w:pStyle w:val="935"/>
        <w:ind w:firstLine="482"/>
        <w:jc w:val="both"/>
        <w:spacing w:line="360" w:lineRule="exact"/>
        <w:rPr>
          <w:rFonts w:hint="eastAsia" w:ascii="宋体" w:hAnsi="宋体" w:eastAsia="宋体"/>
          <w:b/>
          <w:bCs/>
          <w:color w:val="auto"/>
        </w:rPr>
      </w:pPr>
      <w:r>
        <w:rPr>
          <w:rFonts w:hint="eastAsia" w:ascii="宋体" w:hAnsi="宋体" w:eastAsia="宋体"/>
          <w:b/>
          <w:bCs/>
          <w:color w:val="auto"/>
          <w:lang w:val="en-US" w:eastAsia="zh-CN"/>
        </w:rPr>
        <w:t xml:space="preserve">3.8</w:t>
      </w:r>
      <w:r>
        <w:rPr>
          <w:rFonts w:hint="eastAsia" w:ascii="宋体" w:hAnsi="宋体" w:eastAsia="宋体"/>
          <w:b/>
          <w:bCs/>
          <w:color w:val="auto"/>
        </w:rPr>
        <w:t xml:space="preserve">电缆及电缆套管技术要求</w:t>
      </w:r>
      <w:r/>
    </w:p>
    <w:p>
      <w:pPr>
        <w:pStyle w:val="935"/>
        <w:jc w:val="both"/>
        <w:spacing w:line="360" w:lineRule="exact"/>
        <w:rPr>
          <w:rFonts w:hint="eastAsia" w:ascii="宋体" w:hAnsi="宋体" w:eastAsia="宋体"/>
          <w:color w:val="auto"/>
        </w:rPr>
      </w:pPr>
      <w:r>
        <w:rPr>
          <w:rFonts w:hint="eastAsia" w:ascii="宋体" w:hAnsi="宋体" w:eastAsia="宋体"/>
          <w:color w:val="auto"/>
          <w:lang w:eastAsia="zh-CN"/>
        </w:rPr>
        <w:t xml:space="preserve">（</w:t>
      </w:r>
      <w:r>
        <w:rPr>
          <w:rFonts w:hint="eastAsia" w:ascii="宋体" w:hAnsi="宋体" w:eastAsia="宋体"/>
          <w:color w:val="auto"/>
          <w:lang w:val="en-US" w:eastAsia="zh-CN"/>
        </w:rPr>
        <w:t xml:space="preserve">1）</w:t>
      </w:r>
      <w:r>
        <w:rPr>
          <w:rFonts w:hint="eastAsia" w:ascii="宋体" w:hAnsi="宋体" w:eastAsia="宋体"/>
          <w:color w:val="auto"/>
        </w:rPr>
        <w:t xml:space="preserve">电缆按国标（中国）标准执行</w:t>
      </w:r>
      <w:r/>
    </w:p>
    <w:p>
      <w:pPr>
        <w:pStyle w:val="935"/>
        <w:jc w:val="both"/>
        <w:spacing w:line="360" w:lineRule="exact"/>
        <w:rPr>
          <w:rFonts w:hint="eastAsia" w:ascii="宋体" w:hAnsi="宋体" w:cs="宋体"/>
          <w:color w:val="auto"/>
          <w:sz w:val="24"/>
          <w:szCs w:val="24"/>
        </w:rPr>
      </w:pPr>
      <w:r>
        <w:rPr>
          <w:rFonts w:hint="eastAsia" w:ascii="宋体" w:hAnsi="宋体" w:eastAsia="宋体"/>
          <w:color w:val="auto"/>
          <w:lang w:eastAsia="zh-CN"/>
        </w:rPr>
        <w:t xml:space="preserve">（</w:t>
      </w:r>
      <w:r>
        <w:rPr>
          <w:rFonts w:hint="eastAsia" w:ascii="宋体" w:hAnsi="宋体" w:eastAsia="宋体"/>
          <w:color w:val="auto"/>
          <w:lang w:val="en-US" w:eastAsia="zh-CN"/>
        </w:rPr>
        <w:t xml:space="preserve">2）</w:t>
      </w:r>
      <w:r>
        <w:rPr>
          <w:rFonts w:hint="eastAsia" w:ascii="宋体" w:hAnsi="宋体" w:eastAsia="宋体"/>
          <w:color w:val="auto"/>
        </w:rPr>
        <w:t xml:space="preserve">PE管技术要求：</w:t>
      </w:r>
      <w:r/>
    </w:p>
    <w:tbl>
      <w:tblPr>
        <w:tblStyle w:val="904"/>
        <w:tblW w:w="0" w:type="auto"/>
        <w:tblInd w:w="299" w:type="dxa"/>
        <w:tblLayout w:type="fixed"/>
        <w:tblCellMar>
          <w:left w:w="15" w:type="dxa"/>
          <w:top w:w="15" w:type="dxa"/>
          <w:right w:w="15" w:type="dxa"/>
          <w:bottom w:w="15" w:type="dxa"/>
        </w:tblCellMar>
        <w:tblLook w:val="04A0" w:firstRow="1" w:lastRow="0" w:firstColumn="1" w:lastColumn="0" w:noHBand="0" w:noVBand="1"/>
      </w:tblPr>
      <w:tblGrid>
        <w:gridCol w:w="567"/>
        <w:gridCol w:w="992"/>
        <w:gridCol w:w="1134"/>
        <w:gridCol w:w="1134"/>
        <w:gridCol w:w="992"/>
        <w:gridCol w:w="1276"/>
        <w:gridCol w:w="1276"/>
        <w:gridCol w:w="1843"/>
      </w:tblGrid>
      <w:tr>
        <w:trPr>
          <w:trHeight w:val="733"/>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公称内径(mm)</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标称值(mm)</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允许误差</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壁厚（mm)</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长度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允许误差</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trHeight w:val="532"/>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+0～0.03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盘管500米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0～+0.4%</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内径43.6mm</w:t>
            </w:r>
            <w:r/>
          </w:p>
        </w:tc>
      </w:tr>
      <w:tr>
        <w:trPr>
          <w:trHeight w:val="52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+0～0.03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盘管500米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0～+0.4%</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内径55mm</w:t>
            </w:r>
            <w:r/>
          </w:p>
        </w:tc>
      </w:tr>
    </w:tbl>
    <w:p>
      <w:pPr>
        <w:numPr>
          <w:ilvl w:val="0"/>
          <w:numId w:val="0"/>
        </w:numPr>
        <w:ind w:left="1055" w:hanging="425"/>
        <w:spacing w:before="120" w:line="360" w:lineRule="auto"/>
        <w:rPr>
          <w:rFonts w:hint="eastAsia" w:ascii="宋体" w:hAnsi="宋体" w:cs="宋体"/>
          <w:color w:val="auto"/>
          <w:sz w:val="24"/>
          <w:szCs w:val="24"/>
        </w:rPr>
      </w:pPr>
      <w:r>
        <w:rPr>
          <w:rFonts w:hint="default"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cs="宋体"/>
          <w:color w:val="auto"/>
          <w:sz w:val="24"/>
          <w:szCs w:val="24"/>
        </w:rPr>
        <w:t xml:space="preserve">CPVC管技术要求：</w:t>
      </w:r>
      <w:r/>
    </w:p>
    <w:tbl>
      <w:tblPr>
        <w:tblStyle w:val="904"/>
        <w:tblW w:w="0" w:type="auto"/>
        <w:tblInd w:w="299" w:type="dxa"/>
        <w:tblLayout w:type="fixed"/>
        <w:tblCellMar>
          <w:left w:w="15" w:type="dxa"/>
          <w:top w:w="15" w:type="dxa"/>
          <w:right w:w="15" w:type="dxa"/>
          <w:bottom w:w="15" w:type="dxa"/>
        </w:tblCellMar>
        <w:tblLook w:val="04A0" w:firstRow="1" w:lastRow="0" w:firstColumn="1" w:lastColumn="0" w:noHBand="0" w:noVBand="1"/>
      </w:tblPr>
      <w:tblGrid>
        <w:gridCol w:w="567"/>
        <w:gridCol w:w="992"/>
        <w:gridCol w:w="1134"/>
        <w:gridCol w:w="1134"/>
        <w:gridCol w:w="992"/>
        <w:gridCol w:w="1276"/>
        <w:gridCol w:w="1276"/>
        <w:gridCol w:w="1843"/>
      </w:tblGrid>
      <w:tr>
        <w:trPr>
          <w:trHeight w:val="733"/>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公称内径(mm)</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标称值(mm)</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允许误差</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壁厚（mm)</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长度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允许误差</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trHeight w:val="532"/>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±0.2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6米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0"/>
              <w:jc w:val="center"/>
              <w:rPr>
                <w:rFonts w:hint="eastAsia" w:ascii="宋体" w:hAnsi="宋体" w:cs="宋体"/>
                <w:color w:val="auto"/>
                <w:sz w:val="24"/>
                <w:szCs w:val="24"/>
              </w:rPr>
            </w:pPr>
            <w:r>
              <w:rPr>
                <w:rFonts w:hint="eastAsia" w:ascii="宋体" w:hAnsi="宋体" w:cs="宋体"/>
                <w:color w:val="auto"/>
                <w:sz w:val="24"/>
                <w:szCs w:val="24"/>
              </w:rPr>
              <w:t xml:space="preserve">硬质，一端扩口,内径100mm</w:t>
            </w:r>
            <w:r/>
          </w:p>
        </w:tc>
      </w:tr>
    </w:tbl>
    <w:p>
      <w:pPr>
        <w:pStyle w:val="935"/>
        <w:ind w:firstLine="482"/>
        <w:jc w:val="both"/>
        <w:spacing w:line="360" w:lineRule="exact"/>
        <w:rPr>
          <w:rFonts w:hint="eastAsia" w:ascii="宋体" w:hAnsi="宋体" w:eastAsia="宋体"/>
          <w:b/>
          <w:bCs/>
          <w:color w:val="auto"/>
          <w:lang w:val="en-US" w:eastAsia="zh-CN"/>
        </w:rPr>
      </w:pPr>
      <w:r>
        <w:rPr>
          <w:rFonts w:hint="eastAsia" w:ascii="宋体" w:hAnsi="宋体" w:eastAsia="宋体"/>
          <w:b/>
          <w:bCs/>
          <w:color w:val="auto"/>
          <w:lang w:val="en-US" w:eastAsia="zh-CN"/>
        </w:rPr>
        <w:t xml:space="preserve">3.9路灯控制箱技术要求</w:t>
      </w:r>
      <w:r/>
    </w:p>
    <w:p>
      <w:pPr>
        <w:pStyle w:val="935"/>
        <w:jc w:val="both"/>
        <w:spacing w:line="360" w:lineRule="exact"/>
        <w:rPr>
          <w:rFonts w:hint="eastAsia" w:ascii="宋体" w:hAnsi="宋体" w:eastAsia="宋体"/>
          <w:color w:val="auto"/>
        </w:rPr>
      </w:pPr>
      <w:r>
        <w:rPr>
          <w:rFonts w:hint="default" w:ascii="宋体" w:hAnsi="宋体" w:eastAsia="宋体"/>
          <w:color w:val="auto"/>
          <w:lang w:val="en-US" w:eastAsia="zh-CN"/>
        </w:rPr>
        <w:t xml:space="preserve">(1)</w:t>
      </w:r>
      <w:r>
        <w:rPr>
          <w:rFonts w:hint="eastAsia" w:ascii="宋体" w:hAnsi="宋体" w:eastAsia="宋体"/>
          <w:color w:val="auto"/>
        </w:rPr>
        <w:t xml:space="preserve">箱体做法详见图纸。箱体材质：2mm厚304不锈钢材质；</w:t>
      </w:r>
      <w:r/>
    </w:p>
    <w:p>
      <w:pPr>
        <w:pStyle w:val="935"/>
        <w:jc w:val="both"/>
        <w:spacing w:line="360" w:lineRule="exact"/>
        <w:rPr>
          <w:rFonts w:hint="eastAsia" w:ascii="宋体" w:hAnsi="宋体" w:eastAsia="宋体"/>
          <w:color w:val="auto"/>
        </w:rPr>
      </w:pPr>
      <w:r>
        <w:rPr>
          <w:rFonts w:hint="default" w:ascii="宋体" w:hAnsi="宋体" w:eastAsia="宋体"/>
          <w:color w:val="auto"/>
          <w:lang w:val="en-US" w:eastAsia="zh-CN"/>
        </w:rPr>
        <w:t xml:space="preserve">(2)</w:t>
      </w:r>
      <w:r>
        <w:rPr>
          <w:rFonts w:hint="eastAsia" w:ascii="宋体" w:hAnsi="宋体" w:eastAsia="宋体"/>
          <w:color w:val="auto"/>
        </w:rPr>
        <w:t xml:space="preserve">箱体固定采用现浇基础预埋件，预埋件螺纹热镀锌，每箱配2件热镀锌槽钢压板；</w:t>
      </w:r>
      <w:r/>
    </w:p>
    <w:p>
      <w:pPr>
        <w:pStyle w:val="935"/>
        <w:jc w:val="both"/>
        <w:spacing w:line="360" w:lineRule="exact"/>
        <w:rPr>
          <w:rFonts w:hint="eastAsia" w:ascii="宋体" w:hAnsi="宋体" w:eastAsia="宋体"/>
          <w:color w:val="auto"/>
        </w:rPr>
      </w:pPr>
      <w:r>
        <w:rPr>
          <w:rFonts w:hint="default" w:ascii="宋体" w:hAnsi="宋体" w:eastAsia="宋体"/>
          <w:color w:val="auto"/>
          <w:lang w:val="en-US" w:eastAsia="zh-CN"/>
        </w:rPr>
        <w:t xml:space="preserve">(3)</w:t>
      </w:r>
      <w:r>
        <w:rPr>
          <w:rFonts w:hint="eastAsia" w:ascii="宋体" w:hAnsi="宋体" w:eastAsia="宋体"/>
          <w:color w:val="auto"/>
        </w:rPr>
        <w:t xml:space="preserve">箱体正反面各双开门；</w:t>
      </w:r>
      <w:r/>
    </w:p>
    <w:p>
      <w:pPr>
        <w:pStyle w:val="935"/>
        <w:jc w:val="both"/>
        <w:spacing w:line="360" w:lineRule="exact"/>
        <w:rPr>
          <w:rFonts w:hint="eastAsia" w:ascii="宋体" w:hAnsi="宋体" w:eastAsia="宋体"/>
          <w:color w:val="auto"/>
        </w:rPr>
      </w:pPr>
      <w:r>
        <w:rPr>
          <w:rFonts w:hint="default" w:ascii="宋体" w:hAnsi="宋体" w:eastAsia="宋体"/>
          <w:color w:val="auto"/>
          <w:lang w:val="en-US" w:eastAsia="zh-CN"/>
        </w:rPr>
        <w:t xml:space="preserve">(4)</w:t>
      </w:r>
      <w:r>
        <w:rPr>
          <w:rFonts w:hint="eastAsia" w:ascii="宋体" w:hAnsi="宋体" w:eastAsia="宋体"/>
          <w:color w:val="auto"/>
        </w:rPr>
        <w:t xml:space="preserve">箱内计量电表由供电部门提供，箱内提供电表架一副；</w:t>
      </w:r>
      <w:r/>
    </w:p>
    <w:p>
      <w:pPr>
        <w:pStyle w:val="935"/>
        <w:jc w:val="both"/>
        <w:spacing w:line="360" w:lineRule="exact"/>
        <w:rPr>
          <w:rFonts w:hint="eastAsia" w:ascii="宋体" w:hAnsi="宋体" w:eastAsia="宋体"/>
          <w:color w:val="auto"/>
        </w:rPr>
      </w:pPr>
      <w:r>
        <w:rPr>
          <w:rFonts w:hint="default" w:ascii="宋体" w:hAnsi="宋体" w:eastAsia="宋体"/>
          <w:color w:val="auto"/>
          <w:lang w:val="en-US" w:eastAsia="zh-CN"/>
        </w:rPr>
        <w:t xml:space="preserve">(5)</w:t>
      </w:r>
      <w:r>
        <w:rPr>
          <w:rFonts w:hint="eastAsia" w:ascii="宋体" w:hAnsi="宋体" w:eastAsia="宋体"/>
          <w:color w:val="auto"/>
        </w:rPr>
        <w:t xml:space="preserve">一次电气回路电器间连接导线采用20x3铜母线、25mm2铜质导线，详见电气系统图，控制箱进线端熔断器加装有机玻璃隔断，做带电警示标记；</w:t>
      </w:r>
      <w:r/>
    </w:p>
    <w:p>
      <w:pPr>
        <w:pStyle w:val="935"/>
        <w:jc w:val="both"/>
        <w:spacing w:line="360" w:lineRule="exact"/>
        <w:rPr>
          <w:rFonts w:hint="eastAsia" w:ascii="宋体" w:hAnsi="宋体" w:eastAsia="宋体"/>
          <w:color w:val="auto"/>
        </w:rPr>
      </w:pPr>
      <w:r>
        <w:rPr>
          <w:rFonts w:hint="default" w:ascii="宋体" w:hAnsi="宋体" w:eastAsia="宋体"/>
          <w:color w:val="auto"/>
          <w:lang w:val="en-US" w:eastAsia="zh-CN"/>
        </w:rPr>
        <w:t xml:space="preserve">(6)</w:t>
      </w:r>
      <w:r>
        <w:rPr>
          <w:rFonts w:hint="eastAsia" w:ascii="宋体" w:hAnsi="宋体" w:eastAsia="宋体"/>
          <w:color w:val="auto"/>
        </w:rPr>
        <w:t xml:space="preserve">二次控制回路设自动、手动旋钮开关，自动由集中控制器控制，手动仅为检修时使用；</w:t>
      </w:r>
      <w:r/>
    </w:p>
    <w:p>
      <w:pPr>
        <w:pStyle w:val="935"/>
        <w:jc w:val="both"/>
        <w:spacing w:line="360" w:lineRule="exact"/>
        <w:rPr>
          <w:rFonts w:hint="eastAsia" w:ascii="宋体" w:hAnsi="宋体" w:eastAsia="宋体"/>
          <w:color w:val="auto"/>
        </w:rPr>
      </w:pPr>
      <w:r>
        <w:rPr>
          <w:rFonts w:hint="default" w:ascii="宋体" w:hAnsi="宋体" w:eastAsia="宋体"/>
          <w:color w:val="auto"/>
          <w:lang w:val="en-US" w:eastAsia="zh-CN"/>
        </w:rPr>
        <w:t xml:space="preserve">(7)</w:t>
      </w:r>
      <w:r>
        <w:rPr>
          <w:rFonts w:hint="eastAsia" w:ascii="宋体" w:hAnsi="宋体" w:eastAsia="宋体"/>
          <w:color w:val="auto"/>
        </w:rPr>
        <w:t xml:space="preserve">箱内设电流、电压、漏电检测单元；</w:t>
      </w:r>
      <w:r/>
    </w:p>
    <w:p>
      <w:pPr>
        <w:pStyle w:val="935"/>
        <w:jc w:val="both"/>
        <w:spacing w:line="360" w:lineRule="exact"/>
        <w:rPr>
          <w:rFonts w:hint="eastAsia" w:ascii="宋体" w:hAnsi="宋体" w:eastAsia="宋体"/>
          <w:color w:val="auto"/>
        </w:rPr>
      </w:pPr>
      <w:r>
        <w:rPr>
          <w:rFonts w:hint="default" w:ascii="宋体" w:hAnsi="宋体" w:eastAsia="宋体"/>
          <w:color w:val="auto"/>
          <w:lang w:val="en-US" w:eastAsia="zh-CN"/>
        </w:rPr>
        <w:t xml:space="preserve">(8)</w:t>
      </w:r>
      <w:r>
        <w:rPr>
          <w:rFonts w:hint="eastAsia" w:ascii="宋体" w:hAnsi="宋体" w:eastAsia="宋体"/>
          <w:color w:val="auto"/>
        </w:rPr>
        <w:t xml:space="preserve">箱内安装集中控制器；</w:t>
      </w:r>
      <w:r/>
    </w:p>
    <w:p>
      <w:pPr>
        <w:pStyle w:val="935"/>
        <w:jc w:val="both"/>
        <w:spacing w:line="360" w:lineRule="exact"/>
        <w:rPr>
          <w:rFonts w:hint="eastAsia" w:ascii="宋体" w:hAnsi="宋体" w:eastAsia="宋体"/>
          <w:color w:val="auto"/>
        </w:rPr>
      </w:pPr>
      <w:r>
        <w:rPr>
          <w:rFonts w:hint="default" w:ascii="宋体" w:hAnsi="宋体" w:eastAsia="宋体"/>
          <w:color w:val="auto"/>
          <w:lang w:val="en-US" w:eastAsia="zh-CN"/>
        </w:rPr>
        <w:t xml:space="preserve">(9)</w:t>
      </w:r>
      <w:r>
        <w:rPr>
          <w:rFonts w:hint="eastAsia" w:ascii="宋体" w:hAnsi="宋体" w:eastAsia="宋体"/>
          <w:color w:val="auto"/>
        </w:rPr>
        <w:t xml:space="preserve">控制箱门锁外观效果如下图，挂锁正面刻有“张家港市市政服务中心”字样。</w:t>
      </w:r>
      <w:r/>
    </w:p>
    <w:p>
      <w:pPr>
        <w:jc w:val="center"/>
        <w:spacing w:line="240" w:lineRule="auto"/>
        <w:rPr>
          <w:rFonts w:hint="eastAsia"/>
          <w:color w:val="auto"/>
        </w:rPr>
      </w:pPr>
      <w:r>
        <w:rPr>
          <w:rFonts w:hint="eastAsia" w:ascii="宋体" w:hAnsi="宋体" w:eastAsia="宋体"/>
          <w:color w:val="auto"/>
          <w:sz w:val="21"/>
          <w:szCs w:val="21"/>
        </w:rPr>
        <mc:AlternateContent>
          <mc:Choice Requires="wpg">
            <w:drawing>
              <wp:inline xmlns:wp="http://schemas.openxmlformats.org/drawingml/2006/wordprocessingDrawing" distT="0" distB="0" distL="0" distR="0">
                <wp:extent cx="1941830" cy="1440180"/>
                <wp:effectExtent l="0" t="0" r="8890" b="762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pic:cNvPicPr>
                          <a:picLocks noChangeAspect="1"/>
                        </pic:cNvPicPr>
                        <pic:nvPr/>
                      </pic:nvPicPr>
                      <pic:blipFill>
                        <a:blip r:embed="rId18"/>
                        <a:stretch/>
                      </pic:blipFill>
                      <pic:spPr bwMode="auto">
                        <a:xfrm>
                          <a:off x="0" y="0"/>
                          <a:ext cx="1941830" cy="1440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2.9pt;height:113.4pt;mso-wrap-distance-left:0.0pt;mso-wrap-distance-top:0.0pt;mso-wrap-distance-right:0.0pt;mso-wrap-distance-bottom:0.0pt;" stroked="f">
                <v:path textboxrect="0,0,0,0"/>
                <v:imagedata r:id="rId18" o:title=""/>
              </v:shape>
            </w:pict>
          </mc:Fallback>
        </mc:AlternateContent>
      </w:r>
      <w:r/>
    </w:p>
    <w:p>
      <w:pPr>
        <w:rPr>
          <w:rFonts w:hint="eastAsia"/>
          <w:color w:val="auto"/>
          <w:lang w:val="en-US" w:eastAsia="zh-CN"/>
        </w:rPr>
      </w:pPr>
      <w:r>
        <w:rPr>
          <w:rFonts w:hint="eastAsia"/>
          <w:color w:val="auto"/>
          <w:lang w:val="en-US" w:eastAsia="zh-CN"/>
        </w:rPr>
      </w:r>
      <w:r/>
    </w:p>
    <w:p>
      <w:pPr>
        <w:pStyle w:val="935"/>
        <w:numPr>
          <w:ilvl w:val="0"/>
          <w:numId w:val="0"/>
        </w:numPr>
        <w:ind w:firstLine="0"/>
        <w:spacing w:line="360" w:lineRule="exact"/>
        <w:rPr>
          <w:rFonts w:hint="eastAsia" w:ascii="宋体" w:hAnsi="宋体" w:eastAsia="宋体" w:cs="Times New Roman"/>
          <w:b/>
          <w:bCs/>
          <w:color w:val="auto"/>
          <w:sz w:val="24"/>
          <w:szCs w:val="24"/>
          <w:lang w:val="en-US" w:eastAsia="zh-CN" w:bidi="ar-SA"/>
        </w:rPr>
      </w:pPr>
      <w:r>
        <w:rPr>
          <w:rFonts w:hint="eastAsia" w:ascii="宋体" w:hAnsi="宋体" w:eastAsia="宋体" w:cs="Times New Roman"/>
          <w:b/>
          <w:bCs/>
          <w:color w:val="auto"/>
          <w:sz w:val="24"/>
          <w:szCs w:val="24"/>
          <w:lang w:val="en-US" w:eastAsia="zh-CN" w:bidi="ar-SA"/>
        </w:rPr>
        <w:t xml:space="preserve">（四）路灯安装基本参数及需满足的照明指标</w:t>
      </w:r>
      <w:r/>
    </w:p>
    <w:p>
      <w:pPr>
        <w:pStyle w:val="935"/>
        <w:ind w:firstLine="482"/>
        <w:jc w:val="both"/>
        <w:spacing w:line="360" w:lineRule="exact"/>
        <w:rPr>
          <w:rFonts w:hint="eastAsia" w:ascii="宋体" w:hAnsi="宋体" w:eastAsia="宋体"/>
          <w:b/>
          <w:bCs/>
          <w:color w:val="auto"/>
          <w:lang w:val="en-US" w:eastAsia="zh-CN"/>
        </w:rPr>
      </w:pPr>
      <w:r>
        <w:rPr>
          <w:rFonts w:hint="eastAsia" w:ascii="宋体" w:hAnsi="宋体" w:eastAsia="宋体"/>
          <w:b/>
          <w:bCs/>
          <w:color w:val="auto"/>
          <w:lang w:val="en-US" w:eastAsia="zh-CN"/>
        </w:rPr>
        <w:t xml:space="preserve">4.1路灯安装条件一</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9"/>
        <w:gridCol w:w="1719"/>
        <w:gridCol w:w="4334"/>
      </w:tblGrid>
      <w:tr>
        <w:trPr>
          <w:jc w:val="center"/>
          <w:trHeight w:val="0"/>
        </w:trPr>
        <w:tc>
          <w:tcPr>
            <w:tcW w:w="19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名称</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参数</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备注</w:t>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道路类型</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快速路</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道路宽度</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26.1米</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ascii="宋体" w:hAnsi="宋体" w:cs="宋体"/>
                <w:color w:val="auto"/>
                <w:sz w:val="22"/>
                <w:szCs w:val="22"/>
              </w:rPr>
              <w:t xml:space="preserve">护栏0.5m</w:t>
            </w:r>
            <w:r>
              <w:rPr>
                <w:rFonts w:hint="eastAsia" w:ascii="宋体" w:hAnsi="宋体" w:cs="宋体"/>
                <w:color w:val="auto"/>
                <w:sz w:val="22"/>
                <w:szCs w:val="22"/>
                <w:lang w:eastAsia="zh-CN"/>
              </w:rPr>
              <w:t xml:space="preserve">、</w:t>
            </w:r>
            <w:r>
              <w:rPr>
                <w:rFonts w:ascii="宋体" w:hAnsi="宋体" w:cs="宋体"/>
                <w:color w:val="auto"/>
                <w:sz w:val="22"/>
                <w:szCs w:val="22"/>
              </w:rPr>
              <w:t xml:space="preserve">路缘带0.75m</w:t>
            </w:r>
            <w:r>
              <w:rPr>
                <w:rFonts w:hint="eastAsia" w:ascii="宋体" w:hAnsi="宋体" w:cs="宋体"/>
                <w:color w:val="auto"/>
                <w:sz w:val="22"/>
                <w:szCs w:val="22"/>
                <w:lang w:eastAsia="zh-CN"/>
              </w:rPr>
              <w:t xml:space="preserve">、</w:t>
            </w:r>
            <w:r>
              <w:rPr>
                <w:rFonts w:ascii="宋体" w:hAnsi="宋体" w:cs="宋体"/>
                <w:color w:val="auto"/>
                <w:sz w:val="22"/>
                <w:szCs w:val="22"/>
              </w:rPr>
              <w:t xml:space="preserve">机动车道10.75m</w:t>
            </w:r>
            <w:r>
              <w:rPr>
                <w:rFonts w:hint="eastAsia" w:ascii="宋体" w:hAnsi="宋体" w:cs="宋体"/>
                <w:color w:val="auto"/>
                <w:sz w:val="22"/>
                <w:szCs w:val="22"/>
                <w:lang w:eastAsia="zh-CN"/>
              </w:rPr>
              <w:t xml:space="preserve">、</w:t>
            </w:r>
            <w:r>
              <w:rPr>
                <w:rFonts w:ascii="宋体" w:hAnsi="宋体" w:cs="宋体"/>
                <w:color w:val="auto"/>
                <w:sz w:val="22"/>
                <w:szCs w:val="22"/>
              </w:rPr>
              <w:t xml:space="preserve">路缘带0.75m</w:t>
            </w:r>
            <w:r>
              <w:rPr>
                <w:rFonts w:hint="eastAsia" w:ascii="宋体" w:hAnsi="宋体" w:cs="宋体"/>
                <w:color w:val="auto"/>
                <w:sz w:val="22"/>
                <w:szCs w:val="22"/>
                <w:lang w:eastAsia="zh-CN"/>
              </w:rPr>
              <w:t xml:space="preserve">、</w:t>
            </w:r>
            <w:r>
              <w:rPr>
                <w:rFonts w:ascii="宋体" w:hAnsi="宋体" w:cs="宋体"/>
                <w:color w:val="auto"/>
                <w:sz w:val="22"/>
                <w:szCs w:val="22"/>
              </w:rPr>
              <w:t xml:space="preserve">中分带0.6m</w:t>
            </w:r>
            <w:r>
              <w:rPr>
                <w:rFonts w:hint="eastAsia" w:ascii="宋体" w:hAnsi="宋体" w:cs="宋体"/>
                <w:color w:val="auto"/>
                <w:sz w:val="22"/>
                <w:szCs w:val="22"/>
                <w:lang w:eastAsia="zh-CN"/>
              </w:rPr>
              <w:t xml:space="preserve">、</w:t>
            </w:r>
            <w:r>
              <w:rPr>
                <w:rFonts w:ascii="宋体" w:hAnsi="宋体" w:cs="宋体"/>
                <w:color w:val="auto"/>
                <w:sz w:val="22"/>
                <w:szCs w:val="22"/>
              </w:rPr>
              <w:t xml:space="preserve">路缘带0.75m</w:t>
            </w:r>
            <w:r>
              <w:rPr>
                <w:rFonts w:hint="eastAsia" w:ascii="宋体" w:hAnsi="宋体" w:cs="宋体"/>
                <w:color w:val="auto"/>
                <w:sz w:val="22"/>
                <w:szCs w:val="22"/>
                <w:lang w:eastAsia="zh-CN"/>
              </w:rPr>
              <w:t xml:space="preserve">、</w:t>
            </w:r>
            <w:r>
              <w:rPr>
                <w:rFonts w:ascii="宋体" w:hAnsi="宋体" w:cs="宋体"/>
                <w:color w:val="auto"/>
                <w:sz w:val="22"/>
                <w:szCs w:val="22"/>
              </w:rPr>
              <w:t xml:space="preserve">机动车道10.75m</w:t>
            </w:r>
            <w:r>
              <w:rPr>
                <w:rFonts w:hint="eastAsia" w:ascii="宋体" w:hAnsi="宋体" w:cs="宋体"/>
                <w:color w:val="auto"/>
                <w:sz w:val="22"/>
                <w:szCs w:val="22"/>
                <w:lang w:eastAsia="zh-CN"/>
              </w:rPr>
              <w:t xml:space="preserve">、</w:t>
            </w:r>
            <w:r>
              <w:rPr>
                <w:rFonts w:ascii="宋体" w:hAnsi="宋体" w:cs="宋体"/>
                <w:color w:val="auto"/>
                <w:sz w:val="22"/>
                <w:szCs w:val="22"/>
              </w:rPr>
              <w:t xml:space="preserve">路缘带0.75m</w:t>
            </w:r>
            <w:r>
              <w:rPr>
                <w:rFonts w:hint="eastAsia" w:ascii="宋体" w:hAnsi="宋体" w:cs="宋体"/>
                <w:color w:val="auto"/>
                <w:sz w:val="22"/>
                <w:szCs w:val="22"/>
                <w:lang w:eastAsia="zh-CN"/>
              </w:rPr>
              <w:t xml:space="preserve">、</w:t>
            </w:r>
            <w:r>
              <w:rPr>
                <w:rFonts w:ascii="宋体" w:hAnsi="宋体" w:cs="宋体"/>
                <w:color w:val="auto"/>
                <w:sz w:val="22"/>
                <w:szCs w:val="22"/>
              </w:rPr>
              <w:t xml:space="preserve">护栏0.5m</w:t>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车道数（双向）</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6</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路面类型</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沥青路</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LED路灯灯具布置方式</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双侧对称布置</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LED路灯灯具安装高度h（单位：m）</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12米</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LED路灯灯具安装间距S（单位：m）</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42米</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LED路灯灯具挑臂（水平投影）长度（单位：m）</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1.5</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与路缘距离（单位：m）</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0.15</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LED路灯灯具仰角（单位：度）</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5°~15°</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961"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维护系数</w:t>
            </w:r>
            <w:r/>
          </w:p>
        </w:tc>
        <w:tc>
          <w:tcPr>
            <w:tcW w:w="8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0.7</w:t>
            </w:r>
            <w:r/>
          </w:p>
        </w:tc>
        <w:tc>
          <w:tcPr>
            <w:tcW w:w="21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bl>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基于上表路灯安装基本参数条件下需满足的照明指标：</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·平均亮度Lav (cd/m2)维持值不低于 2.0 cd/m²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·亮度总均匀度Uo最小值不低于0.4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·纵向均匀度Ul最小值不低于0.7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·平均照度Eav（Lx）维持值不低于 30 Lx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·均匀度UE最小值不低于 0.40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·眩光限制阈值增量TI（%）最大初始值不高于 10%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·色温：4000K（3985K±275K）；</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en-US" w:eastAsia="zh-CN"/>
        </w:rPr>
        <w:t xml:space="preserve">·</w:t>
      </w:r>
      <w:r>
        <w:rPr>
          <w:rFonts w:hint="eastAsia" w:ascii="宋体" w:hAnsi="宋体" w:eastAsia="宋体" w:cs="Times New Roman"/>
          <w:b w:val="0"/>
          <w:bCs w:val="0"/>
          <w:color w:val="auto"/>
          <w:sz w:val="24"/>
          <w:szCs w:val="24"/>
          <w:shd w:val="clear" w:color="auto"/>
          <w:lang w:val="zh-TW" w:eastAsia="zh-TW"/>
        </w:rPr>
        <w:t xml:space="preserve">Ra显色指数≥70</w:t>
      </w:r>
      <w:r>
        <w:rPr>
          <w:rFonts w:hint="eastAsia" w:ascii="宋体" w:hAnsi="宋体" w:eastAsia="宋体" w:cs="Times New Roman"/>
          <w:b w:val="0"/>
          <w:bCs w:val="0"/>
          <w:color w:val="auto"/>
          <w:sz w:val="24"/>
          <w:szCs w:val="24"/>
          <w:shd w:val="clear" w:color="auto"/>
          <w:lang w:val="en-US" w:eastAsia="zh-CN"/>
        </w:rPr>
        <w:t xml:space="preserve"> </w:t>
      </w:r>
      <w:r>
        <w:rPr>
          <w:rFonts w:hint="eastAsia" w:ascii="宋体" w:hAnsi="宋体" w:eastAsia="宋体" w:cs="Times New Roman"/>
          <w:b w:val="0"/>
          <w:bCs w:val="0"/>
          <w:color w:val="auto"/>
          <w:sz w:val="24"/>
          <w:szCs w:val="24"/>
          <w:shd w:val="clear" w:color="auto"/>
          <w:lang w:val="zh-TW" w:eastAsia="zh-CN"/>
        </w:rPr>
        <w:t xml:space="preserve">；</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·LED路灯灯具总光通量：≥43200lm </w:t>
      </w:r>
      <w:r>
        <w:rPr>
          <w:rFonts w:hint="eastAsia" w:ascii="宋体" w:hAnsi="宋体" w:eastAsia="宋体" w:cs="Times New Roman"/>
          <w:b w:val="0"/>
          <w:bCs w:val="0"/>
          <w:color w:val="auto"/>
          <w:sz w:val="24"/>
          <w:szCs w:val="24"/>
          <w:shd w:val="clear" w:color="auto"/>
          <w:lang w:val="zh-TW" w:eastAsia="zh-CN"/>
        </w:rPr>
        <w:t xml:space="preserve">；</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·照明功率：240W±10%</w:t>
      </w:r>
      <w:r/>
    </w:p>
    <w:p>
      <w:pPr>
        <w:pStyle w:val="935"/>
        <w:ind w:firstLine="482"/>
        <w:jc w:val="both"/>
        <w:spacing w:line="360" w:lineRule="exact"/>
        <w:rPr>
          <w:rFonts w:hint="eastAsia" w:ascii="宋体" w:hAnsi="宋体" w:eastAsia="宋体"/>
          <w:b/>
          <w:bCs/>
          <w:color w:val="auto"/>
          <w:lang w:val="en-US" w:eastAsia="zh-CN"/>
        </w:rPr>
      </w:pPr>
      <w:r>
        <w:rPr>
          <w:rFonts w:hint="eastAsia" w:ascii="宋体" w:hAnsi="宋体" w:eastAsia="宋体"/>
          <w:b/>
          <w:bCs/>
          <w:color w:val="auto"/>
          <w:lang w:val="en-US" w:eastAsia="zh-CN"/>
        </w:rPr>
        <w:t xml:space="preserve">4.2路灯安装条件二</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73"/>
        <w:gridCol w:w="1766"/>
        <w:gridCol w:w="4523"/>
      </w:tblGrid>
      <w:tr>
        <w:trPr>
          <w:jc w:val="center"/>
          <w:trHeight w:val="0"/>
        </w:trPr>
        <w:tc>
          <w:tcPr>
            <w:tcW w:w="18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名称</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参数</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备注</w:t>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道路类型</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快速路</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道路宽度</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56.2米</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1"/>
                <w:szCs w:val="21"/>
              </w:rPr>
            </w:pPr>
            <w:r>
              <w:rPr>
                <w:rFonts w:ascii="宋体" w:hAnsi="宋体" w:cs="宋体"/>
                <w:color w:val="auto"/>
                <w:sz w:val="21"/>
                <w:szCs w:val="21"/>
              </w:rPr>
              <w:t xml:space="preserve">非机动车道4.5m</w:t>
            </w:r>
            <w:r>
              <w:rPr>
                <w:rFonts w:hint="eastAsia" w:ascii="宋体" w:hAnsi="宋体" w:cs="宋体"/>
                <w:color w:val="auto"/>
                <w:sz w:val="21"/>
                <w:szCs w:val="21"/>
                <w:lang w:eastAsia="zh-CN"/>
              </w:rPr>
              <w:t xml:space="preserve">、</w:t>
            </w:r>
            <w:r>
              <w:rPr>
                <w:rFonts w:ascii="宋体" w:hAnsi="宋体" w:cs="宋体"/>
                <w:color w:val="auto"/>
                <w:sz w:val="21"/>
                <w:szCs w:val="21"/>
              </w:rPr>
              <w:t xml:space="preserve">侧分带2m</w:t>
            </w:r>
            <w:r>
              <w:rPr>
                <w:rFonts w:hint="eastAsia" w:ascii="宋体" w:hAnsi="宋体" w:cs="宋体"/>
                <w:color w:val="auto"/>
                <w:sz w:val="21"/>
                <w:szCs w:val="21"/>
                <w:lang w:eastAsia="zh-CN"/>
              </w:rPr>
              <w:t xml:space="preserve">、</w:t>
            </w:r>
            <w:r>
              <w:rPr>
                <w:rFonts w:ascii="宋体" w:hAnsi="宋体" w:cs="宋体"/>
                <w:color w:val="auto"/>
                <w:sz w:val="21"/>
                <w:szCs w:val="21"/>
              </w:rPr>
              <w:t xml:space="preserve">路缘带0.75m</w:t>
            </w:r>
            <w:r>
              <w:rPr>
                <w:rFonts w:hint="eastAsia" w:ascii="宋体" w:hAnsi="宋体" w:cs="宋体"/>
                <w:color w:val="auto"/>
                <w:sz w:val="21"/>
                <w:szCs w:val="21"/>
                <w:lang w:eastAsia="zh-CN"/>
              </w:rPr>
              <w:t xml:space="preserve">、</w:t>
            </w:r>
            <w:r>
              <w:rPr>
                <w:rFonts w:ascii="宋体" w:hAnsi="宋体" w:cs="宋体"/>
                <w:color w:val="auto"/>
                <w:sz w:val="21"/>
                <w:szCs w:val="21"/>
              </w:rPr>
              <w:t xml:space="preserve">机动车道19.75m</w:t>
            </w:r>
            <w:r>
              <w:rPr>
                <w:rFonts w:hint="eastAsia" w:ascii="宋体" w:hAnsi="宋体" w:cs="宋体"/>
                <w:color w:val="auto"/>
                <w:sz w:val="21"/>
                <w:szCs w:val="21"/>
                <w:lang w:eastAsia="zh-CN"/>
              </w:rPr>
              <w:t xml:space="preserve">、</w:t>
            </w:r>
            <w:r>
              <w:rPr>
                <w:rFonts w:ascii="宋体" w:hAnsi="宋体" w:cs="宋体"/>
                <w:color w:val="auto"/>
                <w:sz w:val="21"/>
                <w:szCs w:val="21"/>
              </w:rPr>
              <w:t xml:space="preserve">路缘带0.75m</w:t>
            </w:r>
            <w:r>
              <w:rPr>
                <w:rFonts w:hint="eastAsia" w:ascii="宋体" w:hAnsi="宋体" w:cs="宋体"/>
                <w:color w:val="auto"/>
                <w:sz w:val="21"/>
                <w:szCs w:val="21"/>
                <w:lang w:eastAsia="zh-CN"/>
              </w:rPr>
              <w:t xml:space="preserve">、</w:t>
            </w:r>
            <w:r>
              <w:rPr>
                <w:rFonts w:ascii="宋体" w:hAnsi="宋体" w:cs="宋体"/>
                <w:color w:val="auto"/>
                <w:sz w:val="21"/>
                <w:szCs w:val="21"/>
              </w:rPr>
              <w:t xml:space="preserve">中分带0.7m</w:t>
            </w:r>
            <w:r>
              <w:rPr>
                <w:rFonts w:hint="eastAsia" w:ascii="宋体" w:hAnsi="宋体" w:cs="宋体"/>
                <w:color w:val="auto"/>
                <w:sz w:val="21"/>
                <w:szCs w:val="21"/>
                <w:lang w:eastAsia="zh-CN"/>
              </w:rPr>
              <w:t xml:space="preserve">、</w:t>
            </w:r>
            <w:r>
              <w:rPr>
                <w:rFonts w:ascii="宋体" w:hAnsi="宋体" w:cs="宋体"/>
                <w:color w:val="auto"/>
                <w:sz w:val="21"/>
                <w:szCs w:val="21"/>
              </w:rPr>
              <w:t xml:space="preserve">路缘带0.75m</w:t>
            </w:r>
            <w:r>
              <w:rPr>
                <w:rFonts w:hint="eastAsia" w:ascii="宋体" w:hAnsi="宋体" w:cs="宋体"/>
                <w:color w:val="auto"/>
                <w:sz w:val="21"/>
                <w:szCs w:val="21"/>
                <w:lang w:eastAsia="zh-CN"/>
              </w:rPr>
              <w:t xml:space="preserve">、</w:t>
            </w:r>
            <w:r>
              <w:rPr>
                <w:rFonts w:ascii="宋体" w:hAnsi="宋体" w:cs="宋体"/>
                <w:color w:val="auto"/>
                <w:sz w:val="21"/>
                <w:szCs w:val="21"/>
              </w:rPr>
              <w:t xml:space="preserve">机动车道19.75m</w:t>
            </w:r>
            <w:r>
              <w:rPr>
                <w:rFonts w:hint="eastAsia" w:ascii="宋体" w:hAnsi="宋体" w:cs="宋体"/>
                <w:color w:val="auto"/>
                <w:sz w:val="21"/>
                <w:szCs w:val="21"/>
                <w:lang w:eastAsia="zh-CN"/>
              </w:rPr>
              <w:t xml:space="preserve">、</w:t>
            </w:r>
            <w:r>
              <w:rPr>
                <w:rFonts w:ascii="宋体" w:hAnsi="宋体" w:cs="宋体"/>
                <w:color w:val="auto"/>
                <w:sz w:val="21"/>
                <w:szCs w:val="21"/>
              </w:rPr>
              <w:t xml:space="preserve">路缘带0.75m</w:t>
            </w:r>
            <w:r>
              <w:rPr>
                <w:rFonts w:hint="eastAsia" w:ascii="宋体" w:hAnsi="宋体" w:cs="宋体"/>
                <w:color w:val="auto"/>
                <w:sz w:val="21"/>
                <w:szCs w:val="21"/>
                <w:lang w:eastAsia="zh-CN"/>
              </w:rPr>
              <w:t xml:space="preserve">、</w:t>
            </w:r>
            <w:r>
              <w:rPr>
                <w:rFonts w:ascii="宋体" w:hAnsi="宋体" w:cs="宋体"/>
                <w:color w:val="auto"/>
                <w:sz w:val="21"/>
                <w:szCs w:val="21"/>
              </w:rPr>
              <w:t xml:space="preserve">侧分带2m</w:t>
            </w:r>
            <w:r>
              <w:rPr>
                <w:rFonts w:hint="eastAsia" w:ascii="宋体" w:hAnsi="宋体" w:cs="宋体"/>
                <w:color w:val="auto"/>
                <w:sz w:val="21"/>
                <w:szCs w:val="21"/>
                <w:lang w:eastAsia="zh-CN"/>
              </w:rPr>
              <w:t xml:space="preserve">、</w:t>
            </w:r>
            <w:r>
              <w:rPr>
                <w:rFonts w:ascii="宋体" w:hAnsi="宋体" w:cs="宋体"/>
                <w:color w:val="auto"/>
                <w:sz w:val="21"/>
                <w:szCs w:val="21"/>
              </w:rPr>
              <w:t xml:space="preserve">非机动车道4.5m</w:t>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车道数（双向）</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10</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路面类型</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沥青路</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LED路灯灯具布置方式</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双侧对称布置</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LED路灯灯具安装高度h（单位：m）</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12米</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LED路灯灯具安装间距S（单位：m）</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30米</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LED路灯灯具挑臂（水平投影）长度（单位：m）</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1.5</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与路缘距离（单位：m）</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0.5</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LED路灯灯具仰角（单位：度）</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5°~15°</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维护系数</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0.7</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bl>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基于上表路灯安装基本参数条件下需满足的照明指标：</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·平均亮度Lav (cd/m2)维持值不低于 2.0 cd/m²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·亮度总均匀度Uo最小值不低于0.4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·纵向均匀度Ul最小值不低于0.7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·平均照度Eav（Lx）维持值不低于 30 Lx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·均匀度UE最小值不低于 0.40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·眩光限制阈值增量TI（%）最大初始值不高于 10%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·色温：4000K（3985K±275K）；</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en-US" w:eastAsia="zh-CN"/>
        </w:rPr>
        <w:t xml:space="preserve">·</w:t>
      </w:r>
      <w:r>
        <w:rPr>
          <w:rFonts w:hint="eastAsia" w:ascii="宋体" w:hAnsi="宋体" w:eastAsia="宋体" w:cs="Times New Roman"/>
          <w:b w:val="0"/>
          <w:bCs w:val="0"/>
          <w:color w:val="auto"/>
          <w:sz w:val="24"/>
          <w:szCs w:val="24"/>
          <w:shd w:val="clear" w:color="auto"/>
          <w:lang w:val="zh-TW" w:eastAsia="zh-TW"/>
        </w:rPr>
        <w:t xml:space="preserve">Ra显色指数≥70</w:t>
      </w:r>
      <w:r>
        <w:rPr>
          <w:rFonts w:hint="eastAsia" w:ascii="宋体" w:hAnsi="宋体" w:eastAsia="宋体" w:cs="Times New Roman"/>
          <w:b w:val="0"/>
          <w:bCs w:val="0"/>
          <w:color w:val="auto"/>
          <w:sz w:val="24"/>
          <w:szCs w:val="24"/>
          <w:shd w:val="clear" w:color="auto"/>
          <w:lang w:val="en-US" w:eastAsia="zh-CN"/>
        </w:rPr>
        <w:t xml:space="preserve"> </w:t>
      </w:r>
      <w:r>
        <w:rPr>
          <w:rFonts w:hint="eastAsia" w:ascii="宋体" w:hAnsi="宋体" w:eastAsia="宋体" w:cs="Times New Roman"/>
          <w:b w:val="0"/>
          <w:bCs w:val="0"/>
          <w:color w:val="auto"/>
          <w:sz w:val="24"/>
          <w:szCs w:val="24"/>
          <w:shd w:val="clear" w:color="auto"/>
          <w:lang w:val="zh-TW" w:eastAsia="zh-CN"/>
        </w:rPr>
        <w:t xml:space="preserve">；</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·LED路灯灯具总光通量：≥43200lm </w:t>
      </w:r>
      <w:r>
        <w:rPr>
          <w:rFonts w:hint="eastAsia" w:ascii="宋体" w:hAnsi="宋体" w:eastAsia="宋体" w:cs="Times New Roman"/>
          <w:b w:val="0"/>
          <w:bCs w:val="0"/>
          <w:color w:val="auto"/>
          <w:sz w:val="24"/>
          <w:szCs w:val="24"/>
          <w:shd w:val="clear" w:color="auto"/>
          <w:lang w:val="zh-TW" w:eastAsia="zh-CN"/>
        </w:rPr>
        <w:t xml:space="preserve">；</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·照明功率：240W±10%。</w:t>
      </w:r>
      <w:r/>
    </w:p>
    <w:p>
      <w:pPr>
        <w:pStyle w:val="935"/>
        <w:ind w:firstLine="482"/>
        <w:jc w:val="both"/>
        <w:spacing w:line="360" w:lineRule="exact"/>
        <w:rPr>
          <w:rFonts w:hint="eastAsia" w:ascii="宋体" w:hAnsi="宋体" w:eastAsia="宋体"/>
          <w:b/>
          <w:bCs/>
          <w:color w:val="auto"/>
          <w:lang w:val="en-US" w:eastAsia="zh-CN"/>
        </w:rPr>
      </w:pPr>
      <w:r>
        <w:rPr>
          <w:rFonts w:hint="eastAsia" w:ascii="宋体" w:hAnsi="宋体" w:eastAsia="宋体"/>
          <w:b/>
          <w:bCs/>
          <w:color w:val="auto"/>
          <w:lang w:val="en-US" w:eastAsia="zh-CN"/>
        </w:rPr>
        <w:t xml:space="preserve">4.3路灯安装条件三</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97"/>
        <w:gridCol w:w="2257"/>
        <w:gridCol w:w="3708"/>
      </w:tblGrid>
      <w:tr>
        <w:trPr>
          <w:jc w:val="center"/>
          <w:trHeight w:val="0"/>
        </w:trPr>
        <w:tc>
          <w:tcPr>
            <w:tcW w:w="20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名称</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参数</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备注</w:t>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道路类型</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快速路</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道路宽度</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25.25米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非机动车道（4.5m）</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侧分带（2m）</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路缘带(0.75m)</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机动车道(17.5m, 5车道)</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路缘带(0.5m)</w:t>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车道数（双向）</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5</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路面类型</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沥青路</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LED路灯灯具布置方式</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双侧交错布置</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LED路灯灯具安装高度h（单位：m）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路灯10.5米+吸顶灯9.5米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LED路灯灯具安装间距S（单位：m）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30米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LED路灯灯具挑臂（水平投影）长度（单位：m）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1</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与路缘距离（单位：m）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路灯0.5米，吸顶灯距中分带8.0米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LED路灯灯具仰角（单位：度）</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5°~15°</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维护系数</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0.7</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bl>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基于上表路灯安装基本参数条件下需满足的照明指标：</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·平均亮度Lav (cd/m2)维持值不低于 2.0 cd/m²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·亮度总均匀度Uo最小值不低于0.4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·纵向均匀度Ul最小值不低于0.7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·平均照度Eav（Lx）维持值不低于 30 Lx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·均匀度UE最小值不低于 0.40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·眩光限制阈值增量TI（%）最大初始值不高于 10% ；</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·色温：4000K（3985K±275K）；</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en-US" w:eastAsia="zh-CN"/>
        </w:rPr>
        <w:t xml:space="preserve">·</w:t>
      </w:r>
      <w:r>
        <w:rPr>
          <w:rFonts w:hint="eastAsia" w:ascii="宋体" w:hAnsi="宋体" w:eastAsia="宋体" w:cs="Times New Roman"/>
          <w:b w:val="0"/>
          <w:bCs w:val="0"/>
          <w:color w:val="auto"/>
          <w:sz w:val="24"/>
          <w:szCs w:val="24"/>
          <w:shd w:val="clear" w:color="auto"/>
          <w:lang w:val="zh-TW" w:eastAsia="zh-TW"/>
        </w:rPr>
        <w:t xml:space="preserve">Ra显色指数≥70</w:t>
      </w:r>
      <w:r>
        <w:rPr>
          <w:rFonts w:hint="eastAsia" w:ascii="宋体" w:hAnsi="宋体" w:eastAsia="宋体" w:cs="Times New Roman"/>
          <w:b w:val="0"/>
          <w:bCs w:val="0"/>
          <w:color w:val="auto"/>
          <w:sz w:val="24"/>
          <w:szCs w:val="24"/>
          <w:shd w:val="clear" w:color="auto"/>
          <w:lang w:val="en-US" w:eastAsia="zh-CN"/>
        </w:rPr>
        <w:t xml:space="preserve"> </w:t>
      </w:r>
      <w:r>
        <w:rPr>
          <w:rFonts w:hint="eastAsia" w:ascii="宋体" w:hAnsi="宋体" w:eastAsia="宋体" w:cs="Times New Roman"/>
          <w:b w:val="0"/>
          <w:bCs w:val="0"/>
          <w:color w:val="auto"/>
          <w:sz w:val="24"/>
          <w:szCs w:val="24"/>
          <w:shd w:val="clear" w:color="auto"/>
          <w:lang w:val="zh-TW" w:eastAsia="zh-CN"/>
        </w:rPr>
        <w:t xml:space="preserve">；</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·LED路灯灯具总光通量：≥43200lm </w:t>
      </w:r>
      <w:r>
        <w:rPr>
          <w:rFonts w:hint="eastAsia" w:ascii="宋体" w:hAnsi="宋体" w:eastAsia="宋体" w:cs="Times New Roman"/>
          <w:b w:val="0"/>
          <w:bCs w:val="0"/>
          <w:color w:val="auto"/>
          <w:sz w:val="24"/>
          <w:szCs w:val="24"/>
          <w:shd w:val="clear" w:color="auto"/>
          <w:lang w:val="zh-TW" w:eastAsia="zh-CN"/>
        </w:rPr>
        <w:t xml:space="preserve">；</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·LED路灯照明功率：240W±10%。</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·LED吸顶灯灯具总光通量：≥27000lm </w:t>
      </w:r>
      <w:r>
        <w:rPr>
          <w:rFonts w:hint="eastAsia" w:ascii="宋体" w:hAnsi="宋体" w:eastAsia="宋体" w:cs="Times New Roman"/>
          <w:b w:val="0"/>
          <w:bCs w:val="0"/>
          <w:color w:val="auto"/>
          <w:sz w:val="24"/>
          <w:szCs w:val="24"/>
          <w:shd w:val="clear" w:color="auto"/>
          <w:lang w:val="zh-TW" w:eastAsia="zh-CN"/>
        </w:rPr>
        <w:t xml:space="preserve">；</w:t>
      </w:r>
      <w:r/>
    </w:p>
    <w:p>
      <w:pPr>
        <w:pStyle w:val="935"/>
        <w:spacing w:line="360" w:lineRule="exact"/>
        <w:rPr>
          <w:rFonts w:hint="eastAsia" w:ascii="宋体" w:hAnsi="宋体" w:eastAsia="宋体" w:cs="Times New Roman"/>
          <w:b w:val="0"/>
          <w:bCs w:val="0"/>
          <w:color w:val="auto"/>
          <w:sz w:val="24"/>
          <w:szCs w:val="24"/>
          <w:shd w:val="clear" w:color="auto"/>
          <w:lang w:val="en-US" w:eastAsia="zh-CN"/>
        </w:rPr>
      </w:pPr>
      <w:r>
        <w:rPr>
          <w:rFonts w:hint="eastAsia" w:ascii="宋体" w:hAnsi="宋体" w:eastAsia="宋体" w:cs="Times New Roman"/>
          <w:b w:val="0"/>
          <w:bCs w:val="0"/>
          <w:color w:val="auto"/>
          <w:sz w:val="24"/>
          <w:szCs w:val="24"/>
          <w:shd w:val="clear" w:color="auto"/>
          <w:lang w:val="en-US" w:eastAsia="zh-CN"/>
        </w:rPr>
        <w:t xml:space="preserve">·LED吸顶灯照明功率：150W±10%。</w:t>
      </w:r>
      <w:r/>
    </w:p>
    <w:p>
      <w:pPr>
        <w:pStyle w:val="935"/>
        <w:ind w:firstLine="482"/>
        <w:jc w:val="both"/>
        <w:spacing w:line="360" w:lineRule="exact"/>
        <w:rPr>
          <w:rFonts w:hint="eastAsia" w:ascii="宋体" w:hAnsi="宋体" w:cs="宋体"/>
          <w:color w:val="auto"/>
          <w:sz w:val="24"/>
        </w:rPr>
      </w:pPr>
      <w:r>
        <w:rPr>
          <w:rFonts w:hint="eastAsia" w:ascii="宋体" w:hAnsi="宋体" w:eastAsia="宋体"/>
          <w:b/>
          <w:bCs/>
          <w:color w:val="auto"/>
          <w:lang w:val="en-US" w:eastAsia="zh-CN"/>
        </w:rPr>
        <w:t xml:space="preserve">4.4护栏灯安装条件四</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97"/>
        <w:gridCol w:w="2257"/>
        <w:gridCol w:w="3708"/>
      </w:tblGrid>
      <w:tr>
        <w:trPr>
          <w:jc w:val="center"/>
          <w:trHeight w:val="0"/>
        </w:trPr>
        <w:tc>
          <w:tcPr>
            <w:tcW w:w="20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名称</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参数</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rPr>
            </w:pPr>
            <w:r>
              <w:rPr>
                <w:rFonts w:hint="eastAsia" w:ascii="宋体" w:hAnsi="宋体" w:cs="宋体"/>
                <w:color w:val="auto"/>
                <w:sz w:val="24"/>
              </w:rPr>
              <w:t xml:space="preserve">备注</w:t>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道路类型</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快速路</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道路宽度</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10.2米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ascii="宋体" w:hAnsi="宋体" w:cs="宋体"/>
                <w:color w:val="auto"/>
                <w:sz w:val="22"/>
                <w:szCs w:val="22"/>
              </w:rPr>
              <w:t xml:space="preserve">护栏0.5m</w:t>
            </w:r>
            <w:r>
              <w:rPr>
                <w:rFonts w:hint="eastAsia" w:ascii="宋体" w:hAnsi="宋体" w:cs="宋体"/>
                <w:color w:val="auto"/>
                <w:sz w:val="22"/>
                <w:szCs w:val="22"/>
                <w:lang w:eastAsia="zh-CN"/>
              </w:rPr>
              <w:t xml:space="preserve">、</w:t>
            </w:r>
            <w:r>
              <w:rPr>
                <w:rFonts w:ascii="宋体" w:hAnsi="宋体" w:cs="宋体"/>
                <w:color w:val="auto"/>
                <w:sz w:val="22"/>
                <w:szCs w:val="22"/>
              </w:rPr>
              <w:t xml:space="preserve">路缘带</w:t>
            </w:r>
            <w:r>
              <w:rPr>
                <w:rFonts w:hint="eastAsia" w:ascii="宋体" w:hAnsi="宋体" w:cs="宋体"/>
                <w:color w:val="auto"/>
                <w:sz w:val="22"/>
                <w:szCs w:val="22"/>
              </w:rPr>
              <w:t xml:space="preserve">1.1</w:t>
            </w:r>
            <w:r>
              <w:rPr>
                <w:rFonts w:ascii="宋体" w:hAnsi="宋体" w:cs="宋体"/>
                <w:color w:val="auto"/>
                <w:sz w:val="22"/>
                <w:szCs w:val="22"/>
              </w:rPr>
              <w:t xml:space="preserve">m</w:t>
            </w:r>
            <w:r>
              <w:rPr>
                <w:rFonts w:hint="eastAsia" w:ascii="宋体" w:hAnsi="宋体" w:cs="宋体"/>
                <w:color w:val="auto"/>
                <w:sz w:val="22"/>
                <w:szCs w:val="22"/>
                <w:lang w:eastAsia="zh-CN"/>
              </w:rPr>
              <w:t xml:space="preserve">、</w:t>
            </w:r>
            <w:r>
              <w:rPr>
                <w:rFonts w:ascii="宋体" w:hAnsi="宋体" w:cs="宋体"/>
                <w:color w:val="auto"/>
                <w:sz w:val="22"/>
                <w:szCs w:val="22"/>
              </w:rPr>
              <w:t xml:space="preserve">机动车道7m</w:t>
            </w:r>
            <w:r>
              <w:rPr>
                <w:rFonts w:hint="eastAsia" w:ascii="宋体" w:hAnsi="宋体" w:cs="宋体"/>
                <w:color w:val="auto"/>
                <w:sz w:val="22"/>
                <w:szCs w:val="22"/>
                <w:lang w:eastAsia="zh-CN"/>
              </w:rPr>
              <w:t xml:space="preserve">、</w:t>
            </w:r>
            <w:r>
              <w:rPr>
                <w:rFonts w:ascii="宋体" w:hAnsi="宋体" w:cs="宋体"/>
                <w:color w:val="auto"/>
                <w:sz w:val="22"/>
                <w:szCs w:val="22"/>
              </w:rPr>
              <w:t xml:space="preserve">路缘带</w:t>
            </w:r>
            <w:r>
              <w:rPr>
                <w:rFonts w:hint="eastAsia" w:ascii="宋体" w:hAnsi="宋体" w:cs="宋体"/>
                <w:color w:val="auto"/>
                <w:sz w:val="22"/>
                <w:szCs w:val="22"/>
              </w:rPr>
              <w:t xml:space="preserve">1.1</w:t>
            </w:r>
            <w:r>
              <w:rPr>
                <w:rFonts w:ascii="宋体" w:hAnsi="宋体" w:cs="宋体"/>
                <w:color w:val="auto"/>
                <w:sz w:val="22"/>
                <w:szCs w:val="22"/>
              </w:rPr>
              <w:t xml:space="preserve">m</w:t>
            </w:r>
            <w:r>
              <w:rPr>
                <w:rFonts w:hint="eastAsia" w:ascii="宋体" w:hAnsi="宋体" w:cs="宋体"/>
                <w:color w:val="auto"/>
                <w:sz w:val="22"/>
                <w:szCs w:val="22"/>
                <w:lang w:eastAsia="zh-CN"/>
              </w:rPr>
              <w:t xml:space="preserve">、</w:t>
            </w:r>
            <w:r>
              <w:rPr>
                <w:rFonts w:ascii="宋体" w:hAnsi="宋体" w:cs="宋体"/>
                <w:color w:val="auto"/>
                <w:sz w:val="22"/>
                <w:szCs w:val="22"/>
              </w:rPr>
              <w:t xml:space="preserve">护栏0.5m</w:t>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车道数（双向）</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2</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路面类型</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沥青路</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LED路灯灯具布置方式</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双侧对称布置</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LED路灯灯具安装高度h（单位：m）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1.3</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LED路灯灯具安装间距S（单位：m）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3米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LED路灯灯具挑臂（水平投影）长度（单位：m）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与路缘距离（单位：m）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0</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LED路灯灯具仰角（单位：度）</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0°~15°</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维护系数</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t xml:space="preserve">0.7</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rPr>
            </w:pPr>
            <w:r>
              <w:rPr>
                <w:rFonts w:hint="eastAsia" w:ascii="宋体" w:hAnsi="宋体" w:cs="宋体"/>
                <w:color w:val="auto"/>
                <w:sz w:val="22"/>
                <w:szCs w:val="22"/>
              </w:rPr>
            </w:r>
            <w:r/>
          </w:p>
        </w:tc>
      </w:tr>
    </w:tbl>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基于上表路灯安装基本参数条件下需满足的照明指标：</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·平均亮度Lav (cd/m2)维持值不低于 2.0 cd/m² ；</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·亮度总均匀度Uo最小值不低于0.4 ；</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·纵向均匀度Ul最小值不低于0.7 ；</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·平均照度Eav（Lx）维持值不低于 30 Lx ；</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·均匀度UE最小值不低于 0.40 ；</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·眩光限制阈值增量TI（%）最大初始值不高于 10% ；</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·色温：4000K（3985K±275K）；</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w:t>
      </w:r>
      <w:r>
        <w:rPr>
          <w:rFonts w:hint="eastAsia" w:ascii="宋体" w:hAnsi="宋体" w:eastAsia="宋体" w:cs="Times New Roman"/>
          <w:b w:val="0"/>
          <w:bCs w:val="0"/>
          <w:color w:val="auto"/>
          <w:sz w:val="24"/>
          <w:szCs w:val="24"/>
          <w:shd w:val="clear" w:color="auto"/>
          <w:lang w:val="zh-TW" w:eastAsia="zh-TW"/>
        </w:rPr>
        <w:t xml:space="preserve">Ra显色指数≥70</w:t>
      </w:r>
      <w:r>
        <w:rPr>
          <w:rFonts w:hint="eastAsia" w:ascii="宋体" w:hAnsi="宋体" w:eastAsia="宋体" w:cs="Times New Roman"/>
          <w:b w:val="0"/>
          <w:bCs w:val="0"/>
          <w:color w:val="auto"/>
          <w:sz w:val="24"/>
          <w:szCs w:val="24"/>
          <w:shd w:val="clear" w:color="auto"/>
          <w:lang w:val="zh-TW" w:eastAsia="zh-CN"/>
        </w:rPr>
        <w:t xml:space="preserve"> ；</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·LED路灯灯具总光通量：≥1000lm ；</w:t>
      </w:r>
      <w:r/>
    </w:p>
    <w:p>
      <w:pPr>
        <w:pStyle w:val="935"/>
        <w:spacing w:line="360" w:lineRule="exact"/>
        <w:rPr>
          <w:rFonts w:hint="eastAsia" w:ascii="宋体" w:hAnsi="宋体" w:eastAsia="宋体" w:cs="Times New Roman"/>
          <w:b w:val="0"/>
          <w:bCs w:val="0"/>
          <w:color w:val="auto"/>
          <w:sz w:val="24"/>
          <w:szCs w:val="24"/>
          <w:shd w:val="clear" w:color="auto"/>
          <w:lang w:val="zh-TW" w:eastAsia="zh-CN"/>
        </w:rPr>
      </w:pPr>
      <w:r>
        <w:rPr>
          <w:rFonts w:hint="eastAsia" w:ascii="宋体" w:hAnsi="宋体" w:eastAsia="宋体" w:cs="Times New Roman"/>
          <w:b w:val="0"/>
          <w:bCs w:val="0"/>
          <w:color w:val="auto"/>
          <w:sz w:val="24"/>
          <w:szCs w:val="24"/>
          <w:shd w:val="clear" w:color="auto"/>
          <w:lang w:val="zh-TW" w:eastAsia="zh-CN"/>
        </w:rPr>
        <w:t xml:space="preserve">·LED路灯照明功率：10W±10%。</w:t>
      </w:r>
      <w:r/>
    </w:p>
    <w:p>
      <w:pPr>
        <w:rPr>
          <w:rFonts w:hint="eastAsia"/>
          <w:color w:val="auto"/>
          <w:lang w:val="zh-TW" w:eastAsia="zh-CN"/>
        </w:rPr>
      </w:pPr>
      <w:r>
        <w:rPr>
          <w:rFonts w:hint="eastAsia"/>
          <w:color w:val="auto"/>
          <w:lang w:val="zh-TW" w:eastAsia="zh-CN"/>
        </w:rPr>
      </w:r>
      <w:r/>
    </w:p>
    <w:p>
      <w:pPr>
        <w:pStyle w:val="935"/>
        <w:numPr>
          <w:ilvl w:val="0"/>
          <w:numId w:val="0"/>
        </w:numPr>
        <w:ind w:firstLine="0"/>
        <w:spacing w:line="360" w:lineRule="exact"/>
        <w:rPr>
          <w:rFonts w:hint="eastAsia" w:ascii="宋体" w:hAnsi="宋体" w:eastAsia="宋体" w:cs="Times New Roman"/>
          <w:b/>
          <w:bCs/>
          <w:color w:val="auto"/>
          <w:sz w:val="24"/>
          <w:szCs w:val="24"/>
          <w:lang w:val="en-US" w:eastAsia="zh-CN" w:bidi="ar-SA"/>
        </w:rPr>
      </w:pPr>
      <w:r>
        <w:rPr>
          <w:rFonts w:hint="eastAsia" w:ascii="宋体" w:hAnsi="宋体" w:eastAsia="宋体" w:cs="Times New Roman"/>
          <w:b/>
          <w:bCs/>
          <w:color w:val="auto"/>
          <w:sz w:val="24"/>
          <w:szCs w:val="24"/>
          <w:lang w:val="en-US" w:eastAsia="zh-CN" w:bidi="ar-SA"/>
        </w:rPr>
        <w:t xml:space="preserve">（五）其他要求</w:t>
      </w:r>
      <w:r/>
    </w:p>
    <w:p>
      <w:pPr>
        <w:pStyle w:val="935"/>
        <w:numPr>
          <w:ilvl w:val="0"/>
          <w:numId w:val="0"/>
        </w:numPr>
        <w:ind w:firstLine="482"/>
        <w:spacing w:line="360" w:lineRule="exact"/>
        <w:rPr>
          <w:rFonts w:hint="eastAsia" w:ascii="宋体" w:hAnsi="宋体" w:eastAsia="宋体" w:cs="Times New Roman"/>
          <w:b/>
          <w:bCs/>
          <w:color w:val="auto"/>
          <w:sz w:val="24"/>
          <w:szCs w:val="24"/>
          <w:lang w:val="en-US" w:eastAsia="zh-CN" w:bidi="ar-SA"/>
        </w:rPr>
      </w:pPr>
      <w:r>
        <w:rPr>
          <w:rFonts w:hint="eastAsia" w:ascii="宋体" w:hAnsi="宋体" w:eastAsia="宋体" w:cs="Times New Roman"/>
          <w:b/>
          <w:bCs/>
          <w:color w:val="auto"/>
          <w:sz w:val="24"/>
          <w:szCs w:val="24"/>
          <w:lang w:val="en-US" w:eastAsia="zh-CN" w:bidi="ar-SA"/>
        </w:rPr>
        <w:t xml:space="preserve">（1）开标后检验要求</w:t>
      </w:r>
      <w:r/>
    </w:p>
    <w:p>
      <w:pPr>
        <w:pStyle w:val="935"/>
        <w:spacing w:line="360" w:lineRule="exact"/>
        <w:rPr>
          <w:rFonts w:hint="eastAsia" w:cs="宋体"/>
          <w:i/>
          <w:iCs/>
          <w:color w:val="auto"/>
          <w:u w:val="single"/>
        </w:rPr>
      </w:pPr>
      <w:r>
        <w:rPr>
          <w:rFonts w:hint="eastAsia" w:cs="宋体"/>
          <w:i/>
          <w:iCs/>
          <w:color w:val="auto"/>
          <w:u w:val="single"/>
        </w:rPr>
        <w:t xml:space="preserve">在开标后公示期内。中标单位应提供投标灯具中</w:t>
      </w:r>
      <w:r>
        <w:rPr>
          <w:rFonts w:hint="eastAsia" w:cs="宋体"/>
          <w:i/>
          <w:iCs/>
          <w:color w:val="auto"/>
          <w:highlight w:val="none"/>
          <w:u w:val="single"/>
        </w:rPr>
        <w:t xml:space="preserve">240WLED路灯灯具、150WLED吸顶灯灯具、10WLED护栏灯灯具，由</w:t>
      </w:r>
      <w:r>
        <w:rPr>
          <w:rFonts w:hint="eastAsia" w:cs="宋体"/>
          <w:i/>
          <w:iCs/>
          <w:color w:val="auto"/>
          <w:u w:val="single"/>
        </w:rPr>
        <w:t xml:space="preserve">采购单位送至指定检测单位进行指定检测项目的复检。若复检结果与投标文件中所提供的材料负偏离，取消中标资格。</w:t>
      </w:r>
      <w:r/>
    </w:p>
    <w:p>
      <w:pPr>
        <w:ind w:firstLine="480"/>
        <w:spacing w:line="360" w:lineRule="exact"/>
        <w:rPr>
          <w:rFonts w:cs="宋体"/>
          <w:i/>
          <w:iCs/>
          <w:color w:val="auto"/>
          <w:sz w:val="24"/>
          <w:u w:val="single"/>
        </w:rPr>
      </w:pPr>
      <w:r>
        <w:rPr>
          <w:rFonts w:hint="eastAsia" w:cs="宋体"/>
          <w:i/>
          <w:iCs/>
          <w:color w:val="auto"/>
          <w:sz w:val="24"/>
          <w:u w:val="single"/>
        </w:rPr>
        <w:t xml:space="preserve">在开标后公示期内，中标单位应提供所有投标文件所需要的检测报告原件至采购单位进行核验。若经核验发现存在虚假或伪造，取消中标资格。</w:t>
      </w:r>
      <w:r/>
    </w:p>
    <w:p>
      <w:pPr>
        <w:pStyle w:val="935"/>
        <w:numPr>
          <w:ilvl w:val="0"/>
          <w:numId w:val="0"/>
        </w:numPr>
        <w:ind w:firstLine="482"/>
        <w:spacing w:line="360" w:lineRule="exact"/>
        <w:rPr>
          <w:rFonts w:hint="eastAsia"/>
          <w:b/>
          <w:bCs/>
          <w:color w:val="auto"/>
        </w:rPr>
      </w:pPr>
      <w:r>
        <w:rPr>
          <w:rFonts w:hint="eastAsia" w:ascii="宋体" w:hAnsi="宋体" w:eastAsia="宋体" w:cs="Times New Roman"/>
          <w:b/>
          <w:bCs/>
          <w:color w:val="auto"/>
          <w:sz w:val="24"/>
          <w:szCs w:val="24"/>
          <w:lang w:val="en-US" w:eastAsia="zh-CN" w:bidi="ar-SA"/>
        </w:rPr>
        <w:t xml:space="preserve">（</w:t>
      </w:r>
      <w:r>
        <w:rPr>
          <w:rFonts w:hint="eastAsia" w:cs="Times New Roman"/>
          <w:b/>
          <w:bCs/>
          <w:color w:val="auto"/>
          <w:sz w:val="24"/>
          <w:szCs w:val="24"/>
          <w:lang w:val="en-US" w:eastAsia="zh-CN" w:bidi="ar-SA"/>
        </w:rPr>
        <w:t xml:space="preserve">2</w:t>
      </w:r>
      <w:r>
        <w:rPr>
          <w:rFonts w:hint="eastAsia" w:ascii="宋体" w:hAnsi="宋体" w:eastAsia="宋体" w:cs="Times New Roman"/>
          <w:b/>
          <w:bCs/>
          <w:color w:val="auto"/>
          <w:sz w:val="24"/>
          <w:szCs w:val="24"/>
          <w:lang w:val="en-US" w:eastAsia="zh-CN" w:bidi="ar-SA"/>
        </w:rPr>
        <w:t xml:space="preserve">）</w:t>
      </w:r>
      <w:r>
        <w:rPr>
          <w:rFonts w:hint="eastAsia"/>
          <w:b/>
          <w:bCs/>
          <w:color w:val="auto"/>
        </w:rPr>
        <w:t xml:space="preserve">进场检验要求</w:t>
      </w:r>
      <w:r/>
    </w:p>
    <w:p>
      <w:pPr>
        <w:pStyle w:val="935"/>
        <w:spacing w:line="360" w:lineRule="exact"/>
        <w:rPr>
          <w:rFonts w:hint="eastAsia" w:cs="宋体"/>
          <w:i/>
          <w:iCs/>
          <w:color w:val="auto"/>
          <w:u w:val="single"/>
        </w:rPr>
      </w:pPr>
      <w:r>
        <w:rPr>
          <w:rFonts w:hint="eastAsia" w:cs="宋体"/>
          <w:i/>
          <w:iCs/>
          <w:color w:val="auto"/>
          <w:u w:val="single"/>
        </w:rPr>
        <w:t xml:space="preserve">签订合同30天内中标单位应向采购单位提供完整详尽的项目实施技术方案和施工组织方案报采购单位审核。</w:t>
      </w:r>
      <w:r/>
    </w:p>
    <w:p>
      <w:pPr>
        <w:ind w:firstLine="480"/>
        <w:spacing w:line="360" w:lineRule="exact"/>
        <w:rPr>
          <w:rFonts w:hint="eastAsia" w:cs="宋体"/>
          <w:i/>
          <w:iCs/>
          <w:color w:val="auto"/>
          <w:sz w:val="24"/>
          <w:u w:val="single"/>
        </w:rPr>
      </w:pPr>
      <w:r>
        <w:rPr>
          <w:rFonts w:hint="eastAsia" w:cs="宋体"/>
          <w:i/>
          <w:iCs/>
          <w:color w:val="auto"/>
          <w:sz w:val="24"/>
          <w:u w:val="single"/>
        </w:rPr>
        <w:t xml:space="preserve">正式进场安装前，中标单位需提供各规格灯具样品各一套。采购单位审核灯具外形及颜色与现场的协调性，经采购单位确认达标后方可进行下一步实施。如发现现场样灯与投标文件规定的要求不符，采购单位有权要求更换为符合要求的灯具。</w:t>
      </w:r>
      <w:r/>
    </w:p>
    <w:p>
      <w:pPr>
        <w:ind w:firstLine="480"/>
        <w:spacing w:line="360" w:lineRule="exact"/>
        <w:rPr>
          <w:rFonts w:hint="default" w:eastAsia="宋体" w:cs="宋体"/>
          <w:i/>
          <w:iCs/>
          <w:color w:val="auto"/>
          <w:sz w:val="24"/>
          <w:u w:val="single"/>
          <w:lang w:val="en-US" w:eastAsia="zh-CN"/>
        </w:rPr>
      </w:pPr>
      <w:r>
        <w:rPr>
          <w:rFonts w:hint="eastAsia" w:cs="宋体"/>
          <w:i/>
          <w:iCs/>
          <w:color w:val="auto"/>
          <w:sz w:val="24"/>
          <w:u w:val="single"/>
          <w:lang w:val="en-US" w:eastAsia="zh-CN"/>
        </w:rPr>
        <w:t xml:space="preserve">现场安装过程中如采购人发现灯具不符合要求，采购人有权现场随机抽取灯具送指定检测机构检测。如检测结果不合格，中标单位无条件整改并承担相应检测费用；如检测结果合格，检测费用由采购人承担。</w:t>
      </w:r>
      <w:r/>
    </w:p>
    <w:p>
      <w:pPr>
        <w:pStyle w:val="935"/>
        <w:numPr>
          <w:ilvl w:val="0"/>
          <w:numId w:val="0"/>
        </w:numPr>
        <w:ind w:firstLine="482"/>
        <w:spacing w:line="360" w:lineRule="exact"/>
        <w:rPr>
          <w:rFonts w:hint="eastAsia"/>
          <w:b/>
          <w:bCs/>
          <w:color w:val="auto"/>
        </w:rPr>
      </w:pPr>
      <w:r>
        <w:rPr>
          <w:rFonts w:hint="eastAsia" w:ascii="宋体" w:hAnsi="宋体" w:eastAsia="宋体" w:cs="Times New Roman"/>
          <w:b/>
          <w:bCs/>
          <w:color w:val="auto"/>
          <w:sz w:val="24"/>
          <w:szCs w:val="24"/>
          <w:lang w:val="en-US" w:eastAsia="zh-CN" w:bidi="ar-SA"/>
        </w:rPr>
        <w:t xml:space="preserve">（</w:t>
      </w:r>
      <w:r>
        <w:rPr>
          <w:rFonts w:hint="eastAsia" w:cs="Times New Roman"/>
          <w:b/>
          <w:bCs/>
          <w:color w:val="auto"/>
          <w:sz w:val="24"/>
          <w:szCs w:val="24"/>
          <w:lang w:val="en-US" w:eastAsia="zh-CN" w:bidi="ar-SA"/>
        </w:rPr>
        <w:t xml:space="preserve">3</w:t>
      </w:r>
      <w:r>
        <w:rPr>
          <w:rFonts w:hint="eastAsia" w:ascii="宋体" w:hAnsi="宋体" w:eastAsia="宋体" w:cs="Times New Roman"/>
          <w:b/>
          <w:bCs/>
          <w:color w:val="auto"/>
          <w:sz w:val="24"/>
          <w:szCs w:val="24"/>
          <w:lang w:val="en-US" w:eastAsia="zh-CN" w:bidi="ar-SA"/>
        </w:rPr>
        <w:t xml:space="preserve">）</w:t>
      </w:r>
      <w:r>
        <w:rPr>
          <w:rFonts w:hint="eastAsia"/>
          <w:b/>
          <w:bCs/>
          <w:color w:val="auto"/>
        </w:rPr>
        <w:t xml:space="preserve">路灯安装要求</w:t>
      </w:r>
      <w:r/>
    </w:p>
    <w:p>
      <w:pPr>
        <w:pStyle w:val="935"/>
        <w:spacing w:line="360" w:lineRule="exact"/>
        <w:rPr>
          <w:rFonts w:hint="eastAsia" w:cs="宋体"/>
          <w:color w:val="auto"/>
        </w:rPr>
      </w:pPr>
      <w:r>
        <w:rPr>
          <w:rFonts w:hint="eastAsia" w:cs="宋体"/>
          <w:color w:val="auto"/>
        </w:rPr>
        <w:t xml:space="preserve">安装过程应该遵守国家、省级、张家港市的相关法律法规及制度要求。</w:t>
      </w:r>
      <w:r/>
    </w:p>
    <w:p>
      <w:pPr>
        <w:pStyle w:val="935"/>
        <w:spacing w:line="360" w:lineRule="exact"/>
        <w:rPr>
          <w:rFonts w:hint="eastAsia" w:cs="宋体"/>
          <w:color w:val="auto"/>
        </w:rPr>
      </w:pPr>
      <w:r>
        <w:rPr>
          <w:rFonts w:hint="eastAsia" w:cs="宋体"/>
          <w:color w:val="auto"/>
        </w:rPr>
        <w:t xml:space="preserve">安装运输等过程中遵守安全生产的有关管理规定，严格按照安全标准组织制作，采取必要的安全防护措施，消除隐患。由于中标单位管理或安全辅助措施不力造成周边环境破坏或事故的责任和因此发生的费用，由中标单位承担。</w:t>
      </w:r>
      <w:r/>
    </w:p>
    <w:p>
      <w:pPr>
        <w:pStyle w:val="935"/>
        <w:spacing w:line="360" w:lineRule="exact"/>
        <w:rPr>
          <w:rFonts w:hint="eastAsia" w:cs="宋体"/>
          <w:color w:val="auto"/>
        </w:rPr>
      </w:pPr>
      <w:r>
        <w:rPr>
          <w:rFonts w:hint="eastAsia" w:cs="宋体"/>
          <w:color w:val="auto"/>
        </w:rPr>
        <w:t xml:space="preserve">中标单位承担改造安装的费用，包含安装和改造费用，并对安装队伍的资质以及安装的质量负责；对产品及安装第三者责任负责。</w:t>
      </w:r>
      <w:r/>
    </w:p>
    <w:p>
      <w:pPr>
        <w:ind w:firstLine="480"/>
        <w:spacing w:line="360" w:lineRule="exact"/>
        <w:rPr>
          <w:rFonts w:cs="宋体"/>
          <w:color w:val="auto"/>
          <w:sz w:val="24"/>
        </w:rPr>
      </w:pPr>
      <w:r>
        <w:rPr>
          <w:rFonts w:hint="eastAsia" w:cs="宋体"/>
          <w:color w:val="auto"/>
          <w:sz w:val="24"/>
        </w:rPr>
        <w:t xml:space="preserve">中标单位编制安装方案，经采购单位及监理方(如有)认可后方可实施。在安装期间，接受采购单位及监理方(如有) 现场督导。</w:t>
      </w:r>
      <w:r/>
    </w:p>
    <w:p>
      <w:pPr>
        <w:pStyle w:val="935"/>
        <w:numPr>
          <w:ilvl w:val="0"/>
          <w:numId w:val="0"/>
        </w:numPr>
        <w:ind w:firstLine="482"/>
        <w:spacing w:line="360" w:lineRule="exact"/>
        <w:rPr>
          <w:rFonts w:hint="eastAsia"/>
          <w:b/>
          <w:bCs/>
          <w:color w:val="auto"/>
        </w:rPr>
      </w:pPr>
      <w:r>
        <w:rPr>
          <w:rFonts w:hint="eastAsia" w:ascii="宋体" w:hAnsi="宋体" w:eastAsia="宋体" w:cs="Times New Roman"/>
          <w:b/>
          <w:bCs/>
          <w:color w:val="auto"/>
          <w:sz w:val="24"/>
          <w:szCs w:val="24"/>
          <w:lang w:val="en-US" w:eastAsia="zh-CN" w:bidi="ar-SA"/>
        </w:rPr>
        <w:t xml:space="preserve">（</w:t>
      </w:r>
      <w:r>
        <w:rPr>
          <w:rFonts w:hint="eastAsia" w:cs="Times New Roman"/>
          <w:b/>
          <w:bCs/>
          <w:color w:val="auto"/>
          <w:sz w:val="24"/>
          <w:szCs w:val="24"/>
          <w:lang w:val="en-US" w:eastAsia="zh-CN" w:bidi="ar-SA"/>
        </w:rPr>
        <w:t xml:space="preserve">4</w:t>
      </w:r>
      <w:r>
        <w:rPr>
          <w:rFonts w:hint="eastAsia" w:ascii="宋体" w:hAnsi="宋体" w:eastAsia="宋体" w:cs="Times New Roman"/>
          <w:b/>
          <w:bCs/>
          <w:color w:val="auto"/>
          <w:sz w:val="24"/>
          <w:szCs w:val="24"/>
          <w:lang w:val="en-US" w:eastAsia="zh-CN" w:bidi="ar-SA"/>
        </w:rPr>
        <w:t xml:space="preserve">）</w:t>
      </w:r>
      <w:r>
        <w:rPr>
          <w:rFonts w:hint="eastAsia"/>
          <w:b/>
          <w:bCs/>
          <w:color w:val="auto"/>
        </w:rPr>
        <w:t xml:space="preserve">技术服务要求</w:t>
      </w:r>
      <w:r/>
    </w:p>
    <w:p>
      <w:pPr>
        <w:pStyle w:val="935"/>
        <w:spacing w:line="360" w:lineRule="exact"/>
        <w:rPr>
          <w:rFonts w:hint="eastAsia" w:cs="宋体"/>
          <w:color w:val="auto"/>
        </w:rPr>
      </w:pPr>
      <w:r>
        <w:rPr>
          <w:rFonts w:hint="eastAsia" w:cs="宋体"/>
          <w:color w:val="auto"/>
        </w:rPr>
        <w:t xml:space="preserve">中标单位需无偿提供每种规格灯具备品，见附件一备品备件清单。</w:t>
      </w:r>
      <w:r/>
    </w:p>
    <w:p>
      <w:pPr>
        <w:pStyle w:val="935"/>
        <w:spacing w:line="360" w:lineRule="exact"/>
        <w:rPr>
          <w:rFonts w:hint="eastAsia" w:ascii="宋体" w:hAnsi="宋体" w:eastAsia="宋体" w:cs="宋体"/>
          <w:color w:val="auto"/>
        </w:rPr>
      </w:pPr>
      <w:r>
        <w:rPr>
          <w:rFonts w:hint="eastAsia" w:ascii="宋体" w:hAnsi="宋体" w:eastAsia="宋体" w:cs="宋体"/>
          <w:color w:val="auto"/>
        </w:rPr>
        <w:t xml:space="preserve">在贰年免费质保期内，如果出现技术问题或故障，中标方应在2小时以内响应，8小时内完成采购方提出的维修要求，如在8小时内不能解决问题，应免费用同样品牌、规格或更高的部件更换到位，如需更换设备或送修，必须在3个工作日内解决，否则采购方将自行采取必要的措施，由此产生的风险和费用由中标方承担。在质保期内，中标单位服务人员配备和设备要求如下：</w:t>
      </w:r>
      <w:r/>
    </w:p>
    <w:p>
      <w:pPr>
        <w:pStyle w:val="935"/>
        <w:spacing w:line="3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①</w:t>
      </w:r>
      <w:r>
        <w:rPr>
          <w:rFonts w:hint="eastAsia" w:ascii="宋体" w:hAnsi="宋体" w:eastAsia="宋体" w:cs="宋体"/>
          <w:color w:val="auto"/>
          <w:highlight w:val="none"/>
        </w:rPr>
        <w:t xml:space="preserve">实行24小时人员值班制，每班需配备人员</w:t>
      </w:r>
      <w:r>
        <w:rPr>
          <w:rFonts w:hint="eastAsia" w:cs="宋体"/>
          <w:color w:val="auto"/>
          <w:highlight w:val="none"/>
          <w:lang w:val="en-US" w:eastAsia="zh-CN"/>
        </w:rPr>
        <w:t xml:space="preserve">6</w:t>
      </w:r>
      <w:r>
        <w:rPr>
          <w:rFonts w:hint="eastAsia" w:ascii="宋体" w:hAnsi="宋体" w:eastAsia="宋体" w:cs="宋体"/>
          <w:color w:val="auto"/>
          <w:highlight w:val="none"/>
        </w:rPr>
        <w:t xml:space="preserve">人（负责人1人、维护工2人）并配备集控巡查人员1人，高压操作电工待命1人</w:t>
      </w:r>
      <w:r>
        <w:rPr>
          <w:rFonts w:hint="eastAsia" w:cs="宋体"/>
          <w:color w:val="auto"/>
          <w:highlight w:val="none"/>
          <w:lang w:eastAsia="zh-CN"/>
        </w:rPr>
        <w:t xml:space="preserve">，高空作业</w:t>
      </w:r>
      <w:r>
        <w:rPr>
          <w:rFonts w:hint="eastAsia" w:cs="宋体"/>
          <w:color w:val="auto"/>
          <w:highlight w:val="none"/>
          <w:lang w:val="en-US" w:eastAsia="zh-CN"/>
        </w:rPr>
        <w:t xml:space="preserve">人员1人</w:t>
      </w:r>
      <w:r>
        <w:rPr>
          <w:rFonts w:hint="eastAsia" w:ascii="宋体" w:hAnsi="宋体" w:eastAsia="宋体" w:cs="宋体"/>
          <w:color w:val="auto"/>
          <w:highlight w:val="none"/>
        </w:rPr>
        <w:t xml:space="preserve">。</w:t>
      </w:r>
      <w:r/>
    </w:p>
    <w:p>
      <w:pPr>
        <w:pStyle w:val="935"/>
        <w:spacing w:line="360" w:lineRule="exact"/>
        <w:rPr>
          <w:rFonts w:hint="eastAsia" w:ascii="宋体" w:hAnsi="宋体" w:eastAsia="宋体" w:cs="宋体"/>
          <w:color w:val="auto"/>
        </w:rPr>
      </w:pPr>
      <w:r>
        <w:rPr>
          <w:rFonts w:hint="eastAsia" w:ascii="宋体" w:hAnsi="宋体" w:eastAsia="宋体" w:cs="宋体"/>
          <w:color w:val="auto"/>
          <w:highlight w:val="none"/>
          <w:lang w:val="en-US" w:eastAsia="zh-CN"/>
        </w:rPr>
        <w:t xml:space="preserve">②</w:t>
      </w:r>
      <w:r>
        <w:rPr>
          <w:rFonts w:hint="eastAsia" w:ascii="宋体" w:hAnsi="宋体" w:eastAsia="宋体" w:cs="宋体"/>
          <w:color w:val="auto"/>
          <w:highlight w:val="none"/>
        </w:rPr>
        <w:t xml:space="preserve">应配备用于本项目设施维护的机械设备，如高空抢修作业车、防撞缓冲车、维修巡检</w:t>
      </w:r>
      <w:r>
        <w:rPr>
          <w:rFonts w:hint="eastAsia" w:ascii="宋体" w:hAnsi="宋体" w:eastAsia="宋体" w:cs="宋体"/>
          <w:color w:val="auto"/>
        </w:rPr>
        <w:t xml:space="preserve">车辆及相应的电工工具等交张家港市市政服务中心管理。</w:t>
      </w:r>
      <w:r/>
    </w:p>
    <w:p>
      <w:pPr>
        <w:pStyle w:val="935"/>
        <w:spacing w:line="360" w:lineRule="exact"/>
        <w:rPr>
          <w:rFonts w:hint="eastAsia" w:ascii="宋体" w:hAnsi="宋体" w:eastAsia="宋体" w:cs="宋体"/>
          <w:color w:val="auto"/>
        </w:rPr>
      </w:pPr>
      <w:r>
        <w:rPr>
          <w:rFonts w:hint="eastAsia" w:ascii="宋体" w:hAnsi="宋体" w:eastAsia="宋体" w:cs="宋体"/>
          <w:color w:val="auto"/>
          <w:lang w:val="en-US" w:eastAsia="zh-CN"/>
        </w:rPr>
        <w:t xml:space="preserve">③</w:t>
      </w:r>
      <w:r>
        <w:rPr>
          <w:rFonts w:hint="eastAsia" w:ascii="宋体" w:hAnsi="宋体" w:eastAsia="宋体" w:cs="宋体"/>
          <w:color w:val="auto"/>
        </w:rPr>
        <w:t xml:space="preserve">中标单位道路照明设施维护工作人员实行岗位责任制，工作人员持证上岗且保持稳定，熟悉本项目道路照明设施供电、控制、线路等相关情况，作业时统一着装并配备必要的安全防护用品，能按操作规程进行维护作业。</w:t>
      </w:r>
      <w:r/>
    </w:p>
    <w:p>
      <w:pPr>
        <w:pStyle w:val="935"/>
        <w:numPr>
          <w:ilvl w:val="0"/>
          <w:numId w:val="0"/>
        </w:numPr>
        <w:ind w:firstLine="482"/>
        <w:spacing w:line="360" w:lineRule="exact"/>
        <w:rPr>
          <w:rFonts w:hint="eastAsia"/>
          <w:b/>
          <w:bCs/>
          <w:color w:val="auto"/>
        </w:rPr>
      </w:pPr>
      <w:r>
        <w:rPr>
          <w:rFonts w:hint="eastAsia" w:ascii="宋体" w:hAnsi="宋体" w:eastAsia="宋体" w:cs="Times New Roman"/>
          <w:b/>
          <w:bCs/>
          <w:color w:val="auto"/>
          <w:sz w:val="24"/>
          <w:szCs w:val="24"/>
          <w:lang w:val="en-US" w:eastAsia="zh-CN" w:bidi="ar-SA"/>
        </w:rPr>
        <w:t xml:space="preserve">（</w:t>
      </w:r>
      <w:r>
        <w:rPr>
          <w:rFonts w:hint="eastAsia" w:cs="Times New Roman"/>
          <w:b/>
          <w:bCs/>
          <w:color w:val="auto"/>
          <w:sz w:val="24"/>
          <w:szCs w:val="24"/>
          <w:lang w:val="en-US" w:eastAsia="zh-CN" w:bidi="ar-SA"/>
        </w:rPr>
        <w:t xml:space="preserve">5</w:t>
      </w:r>
      <w:r>
        <w:rPr>
          <w:rFonts w:hint="eastAsia" w:ascii="宋体" w:hAnsi="宋体" w:eastAsia="宋体" w:cs="Times New Roman"/>
          <w:b/>
          <w:bCs/>
          <w:color w:val="auto"/>
          <w:sz w:val="24"/>
          <w:szCs w:val="24"/>
          <w:lang w:val="en-US" w:eastAsia="zh-CN" w:bidi="ar-SA"/>
        </w:rPr>
        <w:t xml:space="preserve">）</w:t>
      </w:r>
      <w:r>
        <w:rPr>
          <w:rFonts w:hint="eastAsia"/>
          <w:b/>
          <w:bCs/>
          <w:color w:val="auto"/>
        </w:rPr>
        <w:t xml:space="preserve">质保期内其他要求</w:t>
      </w:r>
      <w:r/>
    </w:p>
    <w:p>
      <w:pPr>
        <w:pStyle w:val="1137"/>
        <w:ind w:firstLine="480"/>
        <w:spacing w:line="360" w:lineRule="exact"/>
        <w:rPr>
          <w:rFonts w:hint="eastAsia" w:ascii="宋体" w:hAnsi="宋体" w:eastAsia="宋体" w:cs="宋体"/>
          <w:color w:val="auto"/>
        </w:rPr>
      </w:pPr>
      <w:r>
        <w:rPr>
          <w:rFonts w:ascii="宋体" w:hAnsi="宋体" w:eastAsia="宋体" w:cs="宋体"/>
          <w:color w:val="auto"/>
        </w:rPr>
        <w:t xml:space="preserve">在施工期及</w:t>
      </w:r>
      <w:r>
        <w:rPr>
          <w:rFonts w:hint="eastAsia" w:ascii="宋体" w:hAnsi="宋体" w:eastAsia="宋体" w:cs="宋体"/>
          <w:color w:val="auto"/>
        </w:rPr>
        <w:t xml:space="preserve">质保期</w:t>
      </w:r>
      <w:r>
        <w:rPr>
          <w:rFonts w:ascii="宋体" w:hAnsi="宋体" w:eastAsia="宋体" w:cs="宋体"/>
          <w:color w:val="auto"/>
        </w:rPr>
        <w:t xml:space="preserve">内，如扰民引起的投诉或12345、数字化城管派单，接到投诉单后应及时处理，未在规定时间内处理完毕的，每起罚款5000元；</w:t>
      </w:r>
      <w:r/>
    </w:p>
    <w:p>
      <w:pPr>
        <w:pStyle w:val="1137"/>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质保期</w:t>
      </w:r>
      <w:r>
        <w:rPr>
          <w:rFonts w:ascii="宋体" w:hAnsi="宋体" w:eastAsia="宋体" w:cs="宋体"/>
          <w:color w:val="auto"/>
        </w:rPr>
        <w:t xml:space="preserve">内中标人每周需派人巡查维修，确保路灯设施亮灯率达到99%，招标人每周定期或不定期检查（亮灯率低于99%每低1%扣3000元/次）</w:t>
      </w:r>
      <w:r/>
    </w:p>
    <w:p>
      <w:pPr>
        <w:pStyle w:val="1137"/>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质保期</w:t>
      </w:r>
      <w:r>
        <w:rPr>
          <w:rFonts w:ascii="宋体" w:hAnsi="宋体" w:eastAsia="宋体" w:cs="宋体"/>
          <w:color w:val="auto"/>
        </w:rPr>
        <w:t xml:space="preserve">内招标人每次抽查发现中标人无维修人员在岗维护的扣1000元/次。</w:t>
      </w:r>
      <w:r/>
    </w:p>
    <w:p>
      <w:pPr>
        <w:pStyle w:val="1137"/>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质保期</w:t>
      </w:r>
      <w:r>
        <w:rPr>
          <w:rFonts w:ascii="宋体" w:hAnsi="宋体" w:eastAsia="宋体" w:cs="宋体"/>
          <w:color w:val="auto"/>
        </w:rPr>
        <w:t xml:space="preserve">内中标人设备故障造成招标方路灯设施大面积熄灯，二小时内没有处理完毕的，扣10000元/次，质保期内中标人需派人巡查设施完好情况。</w:t>
      </w:r>
      <w:r/>
    </w:p>
    <w:p>
      <w:pPr>
        <w:pStyle w:val="1137"/>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质保期</w:t>
      </w:r>
      <w:r>
        <w:rPr>
          <w:rFonts w:ascii="宋体" w:hAnsi="宋体" w:eastAsia="宋体" w:cs="宋体"/>
          <w:color w:val="auto"/>
        </w:rPr>
        <w:t xml:space="preserve">内处理交通事故造成路灯设施损坏的必须在接到招标人或者12345</w:t>
      </w:r>
      <w:r>
        <w:rPr>
          <w:rFonts w:hint="eastAsia" w:ascii="宋体" w:hAnsi="宋体" w:eastAsia="宋体" w:cs="宋体"/>
          <w:color w:val="auto"/>
        </w:rPr>
        <w:t xml:space="preserve">/110</w:t>
      </w:r>
      <w:r>
        <w:rPr>
          <w:rFonts w:ascii="宋体" w:hAnsi="宋体" w:eastAsia="宋体" w:cs="宋体"/>
          <w:color w:val="auto"/>
        </w:rPr>
        <w:t xml:space="preserve">通知1小时内赶到事故现场处理，</w:t>
      </w:r>
      <w:r>
        <w:rPr>
          <w:rFonts w:hint="eastAsia" w:ascii="宋体" w:hAnsi="宋体" w:eastAsia="宋体" w:cs="宋体"/>
          <w:color w:val="auto"/>
        </w:rPr>
        <w:t xml:space="preserve">中标方配合招标方处理路灯撞坏事宜</w:t>
      </w:r>
      <w:r>
        <w:rPr>
          <w:rFonts w:ascii="宋体" w:hAnsi="宋体" w:eastAsia="宋体" w:cs="宋体"/>
          <w:color w:val="auto"/>
        </w:rPr>
        <w:t xml:space="preserve">超出一周上报的视为中标人巡查不力，所发生的费用由中标人承担。</w:t>
      </w:r>
      <w:r/>
    </w:p>
    <w:p>
      <w:pPr>
        <w:pStyle w:val="1137"/>
        <w:ind w:firstLine="480"/>
        <w:spacing w:line="360" w:lineRule="exact"/>
        <w:rPr>
          <w:rFonts w:hint="eastAsia" w:ascii="宋体" w:hAnsi="宋体" w:eastAsia="宋体" w:cs="宋体"/>
          <w:color w:val="auto"/>
        </w:rPr>
      </w:pPr>
      <w:r>
        <w:rPr>
          <w:rFonts w:ascii="宋体" w:hAnsi="宋体" w:eastAsia="宋体" w:cs="宋体"/>
          <w:color w:val="auto"/>
        </w:rPr>
        <w:t xml:space="preserve">施工期内应确保未拆除路灯设施正常亮灯，造成大面积熄灯故障2小时后不能恢复正常亮灯的，扣5000元/次。</w:t>
      </w:r>
      <w:r/>
    </w:p>
    <w:p>
      <w:pPr>
        <w:pStyle w:val="1137"/>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质保期</w:t>
      </w:r>
      <w:r>
        <w:rPr>
          <w:rFonts w:ascii="宋体" w:hAnsi="宋体" w:eastAsia="宋体" w:cs="宋体"/>
          <w:color w:val="auto"/>
        </w:rPr>
        <w:t xml:space="preserve">内招标人在日常巡查中发现的问题中标人需及时修复，如到下次抽检，问题仍未解决，每发现一处罚款10000元；如超出规定的期限仍未修复（以发包方通知修复的时间为准），招标人有权委托他人维修，所发生的费用从中标人质保金中扣除。</w:t>
      </w:r>
      <w:r/>
    </w:p>
    <w:p>
      <w:pPr>
        <w:pStyle w:val="1137"/>
        <w:ind w:firstLine="480"/>
        <w:spacing w:line="360" w:lineRule="exact"/>
        <w:rPr>
          <w:rFonts w:hint="eastAsia" w:ascii="宋体" w:hAnsi="宋体" w:eastAsia="宋体" w:cs="宋体"/>
          <w:color w:val="auto"/>
        </w:rPr>
      </w:pPr>
      <w:r>
        <w:rPr>
          <w:rFonts w:ascii="宋体" w:hAnsi="宋体" w:eastAsia="宋体" w:cs="宋体"/>
          <w:color w:val="auto"/>
        </w:rPr>
        <w:t xml:space="preserve">在</w:t>
      </w:r>
      <w:r>
        <w:rPr>
          <w:rFonts w:hint="eastAsia" w:ascii="宋体" w:hAnsi="宋体" w:eastAsia="宋体" w:cs="宋体"/>
          <w:color w:val="auto"/>
        </w:rPr>
        <w:t xml:space="preserve">质保期</w:t>
      </w:r>
      <w:r>
        <w:rPr>
          <w:rFonts w:ascii="宋体" w:hAnsi="宋体" w:eastAsia="宋体" w:cs="宋体"/>
          <w:color w:val="auto"/>
        </w:rPr>
        <w:t xml:space="preserve">内，如遇到重大节日、活动，要配合检查，做好保障工作，中标人在接到招标人书面通知后应积极在规定的时间内响应，</w:t>
      </w:r>
      <w:r>
        <w:rPr>
          <w:rFonts w:hint="eastAsia" w:ascii="宋体" w:hAnsi="宋体" w:eastAsia="宋体" w:cs="宋体"/>
          <w:color w:val="auto"/>
        </w:rPr>
        <w:t xml:space="preserve">配</w:t>
      </w:r>
      <w:r>
        <w:rPr>
          <w:rFonts w:ascii="宋体" w:hAnsi="宋体" w:eastAsia="宋体" w:cs="宋体"/>
          <w:color w:val="auto"/>
        </w:rPr>
        <w:t xml:space="preserve">合做好各项应急工作，如中标人在接到招标人的书面通知后未响应，招标人有权委托他人维护，所发生的费用从中标人质保金中扣除。</w:t>
      </w:r>
      <w:r/>
    </w:p>
    <w:p>
      <w:pPr>
        <w:pStyle w:val="1137"/>
        <w:ind w:firstLine="480"/>
        <w:spacing w:line="360" w:lineRule="exact"/>
        <w:rPr>
          <w:rFonts w:hint="eastAsia" w:ascii="宋体" w:hAnsi="宋体" w:eastAsia="宋体" w:cs="宋体"/>
          <w:color w:val="auto"/>
        </w:rPr>
      </w:pPr>
      <w:r>
        <w:rPr>
          <w:rFonts w:ascii="宋体" w:hAnsi="宋体" w:eastAsia="宋体" w:cs="宋体"/>
          <w:color w:val="auto"/>
        </w:rPr>
        <w:t xml:space="preserve">遇到台风等恶劣天气，要提前检查，维护安全。中标人在接到招标人书面通知后应积极在规定的时间内响应，配合做好各项应急工作，如中标人在接到招标人的书面通知后未响应，招标人有权委托他人维护，所发生的费用从中标人质保金中扣除。</w:t>
      </w:r>
      <w:r/>
    </w:p>
    <w:p>
      <w:pPr>
        <w:pStyle w:val="1137"/>
        <w:ind w:firstLine="480"/>
        <w:spacing w:line="360" w:lineRule="exact"/>
        <w:rPr>
          <w:rFonts w:hint="eastAsia" w:ascii="宋体" w:hAnsi="宋体" w:eastAsia="宋体" w:cs="宋体"/>
          <w:color w:val="auto"/>
        </w:rPr>
      </w:pPr>
      <w:r>
        <w:rPr>
          <w:rFonts w:ascii="宋体" w:hAnsi="宋体" w:eastAsia="宋体" w:cs="宋体"/>
          <w:color w:val="auto"/>
        </w:rPr>
        <w:t xml:space="preserve">质保期满一个月内与招标人办理路灯设施移交手续，确保路灯设施亮灯率达到100%，确保路灯设施完好率达到100%，如中标人在接到招标人的书面通知后未响应，招标人有权委托他人维护，所发生的费用从中标人质保金中扣除。</w:t>
      </w:r>
      <w:r/>
    </w:p>
    <w:p>
      <w:pPr>
        <w:ind w:firstLine="480"/>
        <w:spacing w:line="360" w:lineRule="exact"/>
        <w:rPr>
          <w:rFonts w:hint="eastAsia" w:ascii="宋体" w:hAnsi="宋体" w:cs="宋体"/>
          <w:color w:val="auto"/>
          <w:sz w:val="24"/>
        </w:rPr>
      </w:pPr>
      <w:r>
        <w:rPr>
          <w:rFonts w:hint="eastAsia" w:ascii="宋体" w:hAnsi="宋体" w:cs="宋体"/>
          <w:color w:val="auto"/>
          <w:sz w:val="24"/>
        </w:rPr>
        <w:t xml:space="preserve">施工期间应避开交通高峰时段（7:00~9：00，16:30~18:30），如由于施工造成的交通堵塞及居民出入口障碍，中标人应采取有效的安全保护措施，同时服从交警的临时交通管控，错峰施工时的相关费用由中标单位综合考虑。</w:t>
      </w:r>
      <w:r/>
    </w:p>
    <w:p>
      <w:pPr>
        <w:pStyle w:val="935"/>
        <w:numPr>
          <w:ilvl w:val="0"/>
          <w:numId w:val="0"/>
        </w:numPr>
        <w:ind w:firstLine="482"/>
        <w:spacing w:line="360" w:lineRule="exact"/>
        <w:rPr>
          <w:rFonts w:hint="eastAsia"/>
          <w:b/>
          <w:bCs/>
          <w:color w:val="auto"/>
        </w:rPr>
      </w:pPr>
      <w:r>
        <w:rPr>
          <w:rFonts w:hint="eastAsia" w:ascii="宋体" w:hAnsi="宋体" w:eastAsia="宋体" w:cs="Times New Roman"/>
          <w:b/>
          <w:bCs/>
          <w:color w:val="auto"/>
          <w:sz w:val="24"/>
          <w:szCs w:val="24"/>
          <w:lang w:val="en-US" w:eastAsia="zh-CN" w:bidi="ar-SA"/>
        </w:rPr>
        <w:t xml:space="preserve">（</w:t>
      </w:r>
      <w:r>
        <w:rPr>
          <w:rFonts w:hint="eastAsia" w:cs="Times New Roman"/>
          <w:b/>
          <w:bCs/>
          <w:color w:val="auto"/>
          <w:sz w:val="24"/>
          <w:szCs w:val="24"/>
          <w:lang w:val="en-US" w:eastAsia="zh-CN" w:bidi="ar-SA"/>
        </w:rPr>
        <w:t xml:space="preserve">6</w:t>
      </w:r>
      <w:r>
        <w:rPr>
          <w:rFonts w:hint="eastAsia" w:ascii="宋体" w:hAnsi="宋体" w:eastAsia="宋体" w:cs="Times New Roman"/>
          <w:b/>
          <w:bCs/>
          <w:color w:val="auto"/>
          <w:sz w:val="24"/>
          <w:szCs w:val="24"/>
          <w:lang w:val="en-US" w:eastAsia="zh-CN" w:bidi="ar-SA"/>
        </w:rPr>
        <w:t xml:space="preserve">）</w:t>
      </w:r>
      <w:r>
        <w:rPr>
          <w:rFonts w:hint="eastAsia"/>
          <w:b/>
          <w:bCs/>
          <w:color w:val="auto"/>
        </w:rPr>
        <w:t xml:space="preserve">验收标准</w:t>
      </w:r>
      <w:r/>
    </w:p>
    <w:p>
      <w:pPr>
        <w:ind w:firstLine="480"/>
        <w:jc w:val="left"/>
        <w:spacing w:line="360" w:lineRule="exact"/>
        <w:widowControl/>
        <w:rPr>
          <w:rFonts w:hint="eastAsia" w:ascii="宋体" w:hAnsi="宋体" w:cs="宋体"/>
          <w:color w:val="auto"/>
          <w:sz w:val="24"/>
        </w:rPr>
      </w:pPr>
      <w:r>
        <w:rPr>
          <w:rFonts w:hint="eastAsia" w:ascii="宋体" w:hAnsi="宋体" w:cs="宋体"/>
          <w:color w:val="auto"/>
          <w:sz w:val="24"/>
        </w:rPr>
        <w:t xml:space="preserve">本项目采取一次性整体验收方式。</w:t>
      </w:r>
      <w:r/>
    </w:p>
    <w:p>
      <w:pPr>
        <w:ind w:firstLine="480"/>
        <w:jc w:val="left"/>
        <w:spacing w:line="360" w:lineRule="exact"/>
        <w:widowControl/>
        <w:rPr>
          <w:rFonts w:hint="eastAsia" w:ascii="宋体" w:hAnsi="宋体" w:cs="宋体"/>
          <w:color w:val="auto"/>
          <w:sz w:val="24"/>
        </w:rPr>
      </w:pPr>
      <w:r>
        <w:rPr>
          <w:rFonts w:hint="eastAsia" w:ascii="宋体" w:hAnsi="宋体" w:cs="宋体"/>
          <w:color w:val="auto"/>
          <w:sz w:val="24"/>
        </w:rPr>
        <w:t xml:space="preserve">验收标准根据最新国家城市快速路标准、招标文件和投标文件执行。</w:t>
      </w:r>
      <w:r/>
    </w:p>
    <w:p>
      <w:pPr>
        <w:ind w:firstLine="480"/>
        <w:jc w:val="left"/>
        <w:spacing w:line="360" w:lineRule="exact"/>
        <w:widowControl/>
        <w:rPr>
          <w:rFonts w:hint="eastAsia" w:ascii="宋体" w:hAnsi="宋体" w:cs="宋体"/>
          <w:color w:val="auto"/>
          <w:sz w:val="24"/>
        </w:rPr>
      </w:pPr>
      <w:r>
        <w:rPr>
          <w:rFonts w:hint="eastAsia" w:ascii="宋体" w:hAnsi="宋体" w:cs="宋体"/>
          <w:color w:val="auto"/>
          <w:sz w:val="24"/>
        </w:rPr>
        <w:t xml:space="preserve">验收由采购方指定第三方检测机构对灯具功率、道路照度、亮度各项指标进行测试现场抽查，检测未达到要求的，复检的费用由中标人负责。中标人应及时进行整改。 如改造达不到最新国家标准、招标文件要求、投标文件，投标人应及时进行整改，所有检测费用均由中标单位负责，整改合格后，由第三方检测机构出具《道路照明检测报告》，中标方依据合格报告提交项目竣工报告，采购方收到项目竣工报告后30天内组织一次性整体验收。</w:t>
      </w:r>
      <w:r/>
    </w:p>
    <w:p>
      <w:pPr>
        <w:ind w:firstLine="480"/>
        <w:jc w:val="left"/>
        <w:spacing w:line="360" w:lineRule="exact"/>
        <w:widowControl/>
        <w:rPr>
          <w:rFonts w:hint="eastAsia" w:ascii="宋体" w:hAnsi="宋体" w:cs="宋体"/>
          <w:color w:val="auto"/>
          <w:sz w:val="24"/>
        </w:rPr>
      </w:pPr>
      <w:r>
        <w:rPr>
          <w:rFonts w:hint="eastAsia" w:ascii="宋体" w:hAnsi="宋体" w:cs="宋体"/>
          <w:color w:val="auto"/>
          <w:sz w:val="24"/>
        </w:rPr>
        <w:t xml:space="preserve">施工安装按照《城市道路照明施工及验收规程》(CJJ89-2012)对投标人施工部分进行验收，竣工验收时要求亮灯率达到100%，完好率达到100%。 </w:t>
      </w:r>
      <w:r/>
    </w:p>
    <w:p>
      <w:pPr>
        <w:ind w:firstLine="480"/>
        <w:jc w:val="left"/>
        <w:spacing w:line="360" w:lineRule="exact"/>
        <w:widowControl/>
        <w:rPr>
          <w:rFonts w:hint="eastAsia" w:ascii="宋体" w:hAnsi="宋体" w:cs="宋体"/>
          <w:color w:val="auto"/>
          <w:sz w:val="24"/>
        </w:rPr>
      </w:pPr>
      <w:r>
        <w:rPr>
          <w:rFonts w:hint="eastAsia" w:ascii="宋体" w:hAnsi="宋体" w:cs="宋体"/>
          <w:color w:val="auto"/>
          <w:sz w:val="24"/>
        </w:rPr>
        <w:t xml:space="preserve">道路照明各项指标按照《城市道路照明设计标准》（CJJ45-2015）要求进行测量验收。</w:t>
      </w:r>
      <w:r/>
    </w:p>
    <w:p>
      <w:pPr>
        <w:ind w:firstLine="480"/>
        <w:spacing w:line="360" w:lineRule="exact"/>
        <w:rPr>
          <w:rFonts w:hint="eastAsia" w:ascii="宋体" w:hAnsi="宋体" w:cs="宋体"/>
          <w:color w:val="auto"/>
          <w:sz w:val="24"/>
        </w:rPr>
      </w:pPr>
      <w:r>
        <w:rPr>
          <w:rFonts w:hint="eastAsia" w:ascii="宋体" w:hAnsi="宋体" w:cs="宋体"/>
          <w:color w:val="auto"/>
          <w:sz w:val="24"/>
        </w:rPr>
        <w:t xml:space="preserve">验收方法：第三方检测机构现场抽查并出具检测报告。</w:t>
      </w:r>
      <w:r/>
    </w:p>
    <w:p>
      <w:pPr>
        <w:pStyle w:val="935"/>
        <w:numPr>
          <w:ilvl w:val="0"/>
          <w:numId w:val="0"/>
        </w:numPr>
        <w:ind w:firstLine="482"/>
        <w:spacing w:line="360" w:lineRule="exact"/>
        <w:rPr>
          <w:rFonts w:hint="eastAsia"/>
          <w:b/>
          <w:bCs/>
          <w:color w:val="auto"/>
        </w:rPr>
      </w:pPr>
      <w:r>
        <w:rPr>
          <w:rFonts w:hint="eastAsia" w:ascii="宋体" w:hAnsi="宋体" w:eastAsia="宋体" w:cs="Times New Roman"/>
          <w:b/>
          <w:bCs/>
          <w:color w:val="auto"/>
          <w:sz w:val="24"/>
          <w:szCs w:val="24"/>
          <w:lang w:val="en-US" w:eastAsia="zh-CN" w:bidi="ar-SA"/>
        </w:rPr>
        <w:t xml:space="preserve">（</w:t>
      </w:r>
      <w:r>
        <w:rPr>
          <w:rFonts w:hint="eastAsia" w:cs="Times New Roman"/>
          <w:b/>
          <w:bCs/>
          <w:color w:val="auto"/>
          <w:sz w:val="24"/>
          <w:szCs w:val="24"/>
          <w:lang w:val="en-US" w:eastAsia="zh-CN" w:bidi="ar-SA"/>
        </w:rPr>
        <w:t xml:space="preserve">7</w:t>
      </w:r>
      <w:r>
        <w:rPr>
          <w:rFonts w:hint="eastAsia" w:ascii="宋体" w:hAnsi="宋体" w:eastAsia="宋体" w:cs="Times New Roman"/>
          <w:b/>
          <w:bCs/>
          <w:color w:val="auto"/>
          <w:sz w:val="24"/>
          <w:szCs w:val="24"/>
          <w:lang w:val="en-US" w:eastAsia="zh-CN" w:bidi="ar-SA"/>
        </w:rPr>
        <w:t xml:space="preserve">）</w:t>
      </w:r>
      <w:r>
        <w:rPr>
          <w:rFonts w:hint="eastAsia"/>
          <w:b/>
          <w:bCs/>
          <w:color w:val="auto"/>
        </w:rPr>
        <w:t xml:space="preserve">方案</w:t>
      </w:r>
      <w:r>
        <w:rPr>
          <w:rFonts w:hint="eastAsia"/>
          <w:b/>
          <w:bCs/>
          <w:color w:val="auto"/>
          <w:lang w:val="en-US" w:eastAsia="zh-CN"/>
        </w:rPr>
        <w:t xml:space="preserve">等其他</w:t>
      </w:r>
      <w:r>
        <w:rPr>
          <w:rFonts w:hint="eastAsia"/>
          <w:b/>
          <w:bCs/>
          <w:color w:val="auto"/>
        </w:rPr>
        <w:t xml:space="preserve">要求</w:t>
      </w:r>
      <w:r/>
    </w:p>
    <w:p>
      <w:pPr>
        <w:ind w:firstLine="480"/>
        <w:jc w:val="left"/>
        <w:spacing w:line="360" w:lineRule="exact"/>
        <w:rPr>
          <w:rFonts w:hint="eastAsia" w:ascii="宋体" w:hAnsi="宋体" w:cs="宋体"/>
          <w:color w:val="auto"/>
          <w:sz w:val="24"/>
        </w:rPr>
      </w:pPr>
      <w:r>
        <w:rPr>
          <w:rFonts w:hint="eastAsia" w:ascii="宋体" w:hAnsi="宋体" w:cs="宋体"/>
          <w:color w:val="auto"/>
          <w:sz w:val="24"/>
        </w:rPr>
        <w:t xml:space="preserve">投标单位根据本项目需求提供项目实施方案（方案内容包括但不限于对本项目的理解、重点难点分析、与其他专业对接、预防措施及解决方案等方面）项目实施方案。</w:t>
      </w:r>
      <w:r/>
    </w:p>
    <w:p>
      <w:pPr>
        <w:pStyle w:val="1093"/>
        <w:ind w:firstLine="480"/>
        <w:spacing w:line="360" w:lineRule="exact"/>
        <w:rPr>
          <w:rFonts w:hint="eastAsia" w:ascii="宋体" w:hAnsi="宋体" w:cs="宋体"/>
          <w:color w:val="auto"/>
          <w:sz w:val="24"/>
        </w:rPr>
      </w:pPr>
      <w:r>
        <w:rPr>
          <w:rFonts w:hint="eastAsia" w:ascii="宋体" w:hAnsi="宋体" w:cs="宋体"/>
          <w:color w:val="auto"/>
          <w:sz w:val="24"/>
        </w:rPr>
        <w:t xml:space="preserve">投标单位针对根据本项目需求提供质量保证措施方案，方案包括但不限于质量管理体系、质量控制（质量控制方案涵盖灯具、灯杆、材料、安装等质量控制的所有关键点）、质控人员配备、材料进场质控等方面。</w:t>
      </w:r>
      <w:r/>
    </w:p>
    <w:p>
      <w:pPr>
        <w:pStyle w:val="1093"/>
        <w:ind w:firstLine="480"/>
        <w:spacing w:line="360" w:lineRule="exact"/>
        <w:rPr>
          <w:rFonts w:hint="eastAsia" w:ascii="宋体" w:hAnsi="宋体" w:cs="宋体"/>
          <w:color w:val="auto"/>
          <w:sz w:val="24"/>
        </w:rPr>
      </w:pPr>
      <w:r>
        <w:rPr>
          <w:rFonts w:hint="eastAsia" w:ascii="宋体" w:hAnsi="宋体" w:cs="宋体"/>
          <w:color w:val="auto"/>
          <w:sz w:val="24"/>
        </w:rPr>
        <w:t xml:space="preserve">投标单位根据本项目需求提供应急保障方案（应急保障方案包括但不限于人员及团队保障、应急维护保障、应急供电到位保障、应急物资保障等方面）。</w:t>
      </w:r>
      <w:r/>
    </w:p>
    <w:p>
      <w:pPr>
        <w:ind w:firstLine="480"/>
        <w:spacing w:line="360" w:lineRule="exact"/>
        <w:rPr>
          <w:rFonts w:hint="eastAsia" w:ascii="宋体" w:hAnsi="宋体" w:cs="宋体"/>
          <w:color w:val="auto"/>
          <w:sz w:val="24"/>
        </w:rPr>
      </w:pPr>
      <w:r>
        <w:rPr>
          <w:rFonts w:hint="eastAsia" w:ascii="宋体" w:hAnsi="宋体" w:cs="宋体"/>
          <w:color w:val="auto"/>
          <w:sz w:val="24"/>
        </w:rPr>
        <w:t xml:space="preserve">投标</w:t>
      </w:r>
      <w:r>
        <w:rPr>
          <w:rFonts w:hint="eastAsia" w:ascii="宋体" w:hAnsi="宋体" w:cs="宋体"/>
          <w:color w:val="auto"/>
          <w:sz w:val="24"/>
          <w:lang w:val="en-US" w:eastAsia="zh-CN"/>
        </w:rPr>
        <w:t xml:space="preserve">单位</w:t>
      </w:r>
      <w:r>
        <w:rPr>
          <w:rFonts w:hint="eastAsia" w:ascii="宋体" w:hAnsi="宋体" w:cs="宋体"/>
          <w:color w:val="auto"/>
          <w:sz w:val="24"/>
        </w:rPr>
        <w:t xml:space="preserve">根据本项目需求提供售后服务方案，方案内应包含但不限于：人员配置、响应时间、服务备品备件配置、服务的具体工作方案及计划、维保内容及范围详细说明。</w:t>
      </w:r>
      <w:r/>
    </w:p>
    <w:p>
      <w:pPr>
        <w:ind w:firstLine="480"/>
        <w:spacing w:line="360" w:lineRule="exact"/>
        <w:rPr>
          <w:rFonts w:hint="eastAsia" w:ascii="宋体" w:hAnsi="宋体" w:cs="宋体"/>
          <w:color w:val="auto"/>
          <w:sz w:val="24"/>
        </w:rPr>
      </w:pPr>
      <w:r>
        <w:rPr>
          <w:rFonts w:hint="eastAsia" w:ascii="宋体" w:hAnsi="宋体" w:cs="宋体"/>
          <w:color w:val="auto"/>
          <w:sz w:val="24"/>
        </w:rPr>
        <w:t xml:space="preserve">投标单位提供有效期内的ISO9001质量管理体系认证证书、ISO14001环境管理体系认证证书和ISO27001信息安全管理体系认证证书。</w:t>
      </w:r>
      <w:r/>
    </w:p>
    <w:p>
      <w:pPr>
        <w:ind w:firstLine="480"/>
        <w:spacing w:line="360" w:lineRule="exact"/>
        <w:rPr>
          <w:rFonts w:hint="eastAsia" w:ascii="宋体" w:hAnsi="宋体" w:cs="宋体"/>
          <w:color w:val="auto"/>
          <w:sz w:val="24"/>
        </w:rPr>
      </w:pPr>
      <w:r>
        <w:rPr>
          <w:rFonts w:hint="eastAsia" w:ascii="宋体" w:hAnsi="宋体" w:cs="宋体"/>
          <w:color w:val="auto"/>
          <w:sz w:val="24"/>
        </w:rPr>
        <w:t xml:space="preserve">投标人2023年以来（以签订日期为准），具有类似项目业绩。</w:t>
      </w:r>
      <w:r/>
    </w:p>
    <w:p>
      <w:pPr>
        <w:pStyle w:val="935"/>
        <w:rPr>
          <w:rFonts w:hint="eastAsia"/>
          <w:color w:val="auto"/>
        </w:rPr>
      </w:pPr>
      <w:r>
        <w:rPr>
          <w:rFonts w:hint="eastAsia"/>
          <w:color w:val="auto"/>
        </w:rPr>
      </w:r>
      <w:r/>
    </w:p>
    <w:p>
      <w:pPr>
        <w:numPr>
          <w:ilvl w:val="0"/>
          <w:numId w:val="12"/>
        </w:numPr>
        <w:ind w:firstLine="0"/>
        <w:spacing w:before="120" w:after="120"/>
        <w:widowControl/>
        <w:rPr>
          <w:rFonts w:hint="eastAsia" w:ascii="宋体" w:hAnsi="宋体" w:cs="宋体"/>
          <w:b/>
          <w:color w:val="auto"/>
          <w:sz w:val="32"/>
          <w:szCs w:val="32"/>
        </w:rPr>
        <w:outlineLvl w:val="1"/>
      </w:pPr>
      <w:r/>
      <w:bookmarkStart w:id="186" w:name="_Toc19243"/>
      <w:r/>
      <w:bookmarkStart w:id="187" w:name="_Toc6370"/>
      <w:r/>
      <w:bookmarkStart w:id="188" w:name="_Toc8533"/>
      <w:r>
        <w:rPr>
          <w:rFonts w:hint="eastAsia" w:ascii="宋体" w:hAnsi="宋体" w:cs="宋体"/>
          <w:b/>
          <w:color w:val="auto"/>
          <w:sz w:val="28"/>
          <w:szCs w:val="28"/>
        </w:rPr>
        <w:t xml:space="preserve">商务条款</w:t>
      </w:r>
      <w:bookmarkEnd w:id="186"/>
      <w:r/>
      <w:bookmarkEnd w:id="187"/>
      <w:r/>
      <w:bookmarkEnd w:id="188"/>
      <w:r/>
      <w:r/>
    </w:p>
    <w:p>
      <w:pPr>
        <w:pStyle w:val="1137"/>
        <w:ind w:firstLine="500"/>
        <w:spacing w:line="440" w:lineRule="exact"/>
        <w:rPr>
          <w:rStyle w:val="1163"/>
          <w:rFonts w:hint="eastAsia" w:ascii="宋体" w:hAnsi="宋体" w:eastAsia="宋体" w:cs="宋体"/>
          <w:b/>
          <w:color w:val="auto"/>
          <w:spacing w:val="7"/>
          <w:sz w:val="24"/>
          <w:szCs w:val="24"/>
        </w:rPr>
      </w:pPr>
      <w:r>
        <w:rPr>
          <w:rStyle w:val="1163"/>
          <w:rFonts w:ascii="宋体" w:hAnsi="宋体" w:eastAsia="宋体" w:cs="宋体"/>
          <w:b/>
          <w:color w:val="auto"/>
          <w:spacing w:val="7"/>
          <w:sz w:val="24"/>
          <w:szCs w:val="24"/>
        </w:rPr>
        <w:t xml:space="preserve">1 质保期</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hint="eastAsia" w:ascii="宋体" w:hAnsi="宋体" w:eastAsia="宋体" w:cs="宋体"/>
          <w:i/>
          <w:color w:val="auto"/>
          <w:spacing w:val="7"/>
          <w:sz w:val="24"/>
          <w:szCs w:val="24"/>
          <w:u w:val="single"/>
        </w:rPr>
        <w:t xml:space="preserve">免费质保期（以验收通过之日起计算）2年，在质保期内提供免费维护和保障。供应商应以优良的服务态度，出现故障维修人员须及时到场。</w:t>
      </w:r>
      <w:r/>
    </w:p>
    <w:p>
      <w:pPr>
        <w:pStyle w:val="1137"/>
        <w:ind w:firstLine="500"/>
        <w:spacing w:line="440" w:lineRule="exact"/>
        <w:rPr>
          <w:rStyle w:val="1163"/>
          <w:rFonts w:hint="eastAsia" w:ascii="宋体" w:hAnsi="宋体" w:eastAsia="宋体" w:cs="宋体"/>
          <w:b/>
          <w:color w:val="auto"/>
          <w:spacing w:val="7"/>
          <w:sz w:val="24"/>
          <w:szCs w:val="24"/>
        </w:rPr>
      </w:pPr>
      <w:r>
        <w:rPr>
          <w:rStyle w:val="1163"/>
          <w:rFonts w:ascii="宋体" w:hAnsi="宋体" w:eastAsia="宋体" w:cs="宋体"/>
          <w:b/>
          <w:color w:val="auto"/>
          <w:spacing w:val="7"/>
          <w:sz w:val="24"/>
          <w:szCs w:val="24"/>
        </w:rPr>
        <w:t xml:space="preserve">2 售后技术服务要求</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2.1、售后技术要求服务</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（1）</w:t>
      </w:r>
      <w:r>
        <w:rPr>
          <w:rStyle w:val="1163"/>
          <w:rFonts w:hint="eastAsia" w:ascii="宋体" w:hAnsi="宋体" w:eastAsia="宋体" w:cs="宋体"/>
          <w:i/>
          <w:color w:val="auto"/>
          <w:spacing w:val="7"/>
          <w:sz w:val="24"/>
          <w:szCs w:val="24"/>
          <w:u w:val="single"/>
        </w:rPr>
        <w:t xml:space="preserve">供应商</w:t>
      </w:r>
      <w:r>
        <w:rPr>
          <w:rStyle w:val="1163"/>
          <w:rFonts w:ascii="宋体" w:hAnsi="宋体" w:eastAsia="宋体" w:cs="宋体"/>
          <w:i/>
          <w:color w:val="auto"/>
          <w:spacing w:val="7"/>
          <w:sz w:val="24"/>
          <w:szCs w:val="24"/>
          <w:u w:val="single"/>
        </w:rPr>
        <w:t xml:space="preserve">负责设备的运输、装卸、安装、调试，责任与费用由</w:t>
      </w:r>
      <w:r>
        <w:rPr>
          <w:rStyle w:val="1163"/>
          <w:rFonts w:hint="eastAsia" w:ascii="宋体" w:hAnsi="宋体" w:eastAsia="宋体" w:cs="宋体"/>
          <w:i/>
          <w:color w:val="auto"/>
          <w:spacing w:val="7"/>
          <w:sz w:val="24"/>
          <w:szCs w:val="24"/>
          <w:u w:val="single"/>
        </w:rPr>
        <w:t xml:space="preserve">供应商</w:t>
      </w:r>
      <w:r>
        <w:rPr>
          <w:rStyle w:val="1163"/>
          <w:rFonts w:ascii="宋体" w:hAnsi="宋体" w:eastAsia="宋体" w:cs="宋体"/>
          <w:i/>
          <w:color w:val="auto"/>
          <w:spacing w:val="7"/>
          <w:sz w:val="24"/>
          <w:szCs w:val="24"/>
          <w:u w:val="single"/>
        </w:rPr>
        <w:t xml:space="preserve">承担。</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（2）</w:t>
      </w:r>
      <w:r>
        <w:rPr>
          <w:rStyle w:val="1163"/>
          <w:rFonts w:hint="eastAsia" w:ascii="宋体" w:hAnsi="宋体" w:eastAsia="宋体" w:cs="宋体"/>
          <w:i/>
          <w:color w:val="auto"/>
          <w:spacing w:val="7"/>
          <w:sz w:val="24"/>
          <w:szCs w:val="24"/>
          <w:u w:val="single"/>
        </w:rPr>
        <w:t xml:space="preserve">在贰年免费质保期内，如果出现技术问题或故障，供应商应在2小时以内响应，8小时内完成采购方提出维修要求，如在8小时内不能解决问题，应免费用同样品牌、规格或更高的部件更换到位，如需更换设备或送修，必须在3个工作日内解决，否则采购方将自行采取必要的措施，由此产生的风险和费用由供应商承担</w:t>
      </w:r>
      <w:r>
        <w:rPr>
          <w:rStyle w:val="1163"/>
          <w:rFonts w:ascii="宋体" w:hAnsi="宋体" w:eastAsia="宋体" w:cs="宋体"/>
          <w:i/>
          <w:color w:val="auto"/>
          <w:spacing w:val="7"/>
          <w:sz w:val="24"/>
          <w:szCs w:val="24"/>
          <w:u w:val="single"/>
        </w:rPr>
        <w:t xml:space="preserve">。</w:t>
      </w:r>
      <w:r/>
    </w:p>
    <w:p>
      <w:pPr>
        <w:pStyle w:val="1137"/>
        <w:ind w:firstLine="500"/>
        <w:spacing w:line="440" w:lineRule="exact"/>
        <w:rPr>
          <w:rStyle w:val="1163"/>
          <w:rFonts w:hint="eastAsia" w:ascii="宋体" w:hAnsi="宋体" w:eastAsia="宋体" w:cs="宋体"/>
          <w:b/>
          <w:color w:val="auto"/>
          <w:spacing w:val="7"/>
          <w:sz w:val="24"/>
          <w:szCs w:val="24"/>
        </w:rPr>
      </w:pPr>
      <w:r>
        <w:rPr>
          <w:rStyle w:val="1163"/>
          <w:rFonts w:ascii="宋体" w:hAnsi="宋体" w:eastAsia="宋体" w:cs="宋体"/>
          <w:b/>
          <w:color w:val="auto"/>
          <w:spacing w:val="7"/>
          <w:sz w:val="24"/>
          <w:szCs w:val="24"/>
        </w:rPr>
        <w:t xml:space="preserve">3 </w:t>
      </w:r>
      <w:bookmarkStart w:id="189" w:name="OLE_LINK10"/>
      <w:r>
        <w:rPr>
          <w:rStyle w:val="1163"/>
          <w:rFonts w:ascii="宋体" w:hAnsi="宋体" w:eastAsia="宋体" w:cs="宋体"/>
          <w:b/>
          <w:color w:val="auto"/>
          <w:spacing w:val="7"/>
          <w:sz w:val="24"/>
          <w:szCs w:val="24"/>
        </w:rPr>
        <w:t xml:space="preserve">交货期、交货方式及交货地点</w:t>
      </w:r>
      <w:bookmarkEnd w:id="189"/>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3.1、交货期</w:t>
      </w:r>
      <w:r/>
    </w:p>
    <w:p>
      <w:pPr>
        <w:pStyle w:val="1137"/>
        <w:ind w:firstLine="500"/>
        <w:spacing w:line="440" w:lineRule="exact"/>
        <w:rPr>
          <w:rStyle w:val="1163"/>
          <w:rFonts w:hint="eastAsia" w:ascii="宋体" w:hAnsi="宋体" w:eastAsia="宋体" w:cs="宋体"/>
          <w:i/>
          <w:color w:val="auto"/>
          <w:spacing w:val="7"/>
          <w:sz w:val="24"/>
          <w:szCs w:val="24"/>
          <w:highlight w:val="yellow"/>
          <w:u w:val="single"/>
        </w:rPr>
      </w:pPr>
      <w:r>
        <w:rPr>
          <w:rStyle w:val="1163"/>
          <w:rFonts w:hint="eastAsia" w:ascii="宋体" w:hAnsi="宋体" w:eastAsia="宋体" w:cs="宋体"/>
          <w:i/>
          <w:color w:val="auto"/>
          <w:spacing w:val="7"/>
          <w:sz w:val="24"/>
          <w:szCs w:val="24"/>
          <w:highlight w:val="none"/>
          <w:u w:val="single"/>
        </w:rPr>
        <w:t xml:space="preserve">2027年年底前整体项目完成，</w:t>
      </w:r>
      <w:r>
        <w:rPr>
          <w:rStyle w:val="1163"/>
          <w:rFonts w:hint="eastAsia" w:ascii="宋体" w:hAnsi="宋体" w:eastAsia="宋体" w:cs="宋体"/>
          <w:i/>
          <w:color w:val="auto"/>
          <w:spacing w:val="7"/>
          <w:sz w:val="24"/>
          <w:szCs w:val="24"/>
          <w:u w:val="single"/>
        </w:rPr>
        <w:t xml:space="preserve">并交付使用。遇不可抗力原因需迟延交货的，经采购人同意后可适当延期</w:t>
      </w:r>
      <w:r>
        <w:rPr>
          <w:rStyle w:val="1163"/>
          <w:rFonts w:ascii="宋体" w:hAnsi="宋体" w:eastAsia="宋体" w:cs="宋体"/>
          <w:i/>
          <w:color w:val="auto"/>
          <w:spacing w:val="7"/>
          <w:sz w:val="24"/>
          <w:szCs w:val="24"/>
          <w:u w:val="single"/>
        </w:rPr>
        <w:t xml:space="preserve">。</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3.2、交货方式</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按</w:t>
      </w:r>
      <w:r>
        <w:rPr>
          <w:rStyle w:val="1163"/>
          <w:rFonts w:hint="eastAsia" w:ascii="宋体" w:hAnsi="宋体" w:eastAsia="宋体" w:cs="宋体"/>
          <w:i/>
          <w:color w:val="auto"/>
          <w:spacing w:val="7"/>
          <w:sz w:val="24"/>
          <w:szCs w:val="24"/>
          <w:u w:val="single"/>
        </w:rPr>
        <w:t xml:space="preserve">采购人</w:t>
      </w:r>
      <w:r>
        <w:rPr>
          <w:rStyle w:val="1163"/>
          <w:rFonts w:ascii="宋体" w:hAnsi="宋体" w:eastAsia="宋体" w:cs="宋体"/>
          <w:i/>
          <w:color w:val="auto"/>
          <w:spacing w:val="7"/>
          <w:sz w:val="24"/>
          <w:szCs w:val="24"/>
          <w:u w:val="single"/>
        </w:rPr>
        <w:t xml:space="preserve">要求送货上门</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3.3、交货地点</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hint="eastAsia" w:ascii="宋体" w:hAnsi="宋体" w:eastAsia="宋体" w:cs="宋体"/>
          <w:i/>
          <w:color w:val="auto"/>
          <w:spacing w:val="7"/>
          <w:sz w:val="24"/>
          <w:szCs w:val="24"/>
          <w:u w:val="single"/>
        </w:rPr>
        <w:t xml:space="preserve">采购人</w:t>
      </w:r>
      <w:r>
        <w:rPr>
          <w:rStyle w:val="1163"/>
          <w:rFonts w:ascii="宋体" w:hAnsi="宋体" w:eastAsia="宋体" w:cs="宋体"/>
          <w:i/>
          <w:color w:val="auto"/>
          <w:spacing w:val="7"/>
          <w:sz w:val="24"/>
          <w:szCs w:val="24"/>
          <w:u w:val="single"/>
        </w:rPr>
        <w:t xml:space="preserve">指定地点交货</w:t>
      </w:r>
      <w:r/>
    </w:p>
    <w:p>
      <w:pPr>
        <w:pStyle w:val="1137"/>
        <w:ind w:firstLine="500"/>
        <w:spacing w:line="440" w:lineRule="exact"/>
        <w:rPr>
          <w:rStyle w:val="1163"/>
          <w:rFonts w:hint="eastAsia" w:ascii="宋体" w:hAnsi="宋体" w:eastAsia="宋体" w:cs="宋体"/>
          <w:b/>
          <w:color w:val="auto"/>
          <w:spacing w:val="7"/>
          <w:sz w:val="24"/>
          <w:szCs w:val="24"/>
        </w:rPr>
      </w:pPr>
      <w:r>
        <w:rPr>
          <w:rStyle w:val="1163"/>
          <w:rFonts w:ascii="宋体" w:hAnsi="宋体" w:eastAsia="宋体" w:cs="宋体"/>
          <w:b/>
          <w:color w:val="auto"/>
          <w:spacing w:val="7"/>
          <w:sz w:val="24"/>
          <w:szCs w:val="24"/>
        </w:rPr>
        <w:t xml:space="preserve">4 货款支付</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4.1、结付程序</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供方按合同内容合格地履行供货义务后，凭验收报告、销售发票到采购单位办理货款（或</w:t>
      </w:r>
      <w:r>
        <w:rPr>
          <w:rStyle w:val="1163"/>
          <w:rFonts w:hint="eastAsia" w:ascii="宋体" w:hAnsi="宋体" w:eastAsia="宋体" w:cs="宋体"/>
          <w:i/>
          <w:color w:val="auto"/>
          <w:spacing w:val="7"/>
          <w:sz w:val="24"/>
          <w:szCs w:val="24"/>
          <w:u w:val="single"/>
        </w:rPr>
        <w:t xml:space="preserve">项目</w:t>
      </w:r>
      <w:r>
        <w:rPr>
          <w:rStyle w:val="1163"/>
          <w:rFonts w:ascii="宋体" w:hAnsi="宋体" w:eastAsia="宋体" w:cs="宋体"/>
          <w:i/>
          <w:color w:val="auto"/>
          <w:spacing w:val="7"/>
          <w:sz w:val="24"/>
          <w:szCs w:val="24"/>
          <w:u w:val="single"/>
        </w:rPr>
        <w:t xml:space="preserve">款）结算手续。</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4.2、结付期限</w:t>
      </w:r>
      <w:r/>
    </w:p>
    <w:p>
      <w:pPr>
        <w:pStyle w:val="1137"/>
        <w:ind w:firstLine="500"/>
        <w:spacing w:line="440" w:lineRule="exact"/>
        <w:rPr>
          <w:rStyle w:val="1163"/>
          <w:rFonts w:hint="eastAsia" w:ascii="宋体" w:hAnsi="宋体" w:eastAsia="宋体" w:cs="宋体"/>
          <w:i/>
          <w:color w:val="auto"/>
          <w:spacing w:val="7"/>
          <w:sz w:val="24"/>
          <w:szCs w:val="24"/>
          <w:highlight w:val="none"/>
          <w:u w:val="single"/>
        </w:rPr>
      </w:pPr>
      <w:r>
        <w:rPr>
          <w:rStyle w:val="1163"/>
          <w:rFonts w:hint="eastAsia" w:ascii="宋体" w:hAnsi="宋体" w:eastAsia="宋体" w:cs="宋体"/>
          <w:i/>
          <w:color w:val="auto"/>
          <w:spacing w:val="7"/>
          <w:sz w:val="24"/>
          <w:szCs w:val="24"/>
          <w:highlight w:val="none"/>
          <w:u w:val="single"/>
        </w:rPr>
        <w:t xml:space="preserve">合同签订后，</w:t>
      </w:r>
      <w:r>
        <w:rPr>
          <w:rFonts w:hint="eastAsia" w:ascii="Times New Roman" w:hAnsi="Times New Roman" w:eastAsia="宋体" w:cs="Times New Roman"/>
          <w:i/>
          <w:spacing w:val="7"/>
          <w:sz w:val="24"/>
          <w:szCs w:val="24"/>
          <w:highlight w:val="none"/>
          <w:u w:val="single"/>
          <w:lang w:val="en-US" w:eastAsia="zh-CN" w:bidi="ar-SA"/>
        </w:rPr>
        <w:t xml:space="preserve">采购人支付合同金额30%的预付款</w:t>
      </w:r>
      <w:r>
        <w:rPr>
          <w:rStyle w:val="1163"/>
          <w:rFonts w:hint="eastAsia" w:ascii="宋体" w:hAnsi="宋体" w:eastAsia="宋体" w:cs="宋体"/>
          <w:i/>
          <w:color w:val="auto"/>
          <w:spacing w:val="7"/>
          <w:sz w:val="24"/>
          <w:szCs w:val="24"/>
          <w:highlight w:val="none"/>
          <w:u w:val="single"/>
        </w:rPr>
        <w:t xml:space="preserve">（在签订合同时，中标方明确表示无需预付款或者主动要求降低预付款比例的，采购人可不适用前述规定），待标的物全部交付</w:t>
      </w:r>
      <w:r>
        <w:rPr>
          <w:rStyle w:val="1163"/>
          <w:rFonts w:hint="eastAsia" w:ascii="宋体" w:hAnsi="宋体" w:eastAsia="宋体" w:cs="宋体"/>
          <w:i/>
          <w:color w:val="auto"/>
          <w:spacing w:val="7"/>
          <w:sz w:val="24"/>
          <w:szCs w:val="24"/>
          <w:highlight w:val="none"/>
          <w:u w:val="single"/>
          <w:lang w:val="en-US"/>
        </w:rPr>
        <w:t xml:space="preserve">且</w:t>
      </w:r>
      <w:r>
        <w:rPr>
          <w:rStyle w:val="1163"/>
          <w:rFonts w:hint="eastAsia" w:ascii="宋体" w:hAnsi="宋体" w:eastAsia="宋体" w:cs="宋体"/>
          <w:i/>
          <w:color w:val="auto"/>
          <w:spacing w:val="7"/>
          <w:sz w:val="24"/>
          <w:szCs w:val="24"/>
          <w:highlight w:val="none"/>
          <w:u w:val="single"/>
        </w:rPr>
        <w:t xml:space="preserve">验收合格后付</w:t>
      </w:r>
      <w:r>
        <w:rPr>
          <w:rStyle w:val="1163"/>
          <w:rFonts w:hint="eastAsia" w:ascii="宋体" w:hAnsi="宋体" w:eastAsia="宋体" w:cs="宋体"/>
          <w:i/>
          <w:color w:val="auto"/>
          <w:spacing w:val="7"/>
          <w:sz w:val="24"/>
          <w:szCs w:val="24"/>
          <w:highlight w:val="none"/>
          <w:u w:val="single"/>
          <w:lang w:val="en-US"/>
        </w:rPr>
        <w:t xml:space="preserve">清余款并退还履约保证金</w:t>
      </w:r>
      <w:r>
        <w:rPr>
          <w:rStyle w:val="1163"/>
          <w:rFonts w:hint="eastAsia" w:ascii="宋体" w:hAnsi="宋体" w:eastAsia="宋体" w:cs="宋体"/>
          <w:i/>
          <w:color w:val="auto"/>
          <w:spacing w:val="7"/>
          <w:sz w:val="24"/>
          <w:szCs w:val="24"/>
          <w:highlight w:val="none"/>
          <w:u w:val="single"/>
        </w:rPr>
        <w:t xml:space="preserve">。</w:t>
      </w:r>
      <w:r/>
    </w:p>
    <w:p>
      <w:pPr>
        <w:pStyle w:val="1137"/>
        <w:ind w:firstLine="500"/>
        <w:spacing w:line="440" w:lineRule="exact"/>
        <w:rPr>
          <w:rStyle w:val="1163"/>
          <w:rFonts w:hint="eastAsia" w:ascii="宋体" w:hAnsi="宋体" w:eastAsia="宋体" w:cs="宋体"/>
          <w:b/>
          <w:color w:val="auto"/>
          <w:spacing w:val="7"/>
          <w:sz w:val="24"/>
          <w:szCs w:val="24"/>
        </w:rPr>
      </w:pPr>
      <w:r>
        <w:rPr>
          <w:rStyle w:val="1163"/>
          <w:rFonts w:ascii="宋体" w:hAnsi="宋体" w:eastAsia="宋体" w:cs="宋体"/>
          <w:b/>
          <w:color w:val="auto"/>
          <w:spacing w:val="7"/>
          <w:sz w:val="24"/>
          <w:szCs w:val="24"/>
        </w:rPr>
        <w:t xml:space="preserve">5 投标货币</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5.1、投标货币</w:t>
      </w:r>
      <w:r/>
    </w:p>
    <w:p>
      <w:pPr>
        <w:pStyle w:val="1137"/>
        <w:ind w:firstLine="500"/>
        <w:spacing w:line="440" w:lineRule="exact"/>
        <w:rPr>
          <w:rStyle w:val="1163"/>
          <w:rFonts w:hint="eastAsia" w:ascii="宋体" w:hAnsi="宋体" w:eastAsia="宋体" w:cs="宋体"/>
          <w:i/>
          <w:color w:val="auto"/>
          <w:spacing w:val="7"/>
          <w:sz w:val="24"/>
          <w:szCs w:val="24"/>
          <w:u w:val="single"/>
        </w:rPr>
      </w:pPr>
      <w:r>
        <w:rPr>
          <w:rStyle w:val="1163"/>
          <w:rFonts w:ascii="宋体" w:hAnsi="宋体" w:eastAsia="宋体" w:cs="宋体"/>
          <w:i/>
          <w:color w:val="auto"/>
          <w:spacing w:val="7"/>
          <w:sz w:val="24"/>
          <w:szCs w:val="24"/>
          <w:u w:val="single"/>
        </w:rPr>
        <w:t xml:space="preserve">人民币</w:t>
      </w:r>
      <w:r/>
    </w:p>
    <w:p>
      <w:pPr>
        <w:pStyle w:val="1137"/>
        <w:ind w:firstLine="500"/>
        <w:spacing w:line="440" w:lineRule="exact"/>
        <w:rPr>
          <w:rStyle w:val="1087"/>
          <w:rFonts w:hint="eastAsia" w:ascii="宋体" w:hAnsi="宋体" w:eastAsia="宋体" w:cs="宋体"/>
          <w:i/>
          <w:color w:val="auto"/>
          <w:spacing w:val="7"/>
          <w:u w:val="single"/>
        </w:rPr>
      </w:pPr>
      <w:r>
        <w:rPr>
          <w:rFonts w:hint="eastAsia" w:ascii="宋体" w:hAnsi="宋体" w:eastAsia="宋体" w:cs="宋体"/>
          <w:i/>
          <w:color w:val="auto"/>
          <w:spacing w:val="7"/>
          <w:u w:val="single"/>
        </w:rPr>
      </w:r>
      <w:r/>
    </w:p>
    <w:p>
      <w:pPr>
        <w:numPr>
          <w:ilvl w:val="0"/>
          <w:numId w:val="12"/>
        </w:numPr>
        <w:ind w:firstLine="0"/>
        <w:spacing w:before="120" w:after="120"/>
        <w:widowControl/>
        <w:rPr>
          <w:rFonts w:hint="eastAsia" w:ascii="宋体" w:hAnsi="宋体" w:cs="宋体"/>
          <w:b/>
          <w:color w:val="auto"/>
          <w:sz w:val="28"/>
          <w:szCs w:val="28"/>
        </w:rPr>
        <w:outlineLvl w:val="1"/>
      </w:pPr>
      <w:r/>
      <w:bookmarkStart w:id="190" w:name="_Toc4954"/>
      <w:r/>
      <w:bookmarkStart w:id="191" w:name="_Toc816"/>
      <w:r/>
      <w:bookmarkStart w:id="192" w:name="_Toc2343"/>
      <w:r>
        <w:rPr>
          <w:rFonts w:hint="eastAsia" w:ascii="宋体" w:hAnsi="宋体" w:cs="宋体"/>
          <w:b/>
          <w:color w:val="auto"/>
          <w:sz w:val="28"/>
          <w:szCs w:val="28"/>
        </w:rPr>
        <w:t xml:space="preserve">其他部分</w:t>
      </w:r>
      <w:bookmarkEnd w:id="190"/>
      <w:r/>
      <w:bookmarkEnd w:id="191"/>
      <w:r/>
      <w:bookmarkEnd w:id="192"/>
      <w:r/>
      <w:r/>
    </w:p>
    <w:p>
      <w:pPr>
        <w:pStyle w:val="1176"/>
        <w:jc w:val="both"/>
        <w:keepLines w:val="0"/>
        <w:keepNext w:val="0"/>
        <w:pageBreakBefore w:val="0"/>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附件一：备品备件清单</w:t>
      </w:r>
      <w:r/>
    </w:p>
    <w:tbl>
      <w:tblPr>
        <w:tblStyle w:val="90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57"/>
        <w:gridCol w:w="2020"/>
        <w:gridCol w:w="4471"/>
        <w:gridCol w:w="1158"/>
        <w:gridCol w:w="1156"/>
      </w:tblGrid>
      <w:tr>
        <w:trPr>
          <w:trHeight w:val="480"/>
        </w:trPr>
        <w:tc>
          <w:tcPr>
            <w:tcBorders>
              <w:top w:val="single" w:color="auto"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序号</w:t>
            </w:r>
            <w:r/>
          </w:p>
        </w:tc>
        <w:tc>
          <w:tcPr>
            <w:tcBorders>
              <w:top w:val="single" w:color="auto"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型号</w:t>
            </w:r>
            <w:r/>
          </w:p>
        </w:tc>
        <w:tc>
          <w:tcPr>
            <w:tcBorders>
              <w:top w:val="single" w:color="auto"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规格</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备品数量</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备注</w:t>
            </w:r>
            <w:r/>
          </w:p>
        </w:tc>
      </w:tr>
      <w:tr>
        <w:trPr>
          <w:trHeight w:val="30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LED灯具</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80W路灯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eastAsia="宋体" w:cs="宋体"/>
                <w:color w:val="auto"/>
                <w:sz w:val="22"/>
                <w:szCs w:val="22"/>
                <w:lang w:val="en-US" w:eastAsia="zh-CN"/>
              </w:rPr>
            </w:pPr>
            <w:r>
              <w:rPr>
                <w:rFonts w:ascii="宋体" w:hAnsi="宋体" w:cs="宋体"/>
                <w:color w:val="auto"/>
                <w:sz w:val="22"/>
                <w:szCs w:val="22"/>
              </w:rPr>
              <w:t xml:space="preserve">4</w:t>
            </w:r>
            <w:r>
              <w:rPr>
                <w:rFonts w:hint="eastAsia" w:ascii="宋体" w:hAnsi="宋体" w:cs="宋体"/>
                <w:color w:val="auto"/>
                <w:sz w:val="22"/>
                <w:szCs w:val="22"/>
                <w:lang w:val="en-US" w:eastAsia="zh-CN"/>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2</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LED灯具</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120W路灯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3</w:t>
            </w:r>
            <w:r>
              <w:rPr>
                <w:rFonts w:hint="eastAsia" w:ascii="宋体" w:hAnsi="宋体" w:cs="宋体"/>
                <w:color w:val="auto"/>
                <w:sz w:val="22"/>
                <w:szCs w:val="22"/>
                <w:lang w:val="en-US" w:eastAsia="zh-CN"/>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3</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LED灯具</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150W路灯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3</w:t>
            </w:r>
            <w:r>
              <w:rPr>
                <w:rFonts w:hint="eastAsia" w:ascii="宋体" w:hAnsi="宋体" w:cs="宋体"/>
                <w:color w:val="auto"/>
                <w:sz w:val="22"/>
                <w:szCs w:val="22"/>
                <w:lang w:val="en-US" w:eastAsia="zh-CN"/>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4</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LED灯具</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240W路灯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9</w:t>
            </w:r>
            <w:r>
              <w:rPr>
                <w:rFonts w:hint="eastAsia" w:ascii="宋体" w:hAnsi="宋体" w:cs="宋体"/>
                <w:color w:val="auto"/>
                <w:sz w:val="22"/>
                <w:szCs w:val="22"/>
                <w:lang w:val="en-US" w:eastAsia="zh-CN"/>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5</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LED护栏灯</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w:t>
            </w:r>
            <w:r>
              <w:rPr>
                <w:rFonts w:hint="eastAsia" w:ascii="宋体" w:hAnsi="宋体" w:cs="宋体"/>
                <w:color w:val="auto"/>
                <w:sz w:val="22"/>
                <w:szCs w:val="22"/>
                <w:lang w:val="en-US" w:eastAsia="zh-CN"/>
              </w:rPr>
              <w:t xml:space="preserve">0</w:t>
            </w:r>
            <w:r>
              <w:rPr>
                <w:rFonts w:ascii="宋体" w:hAnsi="宋体" w:cs="宋体"/>
                <w:color w:val="auto"/>
                <w:sz w:val="22"/>
                <w:szCs w:val="22"/>
              </w:rPr>
              <w:t xml:space="preserve">W</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8</w:t>
            </w:r>
            <w:r>
              <w:rPr>
                <w:rFonts w:hint="eastAsia" w:ascii="宋体" w:hAnsi="宋体" w:cs="宋体"/>
                <w:color w:val="auto"/>
                <w:sz w:val="22"/>
                <w:szCs w:val="22"/>
                <w:lang w:val="en-US" w:eastAsia="zh-CN"/>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6</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LED吸顶式路灯二</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120W</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2</w:t>
            </w:r>
            <w:r>
              <w:rPr>
                <w:rFonts w:hint="eastAsia" w:ascii="宋体" w:hAnsi="宋体" w:cs="宋体"/>
                <w:color w:val="auto"/>
                <w:sz w:val="22"/>
                <w:szCs w:val="22"/>
                <w:lang w:val="en-US" w:eastAsia="zh-CN"/>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7</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LED吸顶式路灯三</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150W</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6</w:t>
            </w:r>
            <w:r>
              <w:rPr>
                <w:rFonts w:hint="eastAsia" w:ascii="宋体" w:hAnsi="宋体" w:cs="宋体"/>
                <w:color w:val="auto"/>
                <w:sz w:val="22"/>
                <w:szCs w:val="22"/>
                <w:lang w:val="en-US" w:eastAsia="zh-CN"/>
              </w:rPr>
              <w:t xml:space="preserve">盏</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8</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单灯控制器</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一拖一，HPLC宽带电力载波（主通信链路）+CAT1（辅通信链路），安装在灯杆检修门内</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eastAsia="宋体" w:cs="宋体"/>
                <w:color w:val="auto"/>
                <w:sz w:val="22"/>
                <w:szCs w:val="22"/>
                <w:lang w:eastAsia="zh-CN"/>
              </w:rPr>
            </w:pPr>
            <w:r>
              <w:rPr>
                <w:rFonts w:ascii="宋体" w:hAnsi="宋体" w:cs="宋体"/>
                <w:color w:val="auto"/>
                <w:sz w:val="22"/>
                <w:szCs w:val="22"/>
              </w:rPr>
              <w:t xml:space="preserve">6</w:t>
            </w:r>
            <w:r>
              <w:rPr>
                <w:rFonts w:hint="eastAsia" w:ascii="宋体" w:hAnsi="宋体" w:cs="宋体"/>
                <w:color w:val="auto"/>
                <w:sz w:val="22"/>
                <w:szCs w:val="22"/>
                <w:lang w:eastAsia="zh-CN"/>
              </w:rPr>
              <w:t xml:space="preserve">个</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9</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单灯控制器</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一拖二，HPLC宽带电力载波（主通信链路）+CAT1（辅通信链路），安装在灯杆检修门内，适用双臂路灯，中杆灯</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eastAsia="宋体" w:cs="宋体"/>
                <w:color w:val="auto"/>
                <w:sz w:val="22"/>
                <w:szCs w:val="22"/>
                <w:lang w:eastAsia="zh-CN"/>
              </w:rPr>
            </w:pPr>
            <w:r>
              <w:rPr>
                <w:rFonts w:ascii="宋体" w:hAnsi="宋体" w:cs="宋体"/>
                <w:color w:val="auto"/>
                <w:sz w:val="22"/>
                <w:szCs w:val="22"/>
              </w:rPr>
              <w:t xml:space="preserve">10</w:t>
            </w:r>
            <w:r>
              <w:rPr>
                <w:rFonts w:hint="eastAsia" w:ascii="宋体" w:hAnsi="宋体" w:cs="宋体"/>
                <w:color w:val="auto"/>
                <w:sz w:val="22"/>
                <w:szCs w:val="22"/>
                <w:lang w:eastAsia="zh-CN"/>
              </w:rPr>
              <w:t xml:space="preserve">个</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10</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集中控制器</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left"/>
              <w:spacing w:line="240" w:lineRule="auto"/>
              <w:widowControl/>
              <w:rPr>
                <w:rFonts w:hint="eastAsia" w:ascii="宋体" w:hAnsi="宋体" w:cs="宋体"/>
                <w:color w:val="auto"/>
                <w:sz w:val="22"/>
                <w:szCs w:val="22"/>
              </w:rPr>
            </w:pPr>
            <w:r>
              <w:rPr>
                <w:rFonts w:ascii="宋体" w:hAnsi="宋体" w:cs="宋体"/>
                <w:color w:val="auto"/>
                <w:sz w:val="22"/>
                <w:szCs w:val="22"/>
              </w:rPr>
              <w:t xml:space="preserve">安装在路灯计量控制箱内</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eastAsia="宋体" w:cs="宋体"/>
                <w:color w:val="auto"/>
                <w:sz w:val="22"/>
                <w:szCs w:val="22"/>
                <w:lang w:eastAsia="zh-CN"/>
              </w:rPr>
            </w:pPr>
            <w:r>
              <w:rPr>
                <w:rFonts w:ascii="宋体" w:hAnsi="宋体" w:cs="宋体"/>
                <w:color w:val="auto"/>
                <w:sz w:val="22"/>
                <w:szCs w:val="22"/>
              </w:rPr>
              <w:t xml:space="preserve">1</w:t>
            </w:r>
            <w:r>
              <w:rPr>
                <w:rFonts w:hint="eastAsia" w:ascii="宋体" w:hAnsi="宋体" w:cs="宋体"/>
                <w:color w:val="auto"/>
                <w:sz w:val="22"/>
                <w:szCs w:val="22"/>
                <w:lang w:eastAsia="zh-CN"/>
              </w:rPr>
              <w:t xml:space="preserve">个</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11</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9米单臂灯杆</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left"/>
              <w:spacing w:line="240" w:lineRule="auto"/>
              <w:widowControl/>
              <w:rPr>
                <w:rFonts w:hint="eastAsia" w:ascii="宋体" w:hAnsi="宋体" w:cs="宋体"/>
                <w:color w:val="auto"/>
                <w:sz w:val="22"/>
                <w:szCs w:val="22"/>
              </w:rPr>
            </w:pPr>
            <w:r>
              <w:rPr>
                <w:rFonts w:ascii="宋体" w:hAnsi="宋体" w:cs="宋体"/>
                <w:color w:val="auto"/>
                <w:sz w:val="22"/>
                <w:szCs w:val="22"/>
              </w:rPr>
              <w:t xml:space="preserve">灯杆高9m，Q235B钢灯杆热镀锌喷塑，含单灯控制器接口、2道3.5m挂载C槽、4套热镀锌双螺帽及4厚热镀锌垫片；含接线盒：含RT-14 6A 220V三相熔断器，8位带盖接线排，2位标准卡槽接线端，4厚环氧树脂接线板，配套安装在灯杆检修门内；含基础：Q235B钢预埋件，螺纹热镀锌，C30砼，见详图，使用部位：地面主线</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eastAsia="宋体" w:cs="宋体"/>
                <w:color w:val="auto"/>
                <w:sz w:val="22"/>
                <w:szCs w:val="22"/>
                <w:lang w:val="en-US" w:eastAsia="zh-CN"/>
              </w:rPr>
            </w:pPr>
            <w:r>
              <w:rPr>
                <w:rFonts w:ascii="宋体" w:hAnsi="宋体" w:cs="宋体"/>
                <w:color w:val="auto"/>
                <w:sz w:val="22"/>
                <w:szCs w:val="22"/>
              </w:rPr>
              <w:t xml:space="preserve">1</w:t>
            </w:r>
            <w:r>
              <w:rPr>
                <w:rFonts w:hint="eastAsia" w:ascii="宋体" w:hAnsi="宋体" w:cs="宋体"/>
                <w:color w:val="auto"/>
                <w:sz w:val="22"/>
                <w:szCs w:val="22"/>
                <w:lang w:val="en-US" w:eastAsia="zh-CN"/>
              </w:rPr>
              <w:t xml:space="preserve">杆</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243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12</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12米双臂灯杆</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left"/>
              <w:spacing w:line="240" w:lineRule="auto"/>
              <w:widowControl/>
              <w:rPr>
                <w:rFonts w:hint="eastAsia" w:ascii="宋体" w:hAnsi="宋体" w:cs="宋体"/>
                <w:color w:val="auto"/>
                <w:sz w:val="22"/>
                <w:szCs w:val="22"/>
              </w:rPr>
            </w:pPr>
            <w:r>
              <w:rPr>
                <w:rFonts w:ascii="宋体" w:hAnsi="宋体" w:cs="宋体"/>
                <w:color w:val="auto"/>
                <w:sz w:val="22"/>
                <w:szCs w:val="22"/>
              </w:rPr>
              <w:t xml:space="preserve">灯杆高12m，Q235B钢灯杆热镀锌喷塑，含单灯控制器接口、2道3.5m挂载C槽、4套热镀锌双螺帽及4厚热镀锌垫片；含接线盒：含RT-14 6A 220V三相熔断器，8位带盖接线排，2位标准卡槽接线端，4厚环氧树脂接线板，配套安装在灯杆检修门内；含基础：Q235B钢预埋件，螺纹热镀锌，C30砼，见详图，使用部位：地面主线</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w:t>
            </w:r>
            <w:r>
              <w:rPr>
                <w:rFonts w:hint="eastAsia" w:ascii="宋体" w:hAnsi="宋体" w:cs="宋体"/>
                <w:color w:val="auto"/>
                <w:sz w:val="22"/>
                <w:szCs w:val="22"/>
                <w:lang w:val="en-US" w:eastAsia="zh-CN"/>
              </w:rPr>
              <w:t xml:space="preserve">杆</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216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13</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11米单臂灯杆</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left"/>
              <w:spacing w:line="240" w:lineRule="auto"/>
              <w:widowControl/>
              <w:rPr>
                <w:rFonts w:hint="eastAsia" w:ascii="宋体" w:hAnsi="宋体" w:cs="宋体"/>
                <w:color w:val="auto"/>
                <w:sz w:val="22"/>
                <w:szCs w:val="22"/>
              </w:rPr>
            </w:pPr>
            <w:r>
              <w:rPr>
                <w:rFonts w:ascii="宋体" w:hAnsi="宋体" w:cs="宋体"/>
                <w:color w:val="auto"/>
                <w:sz w:val="22"/>
                <w:szCs w:val="22"/>
              </w:rPr>
              <w:t xml:space="preserve">灯杆高11m，Q235B钢灯杆热镀锌喷塑，含单灯控制器接口、450双面发光标识、4道挂载C槽、4套热镀锌双螺帽及4厚热镀锌垫片；含接线盒：含RT-14 6A 220V三相熔断器，8位带盖接线排，2位标准卡槽接线端，4厚环氧树脂接线板，配套安装在灯杆检修门内，使用部位：西二环高架</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w:t>
            </w:r>
            <w:r>
              <w:rPr>
                <w:rFonts w:hint="eastAsia" w:ascii="宋体" w:hAnsi="宋体" w:cs="宋体"/>
                <w:color w:val="auto"/>
                <w:sz w:val="22"/>
                <w:szCs w:val="22"/>
                <w:lang w:val="en-US" w:eastAsia="zh-CN"/>
              </w:rPr>
              <w:t xml:space="preserve">杆</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r>
        <w:trPr>
          <w:trHeight w:val="1890"/>
        </w:trPr>
        <w:tc>
          <w:tcPr>
            <w:tcBorders>
              <w:top w:val="none" w:color="000000" w:sz="4" w:space="0"/>
              <w:left w:val="single" w:color="auto"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14</w:t>
            </w:r>
            <w:r/>
          </w:p>
        </w:tc>
        <w:tc>
          <w:tcPr>
            <w:tcBorders>
              <w:top w:val="none" w:color="000000" w:sz="4" w:space="0"/>
              <w:left w:val="none" w:color="000000" w:sz="4" w:space="0"/>
              <w:bottom w:val="single" w:color="auto" w:sz="4" w:space="0"/>
              <w:right w:val="single" w:color="auto" w:sz="4" w:space="0"/>
            </w:tcBorders>
            <w:tcW w:w="1014"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7米单臂灯杆</w:t>
            </w:r>
            <w:r/>
          </w:p>
        </w:tc>
        <w:tc>
          <w:tcPr>
            <w:tcBorders>
              <w:top w:val="none" w:color="000000" w:sz="4" w:space="0"/>
              <w:left w:val="none" w:color="000000" w:sz="4" w:space="0"/>
              <w:bottom w:val="single" w:color="auto" w:sz="4" w:space="0"/>
              <w:right w:val="single" w:color="auto" w:sz="4" w:space="0"/>
            </w:tcBorders>
            <w:tcW w:w="2244" w:type="pct"/>
            <w:vAlign w:val="center"/>
            <w:textDirection w:val="lrTb"/>
            <w:noWrap w:val="false"/>
          </w:tcPr>
          <w:p>
            <w:pPr>
              <w:ind w:firstLine="0"/>
              <w:jc w:val="left"/>
              <w:spacing w:line="240" w:lineRule="auto"/>
              <w:widowControl/>
              <w:rPr>
                <w:rFonts w:hint="eastAsia" w:ascii="宋体" w:hAnsi="宋体" w:cs="宋体"/>
                <w:color w:val="auto"/>
                <w:sz w:val="22"/>
                <w:szCs w:val="22"/>
              </w:rPr>
            </w:pPr>
            <w:r>
              <w:rPr>
                <w:rFonts w:ascii="宋体" w:hAnsi="宋体" w:cs="宋体"/>
                <w:color w:val="auto"/>
                <w:sz w:val="22"/>
                <w:szCs w:val="22"/>
              </w:rPr>
              <w:t xml:space="preserve">灯杆高7m，Q235B钢灯杆热镀锌喷塑，含单灯控制器接口、4套热镀锌双螺帽及4厚热镀锌垫片；含接线盒：含RT-14 6A 220V三相熔断器，8位带盖接线排，2位标准卡槽接线端，4厚环氧树脂接线板，配套安装在灯杆检修门内，使用部位：匝道</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1</w:t>
            </w:r>
            <w:r>
              <w:rPr>
                <w:rFonts w:hint="eastAsia" w:ascii="宋体" w:hAnsi="宋体" w:cs="宋体"/>
                <w:color w:val="auto"/>
                <w:sz w:val="22"/>
                <w:szCs w:val="22"/>
                <w:lang w:val="en-US" w:eastAsia="zh-CN"/>
              </w:rPr>
              <w:t xml:space="preserve">杆</w:t>
            </w:r>
            <w:r/>
          </w:p>
        </w:tc>
        <w:tc>
          <w:tcPr>
            <w:tcBorders>
              <w:top w:val="none" w:color="000000" w:sz="4" w:space="0"/>
              <w:left w:val="none" w:color="000000" w:sz="4" w:space="0"/>
              <w:bottom w:val="single" w:color="auto" w:sz="4" w:space="0"/>
              <w:right w:val="single" w:color="auto" w:sz="4" w:space="0"/>
            </w:tcBorders>
            <w:tcW w:w="581" w:type="pct"/>
            <w:vAlign w:val="center"/>
            <w:textDirection w:val="lrTb"/>
            <w:noWrap w:val="false"/>
          </w:tcPr>
          <w:p>
            <w:pPr>
              <w:ind w:firstLine="0"/>
              <w:jc w:val="center"/>
              <w:spacing w:line="240" w:lineRule="auto"/>
              <w:widowControl/>
              <w:rPr>
                <w:rFonts w:hint="eastAsia" w:ascii="宋体" w:hAnsi="宋体" w:cs="宋体"/>
                <w:color w:val="auto"/>
                <w:sz w:val="22"/>
                <w:szCs w:val="22"/>
              </w:rPr>
            </w:pPr>
            <w:r>
              <w:rPr>
                <w:rFonts w:ascii="宋体" w:hAnsi="宋体" w:cs="宋体"/>
                <w:color w:val="auto"/>
                <w:sz w:val="22"/>
                <w:szCs w:val="22"/>
              </w:rPr>
              <w:t xml:space="preserve">　</w:t>
            </w:r>
            <w:r/>
          </w:p>
        </w:tc>
      </w:tr>
    </w:tbl>
    <w:p>
      <w:pPr>
        <w:pStyle w:val="1176"/>
        <w:jc w:val="both"/>
        <w:spacing w:before="240" w:after="240" w:line="262" w:lineRule="atLeast"/>
        <w:rPr>
          <w:rFonts w:hint="eastAsia" w:ascii="宋体" w:hAnsi="宋体" w:eastAsia="宋体" w:cs="宋体"/>
          <w:b/>
          <w:bCs/>
          <w:color w:val="auto"/>
        </w:rPr>
      </w:pPr>
      <w:r>
        <w:rPr>
          <w:rFonts w:hint="eastAsia" w:ascii="宋体" w:hAnsi="宋体" w:eastAsia="宋体" w:cs="宋体"/>
          <w:b/>
          <w:bCs/>
          <w:color w:val="auto"/>
        </w:rPr>
        <w:t xml:space="preserve">附件二：</w:t>
      </w:r>
      <w:r/>
    </w:p>
    <w:p>
      <w:pPr>
        <w:pStyle w:val="1176"/>
        <w:ind w:firstLine="723"/>
        <w:jc w:val="center"/>
        <w:spacing w:before="240" w:after="240"/>
        <w:rPr>
          <w:color w:val="auto"/>
        </w:rPr>
      </w:pPr>
      <w:r>
        <w:rPr>
          <w:rFonts w:ascii="宋体" w:hAnsi="宋体" w:eastAsia="宋体" w:cs="宋体"/>
          <w:b/>
          <w:bCs/>
          <w:color w:val="auto"/>
        </w:rPr>
        <w:t xml:space="preserve">承诺书（格式</w:t>
      </w:r>
      <w:r>
        <w:rPr>
          <w:rFonts w:hint="eastAsia" w:ascii="宋体" w:hAnsi="宋体" w:eastAsia="宋体" w:cs="宋体"/>
          <w:b/>
          <w:bCs/>
          <w:color w:val="auto"/>
        </w:rPr>
        <w:t xml:space="preserve">一</w:t>
      </w:r>
      <w:r>
        <w:rPr>
          <w:rFonts w:ascii="宋体" w:hAnsi="宋体" w:eastAsia="宋体" w:cs="宋体"/>
          <w:b/>
          <w:bCs/>
          <w:color w:val="auto"/>
        </w:rPr>
        <w:t xml:space="preserve">）</w:t>
      </w:r>
      <w:r/>
    </w:p>
    <w:p>
      <w:pPr>
        <w:pStyle w:val="1176"/>
        <w:ind w:firstLine="480"/>
        <w:spacing w:after="361"/>
        <w:rPr>
          <w:color w:val="auto"/>
        </w:rPr>
      </w:pPr>
      <w:r>
        <w:rPr>
          <w:rFonts w:hint="eastAsia" w:ascii="宋体" w:hAnsi="宋体" w:eastAsia="宋体" w:cs="宋体"/>
          <w:color w:val="auto"/>
        </w:rPr>
        <w:t xml:space="preserve">张家港市市政服务中心</w:t>
      </w:r>
      <w:r>
        <w:rPr>
          <w:rFonts w:ascii="宋体" w:hAnsi="宋体" w:eastAsia="宋体" w:cs="宋体"/>
          <w:color w:val="auto"/>
        </w:rPr>
        <w:t xml:space="preserve">：</w:t>
      </w:r>
      <w:r/>
    </w:p>
    <w:p>
      <w:pPr>
        <w:pStyle w:val="1176"/>
        <w:ind w:firstLine="480"/>
        <w:jc w:val="both"/>
        <w:spacing w:after="361"/>
        <w:rPr>
          <w:rFonts w:hint="eastAsia" w:ascii="宋体" w:hAnsi="宋体" w:eastAsia="宋体" w:cs="宋体"/>
          <w:color w:val="auto"/>
        </w:rPr>
      </w:pPr>
      <w:r>
        <w:rPr>
          <w:rFonts w:ascii="宋体" w:hAnsi="宋体" w:eastAsia="宋体" w:cs="宋体"/>
          <w:color w:val="auto"/>
        </w:rPr>
        <w:t xml:space="preserve">在</w:t>
      </w:r>
      <w:r>
        <w:rPr>
          <w:rFonts w:hint="eastAsia" w:ascii="宋体" w:hAnsi="宋体" w:eastAsia="宋体" w:cs="宋体"/>
          <w:color w:val="auto"/>
        </w:rPr>
        <w:t xml:space="preserve">张家港市市政服务中心杨新公路-西二环快速化改造照明项目</w:t>
      </w:r>
      <w:r/>
    </w:p>
    <w:p>
      <w:pPr>
        <w:pStyle w:val="1176"/>
        <w:ind w:firstLine="480"/>
        <w:jc w:val="both"/>
        <w:spacing w:after="361"/>
        <w:rPr>
          <w:color w:val="auto"/>
        </w:rPr>
      </w:pPr>
      <w:r>
        <w:rPr>
          <w:rFonts w:ascii="宋体" w:hAnsi="宋体" w:eastAsia="宋体" w:cs="宋体"/>
          <w:color w:val="auto"/>
        </w:rPr>
        <w:t xml:space="preserve">（</w:t>
      </w:r>
      <w:r>
        <w:rPr>
          <w:rFonts w:ascii="宋体" w:hAnsi="宋体" w:eastAsia="宋体" w:cs="宋体"/>
          <w:color w:val="auto"/>
          <w:u w:val="single"/>
        </w:rPr>
        <w:t xml:space="preserve">         </w:t>
      </w:r>
      <w:r>
        <w:rPr>
          <w:rFonts w:ascii="宋体" w:hAnsi="宋体" w:eastAsia="宋体" w:cs="宋体"/>
          <w:color w:val="auto"/>
        </w:rPr>
        <w:t xml:space="preserve">号招标文件）采购过程中，根据招标文件规定，现承诺：</w:t>
      </w:r>
      <w:r/>
    </w:p>
    <w:p>
      <w:pPr>
        <w:pStyle w:val="1176"/>
        <w:ind w:firstLine="480"/>
        <w:jc w:val="both"/>
        <w:spacing w:after="361"/>
        <w:rPr>
          <w:color w:val="auto"/>
        </w:rPr>
      </w:pPr>
      <w:r>
        <w:rPr>
          <w:rFonts w:ascii="宋体" w:hAnsi="宋体" w:eastAsia="宋体" w:cs="宋体"/>
          <w:color w:val="auto"/>
        </w:rPr>
        <w:t xml:space="preserve">若有幸中标，我单位保证按照招标文件要求承诺备品备件在</w:t>
      </w:r>
      <w:r>
        <w:rPr>
          <w:rFonts w:hint="eastAsia" w:ascii="宋体" w:hAnsi="宋体" w:eastAsia="宋体" w:cs="宋体"/>
          <w:color w:val="auto"/>
        </w:rPr>
        <w:t xml:space="preserve">验收</w:t>
      </w:r>
      <w:r>
        <w:rPr>
          <w:rFonts w:ascii="宋体" w:hAnsi="宋体" w:eastAsia="宋体" w:cs="宋体"/>
          <w:color w:val="auto"/>
        </w:rPr>
        <w:t xml:space="preserve">后30个工作日内进仓库。</w:t>
      </w:r>
      <w:r>
        <w:rPr>
          <w:rFonts w:ascii="宋体" w:hAnsi="宋体" w:eastAsia="宋体" w:cs="宋体"/>
          <w:b/>
          <w:bCs/>
          <w:color w:val="auto"/>
        </w:rPr>
        <w:t xml:space="preserve"> </w:t>
      </w:r>
      <w:r/>
    </w:p>
    <w:p>
      <w:pPr>
        <w:pStyle w:val="1176"/>
        <w:spacing w:line="440" w:lineRule="exact"/>
        <w:rPr>
          <w:color w:val="auto"/>
        </w:rPr>
      </w:pPr>
      <w:r>
        <w:rPr>
          <w:rFonts w:ascii="宋体" w:hAnsi="宋体" w:eastAsia="宋体" w:cs="宋体"/>
          <w:color w:val="auto"/>
        </w:rPr>
        <w:t xml:space="preserve">投标单位（公章）：</w:t>
      </w:r>
      <w:r>
        <w:rPr>
          <w:rFonts w:ascii="宋体" w:hAnsi="宋体" w:eastAsia="宋体" w:cs="宋体"/>
          <w:color w:val="auto"/>
          <w:u w:val="single"/>
        </w:rPr>
        <w:t xml:space="preserve">                        </w:t>
      </w:r>
      <w:r/>
    </w:p>
    <w:p>
      <w:pPr>
        <w:pStyle w:val="1176"/>
        <w:ind w:firstLine="2040"/>
        <w:jc w:val="both"/>
        <w:spacing w:line="840" w:lineRule="atLeast"/>
        <w:rPr>
          <w:rFonts w:hint="eastAsia" w:ascii="宋体" w:hAnsi="宋体" w:eastAsia="宋体" w:cs="宋体"/>
          <w:b/>
          <w:bCs/>
          <w:color w:val="auto"/>
        </w:rPr>
      </w:pPr>
      <w:r>
        <w:rPr>
          <w:rFonts w:ascii="宋体" w:hAnsi="宋体" w:eastAsia="宋体" w:cs="宋体"/>
          <w:color w:val="auto"/>
        </w:rPr>
        <w:t xml:space="preserve">二○二</w:t>
      </w:r>
      <w:r>
        <w:rPr>
          <w:rFonts w:hint="eastAsia" w:ascii="宋体" w:hAnsi="宋体" w:eastAsia="宋体" w:cs="宋体"/>
          <w:color w:val="auto"/>
        </w:rPr>
        <w:t xml:space="preserve">六</w:t>
      </w:r>
      <w:r>
        <w:rPr>
          <w:rFonts w:ascii="宋体" w:hAnsi="宋体" w:eastAsia="宋体" w:cs="宋体"/>
          <w:color w:val="auto"/>
        </w:rPr>
        <w:t xml:space="preserve">年</w:t>
      </w:r>
      <w:r>
        <w:rPr>
          <w:rFonts w:ascii="宋体" w:hAnsi="宋体" w:eastAsia="宋体" w:cs="宋体"/>
          <w:color w:val="auto"/>
          <w:u w:val="single"/>
        </w:rPr>
        <w:t xml:space="preserve">    </w:t>
      </w:r>
      <w:r>
        <w:rPr>
          <w:rFonts w:ascii="宋体" w:hAnsi="宋体" w:eastAsia="宋体" w:cs="宋体"/>
          <w:color w:val="auto"/>
        </w:rPr>
        <w:t xml:space="preserve">月</w:t>
      </w:r>
      <w:r>
        <w:rPr>
          <w:rFonts w:ascii="宋体" w:hAnsi="宋体" w:eastAsia="宋体" w:cs="宋体"/>
          <w:color w:val="auto"/>
          <w:u w:val="single"/>
        </w:rPr>
        <w:t xml:space="preserve">    </w:t>
      </w:r>
      <w:r>
        <w:rPr>
          <w:rFonts w:ascii="宋体" w:hAnsi="宋体" w:eastAsia="宋体" w:cs="宋体"/>
          <w:color w:val="auto"/>
        </w:rPr>
        <w:t xml:space="preserve">日</w:t>
      </w:r>
      <w:r/>
    </w:p>
    <w:p>
      <w:pPr>
        <w:pStyle w:val="1176"/>
        <w:ind w:firstLine="723"/>
        <w:jc w:val="both"/>
        <w:spacing w:before="240" w:after="240"/>
        <w:rPr>
          <w:rFonts w:hint="eastAsia" w:ascii="宋体" w:hAnsi="宋体" w:eastAsia="宋体" w:cs="宋体"/>
          <w:b/>
          <w:bCs/>
          <w:color w:val="auto"/>
        </w:rPr>
      </w:pPr>
      <w:r>
        <w:rPr>
          <w:rFonts w:hint="eastAsia" w:ascii="宋体" w:hAnsi="宋体" w:eastAsia="宋体" w:cs="宋体"/>
          <w:b/>
          <w:bCs/>
          <w:color w:val="auto"/>
        </w:rPr>
      </w:r>
      <w:r/>
    </w:p>
    <w:p>
      <w:pPr>
        <w:pStyle w:val="1176"/>
        <w:ind w:firstLine="723"/>
        <w:jc w:val="center"/>
        <w:spacing w:before="240" w:after="240"/>
        <w:rPr>
          <w:color w:val="auto"/>
        </w:rPr>
      </w:pPr>
      <w:r>
        <w:rPr>
          <w:rFonts w:ascii="宋体" w:hAnsi="宋体" w:eastAsia="宋体" w:cs="宋体"/>
          <w:b/>
          <w:bCs/>
          <w:color w:val="auto"/>
        </w:rPr>
        <w:t xml:space="preserve">承 诺 书（格式</w:t>
      </w:r>
      <w:r>
        <w:rPr>
          <w:rFonts w:hint="eastAsia" w:ascii="宋体" w:hAnsi="宋体" w:eastAsia="宋体" w:cs="宋体"/>
          <w:b/>
          <w:bCs/>
          <w:color w:val="auto"/>
        </w:rPr>
        <w:t xml:space="preserve">二</w:t>
      </w:r>
      <w:r>
        <w:rPr>
          <w:rFonts w:ascii="宋体" w:hAnsi="宋体" w:eastAsia="宋体" w:cs="宋体"/>
          <w:b/>
          <w:bCs/>
          <w:color w:val="auto"/>
        </w:rPr>
        <w:t xml:space="preserve">）</w:t>
      </w:r>
      <w:r/>
    </w:p>
    <w:p>
      <w:pPr>
        <w:pStyle w:val="1176"/>
        <w:ind w:firstLine="2527"/>
        <w:jc w:val="both"/>
        <w:spacing w:before="240" w:after="240"/>
        <w:rPr>
          <w:color w:val="auto"/>
        </w:rPr>
      </w:pPr>
      <w:r>
        <w:rPr>
          <w:rFonts w:ascii="宋体" w:hAnsi="宋体" w:eastAsia="宋体" w:cs="宋体"/>
          <w:b/>
          <w:bCs/>
          <w:color w:val="auto"/>
        </w:rPr>
        <w:t xml:space="preserve"> </w:t>
      </w:r>
      <w:r/>
    </w:p>
    <w:p>
      <w:pPr>
        <w:pStyle w:val="1176"/>
        <w:ind w:firstLine="480"/>
        <w:spacing w:after="361"/>
        <w:rPr>
          <w:color w:val="auto"/>
        </w:rPr>
      </w:pPr>
      <w:r>
        <w:rPr>
          <w:rFonts w:ascii="宋体" w:hAnsi="宋体" w:eastAsia="宋体" w:cs="宋体"/>
          <w:color w:val="auto"/>
        </w:rPr>
        <w:t xml:space="preserve">张家港市市政服务中心：</w:t>
      </w:r>
      <w:r/>
    </w:p>
    <w:p>
      <w:pPr>
        <w:pStyle w:val="1176"/>
        <w:ind w:firstLine="480"/>
        <w:spacing w:after="361"/>
        <w:rPr>
          <w:rFonts w:hint="eastAsia" w:ascii="宋体" w:hAnsi="宋体" w:eastAsia="宋体" w:cs="宋体"/>
          <w:color w:val="auto"/>
        </w:rPr>
      </w:pPr>
      <w:r>
        <w:rPr>
          <w:rFonts w:ascii="宋体" w:hAnsi="宋体" w:eastAsia="宋体" w:cs="宋体"/>
          <w:color w:val="auto"/>
        </w:rPr>
        <w:t xml:space="preserve">在</w:t>
      </w:r>
      <w:r>
        <w:rPr>
          <w:rFonts w:hint="eastAsia" w:ascii="宋体" w:hAnsi="宋体" w:eastAsia="宋体" w:cs="宋体"/>
          <w:color w:val="auto"/>
        </w:rPr>
        <w:t xml:space="preserve">张家港市市政服务中心杨新公路-西二环快速化改造照明项目</w:t>
      </w:r>
      <w:r/>
    </w:p>
    <w:p>
      <w:pPr>
        <w:pStyle w:val="1176"/>
        <w:ind w:firstLine="480"/>
        <w:spacing w:after="361"/>
        <w:rPr>
          <w:rFonts w:hint="eastAsia" w:ascii="宋体" w:hAnsi="宋体" w:eastAsia="宋体" w:cs="宋体"/>
          <w:color w:val="auto"/>
        </w:rPr>
      </w:pPr>
      <w:r>
        <w:rPr>
          <w:rFonts w:hint="eastAsia" w:ascii="宋体" w:hAnsi="宋体" w:eastAsia="宋体" w:cs="宋体"/>
          <w:color w:val="auto"/>
        </w:rPr>
        <w:t xml:space="preserve"> </w:t>
      </w:r>
      <w:r>
        <w:rPr>
          <w:rFonts w:ascii="宋体" w:hAnsi="宋体" w:eastAsia="宋体" w:cs="宋体"/>
          <w:color w:val="auto"/>
        </w:rPr>
        <w:t xml:space="preserve">（</w:t>
      </w:r>
      <w:r>
        <w:rPr>
          <w:rFonts w:ascii="宋体" w:hAnsi="宋体" w:eastAsia="宋体" w:cs="宋体"/>
          <w:color w:val="auto"/>
          <w:u w:val="single"/>
        </w:rPr>
        <w:t xml:space="preserve">         </w:t>
      </w:r>
      <w:r>
        <w:rPr>
          <w:rFonts w:ascii="宋体" w:hAnsi="宋体" w:eastAsia="宋体" w:cs="宋体"/>
          <w:color w:val="auto"/>
        </w:rPr>
        <w:t xml:space="preserve">号招标文件）采购过程中，根据招标文件规定，现承诺：</w:t>
      </w:r>
      <w:r/>
    </w:p>
    <w:p>
      <w:pPr>
        <w:pStyle w:val="1137"/>
        <w:ind w:firstLine="480"/>
        <w:spacing w:after="361"/>
        <w:rPr>
          <w:rFonts w:hint="eastAsia" w:ascii="宋体" w:hAnsi="宋体" w:eastAsia="宋体"/>
          <w:color w:val="auto"/>
          <w:szCs w:val="22"/>
          <w:highlight w:val="none"/>
        </w:rPr>
      </w:pPr>
      <w:r>
        <w:rPr>
          <w:rFonts w:ascii="宋体" w:hAnsi="宋体" w:eastAsia="宋体" w:cs="宋体"/>
          <w:color w:val="auto"/>
        </w:rPr>
        <w:t xml:space="preserve">若有幸中标，我单位承诺</w:t>
      </w:r>
      <w:r>
        <w:rPr>
          <w:rFonts w:hint="eastAsia" w:ascii="宋体" w:hAnsi="宋体" w:eastAsia="宋体" w:cs="宋体"/>
          <w:color w:val="auto"/>
        </w:rPr>
        <w:t xml:space="preserve">在贰年免费质保期内，如果出现技术问题或故障，我单位在2小时以内响应，8小时内完成采购方提出的维修要求，如在8小时内不能解决问题，免费用同样品牌、规格或更高的部件更换到位，如需更换设备或送修，在3个工作日内解决，否则采购方有权自行采取必要的措施，由此产生的风险和费用由我单位承担。</w:t>
      </w:r>
      <w:r>
        <w:rPr>
          <w:rFonts w:hint="eastAsia" w:ascii="宋体" w:hAnsi="宋体" w:eastAsia="宋体"/>
          <w:color w:val="auto"/>
          <w:szCs w:val="22"/>
        </w:rPr>
        <w:t xml:space="preserve">在质保期内，我单</w:t>
      </w:r>
      <w:r>
        <w:rPr>
          <w:rFonts w:hint="eastAsia" w:ascii="宋体" w:hAnsi="宋体" w:eastAsia="宋体"/>
          <w:color w:val="auto"/>
          <w:szCs w:val="22"/>
          <w:highlight w:val="none"/>
        </w:rPr>
        <w:t xml:space="preserve">位服务人员配备和设备如下：</w:t>
      </w:r>
      <w:r/>
    </w:p>
    <w:p>
      <w:pPr>
        <w:pStyle w:val="935"/>
        <w:spacing w:after="361" w:line="240" w:lineRule="auto"/>
        <w:rPr>
          <w:rFonts w:hint="eastAsia"/>
          <w:color w:val="auto"/>
          <w:highlight w:val="none"/>
        </w:rPr>
      </w:pPr>
      <w:r>
        <w:rPr>
          <w:rFonts w:hint="eastAsia"/>
          <w:color w:val="auto"/>
          <w:highlight w:val="none"/>
        </w:rPr>
        <w:t xml:space="preserve">（1）实行24小时人员值班制，每班配备人员6人（负责人1人、维护工2人）并配备集控巡查人员1人，高压操作电工待命1人，高空作业</w:t>
      </w:r>
      <w:r>
        <w:rPr>
          <w:rFonts w:hint="eastAsia"/>
          <w:color w:val="auto"/>
          <w:highlight w:val="none"/>
          <w:lang w:eastAsia="zh-CN"/>
        </w:rPr>
        <w:t xml:space="preserve">人</w:t>
      </w:r>
      <w:r>
        <w:rPr>
          <w:rFonts w:hint="eastAsia"/>
          <w:color w:val="auto"/>
          <w:highlight w:val="none"/>
        </w:rPr>
        <w:t xml:space="preserve">员1人。</w:t>
      </w:r>
      <w:r/>
    </w:p>
    <w:p>
      <w:pPr>
        <w:pStyle w:val="935"/>
        <w:spacing w:after="361" w:line="240" w:lineRule="auto"/>
        <w:rPr>
          <w:rFonts w:hint="eastAsia"/>
          <w:color w:val="auto"/>
        </w:rPr>
      </w:pPr>
      <w:r>
        <w:rPr>
          <w:rFonts w:hint="eastAsia"/>
          <w:color w:val="auto"/>
        </w:rPr>
        <w:t xml:space="preserve">（2）配备用于本项目设施维护的机械设备，如高空抢修作业车、防撞缓冲车、维修巡检车辆及相应的电工工具等交张家港市</w:t>
      </w:r>
      <w:r>
        <w:rPr>
          <w:rFonts w:hint="eastAsia" w:cs="宋体"/>
          <w:color w:val="auto"/>
        </w:rPr>
        <w:t xml:space="preserve">市政服务中心</w:t>
      </w:r>
      <w:r>
        <w:rPr>
          <w:rFonts w:hint="eastAsia"/>
          <w:color w:val="auto"/>
        </w:rPr>
        <w:t xml:space="preserve">管理。</w:t>
      </w:r>
      <w:r/>
    </w:p>
    <w:p>
      <w:pPr>
        <w:pStyle w:val="935"/>
        <w:spacing w:after="361" w:line="240" w:lineRule="auto"/>
        <w:rPr>
          <w:rFonts w:hint="eastAsia"/>
          <w:color w:val="auto"/>
        </w:rPr>
      </w:pPr>
      <w:r>
        <w:rPr>
          <w:rFonts w:hint="eastAsia"/>
          <w:color w:val="auto"/>
        </w:rPr>
        <w:t xml:space="preserve">（3）我单位道路照明设施维护工作人员实行岗位责任制，工作人员持证上岗且保持稳定，熟悉所本项目道路照明设施供电、控制、线路等相关情况，作业时统一着装并配备必要的安全防护用品，能按操作规程进行维护作业。</w:t>
      </w:r>
      <w:r/>
    </w:p>
    <w:p>
      <w:pPr>
        <w:pStyle w:val="1176"/>
        <w:spacing w:before="240" w:after="240" w:line="840" w:lineRule="atLeast"/>
        <w:rPr>
          <w:color w:val="auto"/>
        </w:rPr>
      </w:pPr>
      <w:r>
        <w:rPr>
          <w:rFonts w:ascii="宋体" w:hAnsi="宋体" w:eastAsia="宋体" w:cs="宋体"/>
          <w:color w:val="auto"/>
        </w:rPr>
        <w:t xml:space="preserve">投标单位（公章）：</w:t>
      </w:r>
      <w:r>
        <w:rPr>
          <w:rFonts w:ascii="宋体" w:hAnsi="宋体" w:eastAsia="宋体" w:cs="宋体"/>
          <w:color w:val="auto"/>
          <w:u w:val="single"/>
        </w:rPr>
        <w:t xml:space="preserve">                        </w:t>
      </w:r>
      <w:r/>
    </w:p>
    <w:p>
      <w:pPr>
        <w:pStyle w:val="1176"/>
        <w:ind w:firstLine="2040"/>
        <w:jc w:val="both"/>
        <w:spacing w:before="240" w:after="240" w:line="840" w:lineRule="atLeast"/>
        <w:rPr>
          <w:rFonts w:hint="eastAsia" w:ascii="宋体" w:hAnsi="宋体" w:eastAsia="宋体" w:cs="宋体"/>
          <w:b/>
          <w:bCs/>
          <w:color w:val="auto"/>
        </w:rPr>
      </w:pPr>
      <w:r>
        <w:rPr>
          <w:rFonts w:ascii="宋体" w:hAnsi="宋体" w:eastAsia="宋体" w:cs="宋体"/>
          <w:color w:val="auto"/>
        </w:rPr>
        <w:t xml:space="preserve">二○二</w:t>
      </w:r>
      <w:r>
        <w:rPr>
          <w:rFonts w:hint="eastAsia" w:ascii="宋体" w:hAnsi="宋体" w:eastAsia="宋体" w:cs="宋体"/>
          <w:color w:val="auto"/>
        </w:rPr>
        <w:t xml:space="preserve">六</w:t>
      </w:r>
      <w:r>
        <w:rPr>
          <w:rFonts w:ascii="宋体" w:hAnsi="宋体" w:eastAsia="宋体" w:cs="宋体"/>
          <w:color w:val="auto"/>
        </w:rPr>
        <w:t xml:space="preserve">年</w:t>
      </w:r>
      <w:r>
        <w:rPr>
          <w:rFonts w:ascii="宋体" w:hAnsi="宋体" w:eastAsia="宋体" w:cs="宋体"/>
          <w:color w:val="auto"/>
          <w:u w:val="single"/>
        </w:rPr>
        <w:t xml:space="preserve">    </w:t>
      </w:r>
      <w:r>
        <w:rPr>
          <w:rFonts w:ascii="宋体" w:hAnsi="宋体" w:eastAsia="宋体" w:cs="宋体"/>
          <w:color w:val="auto"/>
        </w:rPr>
        <w:t xml:space="preserve">月</w:t>
      </w:r>
      <w:r>
        <w:rPr>
          <w:rFonts w:ascii="宋体" w:hAnsi="宋体" w:eastAsia="宋体" w:cs="宋体"/>
          <w:color w:val="auto"/>
          <w:u w:val="single"/>
        </w:rPr>
        <w:t xml:space="preserve">    </w:t>
      </w:r>
      <w:r>
        <w:rPr>
          <w:rFonts w:ascii="宋体" w:hAnsi="宋体" w:eastAsia="宋体" w:cs="宋体"/>
          <w:color w:val="auto"/>
        </w:rPr>
        <w:t xml:space="preserve">日</w:t>
      </w:r>
      <w:r/>
    </w:p>
    <w:p>
      <w:pPr>
        <w:pStyle w:val="1176"/>
        <w:ind w:firstLine="723"/>
        <w:jc w:val="center"/>
        <w:spacing w:before="240" w:after="240"/>
        <w:rPr>
          <w:rFonts w:hint="eastAsia" w:ascii="宋体" w:hAnsi="宋体" w:eastAsia="宋体" w:cs="宋体"/>
          <w:b/>
          <w:bCs/>
          <w:color w:val="auto"/>
        </w:rPr>
      </w:pPr>
      <w:r>
        <w:rPr>
          <w:rFonts w:hint="eastAsia" w:ascii="宋体" w:hAnsi="宋体" w:eastAsia="宋体" w:cs="宋体"/>
          <w:b/>
          <w:bCs/>
          <w:color w:val="auto"/>
        </w:rPr>
      </w:r>
      <w:r/>
    </w:p>
    <w:p>
      <w:pPr>
        <w:pStyle w:val="1176"/>
        <w:ind w:left="0" w:firstLine="0"/>
        <w:jc w:val="center"/>
        <w:spacing w:before="240" w:after="240"/>
        <w:rPr>
          <w:color w:val="auto"/>
        </w:rPr>
      </w:pPr>
      <w:r>
        <w:rPr>
          <w:rFonts w:ascii="宋体" w:hAnsi="宋体" w:eastAsia="宋体" w:cs="宋体"/>
          <w:b/>
          <w:bCs/>
          <w:color w:val="auto"/>
        </w:rPr>
        <w:t xml:space="preserve">承诺书（格式</w:t>
      </w:r>
      <w:r>
        <w:rPr>
          <w:rFonts w:hint="eastAsia" w:ascii="宋体" w:hAnsi="宋体" w:eastAsia="宋体" w:cs="宋体"/>
          <w:b/>
          <w:bCs/>
          <w:color w:val="auto"/>
        </w:rPr>
        <w:t xml:space="preserve">三</w:t>
      </w:r>
      <w:r>
        <w:rPr>
          <w:rFonts w:ascii="宋体" w:hAnsi="宋体" w:eastAsia="宋体" w:cs="宋体"/>
          <w:b/>
          <w:bCs/>
          <w:color w:val="auto"/>
        </w:rPr>
        <w:t xml:space="preserve">）</w:t>
      </w:r>
      <w:r/>
    </w:p>
    <w:p>
      <w:pPr>
        <w:pStyle w:val="1176"/>
        <w:ind w:firstLine="2527"/>
        <w:jc w:val="both"/>
        <w:spacing w:before="240" w:after="240"/>
        <w:rPr>
          <w:color w:val="auto"/>
        </w:rPr>
      </w:pPr>
      <w:r>
        <w:rPr>
          <w:rFonts w:ascii="宋体" w:hAnsi="宋体" w:eastAsia="宋体" w:cs="宋体"/>
          <w:b/>
          <w:bCs/>
          <w:color w:val="auto"/>
        </w:rPr>
        <w:t xml:space="preserve"> </w:t>
      </w:r>
      <w:r/>
    </w:p>
    <w:p>
      <w:pPr>
        <w:pStyle w:val="1176"/>
        <w:spacing w:line="440" w:lineRule="exact"/>
        <w:rPr>
          <w:color w:val="auto"/>
        </w:rPr>
      </w:pPr>
      <w:r>
        <w:rPr>
          <w:rFonts w:hint="eastAsia" w:ascii="宋体" w:hAnsi="宋体" w:eastAsia="宋体" w:cs="宋体"/>
          <w:color w:val="auto"/>
        </w:rPr>
        <w:t xml:space="preserve">张家港市市政服务中心</w:t>
      </w:r>
      <w:r>
        <w:rPr>
          <w:rFonts w:ascii="宋体" w:hAnsi="宋体" w:eastAsia="宋体" w:cs="宋体"/>
          <w:color w:val="auto"/>
        </w:rPr>
        <w:t xml:space="preserve">：</w:t>
      </w:r>
      <w:r/>
    </w:p>
    <w:p>
      <w:pPr>
        <w:pStyle w:val="1176"/>
        <w:ind w:firstLine="482"/>
        <w:jc w:val="both"/>
        <w:spacing w:line="440" w:lineRule="exact"/>
        <w:rPr>
          <w:rFonts w:hint="eastAsia" w:ascii="宋体" w:hAnsi="宋体" w:eastAsia="宋体" w:cs="宋体"/>
          <w:color w:val="auto"/>
        </w:rPr>
      </w:pPr>
      <w:r>
        <w:rPr>
          <w:rFonts w:ascii="宋体" w:hAnsi="宋体" w:eastAsia="宋体" w:cs="宋体"/>
          <w:color w:val="auto"/>
        </w:rPr>
        <w:t xml:space="preserve">在</w:t>
      </w:r>
      <w:r>
        <w:rPr>
          <w:rFonts w:hint="eastAsia" w:ascii="宋体" w:hAnsi="宋体" w:eastAsia="宋体" w:cs="宋体"/>
          <w:color w:val="auto"/>
        </w:rPr>
        <w:t xml:space="preserve">张家港市市政服务中心杨新公路-西二环快速化改造照明项目</w:t>
      </w:r>
      <w:r/>
    </w:p>
    <w:p>
      <w:pPr>
        <w:pStyle w:val="1176"/>
        <w:ind w:firstLine="482"/>
        <w:jc w:val="both"/>
        <w:spacing w:line="440" w:lineRule="exact"/>
        <w:rPr>
          <w:color w:val="auto"/>
        </w:rPr>
      </w:pPr>
      <w:r>
        <w:rPr>
          <w:rFonts w:ascii="宋体" w:hAnsi="宋体" w:eastAsia="宋体" w:cs="宋体"/>
          <w:color w:val="auto"/>
        </w:rPr>
        <w:t xml:space="preserve">（</w:t>
      </w:r>
      <w:r>
        <w:rPr>
          <w:rFonts w:ascii="宋体" w:hAnsi="宋体" w:eastAsia="宋体" w:cs="宋体"/>
          <w:color w:val="auto"/>
          <w:u w:val="single"/>
        </w:rPr>
        <w:t xml:space="preserve">         </w:t>
      </w:r>
      <w:r>
        <w:rPr>
          <w:rFonts w:ascii="宋体" w:hAnsi="宋体" w:eastAsia="宋体" w:cs="宋体"/>
          <w:color w:val="auto"/>
        </w:rPr>
        <w:t xml:space="preserve">号招标文件）采购过程中，根据招标文件规定，现承诺：</w:t>
      </w:r>
      <w:r/>
    </w:p>
    <w:p>
      <w:pPr>
        <w:pStyle w:val="1177"/>
        <w:ind w:firstLine="240"/>
        <w:jc w:val="both"/>
        <w:spacing w:line="400" w:lineRule="atLeast"/>
        <w:rPr>
          <w:rFonts w:hint="eastAsia" w:ascii="宋体" w:hAnsi="宋体" w:eastAsia="宋体" w:cs="宋体"/>
          <w:color w:val="auto"/>
        </w:rPr>
      </w:pPr>
      <w:r>
        <w:rPr>
          <w:rFonts w:hint="eastAsia" w:ascii="宋体" w:hAnsi="宋体" w:eastAsia="宋体" w:cs="宋体"/>
          <w:color w:val="auto"/>
        </w:rPr>
        <w:t xml:space="preserve">（1）竣工验收后</w:t>
      </w:r>
      <w:r>
        <w:rPr>
          <w:rFonts w:hint="eastAsia"/>
          <w:color w:val="auto"/>
        </w:rPr>
        <w:t xml:space="preserve">LED</w:t>
      </w:r>
      <w:r>
        <w:rPr>
          <w:rFonts w:hint="eastAsia" w:ascii="宋体" w:hAnsi="宋体" w:eastAsia="宋体" w:cs="宋体"/>
          <w:color w:val="auto"/>
        </w:rPr>
        <w:t xml:space="preserve">照明产品运行十年内</w:t>
      </w:r>
      <w:r>
        <w:rPr>
          <w:rFonts w:ascii="宋体" w:hAnsi="宋体" w:eastAsia="宋体" w:cs="宋体"/>
          <w:color w:val="auto"/>
        </w:rPr>
        <w:t xml:space="preserve">，</w:t>
      </w:r>
      <w:r>
        <w:rPr>
          <w:rFonts w:hint="eastAsia" w:ascii="宋体" w:hAnsi="宋体" w:eastAsia="宋体" w:cs="宋体"/>
          <w:color w:val="auto"/>
        </w:rPr>
        <w:t xml:space="preserve">由于灯具的光衰造成的照明质量不满足快速路的国家相关标准，我公司无条件整改，并承担灯具材料、维修人工、运费等一切费用。</w:t>
      </w:r>
      <w:r/>
    </w:p>
    <w:p>
      <w:pPr>
        <w:pStyle w:val="1176"/>
        <w:ind w:firstLine="240"/>
        <w:jc w:val="both"/>
        <w:spacing w:line="440" w:lineRule="exact"/>
        <w:rPr>
          <w:color w:val="auto"/>
        </w:rPr>
      </w:pPr>
      <w:r>
        <w:rPr>
          <w:rFonts w:hint="eastAsia" w:eastAsia="宋体"/>
          <w:color w:val="auto"/>
        </w:rPr>
        <w:t xml:space="preserve">（2）</w:t>
      </w:r>
      <w:r>
        <w:rPr>
          <w:rFonts w:hint="eastAsia" w:ascii="宋体" w:hAnsi="宋体" w:eastAsia="宋体" w:cs="宋体"/>
          <w:color w:val="auto"/>
        </w:rPr>
        <w:t xml:space="preserve">竣工验收后十年内</w:t>
      </w:r>
      <w:r>
        <w:rPr>
          <w:rFonts w:hint="eastAsia"/>
          <w:color w:val="auto"/>
        </w:rPr>
        <w:t xml:space="preserve">如因LED照明产品光衰导致道路照明</w:t>
      </w:r>
      <w:r>
        <w:rPr>
          <w:rFonts w:hint="eastAsia" w:eastAsia="宋体"/>
          <w:color w:val="auto"/>
        </w:rPr>
        <w:t xml:space="preserve">不符合国家快速路照明标准</w:t>
      </w:r>
      <w:r>
        <w:rPr>
          <w:rFonts w:hint="eastAsia"/>
          <w:color w:val="auto"/>
        </w:rPr>
        <w:t xml:space="preserve">，在此期间引起的交通事故索赔都由</w:t>
      </w:r>
      <w:r>
        <w:rPr>
          <w:rFonts w:hint="eastAsia" w:eastAsia="宋体"/>
          <w:color w:val="auto"/>
        </w:rPr>
        <w:t xml:space="preserve">我单位</w:t>
      </w:r>
      <w:r>
        <w:rPr>
          <w:rFonts w:hint="eastAsia"/>
          <w:color w:val="auto"/>
        </w:rPr>
        <w:t xml:space="preserve">承担。</w:t>
      </w:r>
      <w:r>
        <w:rPr>
          <w:rFonts w:ascii="宋体" w:hAnsi="宋体" w:eastAsia="宋体" w:cs="宋体"/>
          <w:b/>
          <w:bCs/>
          <w:color w:val="auto"/>
        </w:rPr>
        <w:t xml:space="preserve"> </w:t>
      </w:r>
      <w:r/>
    </w:p>
    <w:p>
      <w:pPr>
        <w:pStyle w:val="1176"/>
        <w:spacing w:line="440" w:lineRule="exact"/>
        <w:rPr>
          <w:rFonts w:hint="eastAsia" w:ascii="宋体" w:hAnsi="宋体" w:eastAsia="宋体" w:cs="宋体"/>
          <w:color w:val="auto"/>
        </w:rPr>
      </w:pPr>
      <w:r>
        <w:rPr>
          <w:rFonts w:hint="eastAsia" w:ascii="宋体" w:hAnsi="宋体" w:eastAsia="宋体" w:cs="宋体"/>
          <w:color w:val="auto"/>
        </w:rPr>
      </w:r>
      <w:r/>
    </w:p>
    <w:p>
      <w:pPr>
        <w:pStyle w:val="1176"/>
        <w:ind w:firstLine="480"/>
        <w:spacing w:line="440" w:lineRule="exact"/>
        <w:rPr>
          <w:color w:val="auto"/>
        </w:rPr>
      </w:pPr>
      <w:r>
        <w:rPr>
          <w:rFonts w:ascii="宋体" w:hAnsi="宋体" w:eastAsia="宋体" w:cs="宋体"/>
          <w:color w:val="auto"/>
        </w:rPr>
        <w:t xml:space="preserve">投标单位（公章）：</w:t>
      </w:r>
      <w:r>
        <w:rPr>
          <w:rFonts w:ascii="宋体" w:hAnsi="宋体" w:eastAsia="宋体" w:cs="宋体"/>
          <w:color w:val="auto"/>
          <w:u w:val="single"/>
        </w:rPr>
        <w:t xml:space="preserve">                        </w:t>
      </w:r>
      <w:r/>
    </w:p>
    <w:p>
      <w:pPr>
        <w:pStyle w:val="1176"/>
        <w:ind w:firstLine="2040"/>
        <w:jc w:val="both"/>
        <w:spacing w:line="840" w:lineRule="atLeast"/>
        <w:rPr>
          <w:rFonts w:hint="eastAsia" w:ascii="宋体" w:hAnsi="宋体" w:eastAsia="宋体" w:cs="宋体"/>
          <w:b/>
          <w:bCs/>
          <w:color w:val="auto"/>
        </w:rPr>
      </w:pPr>
      <w:r>
        <w:rPr>
          <w:rFonts w:ascii="宋体" w:hAnsi="宋体" w:eastAsia="宋体" w:cs="宋体"/>
          <w:color w:val="auto"/>
        </w:rPr>
        <w:t xml:space="preserve">二○二</w:t>
      </w:r>
      <w:r>
        <w:rPr>
          <w:rFonts w:hint="eastAsia" w:ascii="宋体" w:hAnsi="宋体" w:eastAsia="宋体" w:cs="宋体"/>
          <w:color w:val="auto"/>
        </w:rPr>
        <w:t xml:space="preserve">六</w:t>
      </w:r>
      <w:r>
        <w:rPr>
          <w:rFonts w:ascii="宋体" w:hAnsi="宋体" w:eastAsia="宋体" w:cs="宋体"/>
          <w:color w:val="auto"/>
        </w:rPr>
        <w:t xml:space="preserve">年</w:t>
      </w:r>
      <w:r>
        <w:rPr>
          <w:rFonts w:ascii="宋体" w:hAnsi="宋体" w:eastAsia="宋体" w:cs="宋体"/>
          <w:color w:val="auto"/>
          <w:u w:val="single"/>
        </w:rPr>
        <w:t xml:space="preserve">    </w:t>
      </w:r>
      <w:r>
        <w:rPr>
          <w:rFonts w:ascii="宋体" w:hAnsi="宋体" w:eastAsia="宋体" w:cs="宋体"/>
          <w:color w:val="auto"/>
        </w:rPr>
        <w:t xml:space="preserve">月</w:t>
      </w:r>
      <w:r>
        <w:rPr>
          <w:rFonts w:ascii="宋体" w:hAnsi="宋体" w:eastAsia="宋体" w:cs="宋体"/>
          <w:color w:val="auto"/>
          <w:u w:val="single"/>
        </w:rPr>
        <w:t xml:space="preserve">    </w:t>
      </w:r>
      <w:r>
        <w:rPr>
          <w:rFonts w:ascii="宋体" w:hAnsi="宋体" w:eastAsia="宋体" w:cs="宋体"/>
          <w:color w:val="auto"/>
        </w:rPr>
        <w:t xml:space="preserve">日</w:t>
      </w:r>
      <w:r/>
    </w:p>
    <w:p>
      <w:pPr>
        <w:pStyle w:val="1137"/>
        <w:spacing w:line="440" w:lineRule="exact"/>
        <w:rPr>
          <w:rStyle w:val="1087"/>
          <w:rFonts w:hint="eastAsia" w:ascii="宋体" w:hAnsi="宋体" w:eastAsia="宋体" w:cs="宋体"/>
          <w:iCs/>
          <w:color w:val="auto"/>
          <w:spacing w:val="7"/>
        </w:rPr>
      </w:pPr>
      <w:r>
        <w:rPr>
          <w:rFonts w:hint="eastAsia" w:ascii="宋体" w:hAnsi="宋体" w:eastAsia="宋体" w:cs="宋体"/>
          <w:iCs/>
          <w:color w:val="auto"/>
          <w:spacing w:val="7"/>
        </w:rPr>
      </w:r>
      <w:r/>
    </w:p>
    <w:p>
      <w:pPr>
        <w:numPr>
          <w:ilvl w:val="0"/>
          <w:numId w:val="2"/>
        </w:numPr>
        <w:jc w:val="center"/>
        <w:pageBreakBefore/>
        <w:spacing w:after="20" w:line="480" w:lineRule="exact"/>
        <w:rPr>
          <w:rFonts w:hint="eastAsia" w:ascii="宋体" w:hAnsi="宋体" w:cs="宋体"/>
          <w:b/>
          <w:bCs/>
          <w:color w:val="auto"/>
          <w:sz w:val="32"/>
          <w:szCs w:val="32"/>
        </w:rPr>
        <w:outlineLvl w:val="0"/>
      </w:pPr>
      <w:r/>
      <w:bookmarkStart w:id="193" w:name="_Toc19739"/>
      <w:r/>
      <w:bookmarkStart w:id="194" w:name="_Toc10684"/>
      <w:r/>
      <w:bookmarkStart w:id="195" w:name="_Toc28789"/>
      <w:r/>
      <w:bookmarkStart w:id="196" w:name="_Toc5716"/>
      <w:r/>
      <w:bookmarkStart w:id="197" w:name="_Toc20749"/>
      <w:r/>
      <w:bookmarkStart w:id="198" w:name="_Toc21635"/>
      <w:r/>
      <w:bookmarkStart w:id="199" w:name="_Toc256000013"/>
      <w:r>
        <w:rPr>
          <w:rFonts w:hint="eastAsia" w:ascii="宋体" w:hAnsi="宋体" w:cs="宋体"/>
          <w:b/>
          <w:bCs/>
          <w:color w:val="auto"/>
          <w:sz w:val="32"/>
          <w:szCs w:val="32"/>
        </w:rPr>
        <w:t xml:space="preserve">评标方法与评标标准</w:t>
      </w:r>
      <w:bookmarkEnd w:id="193"/>
      <w:r/>
      <w:bookmarkEnd w:id="194"/>
      <w:r/>
      <w:bookmarkEnd w:id="195"/>
      <w:r/>
      <w:bookmarkEnd w:id="196"/>
      <w:r/>
      <w:bookmarkEnd w:id="197"/>
      <w:r/>
      <w:bookmarkEnd w:id="198"/>
      <w:r/>
      <w:r/>
    </w:p>
    <w:p>
      <w:pPr>
        <w:numPr>
          <w:ilvl w:val="0"/>
          <w:numId w:val="13"/>
        </w:numPr>
        <w:ind w:firstLine="482"/>
        <w:jc w:val="left"/>
        <w:widowControl/>
        <w:rPr>
          <w:rFonts w:hint="eastAsia" w:ascii="宋体" w:hAnsi="宋体" w:cs="宋体"/>
          <w:b/>
          <w:bCs/>
          <w:color w:val="auto"/>
          <w:sz w:val="24"/>
          <w:lang w:bidi="ar"/>
        </w:rPr>
        <w:outlineLvl w:val="1"/>
      </w:pPr>
      <w:r/>
      <w:bookmarkStart w:id="200" w:name="_Toc13020"/>
      <w:r/>
      <w:bookmarkStart w:id="201" w:name="_Toc27727"/>
      <w:r/>
      <w:bookmarkStart w:id="202" w:name="_Toc2578"/>
      <w:r>
        <w:rPr>
          <w:rFonts w:hint="eastAsia" w:ascii="宋体" w:hAnsi="宋体" w:cs="宋体"/>
          <w:b/>
          <w:bCs/>
          <w:color w:val="auto"/>
          <w:sz w:val="24"/>
          <w:lang w:bidi="ar"/>
        </w:rPr>
        <w:t xml:space="preserve">评标方法与定标原则</w:t>
      </w:r>
      <w:bookmarkEnd w:id="200"/>
      <w:r/>
      <w:bookmarkEnd w:id="201"/>
      <w:r/>
      <w:bookmarkEnd w:id="202"/>
      <w:r>
        <w:rPr>
          <w:rFonts w:hint="eastAsia" w:ascii="宋体" w:hAnsi="宋体" w:cs="宋体"/>
          <w:b/>
          <w:bCs/>
          <w:color w:val="auto"/>
          <w:sz w:val="24"/>
          <w:lang w:bidi="ar"/>
        </w:rPr>
        <w:t xml:space="preserve"> </w:t>
      </w:r>
      <w:r/>
    </w:p>
    <w:p>
      <w:pPr>
        <w:numPr>
          <w:ilvl w:val="0"/>
          <w:numId w:val="14"/>
        </w:numPr>
        <w:ind w:firstLine="480"/>
        <w:jc w:val="left"/>
        <w:widowControl/>
        <w:rPr>
          <w:rFonts w:hint="eastAsia" w:ascii="宋体" w:hAnsi="宋体" w:cs="宋体"/>
          <w:color w:val="auto"/>
          <w:sz w:val="24"/>
          <w:lang w:bidi="ar"/>
        </w:rPr>
      </w:pPr>
      <w:r>
        <w:rPr>
          <w:rFonts w:hint="eastAsia" w:ascii="宋体" w:hAnsi="宋体" w:cs="宋体"/>
          <w:color w:val="auto"/>
          <w:sz w:val="24"/>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14"/>
        </w:numPr>
        <w:ind w:firstLine="480"/>
        <w:jc w:val="left"/>
        <w:widowControl/>
        <w:rPr>
          <w:rFonts w:hint="eastAsia" w:ascii="宋体" w:hAnsi="宋体" w:cs="宋体"/>
          <w:color w:val="auto"/>
          <w:sz w:val="24"/>
          <w:lang w:bidi="ar"/>
        </w:rPr>
      </w:pPr>
      <w:r>
        <w:rPr>
          <w:rFonts w:hint="eastAsia" w:ascii="宋体" w:hAnsi="宋体" w:cs="宋体"/>
          <w:color w:val="auto"/>
          <w:sz w:val="24"/>
          <w:lang w:bidi="ar"/>
        </w:rPr>
        <w:t xml:space="preserve">针对中小型企业的评审：</w:t>
      </w:r>
      <w:r/>
    </w:p>
    <w:p>
      <w:pPr>
        <w:pStyle w:val="1123"/>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本项目为面向中小企业预留采购份额项目，不再执行价格评审优惠的扶持政策。</w:t>
      </w:r>
      <w:r/>
    </w:p>
    <w:p>
      <w:pPr>
        <w:pStyle w:val="1123"/>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投标人若进行分包，应提供分包意向协议（详见第</w:t>
      </w:r>
      <w:r>
        <w:rPr>
          <w:rFonts w:hint="eastAsia" w:cs="Times New Roman"/>
          <w:color w:val="auto"/>
          <w:highlight w:val="none"/>
          <w:lang w:val="en-US" w:eastAsia="zh-CN"/>
        </w:rPr>
        <w:t xml:space="preserve">六</w:t>
      </w:r>
      <w:r>
        <w:rPr>
          <w:rFonts w:hint="eastAsia" w:ascii="Times New Roman" w:hAnsi="Times New Roman" w:eastAsia="Times New Roman" w:cs="Times New Roman"/>
          <w:color w:val="auto"/>
          <w:highlight w:val="none"/>
          <w:lang w:eastAsia="zh-CN"/>
        </w:rPr>
        <w:t xml:space="preserve">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pStyle w:val="1123"/>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投标人若未进行分包，应提供《中小企业声明函》或《残疾人福利性单位声明函》或省级以上监狱管理局、戒毒管理局（含新疆生产建设兵团）出具的属于监狱企业的证明文件。</w:t>
      </w:r>
      <w:r/>
    </w:p>
    <w:p>
      <w:pPr>
        <w:pStyle w:val="1123"/>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注：</w:t>
      </w:r>
      <w:r/>
    </w:p>
    <w:p>
      <w:pPr>
        <w:pStyle w:val="1123"/>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①填报“中小企业声明函”需严格按“工信部联企业〔2011〕300号通知中的《中小企业划型标准规定》进行。</w:t>
      </w:r>
      <w:r/>
    </w:p>
    <w:p>
      <w:pPr>
        <w:pStyle w:val="1123"/>
        <w:ind w:firstLine="500"/>
        <w:spacing w:line="440" w:lineRule="exact"/>
        <w:rPr>
          <w:rFonts w:hint="eastAsia" w:ascii="Times New Roman" w:hAnsi="Times New Roman" w:eastAsia="Times New Roman" w:cs="Times New Roman"/>
          <w:color w:val="auto"/>
          <w:highlight w:val="none"/>
          <w:lang w:eastAsia="zh-CN"/>
        </w:rPr>
      </w:pPr>
      <w:r>
        <w:rPr>
          <w:rFonts w:hint="eastAsia" w:ascii="Times New Roman" w:hAnsi="Times New Roman" w:eastAsia="Times New Roman" w:cs="Times New Roman"/>
          <w:color w:val="auto"/>
          <w:highlight w:val="none"/>
          <w:lang w:eastAsia="zh-CN"/>
        </w:rPr>
        <w:t xml:space="preserve">②若供应商提供的声明函或认定证明为虚假材料，按“政府采购法”相关规定处理并报请政府监管部门给予行政处罚。</w:t>
      </w:r>
      <w:r/>
    </w:p>
    <w:p>
      <w:pPr>
        <w:pStyle w:val="1122"/>
        <w:ind w:firstLine="510"/>
        <w:spacing w:line="440" w:lineRule="exact"/>
        <w:rPr>
          <w:rFonts w:hint="eastAsia" w:ascii="宋体" w:hAnsi="宋体" w:eastAsia="宋体" w:cs="宋体"/>
          <w:color w:val="auto"/>
          <w:spacing w:val="7"/>
        </w:rPr>
      </w:pPr>
      <w:r>
        <w:rPr>
          <w:rFonts w:hint="eastAsia" w:ascii="宋体" w:hAnsi="宋体" w:eastAsia="宋体" w:cs="宋体"/>
          <w:color w:val="auto"/>
          <w:spacing w:val="7"/>
        </w:rPr>
        <w:t xml:space="preserve">3、采购本国产品的支持政策 </w:t>
      </w:r>
      <w:r/>
    </w:p>
    <w:p>
      <w:pPr>
        <w:pStyle w:val="1122"/>
        <w:ind w:firstLine="508"/>
        <w:spacing w:line="440" w:lineRule="exact"/>
        <w:rPr>
          <w:rFonts w:eastAsia="宋体"/>
          <w:color w:val="auto"/>
          <w:spacing w:val="7"/>
        </w:rPr>
      </w:pPr>
      <w:r>
        <w:rPr>
          <w:rFonts w:hint="eastAsia" w:eastAsia="宋体"/>
          <w:color w:val="auto"/>
          <w:spacing w:val="7"/>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1122"/>
        <w:ind w:firstLine="508"/>
        <w:spacing w:line="440" w:lineRule="exact"/>
        <w:rPr>
          <w:rFonts w:eastAsia="宋体"/>
          <w:color w:val="auto"/>
          <w:spacing w:val="7"/>
        </w:rPr>
      </w:pPr>
      <w:r>
        <w:rPr>
          <w:rFonts w:hint="eastAsia" w:eastAsia="宋体"/>
          <w:color w:val="auto"/>
          <w:spacing w:val="7"/>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22"/>
        <w:ind w:firstLine="508"/>
        <w:spacing w:line="440" w:lineRule="exact"/>
        <w:rPr>
          <w:rFonts w:eastAsia="宋体"/>
          <w:color w:val="auto"/>
          <w:spacing w:val="7"/>
        </w:rPr>
      </w:pPr>
      <w:r>
        <w:rPr>
          <w:rFonts w:hint="eastAsia" w:eastAsia="宋体"/>
          <w:color w:val="auto"/>
          <w:spacing w:val="7"/>
        </w:rPr>
        <w:t xml:space="preserve">（3）供应商需按照招标文件的要求提供《关于符合本国产品标准的声明函》（以下简称《声明函》），如不提供将不享受本国产品价格评审优惠。</w:t>
      </w:r>
      <w:r/>
    </w:p>
    <w:p>
      <w:pPr>
        <w:pStyle w:val="1122"/>
        <w:ind w:firstLine="508"/>
        <w:spacing w:line="440" w:lineRule="exact"/>
        <w:rPr>
          <w:rFonts w:eastAsia="宋体"/>
          <w:color w:val="auto"/>
          <w:spacing w:val="7"/>
        </w:rPr>
      </w:pPr>
      <w:r>
        <w:rPr>
          <w:rFonts w:hint="eastAsia" w:eastAsia="宋体"/>
          <w:color w:val="auto"/>
          <w:spacing w:val="7"/>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22"/>
        <w:ind w:firstLine="508"/>
        <w:spacing w:line="440" w:lineRule="exact"/>
        <w:rPr>
          <w:rFonts w:eastAsia="宋体"/>
          <w:color w:val="auto"/>
          <w:spacing w:val="7"/>
        </w:rPr>
      </w:pPr>
      <w:r>
        <w:rPr>
          <w:rFonts w:hint="eastAsia" w:eastAsia="宋体"/>
          <w:color w:val="auto"/>
          <w:spacing w:val="7"/>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auto"/>
        </w:rPr>
      </w:pPr>
      <w:r>
        <w:rPr>
          <w:color w:val="auto"/>
        </w:rPr>
      </w:r>
      <w:r/>
    </w:p>
    <w:p>
      <w:pPr>
        <w:numPr>
          <w:ilvl w:val="0"/>
          <w:numId w:val="15"/>
        </w:numPr>
        <w:ind w:firstLine="560"/>
        <w:jc w:val="left"/>
        <w:widowControl/>
        <w:rPr>
          <w:rFonts w:hint="eastAsia" w:ascii="宋体" w:hAnsi="宋体" w:cs="宋体"/>
          <w:b/>
          <w:bCs/>
          <w:color w:val="auto"/>
          <w:sz w:val="24"/>
          <w:lang w:bidi="ar"/>
        </w:rPr>
        <w:outlineLvl w:val="1"/>
      </w:pPr>
      <w:r/>
      <w:bookmarkStart w:id="203" w:name="_Toc31274"/>
      <w:r/>
      <w:bookmarkStart w:id="204" w:name="_Toc7152"/>
      <w:r/>
      <w:bookmarkStart w:id="205" w:name="_Toc28093"/>
      <w:r>
        <w:rPr>
          <w:rFonts w:hint="eastAsia" w:ascii="宋体" w:hAnsi="宋体" w:cs="宋体"/>
          <w:b/>
          <w:bCs/>
          <w:color w:val="auto"/>
          <w:sz w:val="24"/>
          <w:lang w:bidi="ar"/>
        </w:rPr>
        <w:t xml:space="preserve">评标标准</w:t>
      </w:r>
      <w:bookmarkEnd w:id="203"/>
      <w:r/>
      <w:bookmarkEnd w:id="204"/>
      <w:r/>
      <w:bookmarkEnd w:id="205"/>
      <w:r>
        <w:rPr>
          <w:rFonts w:hint="eastAsia" w:ascii="宋体" w:hAnsi="宋体" w:cs="宋体"/>
          <w:b/>
          <w:bCs/>
          <w:color w:val="auto"/>
          <w:sz w:val="24"/>
          <w:lang w:bidi="ar"/>
        </w:rPr>
        <w:t xml:space="preserve"> </w:t>
      </w:r>
      <w:r/>
    </w:p>
    <w:p>
      <w:pPr>
        <w:ind w:firstLine="510"/>
        <w:jc w:val="left"/>
        <w:spacing w:line="400" w:lineRule="exact"/>
        <w:rPr>
          <w:rStyle w:val="1163"/>
          <w:rFonts w:hint="eastAsia" w:ascii="宋体" w:hAnsi="宋体" w:cs="宋体"/>
          <w:b/>
          <w:bCs/>
          <w:color w:val="auto"/>
          <w:spacing w:val="7"/>
          <w:sz w:val="24"/>
        </w:rPr>
      </w:pPr>
      <w:r/>
      <w:bookmarkStart w:id="206" w:name="_Toc2526"/>
      <w:r>
        <w:rPr>
          <w:rStyle w:val="1163"/>
          <w:rFonts w:hint="eastAsia" w:ascii="宋体" w:hAnsi="宋体" w:cs="宋体"/>
          <w:b/>
          <w:bCs/>
          <w:color w:val="auto"/>
          <w:spacing w:val="7"/>
          <w:sz w:val="24"/>
        </w:rPr>
        <w:t xml:space="preserve">1、价格分30分</w:t>
      </w:r>
      <w:bookmarkEnd w:id="206"/>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采用低价优先法计算，即满足招标文件要求且投标价格最低的投标价为评标基准价，其价格分为满分30分。其它投标人的价格分统一按照下列公式计算：</w:t>
      </w:r>
      <w:r/>
    </w:p>
    <w:p>
      <w:pPr>
        <w:ind w:firstLine="480"/>
        <w:spacing w:line="400" w:lineRule="exact"/>
        <w:rPr>
          <w:rFonts w:hint="eastAsia" w:ascii="宋体" w:hAnsi="宋体" w:cs="宋体"/>
          <w:color w:val="auto"/>
          <w:sz w:val="24"/>
        </w:rPr>
      </w:pPr>
      <w:r>
        <w:rPr>
          <w:rFonts w:hint="eastAsia" w:ascii="宋体" w:hAnsi="宋体" w:cs="宋体"/>
          <w:color w:val="auto"/>
          <w:sz w:val="24"/>
        </w:rPr>
        <w:t xml:space="preserve">投标报价得分=（评标基准价/投标报价）*30%*100（保留二位小数）。</w:t>
      </w:r>
      <w:r/>
    </w:p>
    <w:p>
      <w:pPr>
        <w:ind w:firstLine="510"/>
        <w:jc w:val="left"/>
        <w:spacing w:line="400" w:lineRule="exact"/>
        <w:rPr>
          <w:rStyle w:val="1163"/>
          <w:rFonts w:hint="eastAsia" w:ascii="宋体" w:hAnsi="宋体" w:cs="宋体"/>
          <w:b/>
          <w:bCs/>
          <w:color w:val="auto"/>
          <w:spacing w:val="7"/>
          <w:sz w:val="24"/>
        </w:rPr>
      </w:pPr>
      <w:r>
        <w:rPr>
          <w:rStyle w:val="1163"/>
          <w:rFonts w:hint="eastAsia" w:ascii="宋体" w:hAnsi="宋体" w:cs="宋体"/>
          <w:b/>
          <w:bCs/>
          <w:color w:val="auto"/>
          <w:spacing w:val="7"/>
          <w:sz w:val="24"/>
        </w:rPr>
        <w:t xml:space="preserve">2、技术方案分</w:t>
      </w:r>
      <w:r>
        <w:rPr>
          <w:rStyle w:val="1163"/>
          <w:rFonts w:hint="eastAsia" w:ascii="宋体" w:hAnsi="宋体" w:cs="宋体"/>
          <w:b/>
          <w:bCs/>
          <w:color w:val="auto"/>
          <w:spacing w:val="7"/>
          <w:sz w:val="24"/>
          <w:lang w:val="en-US" w:eastAsia="zh-CN"/>
        </w:rPr>
        <w:t xml:space="preserve">13</w:t>
      </w:r>
      <w:r>
        <w:rPr>
          <w:rStyle w:val="1163"/>
          <w:rFonts w:hint="eastAsia" w:ascii="宋体" w:hAnsi="宋体" w:cs="宋体"/>
          <w:b/>
          <w:bCs/>
          <w:color w:val="auto"/>
          <w:spacing w:val="7"/>
          <w:sz w:val="24"/>
        </w:rPr>
        <w:t xml:space="preserve">分</w:t>
      </w:r>
      <w:r/>
    </w:p>
    <w:p>
      <w:pPr>
        <w:pStyle w:val="1123"/>
        <w:ind w:firstLine="51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 项目实施方案 4分</w:t>
      </w:r>
      <w:r/>
    </w:p>
    <w:p>
      <w:pPr>
        <w:pStyle w:val="1123"/>
        <w:ind w:firstLine="508"/>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单位对本项目提供的项目实施方案（方案内容包括但不限于对本项目的理解、重点难点分析、与其他专业对接、预防措施及解决方案等方面）进行综合评审，方案全部包含以上内容且完全满足项目需求的得4分；方案内有部分内容缺少或部分内容无实质性意义的得3分；方案内容简略且基本无实质性意义的得1分；未提供方案说明的不得分。【0/1/3/4】</w:t>
      </w:r>
      <w:r/>
    </w:p>
    <w:p>
      <w:pPr>
        <w:pStyle w:val="1123"/>
        <w:ind w:firstLine="51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 质量保证措施3分</w:t>
      </w:r>
      <w:r/>
    </w:p>
    <w:p>
      <w:pPr>
        <w:pStyle w:val="1123"/>
        <w:ind w:firstLine="508"/>
        <w:spacing w:line="400" w:lineRule="exact"/>
        <w:rPr>
          <w:rFonts w:hint="eastAsia" w:ascii="宋体" w:hAnsi="宋体" w:eastAsia="宋体" w:cs="宋体"/>
          <w:color w:val="auto"/>
          <w:sz w:val="24"/>
          <w:szCs w:val="24"/>
          <w:highlight w:val="none"/>
          <w:lang w:val="en-US" w:eastAsia="zh-CN" w:bidi="ar-SA"/>
        </w:rPr>
      </w:pPr>
      <w:r/>
      <w:bookmarkStart w:id="207" w:name="OLE_LINK12"/>
      <w:r>
        <w:rPr>
          <w:rFonts w:hint="eastAsia" w:ascii="宋体" w:hAnsi="宋体" w:eastAsia="宋体" w:cs="宋体"/>
          <w:color w:val="auto"/>
          <w:sz w:val="24"/>
          <w:szCs w:val="24"/>
          <w:lang w:val="en-US" w:eastAsia="zh-CN" w:bidi="ar-SA"/>
        </w:rPr>
        <w:t xml:space="preserve">根据投标单位针对本项目提供的质量保证措施方案，方案包括但不限于质量管理体系、质量控制（质量控制方案涵盖灯具、灯杆、材料、安装等质量控制的所有关键点）、质控人员配备、材料进场质控等方面进行综合评审，方案完全包含上述内容且完全满足项目需求的</w:t>
      </w:r>
      <w:r>
        <w:rPr>
          <w:rFonts w:hint="eastAsia" w:ascii="宋体" w:hAnsi="宋体" w:eastAsia="宋体" w:cs="宋体"/>
          <w:color w:val="auto"/>
          <w:sz w:val="24"/>
          <w:szCs w:val="24"/>
          <w:highlight w:val="none"/>
          <w:lang w:val="en-US" w:eastAsia="zh-CN" w:bidi="ar-SA"/>
        </w:rPr>
        <w:t xml:space="preserve">得3分；方案内有部分内容缺少或部分内容无实质性意义的得2分；方案内容简略且基本无实质性意义的得1分；未提供方案说明的不得分。【0/1/2/3】</w:t>
      </w:r>
      <w:bookmarkEnd w:id="207"/>
      <w:r/>
      <w:r/>
    </w:p>
    <w:p>
      <w:pPr>
        <w:ind w:firstLine="51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2.3应急保障方案 3分 </w:t>
      </w:r>
      <w:r/>
    </w:p>
    <w:p>
      <w:pPr>
        <w:ind w:firstLine="508"/>
        <w:jc w:val="left"/>
        <w:spacing w:line="400" w:lineRule="exact"/>
        <w:rPr>
          <w:rFonts w:hint="eastAsia" w:ascii="宋体" w:hAnsi="宋体" w:eastAsia="宋体" w:cs="宋体"/>
          <w:color w:val="auto"/>
          <w:sz w:val="24"/>
          <w:szCs w:val="24"/>
          <w:highlight w:val="none"/>
          <w:lang w:val="en-US" w:eastAsia="zh-CN" w:bidi="ar-SA"/>
        </w:rPr>
      </w:pPr>
      <w:r/>
      <w:bookmarkStart w:id="208" w:name="OLE_LINK13"/>
      <w:r>
        <w:rPr>
          <w:rFonts w:hint="eastAsia" w:ascii="宋体" w:hAnsi="宋体" w:eastAsia="宋体" w:cs="宋体"/>
          <w:color w:val="auto"/>
          <w:sz w:val="24"/>
          <w:szCs w:val="24"/>
          <w:highlight w:val="none"/>
          <w:lang w:val="en-US" w:eastAsia="zh-CN" w:bidi="ar-SA"/>
        </w:rPr>
        <w:t xml:space="preserve">根据投标单位提供的应急保障方案（应急保障方案包括但不限于人员及团队保障、应急维护保障、应急供电到位保障、应急物资保障等方面）进行综合评审方案全部包含以上内容且完全满足项目需求的得3分；方案内有部分内容缺少或部分内容无实质性意义的得2分，方案内容简略且基本无实质性意义的得1分,未提供方案说明的不得分。【0/1/2/3】</w:t>
      </w:r>
      <w:bookmarkEnd w:id="208"/>
      <w:r/>
      <w:r/>
    </w:p>
    <w:p>
      <w:pPr>
        <w:ind w:firstLine="510"/>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 售后服务方案3分</w:t>
      </w:r>
      <w:r/>
    </w:p>
    <w:p>
      <w:pPr>
        <w:ind w:firstLine="508"/>
        <w:jc w:val="left"/>
        <w:spacing w:line="400" w:lineRule="exact"/>
        <w:rPr>
          <w:rStyle w:val="1178"/>
          <w:rFonts w:hint="eastAsia" w:ascii="宋体" w:hAnsi="宋体" w:cs="宋体"/>
          <w:color w:val="auto"/>
          <w:spacing w:val="7"/>
          <w:sz w:val="24"/>
          <w:highlight w:val="none"/>
        </w:rPr>
      </w:pPr>
      <w:r/>
      <w:bookmarkStart w:id="209" w:name="OLE_LINK15"/>
      <w:r>
        <w:rPr>
          <w:rStyle w:val="1178"/>
          <w:rFonts w:hint="eastAsia" w:ascii="宋体" w:hAnsi="宋体" w:cs="宋体"/>
          <w:color w:val="auto"/>
          <w:spacing w:val="7"/>
          <w:sz w:val="24"/>
          <w:highlight w:val="none"/>
        </w:rPr>
        <w:t xml:space="preserve">据投标</w:t>
      </w:r>
      <w:r>
        <w:rPr>
          <w:rStyle w:val="1178"/>
          <w:rFonts w:hint="eastAsia" w:ascii="宋体" w:hAnsi="宋体" w:cs="宋体"/>
          <w:color w:val="auto"/>
          <w:spacing w:val="7"/>
          <w:sz w:val="24"/>
          <w:highlight w:val="none"/>
          <w:lang w:val="en-US" w:eastAsia="zh-CN"/>
        </w:rPr>
        <w:t xml:space="preserve">单位</w:t>
      </w:r>
      <w:r>
        <w:rPr>
          <w:rStyle w:val="1178"/>
          <w:rFonts w:hint="eastAsia" w:ascii="宋体" w:hAnsi="宋体" w:cs="宋体"/>
          <w:color w:val="auto"/>
          <w:spacing w:val="7"/>
          <w:sz w:val="24"/>
          <w:highlight w:val="none"/>
        </w:rPr>
        <w:t xml:space="preserve">提供的针对本项目提出的售后服务方案进行评分，方案内应包含但不限于：人员配置、响应时间、服务备品备件配置、服务的具体工作方案及计划、维保内容及范围详细说明。方案完全包含上述内容且优于项目需求的得</w:t>
      </w:r>
      <w:r>
        <w:rPr>
          <w:rStyle w:val="1178"/>
          <w:rFonts w:hint="eastAsia" w:ascii="宋体" w:hAnsi="宋体" w:cs="宋体"/>
          <w:color w:val="auto"/>
          <w:spacing w:val="7"/>
          <w:sz w:val="24"/>
          <w:highlight w:val="none"/>
          <w:lang w:val="en-US" w:eastAsia="zh-CN"/>
        </w:rPr>
        <w:t xml:space="preserve">3</w:t>
      </w:r>
      <w:r>
        <w:rPr>
          <w:rStyle w:val="1178"/>
          <w:rFonts w:hint="eastAsia" w:ascii="宋体" w:hAnsi="宋体" w:cs="宋体"/>
          <w:color w:val="auto"/>
          <w:spacing w:val="7"/>
          <w:sz w:val="24"/>
          <w:highlight w:val="none"/>
        </w:rPr>
        <w:t xml:space="preserve">分；方案完全包含上述内容且满足项目需求的得2分；方案内容有部分缺失，但基本满足项目需求的得1分；不能满足项目需求或未提供的不得分。</w:t>
      </w:r>
      <w:bookmarkEnd w:id="209"/>
      <w:r>
        <w:rPr>
          <w:rFonts w:hint="eastAsia" w:ascii="宋体" w:hAnsi="宋体" w:eastAsia="宋体" w:cs="宋体"/>
          <w:color w:val="auto"/>
          <w:sz w:val="24"/>
          <w:szCs w:val="24"/>
          <w:highlight w:val="none"/>
          <w:lang w:val="en-US" w:eastAsia="zh-CN" w:bidi="ar-SA"/>
        </w:rPr>
        <w:t xml:space="preserve">【0/1/2/3】</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3、检测报告</w:t>
      </w:r>
      <w:r>
        <w:rPr>
          <w:rStyle w:val="1163"/>
          <w:rFonts w:hint="eastAsia" w:ascii="宋体" w:hAnsi="宋体" w:cs="宋体"/>
          <w:b/>
          <w:bCs/>
          <w:color w:val="auto"/>
          <w:spacing w:val="7"/>
          <w:sz w:val="24"/>
          <w:highlight w:val="none"/>
          <w:lang w:val="en-US" w:eastAsia="zh-CN"/>
        </w:rPr>
        <w:t xml:space="preserve">51</w:t>
      </w:r>
      <w:r>
        <w:rPr>
          <w:rStyle w:val="1163"/>
          <w:rFonts w:hint="eastAsia" w:ascii="宋体" w:hAnsi="宋体" w:cs="宋体"/>
          <w:b/>
          <w:bCs/>
          <w:color w:val="auto"/>
          <w:spacing w:val="7"/>
          <w:sz w:val="24"/>
          <w:highlight w:val="none"/>
        </w:rPr>
        <w:t xml:space="preserve">分</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1</w:t>
      </w:r>
      <w:r>
        <w:rPr>
          <w:rStyle w:val="1163"/>
          <w:rFonts w:hint="eastAsia" w:ascii="宋体" w:hAnsi="宋体" w:cs="宋体"/>
          <w:b/>
          <w:bCs/>
          <w:color w:val="auto"/>
          <w:spacing w:val="7"/>
          <w:sz w:val="24"/>
          <w:highlight w:val="none"/>
        </w:rPr>
        <w:t xml:space="preserve"> 灯杆盐雾测试 2分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灯杆应具备优异的抗腐蚀性，依据能在经历不小于500小时酸性盐雾环境下依旧保持优异的抗腐蚀性能：锌层厚度不小于85um、附着力在锤击试验后锌层无剥离无突起且锌层保护评级不低于7级。酸性盐雾试验应按照GB/T</w:t>
      </w:r>
      <w:r>
        <w:rPr>
          <w:rStyle w:val="1163"/>
          <w:rFonts w:hint="eastAsia" w:ascii="宋体" w:hAnsi="宋体" w:cs="宋体"/>
          <w:color w:val="auto"/>
          <w:spacing w:val="7"/>
          <w:sz w:val="24"/>
          <w:highlight w:val="none"/>
          <w:lang w:val="en-US"/>
        </w:rPr>
        <w:t xml:space="preserve"> </w:t>
      </w:r>
      <w:r>
        <w:rPr>
          <w:rStyle w:val="1163"/>
          <w:rFonts w:hint="eastAsia" w:ascii="宋体" w:hAnsi="宋体" w:cs="宋体"/>
          <w:color w:val="auto"/>
          <w:spacing w:val="7"/>
          <w:sz w:val="24"/>
          <w:highlight w:val="none"/>
        </w:rPr>
        <w:t xml:space="preserve">13912-2020《金属覆盖层钢铁制件热浸镀锌层技术要求及实验方法》、GB/T</w:t>
      </w:r>
      <w:r>
        <w:rPr>
          <w:rStyle w:val="1163"/>
          <w:rFonts w:hint="eastAsia" w:ascii="宋体" w:hAnsi="宋体" w:cs="宋体"/>
          <w:color w:val="auto"/>
          <w:spacing w:val="7"/>
          <w:sz w:val="24"/>
          <w:highlight w:val="none"/>
          <w:lang w:val="en-US"/>
        </w:rPr>
        <w:t xml:space="preserve"> </w:t>
      </w:r>
      <w:r>
        <w:rPr>
          <w:rStyle w:val="1163"/>
          <w:rFonts w:hint="eastAsia" w:ascii="宋体" w:hAnsi="宋体" w:cs="宋体"/>
          <w:color w:val="auto"/>
          <w:spacing w:val="7"/>
          <w:sz w:val="24"/>
          <w:highlight w:val="none"/>
        </w:rPr>
        <w:t xml:space="preserve">10125-2021《人造气氛腐蚀试验盐雾试验》、GB/T 4956《磁性基体上非磁性覆盖层</w:t>
      </w:r>
      <w:r>
        <w:rPr>
          <w:rStyle w:val="1163"/>
          <w:rFonts w:hint="eastAsia" w:ascii="宋体" w:hAnsi="宋体" w:cs="宋体"/>
          <w:color w:val="auto"/>
          <w:spacing w:val="7"/>
          <w:sz w:val="24"/>
          <w:highlight w:val="none"/>
          <w:lang w:val="en-US"/>
        </w:rPr>
        <w:t xml:space="preserve"> </w:t>
      </w:r>
      <w:r>
        <w:rPr>
          <w:rStyle w:val="1163"/>
          <w:rFonts w:hint="eastAsia" w:ascii="宋体" w:hAnsi="宋体" w:cs="宋体"/>
          <w:color w:val="auto"/>
          <w:spacing w:val="7"/>
          <w:sz w:val="24"/>
          <w:highlight w:val="none"/>
        </w:rPr>
        <w:t xml:space="preserve">覆盖层厚度测量</w:t>
      </w:r>
      <w:r>
        <w:rPr>
          <w:rStyle w:val="1163"/>
          <w:rFonts w:hint="eastAsia" w:ascii="宋体" w:hAnsi="宋体" w:cs="宋体"/>
          <w:color w:val="auto"/>
          <w:spacing w:val="7"/>
          <w:sz w:val="24"/>
          <w:highlight w:val="none"/>
          <w:lang w:val="en-US"/>
        </w:rPr>
        <w:t xml:space="preserve"> </w:t>
      </w:r>
      <w:r>
        <w:rPr>
          <w:rStyle w:val="1163"/>
          <w:rFonts w:hint="eastAsia" w:ascii="宋体" w:hAnsi="宋体" w:cs="宋体"/>
          <w:color w:val="auto"/>
          <w:spacing w:val="7"/>
          <w:sz w:val="24"/>
          <w:highlight w:val="none"/>
        </w:rPr>
        <w:t xml:space="preserve">磁性法》执行并进行评级：</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灯杆关键部件（法兰）在500小时酸性盐雾试验后满足要求的得0.5分。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灯杆关键部件（法兰）在1000小时酸性盐雾试验后满足要求的得1分。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灯杆关键部件（法兰）在2000小时酸性盐雾试验后满足要求的得2分。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本项不重复计分，最高得2分。</w:t>
      </w:r>
      <w:r/>
    </w:p>
    <w:p>
      <w:pPr>
        <w:ind w:firstLine="510"/>
        <w:jc w:val="left"/>
        <w:spacing w:line="400" w:lineRule="exact"/>
        <w:rPr>
          <w:rStyle w:val="1163"/>
          <w:rFonts w:hint="default" w:ascii="宋体" w:hAnsi="宋体" w:cs="宋体"/>
          <w:color w:val="auto"/>
          <w:spacing w:val="7"/>
          <w:sz w:val="24"/>
          <w:highlight w:val="none"/>
          <w:lang w:val="en-US"/>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提供由国家级检测机构出具的检测报告,报告需具有CMA和CNAS认证标志并支持二维码验真伪，不提供不得分。【</w:t>
      </w:r>
      <w:r>
        <w:rPr>
          <w:rStyle w:val="1163"/>
          <w:rFonts w:hint="eastAsia" w:ascii="宋体" w:hAnsi="宋体" w:cs="宋体"/>
          <w:color w:val="auto"/>
          <w:spacing w:val="7"/>
          <w:sz w:val="24"/>
          <w:highlight w:val="none"/>
          <w:lang w:val="en-US"/>
        </w:rPr>
        <w:t xml:space="preserve">0-2</w:t>
      </w:r>
      <w:r>
        <w:rPr>
          <w:rStyle w:val="1163"/>
          <w:rFonts w:hint="eastAsia" w:ascii="宋体" w:hAnsi="宋体" w:cs="宋体"/>
          <w:color w:val="auto"/>
          <w:spacing w:val="7"/>
          <w:sz w:val="24"/>
          <w:highlight w:val="none"/>
        </w:rPr>
        <w:t xml:space="preserve">】</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2</w:t>
      </w:r>
      <w:r>
        <w:rPr>
          <w:rStyle w:val="1163"/>
          <w:rFonts w:hint="eastAsia" w:ascii="宋体" w:hAnsi="宋体" w:cs="宋体"/>
          <w:b/>
          <w:bCs/>
          <w:color w:val="auto"/>
          <w:spacing w:val="7"/>
          <w:sz w:val="24"/>
          <w:highlight w:val="none"/>
        </w:rPr>
        <w:t xml:space="preserve">灯杆喷塑紫外老化测试 2分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灯杆塑层应具备优异的抗紫外老化能力，能在经历500小时紫外老化后依旧保持优异的硬度及附着力：老化测试后硬度不低于3H，且附着力不低于0级。紫外老化试验应按照GB/T 14522-2008《机械工业产品用塑料、涂料、橡胶材料人工气候老化试验方法荧光紫外灯》、GB/T 9286-2021《色漆和清漆 划格试验》、GB/T 13452.2-2008《色漆和清漆漆膜厚度的测定》、GB/T 6739《色漆和清漆铅笔法测定漆膜硬度》执行并进行评级：</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灯杆样块塑层在500小时紫外老化试验后满足要求的，得0.5分；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灯杆样块塑层在1000小时紫外老化试验后满足要求的，得1分；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灯杆样块塑层在3000小时紫外老化试验后满足要求的，得2分；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本项不重复计分，最高得2分。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提供由国家级检测机构出具的检测报告,报告需具有CMA和CNAS认证标志并支持二维码验真伪，不提供不得分。【</w:t>
      </w:r>
      <w:r>
        <w:rPr>
          <w:rStyle w:val="1163"/>
          <w:rFonts w:hint="eastAsia" w:ascii="宋体" w:hAnsi="宋体" w:cs="宋体"/>
          <w:color w:val="auto"/>
          <w:spacing w:val="7"/>
          <w:sz w:val="24"/>
          <w:highlight w:val="none"/>
          <w:lang w:val="en-US"/>
        </w:rPr>
        <w:t xml:space="preserve">0-2</w:t>
      </w:r>
      <w:r>
        <w:rPr>
          <w:rStyle w:val="1163"/>
          <w:rFonts w:hint="eastAsia" w:ascii="宋体" w:hAnsi="宋体" w:cs="宋体"/>
          <w:color w:val="auto"/>
          <w:spacing w:val="7"/>
          <w:sz w:val="24"/>
          <w:highlight w:val="none"/>
        </w:rPr>
        <w:t xml:space="preserve">】</w:t>
      </w:r>
      <w:r/>
    </w:p>
    <w:p>
      <w:pPr>
        <w:ind w:firstLine="510"/>
        <w:jc w:val="left"/>
        <w:spacing w:line="400" w:lineRule="exact"/>
        <w:rPr>
          <w:rStyle w:val="1163"/>
          <w:rFonts w:hint="eastAsia" w:ascii="宋体" w:hAnsi="宋体" w:eastAsia="宋体" w:cs="宋体"/>
          <w:b/>
          <w:bCs/>
          <w:color w:val="auto"/>
          <w:spacing w:val="7"/>
          <w:sz w:val="24"/>
          <w:highlight w:val="none"/>
        </w:rPr>
      </w:pPr>
      <w:r>
        <w:rPr>
          <w:rStyle w:val="1163"/>
          <w:rFonts w:hint="eastAsia" w:ascii="宋体" w:hAnsi="宋体" w:eastAsia="宋体" w:cs="宋体"/>
          <w:b/>
          <w:bCs/>
          <w:color w:val="auto"/>
          <w:spacing w:val="7"/>
          <w:sz w:val="24"/>
          <w:highlight w:val="none"/>
        </w:rPr>
        <w:t xml:space="preserve">3.</w:t>
      </w:r>
      <w:r>
        <w:rPr>
          <w:rStyle w:val="1163"/>
          <w:rFonts w:hint="eastAsia" w:ascii="宋体" w:hAnsi="宋体" w:eastAsia="宋体" w:cs="宋体"/>
          <w:b/>
          <w:bCs/>
          <w:color w:val="auto"/>
          <w:spacing w:val="7"/>
          <w:sz w:val="24"/>
          <w:highlight w:val="none"/>
          <w:lang w:val="en-US" w:eastAsia="zh-CN"/>
        </w:rPr>
        <w:t xml:space="preserve">3</w:t>
      </w:r>
      <w:r>
        <w:rPr>
          <w:rStyle w:val="1163"/>
          <w:rFonts w:hint="eastAsia" w:ascii="宋体" w:hAnsi="宋体" w:eastAsia="宋体" w:cs="宋体"/>
          <w:b/>
          <w:bCs/>
          <w:color w:val="auto"/>
          <w:spacing w:val="7"/>
          <w:sz w:val="24"/>
          <w:highlight w:val="none"/>
        </w:rPr>
        <w:t xml:space="preserve">灯杆碰撞测试（实车碰撞） 2分</w:t>
      </w:r>
      <w:r/>
    </w:p>
    <w:p>
      <w:pPr>
        <w:ind w:firstLine="510"/>
        <w:jc w:val="left"/>
        <w:spacing w:line="400" w:lineRule="exact"/>
        <w:rPr>
          <w:rStyle w:val="1163"/>
          <w:rFonts w:hint="eastAsia" w:ascii="宋体" w:hAnsi="宋体" w:eastAsia="宋体" w:cs="宋体"/>
          <w:color w:val="auto"/>
          <w:spacing w:val="7"/>
          <w:sz w:val="24"/>
          <w:highlight w:val="none"/>
        </w:rPr>
      </w:pPr>
      <w:r>
        <w:rPr>
          <w:rStyle w:val="1163"/>
          <w:rFonts w:hint="eastAsia" w:ascii="宋体" w:hAnsi="宋体" w:eastAsia="宋体" w:cs="宋体"/>
          <w:color w:val="auto"/>
          <w:spacing w:val="7"/>
          <w:sz w:val="24"/>
          <w:highlight w:val="none"/>
        </w:rPr>
        <w:t xml:space="preserve">灯杆应具备一定的防撞能力。在小客车以不低于65km/h的时速下90°撞击后，灯杆杆体应无断裂及明显裂痕；灯杆主要焊缝（法兰盘与主杆间的焊缝、主杆与悬臂法连之间的焊缝及棱杆纵向焊缝）应无断裂；灯头及横臂上挂载的设备应无脱落，检测办法应按照GA/T 1343-2016《防爆升降式阻车路障》执行并进行评定。</w:t>
      </w:r>
      <w:r/>
    </w:p>
    <w:p>
      <w:pPr>
        <w:ind w:firstLine="510"/>
        <w:jc w:val="left"/>
        <w:spacing w:line="400" w:lineRule="exact"/>
        <w:rPr>
          <w:rStyle w:val="1163"/>
          <w:rFonts w:hint="eastAsia" w:ascii="宋体" w:hAnsi="宋体" w:eastAsia="宋体" w:cs="宋体"/>
          <w:color w:val="auto"/>
          <w:spacing w:val="7"/>
          <w:sz w:val="24"/>
          <w:highlight w:val="none"/>
        </w:rPr>
      </w:pPr>
      <w:r>
        <w:rPr>
          <w:rStyle w:val="1163"/>
          <w:rFonts w:hint="eastAsia" w:ascii="宋体" w:hAnsi="宋体" w:eastAsia="宋体" w:cs="宋体"/>
          <w:color w:val="auto"/>
          <w:spacing w:val="7"/>
          <w:sz w:val="24"/>
          <w:highlight w:val="none"/>
          <w:lang w:val="en-US" w:eastAsia="zh-CN"/>
        </w:rPr>
        <w:t xml:space="preserve">投标文件中</w:t>
      </w:r>
      <w:r>
        <w:rPr>
          <w:rStyle w:val="1163"/>
          <w:rFonts w:hint="eastAsia" w:ascii="宋体" w:hAnsi="宋体" w:eastAsia="宋体" w:cs="宋体"/>
          <w:color w:val="auto"/>
          <w:spacing w:val="7"/>
          <w:sz w:val="24"/>
          <w:highlight w:val="none"/>
        </w:rPr>
        <w:t xml:space="preserve">提供由</w:t>
      </w:r>
      <w:r>
        <w:rPr>
          <w:rStyle w:val="1163"/>
          <w:rFonts w:hint="eastAsia" w:ascii="宋体" w:hAnsi="宋体" w:cs="宋体"/>
          <w:color w:val="auto"/>
          <w:spacing w:val="7"/>
          <w:sz w:val="24"/>
          <w:highlight w:val="none"/>
        </w:rPr>
        <w:t xml:space="preserve">国家级检测机构</w:t>
      </w:r>
      <w:r>
        <w:rPr>
          <w:rStyle w:val="1163"/>
          <w:rFonts w:hint="eastAsia" w:ascii="宋体" w:hAnsi="宋体" w:eastAsia="宋体" w:cs="宋体"/>
          <w:color w:val="auto"/>
          <w:spacing w:val="7"/>
          <w:sz w:val="24"/>
          <w:highlight w:val="none"/>
        </w:rPr>
        <w:t xml:space="preserve">出具的检测报告,报告需具有CMA和CNAS认证标志并支持二维码验真伪，不提供不得分。</w:t>
      </w:r>
      <w:r>
        <w:rPr>
          <w:rStyle w:val="1163"/>
          <w:rFonts w:hint="eastAsia" w:ascii="宋体" w:hAnsi="宋体" w:cs="宋体"/>
          <w:color w:val="auto"/>
          <w:spacing w:val="7"/>
          <w:sz w:val="24"/>
          <w:highlight w:val="none"/>
        </w:rPr>
        <w:t xml:space="preserve">【</w:t>
      </w:r>
      <w:r>
        <w:rPr>
          <w:rStyle w:val="1163"/>
          <w:rFonts w:hint="eastAsia" w:ascii="宋体" w:hAnsi="宋体" w:cs="宋体"/>
          <w:color w:val="auto"/>
          <w:spacing w:val="7"/>
          <w:sz w:val="24"/>
          <w:highlight w:val="none"/>
          <w:lang w:val="en-US"/>
        </w:rPr>
        <w:t xml:space="preserve">0-2</w:t>
      </w:r>
      <w:r>
        <w:rPr>
          <w:rStyle w:val="1163"/>
          <w:rFonts w:hint="eastAsia" w:ascii="宋体" w:hAnsi="宋体" w:cs="宋体"/>
          <w:color w:val="auto"/>
          <w:spacing w:val="7"/>
          <w:sz w:val="24"/>
          <w:highlight w:val="none"/>
        </w:rPr>
        <w:t xml:space="preserve">】</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4</w:t>
      </w:r>
      <w:r>
        <w:rPr>
          <w:rStyle w:val="1163"/>
          <w:rFonts w:hint="eastAsia" w:ascii="宋体" w:hAnsi="宋体" w:cs="宋体"/>
          <w:b/>
          <w:bCs/>
          <w:color w:val="auto"/>
          <w:spacing w:val="7"/>
          <w:sz w:val="24"/>
          <w:highlight w:val="none"/>
        </w:rPr>
        <w:t xml:space="preserve"> 灯具光通维持率测试8分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LED灯具依据国标GB/T 9468-2008 《灯具分布光度测量的一般要求》和IES LM-79-19 《固态照明产品光学和电气测量方法》的标准，通过实验室实测6000小时，光通维持率≥98%的得1分；通过实验室实测10000小时，光通维持率≥98%的得2分；通过实验室实测20000小时，光通维持率≥98%的3分；通过实验室实测25000小时，光通维持率≥98%的5分；通过实验室实验室实测30000小时，光通维持率≥98%的得8分；本项不重复计分，最高得8分。【</w:t>
      </w:r>
      <w:r>
        <w:rPr>
          <w:rStyle w:val="1163"/>
          <w:rFonts w:hint="eastAsia" w:ascii="宋体" w:hAnsi="宋体" w:cs="宋体"/>
          <w:color w:val="auto"/>
          <w:spacing w:val="7"/>
          <w:sz w:val="24"/>
          <w:highlight w:val="none"/>
          <w:lang w:val="en-US"/>
        </w:rPr>
        <w:t xml:space="preserve">0-8</w:t>
      </w:r>
      <w:r>
        <w:rPr>
          <w:rStyle w:val="1163"/>
          <w:rFonts w:hint="eastAsia" w:ascii="宋体" w:hAnsi="宋体" w:cs="宋体"/>
          <w:color w:val="auto"/>
          <w:spacing w:val="7"/>
          <w:sz w:val="24"/>
          <w:highlight w:val="none"/>
        </w:rPr>
        <w:t xml:space="preserve">】</w:t>
      </w:r>
      <w:r/>
    </w:p>
    <w:p>
      <w:pPr>
        <w:ind w:firstLine="510"/>
        <w:spacing w:line="400" w:lineRule="exact"/>
        <w:rPr>
          <w:rFonts w:hint="eastAsia"/>
          <w:color w:val="auto"/>
          <w:highlight w:val="none"/>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w:t>
      </w:r>
      <w:r>
        <w:rPr>
          <w:rStyle w:val="1163"/>
          <w:rFonts w:hint="eastAsia" w:ascii="宋体" w:hAnsi="宋体" w:eastAsia="宋体" w:cs="宋体"/>
          <w:b w:val="0"/>
          <w:bCs w:val="0"/>
          <w:color w:val="auto"/>
          <w:spacing w:val="7"/>
          <w:sz w:val="24"/>
          <w:szCs w:val="24"/>
          <w:highlight w:val="none"/>
          <w:lang w:val="en-US"/>
        </w:rPr>
        <w:t xml:space="preserve">国家</w:t>
      </w:r>
      <w:r>
        <w:rPr>
          <w:rStyle w:val="1163"/>
          <w:rFonts w:hint="eastAsia" w:ascii="宋体" w:hAnsi="宋体" w:cs="宋体"/>
          <w:b w:val="0"/>
          <w:bCs w:val="0"/>
          <w:color w:val="auto"/>
          <w:spacing w:val="7"/>
          <w:sz w:val="24"/>
          <w:szCs w:val="24"/>
          <w:highlight w:val="none"/>
          <w:lang w:val="en-US"/>
        </w:rPr>
        <w:t xml:space="preserve">级</w:t>
      </w:r>
      <w:r>
        <w:rPr>
          <w:rStyle w:val="1163"/>
          <w:rFonts w:hint="eastAsia" w:ascii="宋体" w:hAnsi="宋体" w:eastAsia="宋体" w:cs="宋体"/>
          <w:b w:val="0"/>
          <w:bCs w:val="0"/>
          <w:color w:val="auto"/>
          <w:spacing w:val="7"/>
          <w:sz w:val="24"/>
          <w:szCs w:val="24"/>
          <w:highlight w:val="none"/>
          <w:lang w:val="en-US"/>
        </w:rPr>
        <w:t xml:space="preserve">电光源质量检验检测中心出具的检测报告</w:t>
      </w:r>
      <w:r>
        <w:rPr>
          <w:rStyle w:val="1163"/>
          <w:rFonts w:hint="eastAsia" w:ascii="宋体" w:hAnsi="宋体" w:cs="宋体"/>
          <w:color w:val="auto"/>
          <w:spacing w:val="7"/>
          <w:sz w:val="24"/>
          <w:highlight w:val="none"/>
        </w:rPr>
        <w:t xml:space="preserve">,报告需具有CMA和CNAS认证标志并支持二维码验真伪，允许同系列、不同功率，不提供不得分），未提供不得分。</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5</w:t>
      </w:r>
      <w:r>
        <w:rPr>
          <w:rStyle w:val="1163"/>
          <w:rFonts w:hint="eastAsia" w:ascii="宋体" w:hAnsi="宋体" w:cs="宋体"/>
          <w:b/>
          <w:bCs/>
          <w:color w:val="auto"/>
          <w:spacing w:val="7"/>
          <w:sz w:val="24"/>
          <w:highlight w:val="none"/>
        </w:rPr>
        <w:t xml:space="preserve">电源耐久性测试3分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LED驱动电源根据GB/T 24825-2022《LED模块用直流或交流电子控制装置性能规范》和GB/T 2423.22-2012《环境试验 第2部分：试验方法 试验N：温度变化》的标准，需要通过耐久性测试，实验室实测≥1000h的得1分；实验室实测≥2000h的得2分；实验室实测≥5000h的得3分；本项不重复计分，最高得3分。【</w:t>
      </w:r>
      <w:r>
        <w:rPr>
          <w:rStyle w:val="1163"/>
          <w:rFonts w:hint="eastAsia" w:ascii="宋体" w:hAnsi="宋体" w:cs="宋体"/>
          <w:color w:val="auto"/>
          <w:spacing w:val="7"/>
          <w:sz w:val="24"/>
          <w:highlight w:val="none"/>
          <w:lang w:val="en-US"/>
        </w:rPr>
        <w:t xml:space="preserve">0-3</w:t>
      </w:r>
      <w:r>
        <w:rPr>
          <w:rStyle w:val="1163"/>
          <w:rFonts w:hint="eastAsia" w:ascii="宋体" w:hAnsi="宋体" w:cs="宋体"/>
          <w:color w:val="auto"/>
          <w:spacing w:val="7"/>
          <w:sz w:val="24"/>
          <w:highlight w:val="none"/>
        </w:rPr>
        <w:t xml:space="preserve">】</w:t>
      </w:r>
      <w:r/>
    </w:p>
    <w:p>
      <w:pPr>
        <w:ind w:firstLine="510"/>
        <w:spacing w:line="400" w:lineRule="exact"/>
        <w:rPr>
          <w:rFonts w:hint="eastAsia"/>
          <w:color w:val="auto"/>
          <w:highlight w:val="none"/>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w:t>
      </w:r>
      <w:r>
        <w:rPr>
          <w:rStyle w:val="1163"/>
          <w:rFonts w:hint="eastAsia" w:ascii="宋体" w:hAnsi="宋体" w:eastAsia="宋体" w:cs="宋体"/>
          <w:b w:val="0"/>
          <w:bCs w:val="0"/>
          <w:color w:val="auto"/>
          <w:spacing w:val="7"/>
          <w:sz w:val="24"/>
          <w:szCs w:val="24"/>
          <w:highlight w:val="none"/>
          <w:lang w:val="en-US"/>
        </w:rPr>
        <w:t xml:space="preserve">国家</w:t>
      </w:r>
      <w:r>
        <w:rPr>
          <w:rStyle w:val="1163"/>
          <w:rFonts w:hint="eastAsia" w:ascii="宋体" w:hAnsi="宋体" w:cs="宋体"/>
          <w:b w:val="0"/>
          <w:bCs w:val="0"/>
          <w:color w:val="auto"/>
          <w:spacing w:val="7"/>
          <w:sz w:val="24"/>
          <w:szCs w:val="24"/>
          <w:highlight w:val="none"/>
          <w:lang w:val="en-US"/>
        </w:rPr>
        <w:t xml:space="preserve">级</w:t>
      </w:r>
      <w:r>
        <w:rPr>
          <w:rStyle w:val="1163"/>
          <w:rFonts w:hint="eastAsia" w:ascii="宋体" w:hAnsi="宋体" w:eastAsia="宋体" w:cs="宋体"/>
          <w:b w:val="0"/>
          <w:bCs w:val="0"/>
          <w:color w:val="auto"/>
          <w:spacing w:val="7"/>
          <w:sz w:val="24"/>
          <w:szCs w:val="24"/>
          <w:highlight w:val="none"/>
          <w:lang w:val="en-US"/>
        </w:rPr>
        <w:t xml:space="preserve">电光源质量检验检测中心出具的检测报告</w:t>
      </w:r>
      <w:r>
        <w:rPr>
          <w:rStyle w:val="1163"/>
          <w:rFonts w:hint="eastAsia" w:ascii="宋体" w:hAnsi="宋体" w:cs="宋体"/>
          <w:color w:val="auto"/>
          <w:spacing w:val="7"/>
          <w:sz w:val="24"/>
          <w:highlight w:val="none"/>
        </w:rPr>
        <w:t xml:space="preserve">,报告需具有CMA和CNAS认证标志并支持二维码验真伪，允许同系列、不同功率，不提供不得分），未提供不得分。</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6</w:t>
      </w:r>
      <w:r>
        <w:rPr>
          <w:rStyle w:val="1163"/>
          <w:rFonts w:hint="eastAsia" w:ascii="宋体" w:hAnsi="宋体" w:cs="宋体"/>
          <w:b/>
          <w:bCs/>
          <w:color w:val="auto"/>
          <w:spacing w:val="7"/>
          <w:sz w:val="24"/>
          <w:highlight w:val="none"/>
        </w:rPr>
        <w:t xml:space="preserve">单灯控制器耐久性测试3分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单灯控制器根据GB/T 24825-2022《LED模块用直流或交流电子控制装置性能规范》和GB/T 2423.22-2012《环境试验 第2部分：试验方法 试验N：温度变化》的标准，需要通过耐久性测试，实验室实测≥1000h的得1分；实验室实测≥2000h的得2分；实验室实测≥5000h的得3分；本项不重复计分，最高得3分。【</w:t>
      </w:r>
      <w:r>
        <w:rPr>
          <w:rStyle w:val="1163"/>
          <w:rFonts w:hint="eastAsia" w:ascii="宋体" w:hAnsi="宋体" w:cs="宋体"/>
          <w:color w:val="auto"/>
          <w:spacing w:val="7"/>
          <w:sz w:val="24"/>
          <w:highlight w:val="none"/>
          <w:lang w:val="en-US"/>
        </w:rPr>
        <w:t xml:space="preserve">0-3</w:t>
      </w:r>
      <w:r>
        <w:rPr>
          <w:rStyle w:val="1163"/>
          <w:rFonts w:hint="eastAsia" w:ascii="宋体" w:hAnsi="宋体" w:cs="宋体"/>
          <w:color w:val="auto"/>
          <w:spacing w:val="7"/>
          <w:sz w:val="24"/>
          <w:highlight w:val="none"/>
        </w:rPr>
        <w:t xml:space="preserve">】</w:t>
      </w:r>
      <w:r/>
    </w:p>
    <w:p>
      <w:pPr>
        <w:ind w:firstLine="510"/>
        <w:spacing w:line="400" w:lineRule="exact"/>
        <w:rPr>
          <w:rFonts w:hint="eastAsia"/>
          <w:color w:val="auto"/>
          <w:highlight w:val="none"/>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w:t>
      </w:r>
      <w:r>
        <w:rPr>
          <w:rStyle w:val="1163"/>
          <w:rFonts w:hint="eastAsia" w:ascii="宋体" w:hAnsi="宋体" w:eastAsia="宋体" w:cs="宋体"/>
          <w:b w:val="0"/>
          <w:bCs w:val="0"/>
          <w:color w:val="auto"/>
          <w:spacing w:val="7"/>
          <w:sz w:val="24"/>
          <w:szCs w:val="24"/>
          <w:highlight w:val="none"/>
          <w:lang w:val="en-US"/>
        </w:rPr>
        <w:t xml:space="preserve">国家</w:t>
      </w:r>
      <w:r>
        <w:rPr>
          <w:rStyle w:val="1163"/>
          <w:rFonts w:hint="eastAsia" w:ascii="宋体" w:hAnsi="宋体" w:cs="宋体"/>
          <w:b w:val="0"/>
          <w:bCs w:val="0"/>
          <w:color w:val="auto"/>
          <w:spacing w:val="7"/>
          <w:sz w:val="24"/>
          <w:szCs w:val="24"/>
          <w:highlight w:val="none"/>
          <w:lang w:val="en-US"/>
        </w:rPr>
        <w:t xml:space="preserve">级</w:t>
      </w:r>
      <w:r>
        <w:rPr>
          <w:rStyle w:val="1163"/>
          <w:rFonts w:hint="eastAsia" w:ascii="宋体" w:hAnsi="宋体" w:eastAsia="宋体" w:cs="宋体"/>
          <w:b w:val="0"/>
          <w:bCs w:val="0"/>
          <w:color w:val="auto"/>
          <w:spacing w:val="7"/>
          <w:sz w:val="24"/>
          <w:szCs w:val="24"/>
          <w:highlight w:val="none"/>
          <w:lang w:val="en-US"/>
        </w:rPr>
        <w:t xml:space="preserve">电光源质量检验检测中心出具的检测报告</w:t>
      </w:r>
      <w:r>
        <w:rPr>
          <w:rStyle w:val="1163"/>
          <w:rFonts w:hint="eastAsia" w:ascii="宋体" w:hAnsi="宋体" w:cs="宋体"/>
          <w:color w:val="auto"/>
          <w:spacing w:val="7"/>
          <w:sz w:val="24"/>
          <w:highlight w:val="none"/>
        </w:rPr>
        <w:t xml:space="preserve">,报告需具有CMA和CNAS认证标志并支持二维码验真伪，不提供不得分，未提供不得分。</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7</w:t>
      </w:r>
      <w:r>
        <w:rPr>
          <w:rStyle w:val="1163"/>
          <w:rFonts w:hint="eastAsia" w:ascii="宋体" w:hAnsi="宋体" w:cs="宋体"/>
          <w:b/>
          <w:bCs/>
          <w:color w:val="auto"/>
          <w:spacing w:val="7"/>
          <w:sz w:val="24"/>
          <w:highlight w:val="none"/>
        </w:rPr>
        <w:t xml:space="preserve">集中控制器耐久性测试 3分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集中控制器根据GB/T 24825-2022《LED模块用直流或交流电子控制装置性能规范》和GB/T 2423.22-2012《环境试验 第2部分：试验方法 试验N：温度变化》的标准，需要通过耐久性测试，实验室实测≥1000h的得1分；实验室实测≥2000h的得2分；实验室实测≥5000h的得3分；本项不重复计分，最高得3分。【</w:t>
      </w:r>
      <w:r>
        <w:rPr>
          <w:rStyle w:val="1163"/>
          <w:rFonts w:hint="eastAsia" w:ascii="宋体" w:hAnsi="宋体" w:cs="宋体"/>
          <w:color w:val="auto"/>
          <w:spacing w:val="7"/>
          <w:sz w:val="24"/>
          <w:highlight w:val="none"/>
          <w:lang w:val="en-US"/>
        </w:rPr>
        <w:t xml:space="preserve">0-3</w:t>
      </w:r>
      <w:r>
        <w:rPr>
          <w:rStyle w:val="1163"/>
          <w:rFonts w:hint="eastAsia" w:ascii="宋体" w:hAnsi="宋体" w:cs="宋体"/>
          <w:color w:val="auto"/>
          <w:spacing w:val="7"/>
          <w:sz w:val="24"/>
          <w:highlight w:val="none"/>
        </w:rPr>
        <w:t xml:space="preserve">】</w:t>
      </w:r>
      <w:r/>
    </w:p>
    <w:p>
      <w:pPr>
        <w:ind w:firstLine="510"/>
        <w:spacing w:line="400" w:lineRule="exact"/>
        <w:rPr>
          <w:rFonts w:hint="eastAsia"/>
          <w:color w:val="auto"/>
          <w:highlight w:val="none"/>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w:t>
      </w:r>
      <w:r>
        <w:rPr>
          <w:rStyle w:val="1163"/>
          <w:rFonts w:hint="eastAsia" w:ascii="宋体" w:hAnsi="宋体" w:eastAsia="宋体" w:cs="宋体"/>
          <w:b w:val="0"/>
          <w:bCs w:val="0"/>
          <w:color w:val="auto"/>
          <w:spacing w:val="7"/>
          <w:sz w:val="24"/>
          <w:szCs w:val="24"/>
          <w:highlight w:val="none"/>
          <w:lang w:val="en-US"/>
        </w:rPr>
        <w:t xml:space="preserve">国家</w:t>
      </w:r>
      <w:r>
        <w:rPr>
          <w:rStyle w:val="1163"/>
          <w:rFonts w:hint="eastAsia" w:ascii="宋体" w:hAnsi="宋体" w:cs="宋体"/>
          <w:b w:val="0"/>
          <w:bCs w:val="0"/>
          <w:color w:val="auto"/>
          <w:spacing w:val="7"/>
          <w:sz w:val="24"/>
          <w:szCs w:val="24"/>
          <w:highlight w:val="none"/>
          <w:lang w:val="en-US"/>
        </w:rPr>
        <w:t xml:space="preserve">级</w:t>
      </w:r>
      <w:r>
        <w:rPr>
          <w:rStyle w:val="1163"/>
          <w:rFonts w:hint="eastAsia" w:ascii="宋体" w:hAnsi="宋体" w:eastAsia="宋体" w:cs="宋体"/>
          <w:b w:val="0"/>
          <w:bCs w:val="0"/>
          <w:color w:val="auto"/>
          <w:spacing w:val="7"/>
          <w:sz w:val="24"/>
          <w:szCs w:val="24"/>
          <w:highlight w:val="none"/>
          <w:lang w:val="en-US"/>
        </w:rPr>
        <w:t xml:space="preserve">电光源质量检验检测中心出具的检测报告</w:t>
      </w:r>
      <w:r>
        <w:rPr>
          <w:rStyle w:val="1163"/>
          <w:rFonts w:hint="eastAsia" w:ascii="宋体" w:hAnsi="宋体" w:cs="宋体"/>
          <w:color w:val="auto"/>
          <w:spacing w:val="7"/>
          <w:sz w:val="24"/>
          <w:highlight w:val="none"/>
        </w:rPr>
        <w:t xml:space="preserve">,报告需具有CMA和CNAS认证标志并支持二维码验真伪，不提供不得分，未提供不得分。</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8</w:t>
      </w:r>
      <w:r>
        <w:rPr>
          <w:rStyle w:val="1163"/>
          <w:rFonts w:hint="eastAsia" w:ascii="宋体" w:hAnsi="宋体" w:cs="宋体"/>
          <w:b/>
          <w:bCs/>
          <w:color w:val="auto"/>
          <w:spacing w:val="7"/>
          <w:sz w:val="24"/>
          <w:highlight w:val="none"/>
        </w:rPr>
        <w:t xml:space="preserve"> 240W</w:t>
      </w:r>
      <w:r>
        <w:rPr>
          <w:rStyle w:val="1163"/>
          <w:rFonts w:hint="eastAsia" w:ascii="宋体" w:hAnsi="宋体" w:cs="宋体"/>
          <w:b/>
          <w:bCs/>
          <w:color w:val="auto"/>
          <w:spacing w:val="7"/>
          <w:sz w:val="24"/>
          <w:highlight w:val="none"/>
          <w:lang w:val="en-US"/>
        </w:rPr>
        <w:t xml:space="preserve"> </w:t>
      </w:r>
      <w:r>
        <w:rPr>
          <w:rStyle w:val="1163"/>
          <w:rFonts w:hint="eastAsia" w:ascii="宋体" w:hAnsi="宋体" w:cs="宋体"/>
          <w:b/>
          <w:bCs/>
          <w:color w:val="auto"/>
          <w:spacing w:val="7"/>
          <w:sz w:val="24"/>
          <w:highlight w:val="none"/>
        </w:rPr>
        <w:t xml:space="preserve">LED灯具，高架段照明质量水平 7分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在满足以下灯具</w:t>
      </w:r>
      <w:r>
        <w:rPr>
          <w:rStyle w:val="1163"/>
          <w:rFonts w:hint="eastAsia" w:ascii="宋体" w:hAnsi="宋体" w:cs="宋体"/>
          <w:color w:val="auto"/>
          <w:spacing w:val="7"/>
          <w:sz w:val="24"/>
          <w:highlight w:val="none"/>
          <w:lang w:val="en-US"/>
        </w:rPr>
        <w:t xml:space="preserve">安装条件</w:t>
      </w:r>
      <w:r>
        <w:rPr>
          <w:rFonts w:hint="eastAsia" w:ascii="宋体" w:hAnsi="宋体" w:eastAsia="宋体" w:cs="Times New Roman"/>
          <w:b w:val="0"/>
          <w:bCs w:val="0"/>
          <w:color w:val="auto"/>
          <w:sz w:val="24"/>
          <w:szCs w:val="24"/>
          <w:highlight w:val="none"/>
          <w:shd w:val="clear" w:color="auto"/>
          <w:lang w:val="zh-TW" w:eastAsia="zh-CN"/>
        </w:rPr>
        <w:t xml:space="preserve">的</w:t>
      </w:r>
      <w:r>
        <w:rPr>
          <w:rFonts w:hint="eastAsia" w:ascii="宋体" w:hAnsi="宋体" w:eastAsia="宋体" w:cs="Times New Roman"/>
          <w:b w:val="0"/>
          <w:bCs w:val="0"/>
          <w:color w:val="auto"/>
          <w:sz w:val="24"/>
          <w:szCs w:val="24"/>
          <w:highlight w:val="none"/>
          <w:shd w:val="clear" w:color="auto"/>
          <w:lang w:val="en-US" w:eastAsia="zh-CN"/>
        </w:rPr>
        <w:t xml:space="preserve">基础上进行评审</w:t>
      </w:r>
      <w:r>
        <w:rPr>
          <w:rStyle w:val="1163"/>
          <w:rFonts w:hint="eastAsia" w:ascii="宋体" w:hAnsi="宋体" w:cs="宋体"/>
          <w:color w:val="auto"/>
          <w:spacing w:val="7"/>
          <w:sz w:val="24"/>
          <w:highlight w:val="none"/>
        </w:rPr>
        <w:t xml:space="preserve">：</w:t>
      </w:r>
      <w:r/>
    </w:p>
    <w:tbl>
      <w:tblPr>
        <w:tblStyle w:val="904"/>
        <w:tblW w:w="49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9"/>
        <w:gridCol w:w="1719"/>
        <w:gridCol w:w="4165"/>
      </w:tblGrid>
      <w:tr>
        <w:trPr>
          <w:jc w:val="center"/>
          <w:trHeight w:val="0"/>
        </w:trPr>
        <w:tc>
          <w:tcPr>
            <w:tcW w:w="19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参数</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道路类型</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快速路</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道路宽度</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26.1米</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ascii="宋体" w:hAnsi="宋体" w:cs="宋体"/>
                <w:color w:val="auto"/>
                <w:sz w:val="22"/>
                <w:szCs w:val="22"/>
                <w:highlight w:val="none"/>
              </w:rPr>
              <w:t xml:space="preserve">护栏0.5m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路缘带0.75m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机动车道10.75m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路缘带0.75m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中分带0.6m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路缘带0.75m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机动车道10.75m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路缘带0.75m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护栏0.5m</w:t>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车道数（双向）</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路面类型</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沥青路</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LED路灯灯具布置方式</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双侧对称布置</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LED路灯灯具安装高度h（单位：m）</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12米</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LED路灯灯具安装间距S（单位：m）</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42米</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LED路灯灯具挑臂（水平投影）长度（单位：m）</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与路缘距离（单位：m）</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0.15</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LED路灯灯具仰角（单位：度）</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5°~15°</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995"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维护系数</w:t>
            </w:r>
            <w:r/>
          </w:p>
        </w:tc>
        <w:tc>
          <w:tcPr>
            <w:tcW w:w="87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0.7</w:t>
            </w:r>
            <w:r/>
          </w:p>
        </w:tc>
        <w:tc>
          <w:tcPr>
            <w:tcW w:w="212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（1）满足灯具光通量≥43200lm 前提下，灯具输入功率（系统功耗）</w:t>
      </w:r>
      <w:r>
        <w:rPr>
          <w:rStyle w:val="1163"/>
          <w:rFonts w:hint="eastAsia" w:ascii="宋体" w:hAnsi="宋体" w:cs="宋体"/>
          <w:color w:val="auto"/>
          <w:spacing w:val="7"/>
          <w:sz w:val="24"/>
          <w:highlight w:val="none"/>
          <w:lang w:val="en-US"/>
        </w:rPr>
        <w:t xml:space="preserve">≤</w:t>
      </w:r>
      <w:r>
        <w:rPr>
          <w:rStyle w:val="1163"/>
          <w:rFonts w:hint="eastAsia" w:ascii="宋体" w:hAnsi="宋体" w:cs="宋体"/>
          <w:color w:val="auto"/>
          <w:spacing w:val="7"/>
          <w:sz w:val="24"/>
          <w:highlight w:val="none"/>
        </w:rPr>
        <w:t xml:space="preserve">264W，</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整灯光效在此基础上根据报告数值进行评分，≥180lm/W得 0.25 分，≥185lm/W得 0.5 分，≥190lm/W得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（2）平均亮度 Lav（cd/m2）维持值≥ 2.0cd/m2，在此基础上根据报告数值进行评分，≥2.0（cd/m2）得 0.25 分，≥2.5（cd/m2）得 0.5 分，≥3（cd/m2）得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（3）亮度总均匀度 UO最小值≥0.4，在此基础上根据报告数值进行评分，≥0.4得 0.25 分，≥0.6得 0.5 分，≥0.7得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（4）亮度纵向均匀度 UL最小值≥0.7，在此基础上根据报告数值进行评分，≥0.7得 0.25 分，≥ 0.8得 0.5 分，≥0.85得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（5） 平均照度 Eav（Lx）维持值≥30Lx，在此基础上根据报告数值进行评分，≥ 30Lx得 0.25 分，≥ 40Lx得 0.5 分，≥45Lx得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（6） 照度均匀度 UE最小值≥0.4，在此基础上根据报告数值进行评分，≥0.4得 0.25 分，≥0.45得 0.5 分，≥0.5得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（7） 眩光限制阈值增量 TI（ %）最大初始值≤10%，在此基础上根据报告数值进行评分，≤10%得 0.25 分，≤8%得 0.5 分，≤5%得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lang w:val="en-US"/>
        </w:rPr>
        <w:t xml:space="preserve">检测报告</w:t>
      </w:r>
      <w:r>
        <w:rPr>
          <w:rStyle w:val="1163"/>
          <w:rFonts w:hint="eastAsia" w:ascii="宋体" w:hAnsi="宋体" w:cs="宋体"/>
          <w:color w:val="auto"/>
          <w:spacing w:val="7"/>
          <w:sz w:val="24"/>
          <w:highlight w:val="none"/>
        </w:rPr>
        <w:t xml:space="preserve">：以上7条为照明最低指标要求，若其中任意一</w:t>
      </w:r>
      <w:r>
        <w:rPr>
          <w:rStyle w:val="1163"/>
          <w:rFonts w:hint="eastAsia" w:ascii="宋体" w:hAnsi="宋体" w:cs="宋体"/>
          <w:color w:val="auto"/>
          <w:spacing w:val="7"/>
          <w:sz w:val="24"/>
          <w:highlight w:val="none"/>
          <w:lang w:val="en-US"/>
        </w:rPr>
        <w:t xml:space="preserve">条</w:t>
      </w:r>
      <w:r>
        <w:rPr>
          <w:rStyle w:val="1163"/>
          <w:rFonts w:hint="eastAsia" w:ascii="宋体" w:hAnsi="宋体" w:cs="宋体"/>
          <w:color w:val="auto"/>
          <w:spacing w:val="7"/>
          <w:sz w:val="24"/>
          <w:highlight w:val="none"/>
        </w:rPr>
        <w:t xml:space="preserve">得分为0分，则该总分项7分直接判0分。【</w:t>
      </w:r>
      <w:r>
        <w:rPr>
          <w:rStyle w:val="1163"/>
          <w:rFonts w:hint="eastAsia" w:ascii="宋体" w:hAnsi="宋体" w:cs="宋体"/>
          <w:color w:val="auto"/>
          <w:spacing w:val="7"/>
          <w:sz w:val="24"/>
          <w:highlight w:val="none"/>
          <w:lang w:val="en-US"/>
        </w:rPr>
        <w:t xml:space="preserve">0-7</w:t>
      </w:r>
      <w:r>
        <w:rPr>
          <w:rStyle w:val="1163"/>
          <w:rFonts w:hint="eastAsia" w:ascii="宋体" w:hAnsi="宋体" w:cs="宋体"/>
          <w:color w:val="auto"/>
          <w:spacing w:val="7"/>
          <w:sz w:val="24"/>
          <w:highlight w:val="none"/>
        </w:rPr>
        <w:t xml:space="preserve">】</w:t>
      </w:r>
      <w:r/>
    </w:p>
    <w:p>
      <w:pPr>
        <w:ind w:firstLine="510"/>
        <w:spacing w:line="400" w:lineRule="exact"/>
        <w:rPr>
          <w:rFonts w:hint="eastAsia"/>
          <w:color w:val="auto"/>
          <w:highlight w:val="none"/>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w:t>
      </w:r>
      <w:r>
        <w:rPr>
          <w:rStyle w:val="1163"/>
          <w:rFonts w:hint="eastAsia" w:ascii="宋体" w:hAnsi="宋体" w:eastAsia="宋体" w:cs="宋体"/>
          <w:b w:val="0"/>
          <w:bCs w:val="0"/>
          <w:color w:val="auto"/>
          <w:spacing w:val="7"/>
          <w:sz w:val="24"/>
          <w:szCs w:val="24"/>
          <w:highlight w:val="none"/>
          <w:lang w:val="en-US"/>
        </w:rPr>
        <w:t xml:space="preserve">国家</w:t>
      </w:r>
      <w:r>
        <w:rPr>
          <w:rStyle w:val="1163"/>
          <w:rFonts w:hint="eastAsia" w:ascii="宋体" w:hAnsi="宋体" w:cs="宋体"/>
          <w:b w:val="0"/>
          <w:bCs w:val="0"/>
          <w:color w:val="auto"/>
          <w:spacing w:val="7"/>
          <w:sz w:val="24"/>
          <w:szCs w:val="24"/>
          <w:highlight w:val="none"/>
          <w:lang w:val="en-US"/>
        </w:rPr>
        <w:t xml:space="preserve">级</w:t>
      </w:r>
      <w:r>
        <w:rPr>
          <w:rStyle w:val="1163"/>
          <w:rFonts w:hint="eastAsia" w:ascii="宋体" w:hAnsi="宋体" w:eastAsia="宋体" w:cs="宋体"/>
          <w:b w:val="0"/>
          <w:bCs w:val="0"/>
          <w:color w:val="auto"/>
          <w:spacing w:val="7"/>
          <w:sz w:val="24"/>
          <w:szCs w:val="24"/>
          <w:highlight w:val="none"/>
          <w:lang w:val="en-US"/>
        </w:rPr>
        <w:t xml:space="preserve">电光源质量检验检测中心出具的检测报告</w:t>
      </w:r>
      <w:r>
        <w:rPr>
          <w:rStyle w:val="1163"/>
          <w:rFonts w:hint="eastAsia" w:ascii="宋体" w:hAnsi="宋体" w:cs="宋体"/>
          <w:color w:val="auto"/>
          <w:spacing w:val="7"/>
          <w:sz w:val="24"/>
          <w:highlight w:val="none"/>
        </w:rPr>
        <w:t xml:space="preserve">,报告需具有CMA和CNAS认证标志并支持二维码验真伪，不提供不得分，未提供不得分。</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9</w:t>
      </w:r>
      <w:r>
        <w:rPr>
          <w:rStyle w:val="1163"/>
          <w:rFonts w:hint="eastAsia" w:ascii="宋体" w:hAnsi="宋体" w:cs="宋体"/>
          <w:b/>
          <w:bCs/>
          <w:color w:val="auto"/>
          <w:spacing w:val="7"/>
          <w:sz w:val="24"/>
          <w:highlight w:val="none"/>
        </w:rPr>
        <w:t xml:space="preserve"> 240W</w:t>
      </w:r>
      <w:r>
        <w:rPr>
          <w:rStyle w:val="1163"/>
          <w:rFonts w:hint="eastAsia" w:ascii="宋体" w:hAnsi="宋体" w:cs="宋体"/>
          <w:b/>
          <w:bCs/>
          <w:color w:val="auto"/>
          <w:spacing w:val="7"/>
          <w:sz w:val="24"/>
          <w:highlight w:val="none"/>
          <w:lang w:val="en-US"/>
        </w:rPr>
        <w:t xml:space="preserve"> </w:t>
      </w:r>
      <w:r>
        <w:rPr>
          <w:rStyle w:val="1163"/>
          <w:rFonts w:hint="eastAsia" w:ascii="宋体" w:hAnsi="宋体" w:cs="宋体"/>
          <w:b/>
          <w:bCs/>
          <w:color w:val="auto"/>
          <w:spacing w:val="7"/>
          <w:sz w:val="24"/>
          <w:highlight w:val="none"/>
        </w:rPr>
        <w:t xml:space="preserve">LED灯具，地面段照明质量水平 7分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在满足以下灯具安装条件的基础上进行评审：</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73"/>
        <w:gridCol w:w="1766"/>
        <w:gridCol w:w="4523"/>
      </w:tblGrid>
      <w:tr>
        <w:trPr>
          <w:jc w:val="center"/>
          <w:trHeight w:val="0"/>
        </w:trPr>
        <w:tc>
          <w:tcPr>
            <w:tcW w:w="18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参数</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道路类型</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快速路</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道路宽度</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56.2米</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非机动车道4.5m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侧分带2m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路缘带0.75m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机动车道19.75m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路缘带0.75m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中分带0.7m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路缘带0.75m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机动车道19.75m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路缘带0.75m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侧分带2m</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rPr>
              <w:t xml:space="preserve">非机动车道4.5m</w:t>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车道数（双向）</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路面类型</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沥青路</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LED路灯灯具布置方式</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双侧对称布置</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LED路灯灯具安装高度h（单位：m）</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12米</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LED路灯灯具安装间距S（单位：m）</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30米</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LED路灯灯具挑臂（水平投影）长度（单位：m）</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与路缘距离（单位：m）</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0.5</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LED路灯灯具仰角（单位：度）</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5°~15°</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1843"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维护系数</w:t>
            </w:r>
            <w:r/>
          </w:p>
        </w:tc>
        <w:tc>
          <w:tcPr>
            <w:tcW w:w="8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0.7</w:t>
            </w:r>
            <w:r/>
          </w:p>
        </w:tc>
        <w:tc>
          <w:tcPr>
            <w:tcW w:w="227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（1）满足灯具光通量≥43200lm 前提下，灯具输入功率（系统功耗）≤264W，</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整灯光效在此基础上根据报告数值进行评分，≥180lm/W得 0.25 分，≥185lm/W得 0.5 分，≥190lm/W得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（2）平均亮度 Lav（cd/m2）维持值≥2.0cd/m2，在此基础上根据报告数值进行评分，≥2.0（cd/m2）得 0.25 分，≥2.15（cd/m2）得 0.5 分，≥2.3（cd/m2）得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（3）亮度总均匀度 UO最小值≥0.4，在此基础上根据报告数值进行评分，≥0.4得 0.25 分，≥0.5得 0.5 分，≥0.55得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（4）亮度纵向均匀度 UL最小值≥0.7，在此基础上根据报告数值进行评分，≥0.7得 0.25 分，≥0.8得 0.5 分，≥0.9得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（5） 平均照度 Eav（Lx）维持值≥30Lx，在此基础上根据报告数值进行评分，≥30Lx得 0.25 分，≥35Lx得 0.5 分，≥40Lx得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（6） 照度均匀度 UE最小值≥0.4，在此基础上根据报告数值进行评分，≥0.4得 0.25 分，≥0.6得 0.5 分，≥0.7得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（7） 眩光限制阈值增量 TI（ %）最大初始值≤10%，在此基础上根据报告数值进行评分，≤10%得 0.25 分，≤8%得 0.5 分，≤5%得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lang w:val="en-US"/>
        </w:rPr>
        <w:t xml:space="preserve">检测报告</w:t>
      </w:r>
      <w:r>
        <w:rPr>
          <w:rStyle w:val="1163"/>
          <w:rFonts w:hint="eastAsia" w:ascii="宋体" w:hAnsi="宋体" w:cs="宋体"/>
          <w:color w:val="auto"/>
          <w:spacing w:val="7"/>
          <w:sz w:val="24"/>
          <w:highlight w:val="none"/>
        </w:rPr>
        <w:t xml:space="preserve">：以上7条为照明最低指标要求，若其中任意一</w:t>
      </w:r>
      <w:r>
        <w:rPr>
          <w:rStyle w:val="1163"/>
          <w:rFonts w:hint="eastAsia" w:ascii="宋体" w:hAnsi="宋体" w:cs="宋体"/>
          <w:color w:val="auto"/>
          <w:spacing w:val="7"/>
          <w:sz w:val="24"/>
          <w:highlight w:val="none"/>
          <w:lang w:val="en-US"/>
        </w:rPr>
        <w:t xml:space="preserve">条</w:t>
      </w:r>
      <w:r>
        <w:rPr>
          <w:rStyle w:val="1163"/>
          <w:rFonts w:hint="eastAsia" w:ascii="宋体" w:hAnsi="宋体" w:cs="宋体"/>
          <w:color w:val="auto"/>
          <w:spacing w:val="7"/>
          <w:sz w:val="24"/>
          <w:highlight w:val="none"/>
        </w:rPr>
        <w:t xml:space="preserve">得分为0分，则该总分项7分直接判0分。【</w:t>
      </w:r>
      <w:r>
        <w:rPr>
          <w:rStyle w:val="1163"/>
          <w:rFonts w:hint="eastAsia" w:ascii="宋体" w:hAnsi="宋体" w:cs="宋体"/>
          <w:color w:val="auto"/>
          <w:spacing w:val="7"/>
          <w:sz w:val="24"/>
          <w:highlight w:val="none"/>
          <w:lang w:val="en-US"/>
        </w:rPr>
        <w:t xml:space="preserve">0-7</w:t>
      </w:r>
      <w:r>
        <w:rPr>
          <w:rStyle w:val="1163"/>
          <w:rFonts w:hint="eastAsia" w:ascii="宋体" w:hAnsi="宋体" w:cs="宋体"/>
          <w:color w:val="auto"/>
          <w:spacing w:val="7"/>
          <w:sz w:val="24"/>
          <w:highlight w:val="none"/>
        </w:rPr>
        <w:t xml:space="preserve">】</w:t>
      </w:r>
      <w:r/>
    </w:p>
    <w:p>
      <w:pPr>
        <w:ind w:firstLine="510"/>
        <w:spacing w:line="400" w:lineRule="exact"/>
        <w:rPr>
          <w:rFonts w:hint="eastAsia"/>
          <w:color w:val="auto"/>
          <w:highlight w:val="none"/>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w:t>
      </w:r>
      <w:r>
        <w:rPr>
          <w:rStyle w:val="1163"/>
          <w:rFonts w:hint="eastAsia" w:ascii="宋体" w:hAnsi="宋体" w:eastAsia="宋体" w:cs="宋体"/>
          <w:b w:val="0"/>
          <w:bCs w:val="0"/>
          <w:color w:val="auto"/>
          <w:spacing w:val="7"/>
          <w:sz w:val="24"/>
          <w:szCs w:val="24"/>
          <w:highlight w:val="none"/>
          <w:lang w:val="en-US"/>
        </w:rPr>
        <w:t xml:space="preserve">国家</w:t>
      </w:r>
      <w:r>
        <w:rPr>
          <w:rStyle w:val="1163"/>
          <w:rFonts w:hint="eastAsia" w:ascii="宋体" w:hAnsi="宋体" w:cs="宋体"/>
          <w:b w:val="0"/>
          <w:bCs w:val="0"/>
          <w:color w:val="auto"/>
          <w:spacing w:val="7"/>
          <w:sz w:val="24"/>
          <w:szCs w:val="24"/>
          <w:highlight w:val="none"/>
          <w:lang w:val="en-US"/>
        </w:rPr>
        <w:t xml:space="preserve">级</w:t>
      </w:r>
      <w:r>
        <w:rPr>
          <w:rStyle w:val="1163"/>
          <w:rFonts w:hint="eastAsia" w:ascii="宋体" w:hAnsi="宋体" w:eastAsia="宋体" w:cs="宋体"/>
          <w:b w:val="0"/>
          <w:bCs w:val="0"/>
          <w:color w:val="auto"/>
          <w:spacing w:val="7"/>
          <w:sz w:val="24"/>
          <w:szCs w:val="24"/>
          <w:highlight w:val="none"/>
          <w:lang w:val="en-US"/>
        </w:rPr>
        <w:t xml:space="preserve">电光源质量检验检测中心出具的检测报告</w:t>
      </w:r>
      <w:r>
        <w:rPr>
          <w:rStyle w:val="1163"/>
          <w:rFonts w:hint="eastAsia" w:ascii="宋体" w:hAnsi="宋体" w:cs="宋体"/>
          <w:color w:val="auto"/>
          <w:spacing w:val="7"/>
          <w:sz w:val="24"/>
          <w:highlight w:val="none"/>
        </w:rPr>
        <w:t xml:space="preserve">,报告需具有CMA和CNAS认证标志并支持二维码验真伪，不提供不得分，未提供不得分。</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10</w:t>
      </w:r>
      <w:r>
        <w:rPr>
          <w:rStyle w:val="1163"/>
          <w:rFonts w:hint="eastAsia" w:ascii="宋体" w:hAnsi="宋体" w:cs="宋体"/>
          <w:b/>
          <w:bCs/>
          <w:color w:val="auto"/>
          <w:spacing w:val="7"/>
          <w:sz w:val="24"/>
          <w:highlight w:val="none"/>
        </w:rPr>
        <w:t xml:space="preserve"> 240W</w:t>
      </w:r>
      <w:r>
        <w:rPr>
          <w:rStyle w:val="1163"/>
          <w:rFonts w:hint="eastAsia" w:ascii="宋体" w:hAnsi="宋体" w:cs="宋体"/>
          <w:b/>
          <w:bCs/>
          <w:color w:val="auto"/>
          <w:spacing w:val="7"/>
          <w:sz w:val="24"/>
          <w:highlight w:val="none"/>
          <w:lang w:val="en-US"/>
        </w:rPr>
        <w:t xml:space="preserve"> </w:t>
      </w:r>
      <w:r>
        <w:rPr>
          <w:rStyle w:val="1163"/>
          <w:rFonts w:hint="eastAsia" w:ascii="宋体" w:hAnsi="宋体" w:cs="宋体"/>
          <w:b/>
          <w:bCs/>
          <w:color w:val="auto"/>
          <w:spacing w:val="7"/>
          <w:sz w:val="24"/>
          <w:highlight w:val="none"/>
        </w:rPr>
        <w:t xml:space="preserve">LED灯具+150W吸顶灯，地面段照明质量水平 7分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在满足以下灯具安装条件的基础上进行评审：</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97"/>
        <w:gridCol w:w="2257"/>
        <w:gridCol w:w="3708"/>
      </w:tblGrid>
      <w:tr>
        <w:trPr>
          <w:jc w:val="center"/>
          <w:trHeight w:val="0"/>
        </w:trPr>
        <w:tc>
          <w:tcPr>
            <w:tcW w:w="20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参数</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道路类型</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快速路</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道路宽度</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25.25米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非机动车道（4.5m）</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侧分带（2m）</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路缘带(0.75m)</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机动车道(17.5m, 5车道)</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路缘带(0.5m)</w:t>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车道数（双向）</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路面类型</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沥青路</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LED路灯灯具布置方式</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双侧交错布置</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LED路灯灯具安装高度h（单位：m）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路灯10.5米+吸顶灯9.5米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LED路灯灯具安装间距S（单位：m）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30米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LED路灯灯具挑臂（水平投影）长度（单位：m）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与路缘距离（单位：m）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路灯0.5米，吸顶灯距中分带8.0米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LED路灯灯具仰角（单位：度）</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5°~15°</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维护系数</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0.7</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（1）满足路灯灯具光通量≥43200lm 前提下，灯具输入功率（系统功耗）≤264W；LED吸顶灯灯具光通量≥27000lm 前提下，灯具输入功率（系统功耗）≤165W</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整灯光效在此基础上根据报告数值进行评分，≥180lm/W得 0.25 分，≥185lm/W得 0.5 分，≥190lm/W得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（2）平均亮度 Lav（cd/m2）维持值≥ 2.0cd/m2，在此基础上根据报告数值进行评分，≥2.0（cd/m2）得 0.25 分，≥3.0（cd/m2）得 0.5 分，≥3.75（cd/m2）得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（3）亮度总均匀度 UO最小值≥0.4，在此基础上根据报告数值进行评分，≥0.4得 0.25 分，≥0.5得 0.5 分，≥0.55得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（4）亮度纵向均匀度 UL最小值≥0.7，在此基础上根据报告数值进行评分，≥0.7得 0.25 分，≥0.8得 0.5 分，≥0.9得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（5） 平均照度 Eav（Lx）维持值≥30Lx，在此基础上根据报告数值进行评分，≥30Lx得 0.25 分，≥50Lx得 0.5 分，≥65Lx得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（6） 照度均匀度 UE最小值≥0.4，在此基础上根据报告数值进行评分，≥0.4得 0.25 分，≥0.43得 0.5 分，≥0.45得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（7） 眩光限制阈值增量 TI（ %）最大初始值≤10%，在此基础上根据报告数值进行评分，≤10%得 0.25 分，≤ 8%得 0.5 分，≤5%得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lang w:val="en-US"/>
        </w:rPr>
        <w:t xml:space="preserve">检测报告</w:t>
      </w:r>
      <w:r>
        <w:rPr>
          <w:rStyle w:val="1163"/>
          <w:rFonts w:hint="eastAsia" w:ascii="宋体" w:hAnsi="宋体" w:cs="宋体"/>
          <w:color w:val="auto"/>
          <w:spacing w:val="7"/>
          <w:sz w:val="24"/>
          <w:highlight w:val="none"/>
        </w:rPr>
        <w:t xml:space="preserve">：以上7条为照明最低指标要求，若其中任意一</w:t>
      </w:r>
      <w:r>
        <w:rPr>
          <w:rStyle w:val="1163"/>
          <w:rFonts w:hint="eastAsia" w:ascii="宋体" w:hAnsi="宋体" w:cs="宋体"/>
          <w:color w:val="auto"/>
          <w:spacing w:val="7"/>
          <w:sz w:val="24"/>
          <w:highlight w:val="none"/>
          <w:lang w:val="en-US"/>
        </w:rPr>
        <w:t xml:space="preserve">条</w:t>
      </w:r>
      <w:r>
        <w:rPr>
          <w:rStyle w:val="1163"/>
          <w:rFonts w:hint="eastAsia" w:ascii="宋体" w:hAnsi="宋体" w:cs="宋体"/>
          <w:color w:val="auto"/>
          <w:spacing w:val="7"/>
          <w:sz w:val="24"/>
          <w:highlight w:val="none"/>
        </w:rPr>
        <w:t xml:space="preserve">得分为0分，则该总分项7分直接判0分。【</w:t>
      </w:r>
      <w:r>
        <w:rPr>
          <w:rStyle w:val="1163"/>
          <w:rFonts w:hint="eastAsia" w:ascii="宋体" w:hAnsi="宋体" w:cs="宋体"/>
          <w:color w:val="auto"/>
          <w:spacing w:val="7"/>
          <w:sz w:val="24"/>
          <w:highlight w:val="none"/>
          <w:lang w:val="en-US"/>
        </w:rPr>
        <w:t xml:space="preserve">0-7</w:t>
      </w:r>
      <w:r>
        <w:rPr>
          <w:rStyle w:val="1163"/>
          <w:rFonts w:hint="eastAsia" w:ascii="宋体" w:hAnsi="宋体" w:cs="宋体"/>
          <w:color w:val="auto"/>
          <w:spacing w:val="7"/>
          <w:sz w:val="24"/>
          <w:highlight w:val="none"/>
        </w:rPr>
        <w:t xml:space="preserve">】</w:t>
      </w:r>
      <w:r/>
    </w:p>
    <w:p>
      <w:pPr>
        <w:ind w:firstLine="510"/>
        <w:spacing w:line="400" w:lineRule="exact"/>
        <w:rPr>
          <w:rFonts w:hint="eastAsia"/>
          <w:color w:val="auto"/>
          <w:highlight w:val="none"/>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w:t>
      </w:r>
      <w:r>
        <w:rPr>
          <w:rStyle w:val="1163"/>
          <w:rFonts w:hint="eastAsia" w:ascii="宋体" w:hAnsi="宋体" w:eastAsia="宋体" w:cs="宋体"/>
          <w:b w:val="0"/>
          <w:bCs w:val="0"/>
          <w:color w:val="auto"/>
          <w:spacing w:val="7"/>
          <w:sz w:val="24"/>
          <w:szCs w:val="24"/>
          <w:highlight w:val="none"/>
          <w:lang w:val="en-US"/>
        </w:rPr>
        <w:t xml:space="preserve">国家</w:t>
      </w:r>
      <w:r>
        <w:rPr>
          <w:rStyle w:val="1163"/>
          <w:rFonts w:hint="eastAsia" w:ascii="宋体" w:hAnsi="宋体" w:cs="宋体"/>
          <w:b w:val="0"/>
          <w:bCs w:val="0"/>
          <w:color w:val="auto"/>
          <w:spacing w:val="7"/>
          <w:sz w:val="24"/>
          <w:szCs w:val="24"/>
          <w:highlight w:val="none"/>
          <w:lang w:val="en-US"/>
        </w:rPr>
        <w:t xml:space="preserve">级</w:t>
      </w:r>
      <w:r>
        <w:rPr>
          <w:rStyle w:val="1163"/>
          <w:rFonts w:hint="eastAsia" w:ascii="宋体" w:hAnsi="宋体" w:eastAsia="宋体" w:cs="宋体"/>
          <w:b w:val="0"/>
          <w:bCs w:val="0"/>
          <w:color w:val="auto"/>
          <w:spacing w:val="7"/>
          <w:sz w:val="24"/>
          <w:szCs w:val="24"/>
          <w:highlight w:val="none"/>
          <w:lang w:val="en-US"/>
        </w:rPr>
        <w:t xml:space="preserve">电光源质量检验检测中心出具的检测报告</w:t>
      </w:r>
      <w:r>
        <w:rPr>
          <w:rStyle w:val="1163"/>
          <w:rFonts w:hint="eastAsia" w:ascii="宋体" w:hAnsi="宋体" w:cs="宋体"/>
          <w:color w:val="auto"/>
          <w:spacing w:val="7"/>
          <w:sz w:val="24"/>
          <w:highlight w:val="none"/>
        </w:rPr>
        <w:t xml:space="preserve">,报告需具有CMA和CNAS认证标志并支持二维码验真伪，不提供不得分，未提供不得分。</w:t>
      </w:r>
      <w:r/>
    </w:p>
    <w:p>
      <w:pPr>
        <w:ind w:firstLine="510"/>
        <w:jc w:val="left"/>
        <w:spacing w:line="400" w:lineRule="exact"/>
        <w:rPr>
          <w:rStyle w:val="1163"/>
          <w:rFonts w:hint="eastAsia" w:ascii="宋体" w:hAnsi="宋体" w:cs="宋体"/>
          <w:b/>
          <w:bCs/>
          <w:color w:val="auto"/>
          <w:spacing w:val="7"/>
          <w:sz w:val="24"/>
          <w:highlight w:val="none"/>
        </w:rPr>
      </w:pPr>
      <w:r>
        <w:rPr>
          <w:rStyle w:val="1163"/>
          <w:rFonts w:hint="eastAsia" w:ascii="宋体" w:hAnsi="宋体" w:cs="宋体"/>
          <w:b/>
          <w:bCs/>
          <w:color w:val="auto"/>
          <w:spacing w:val="7"/>
          <w:sz w:val="24"/>
          <w:highlight w:val="none"/>
        </w:rPr>
        <w:t xml:space="preserve">3.</w:t>
      </w:r>
      <w:r>
        <w:rPr>
          <w:rStyle w:val="1163"/>
          <w:rFonts w:hint="eastAsia" w:ascii="宋体" w:hAnsi="宋体" w:cs="宋体"/>
          <w:b/>
          <w:bCs/>
          <w:color w:val="auto"/>
          <w:spacing w:val="7"/>
          <w:sz w:val="24"/>
          <w:highlight w:val="none"/>
          <w:lang w:val="en-US" w:eastAsia="zh-CN"/>
        </w:rPr>
        <w:t xml:space="preserve">11</w:t>
      </w:r>
      <w:r>
        <w:rPr>
          <w:rStyle w:val="1163"/>
          <w:rFonts w:hint="eastAsia" w:ascii="宋体" w:hAnsi="宋体" w:cs="宋体"/>
          <w:b/>
          <w:bCs/>
          <w:color w:val="auto"/>
          <w:spacing w:val="7"/>
          <w:sz w:val="24"/>
          <w:highlight w:val="none"/>
        </w:rPr>
        <w:t xml:space="preserve"> 10W</w:t>
      </w:r>
      <w:r>
        <w:rPr>
          <w:rStyle w:val="1163"/>
          <w:rFonts w:hint="eastAsia" w:ascii="宋体" w:hAnsi="宋体" w:cs="宋体"/>
          <w:b/>
          <w:bCs/>
          <w:color w:val="auto"/>
          <w:spacing w:val="7"/>
          <w:sz w:val="24"/>
          <w:highlight w:val="none"/>
          <w:lang w:val="en-US"/>
        </w:rPr>
        <w:t xml:space="preserve"> </w:t>
      </w:r>
      <w:r>
        <w:rPr>
          <w:rStyle w:val="1163"/>
          <w:rFonts w:hint="eastAsia" w:ascii="宋体" w:hAnsi="宋体" w:cs="宋体"/>
          <w:b/>
          <w:bCs/>
          <w:color w:val="auto"/>
          <w:spacing w:val="7"/>
          <w:sz w:val="24"/>
          <w:highlight w:val="none"/>
        </w:rPr>
        <w:t xml:space="preserve">LED护栏灯，匝道段照明质量水平 </w:t>
      </w:r>
      <w:r>
        <w:rPr>
          <w:rStyle w:val="1163"/>
          <w:rFonts w:hint="eastAsia" w:ascii="宋体" w:hAnsi="宋体" w:cs="宋体"/>
          <w:b/>
          <w:bCs/>
          <w:color w:val="auto"/>
          <w:spacing w:val="7"/>
          <w:sz w:val="24"/>
          <w:highlight w:val="none"/>
          <w:lang w:val="en-US" w:eastAsia="zh-CN"/>
        </w:rPr>
        <w:t xml:space="preserve">7</w:t>
      </w:r>
      <w:r>
        <w:rPr>
          <w:rStyle w:val="1163"/>
          <w:rFonts w:hint="eastAsia" w:ascii="宋体" w:hAnsi="宋体" w:cs="宋体"/>
          <w:b/>
          <w:bCs/>
          <w:color w:val="auto"/>
          <w:spacing w:val="7"/>
          <w:sz w:val="24"/>
          <w:highlight w:val="none"/>
        </w:rPr>
        <w:t xml:space="preserve">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在满足以下灯具安装条件的基础上进行评审：</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97"/>
        <w:gridCol w:w="2257"/>
        <w:gridCol w:w="3708"/>
      </w:tblGrid>
      <w:tr>
        <w:trPr>
          <w:jc w:val="center"/>
          <w:trHeight w:val="0"/>
        </w:trPr>
        <w:tc>
          <w:tcPr>
            <w:tcW w:w="200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参数</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道路类型</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快速路</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道路宽度</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10.2米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ascii="宋体" w:hAnsi="宋体" w:cs="宋体"/>
                <w:color w:val="auto"/>
                <w:sz w:val="22"/>
                <w:szCs w:val="22"/>
                <w:highlight w:val="none"/>
              </w:rPr>
              <w:t xml:space="preserve">护栏0.5m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路缘带</w:t>
            </w:r>
            <w:r>
              <w:rPr>
                <w:rFonts w:hint="eastAsia" w:ascii="宋体" w:hAnsi="宋体" w:cs="宋体"/>
                <w:color w:val="auto"/>
                <w:sz w:val="22"/>
                <w:szCs w:val="22"/>
                <w:highlight w:val="none"/>
              </w:rPr>
              <w:t xml:space="preserve">1.1</w:t>
            </w:r>
            <w:r>
              <w:rPr>
                <w:rFonts w:ascii="宋体" w:hAnsi="宋体" w:cs="宋体"/>
                <w:color w:val="auto"/>
                <w:sz w:val="22"/>
                <w:szCs w:val="22"/>
                <w:highlight w:val="none"/>
              </w:rPr>
              <w:t xml:space="preserve">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机动车道7m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路缘带</w:t>
            </w:r>
            <w:r>
              <w:rPr>
                <w:rFonts w:hint="eastAsia" w:ascii="宋体" w:hAnsi="宋体" w:cs="宋体"/>
                <w:color w:val="auto"/>
                <w:sz w:val="22"/>
                <w:szCs w:val="22"/>
                <w:highlight w:val="none"/>
              </w:rPr>
              <w:t xml:space="preserve">1.1</w:t>
            </w:r>
            <w:r>
              <w:rPr>
                <w:rFonts w:ascii="宋体" w:hAnsi="宋体" w:cs="宋体"/>
                <w:color w:val="auto"/>
                <w:sz w:val="22"/>
                <w:szCs w:val="22"/>
                <w:highlight w:val="none"/>
              </w:rPr>
              <w:t xml:space="preserve">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护栏0.5m</w:t>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车道数（双向）</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路面类型</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沥青路</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LED路灯灯具布置方式</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双侧对称布置</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LED路灯灯具安装高度h（单位：m）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LED路灯灯具安装间距S（单位：m）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3米</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LED路灯灯具挑臂（水平投影）长度（单位：m）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与路缘距离（单位：m）</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LED路灯灯具仰角（单位：度）</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0°~15°</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0"/>
        </w:trPr>
        <w:tc>
          <w:tcPr>
            <w:tcW w:w="2006" w:type="pct"/>
            <w:vAlign w:val="center"/>
            <w:textDirection w:val="lrTb"/>
            <w:noWrap w:val="false"/>
          </w:tcPr>
          <w:p>
            <w:pPr>
              <w:ind w:firstLine="0"/>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维护系数</w:t>
            </w:r>
            <w:r/>
          </w:p>
        </w:tc>
        <w:tc>
          <w:tcPr>
            <w:tcW w:w="11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0.7</w:t>
            </w:r>
            <w:r/>
          </w:p>
        </w:tc>
        <w:tc>
          <w:tcPr>
            <w:tcW w:w="186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（1）满足路灯灯具光通量≥1000lm 前提下，灯具输入功率（系统功耗） ≤11W；</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整灯光效在此基础上根据报告数值进行评分，≥100lm/W得 0.25 分，≥120lm/W得 0.5 分，≥140lm/W得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（2）平均亮度 Lav（cd/m2）维持值≥ 2.0cd/m2，在此基础上根据报告数值进行评分，≥2.0（cd/m2）得 0.25 分，≥2.5（cd/m2）得 0.5 分，≥3.0（cd/m2）得 1 分，其他不得分。</w:t>
      </w:r>
      <w:r/>
    </w:p>
    <w:p>
      <w:pPr>
        <w:ind w:firstLine="510"/>
        <w:jc w:val="left"/>
        <w:spacing w:line="400" w:lineRule="exact"/>
        <w:rPr>
          <w:rStyle w:val="90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（3）亮度总均匀度 UO最小值≥0.4，在此基础上根据报告数值进行评分，≥0.4得 0.25 分，≥0.55得 0.5 分，≥0.65得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w:t>
      </w:r>
      <w:r>
        <w:rPr>
          <w:rStyle w:val="1163"/>
          <w:rFonts w:hint="eastAsia" w:ascii="宋体" w:hAnsi="宋体" w:cs="宋体"/>
          <w:color w:val="auto"/>
          <w:spacing w:val="7"/>
          <w:sz w:val="24"/>
          <w:highlight w:val="none"/>
          <w:lang w:val="en-US" w:eastAsia="zh-CN"/>
        </w:rPr>
        <w:t xml:space="preserve">4</w:t>
      </w:r>
      <w:r>
        <w:rPr>
          <w:rStyle w:val="1163"/>
          <w:rFonts w:hint="eastAsia" w:ascii="宋体" w:hAnsi="宋体" w:cs="宋体"/>
          <w:color w:val="auto"/>
          <w:spacing w:val="7"/>
          <w:sz w:val="24"/>
          <w:highlight w:val="none"/>
        </w:rPr>
        <w:t xml:space="preserve">）亮度纵向均匀度 UL最小值≥0.7，在此基础上根据报告数值进行评分，≥0.7得 0.25 分，≥0.8得 0.5 分，≥0.85得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w:t>
      </w:r>
      <w:r>
        <w:rPr>
          <w:rStyle w:val="1163"/>
          <w:rFonts w:hint="eastAsia" w:ascii="宋体" w:hAnsi="宋体" w:cs="宋体"/>
          <w:color w:val="auto"/>
          <w:spacing w:val="7"/>
          <w:sz w:val="24"/>
          <w:highlight w:val="none"/>
          <w:lang w:val="en-US" w:eastAsia="zh-CN"/>
        </w:rPr>
        <w:t xml:space="preserve">5</w:t>
      </w:r>
      <w:r>
        <w:rPr>
          <w:rStyle w:val="1163"/>
          <w:rFonts w:hint="eastAsia" w:ascii="宋体" w:hAnsi="宋体" w:cs="宋体"/>
          <w:color w:val="auto"/>
          <w:spacing w:val="7"/>
          <w:sz w:val="24"/>
          <w:highlight w:val="none"/>
        </w:rPr>
        <w:t xml:space="preserve">） 平均照度 Eav（Lx）维持值≥30Lx，在此基础上根据报告数值进行评分，≥30Lx得 0.25 分，≥50Lx得 0.5 分，≥60Lx得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w:t>
      </w:r>
      <w:r>
        <w:rPr>
          <w:rStyle w:val="1163"/>
          <w:rFonts w:hint="eastAsia" w:ascii="宋体" w:hAnsi="宋体" w:cs="宋体"/>
          <w:color w:val="auto"/>
          <w:spacing w:val="7"/>
          <w:sz w:val="24"/>
          <w:highlight w:val="none"/>
          <w:lang w:val="en-US" w:eastAsia="zh-CN"/>
        </w:rPr>
        <w:t xml:space="preserve">6</w:t>
      </w:r>
      <w:r>
        <w:rPr>
          <w:rStyle w:val="1163"/>
          <w:rFonts w:hint="eastAsia" w:ascii="宋体" w:hAnsi="宋体" w:cs="宋体"/>
          <w:color w:val="auto"/>
          <w:spacing w:val="7"/>
          <w:sz w:val="24"/>
          <w:highlight w:val="none"/>
        </w:rPr>
        <w:t xml:space="preserve">） 照度均匀度 UE最小值≥0.4，在此基础上根据报告数值进行评分，≥0.4得 0.25 分，≥0.6得 0.5 分，≥0.8得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rPr>
        <w:t xml:space="preserve">（</w:t>
      </w:r>
      <w:r>
        <w:rPr>
          <w:rStyle w:val="1163"/>
          <w:rFonts w:hint="eastAsia" w:ascii="宋体" w:hAnsi="宋体" w:cs="宋体"/>
          <w:color w:val="auto"/>
          <w:spacing w:val="7"/>
          <w:sz w:val="24"/>
          <w:highlight w:val="none"/>
          <w:lang w:val="en-US" w:eastAsia="zh-CN"/>
        </w:rPr>
        <w:t xml:space="preserve">7</w:t>
      </w:r>
      <w:r>
        <w:rPr>
          <w:rStyle w:val="1163"/>
          <w:rFonts w:hint="eastAsia" w:ascii="宋体" w:hAnsi="宋体" w:cs="宋体"/>
          <w:color w:val="auto"/>
          <w:spacing w:val="7"/>
          <w:sz w:val="24"/>
          <w:highlight w:val="none"/>
        </w:rPr>
        <w:t xml:space="preserve">） 眩光限制阈值增量 TI（ %）最大初始值≤10%，在此基础上根据报告数值进行评分，≤10%得 0.25 分，≤5%得 0.5 分，≤1%得 1 分，其他不得分。</w:t>
      </w:r>
      <w:r/>
    </w:p>
    <w:p>
      <w:pPr>
        <w:ind w:firstLine="510"/>
        <w:jc w:val="left"/>
        <w:spacing w:line="400" w:lineRule="exact"/>
        <w:rPr>
          <w:rStyle w:val="1163"/>
          <w:rFonts w:hint="eastAsia" w:ascii="宋体" w:hAnsi="宋体" w:cs="宋体"/>
          <w:color w:val="auto"/>
          <w:spacing w:val="7"/>
          <w:sz w:val="24"/>
          <w:highlight w:val="none"/>
        </w:rPr>
      </w:pPr>
      <w:r>
        <w:rPr>
          <w:rStyle w:val="1163"/>
          <w:rFonts w:hint="eastAsia" w:ascii="宋体" w:hAnsi="宋体" w:cs="宋体"/>
          <w:color w:val="auto"/>
          <w:spacing w:val="7"/>
          <w:sz w:val="24"/>
          <w:highlight w:val="none"/>
          <w:lang w:val="en-US"/>
        </w:rPr>
        <w:t xml:space="preserve">检测报告</w:t>
      </w:r>
      <w:r>
        <w:rPr>
          <w:rStyle w:val="1163"/>
          <w:rFonts w:hint="eastAsia" w:ascii="宋体" w:hAnsi="宋体" w:cs="宋体"/>
          <w:color w:val="auto"/>
          <w:spacing w:val="7"/>
          <w:sz w:val="24"/>
          <w:highlight w:val="none"/>
        </w:rPr>
        <w:t xml:space="preserve">：以上7条为照明最低指标要求，若其中任意一</w:t>
      </w:r>
      <w:r>
        <w:rPr>
          <w:rStyle w:val="1163"/>
          <w:rFonts w:hint="eastAsia" w:ascii="宋体" w:hAnsi="宋体" w:cs="宋体"/>
          <w:color w:val="auto"/>
          <w:spacing w:val="7"/>
          <w:sz w:val="24"/>
          <w:highlight w:val="none"/>
          <w:lang w:val="en-US"/>
        </w:rPr>
        <w:t xml:space="preserve">条</w:t>
      </w:r>
      <w:r>
        <w:rPr>
          <w:rStyle w:val="1163"/>
          <w:rFonts w:hint="eastAsia" w:ascii="宋体" w:hAnsi="宋体" w:cs="宋体"/>
          <w:color w:val="auto"/>
          <w:spacing w:val="7"/>
          <w:sz w:val="24"/>
          <w:highlight w:val="none"/>
        </w:rPr>
        <w:t xml:space="preserve">得分为0分，则该总分项7分直接判0分。【</w:t>
      </w:r>
      <w:r>
        <w:rPr>
          <w:rStyle w:val="1163"/>
          <w:rFonts w:hint="eastAsia" w:ascii="宋体" w:hAnsi="宋体" w:cs="宋体"/>
          <w:color w:val="auto"/>
          <w:spacing w:val="7"/>
          <w:sz w:val="24"/>
          <w:highlight w:val="none"/>
          <w:lang w:val="en-US"/>
        </w:rPr>
        <w:t xml:space="preserve">0-7</w:t>
      </w:r>
      <w:r>
        <w:rPr>
          <w:rStyle w:val="1163"/>
          <w:rFonts w:hint="eastAsia" w:ascii="宋体" w:hAnsi="宋体" w:cs="宋体"/>
          <w:color w:val="auto"/>
          <w:spacing w:val="7"/>
          <w:sz w:val="24"/>
          <w:highlight w:val="none"/>
        </w:rPr>
        <w:t xml:space="preserve">】</w:t>
      </w:r>
      <w:r/>
    </w:p>
    <w:p>
      <w:pPr>
        <w:ind w:firstLine="510"/>
        <w:spacing w:line="400" w:lineRule="exact"/>
        <w:rPr>
          <w:rFonts w:hint="eastAsia"/>
          <w:color w:val="auto"/>
          <w:highlight w:val="none"/>
        </w:rPr>
      </w:pPr>
      <w:r>
        <w:rPr>
          <w:rStyle w:val="1163"/>
          <w:rFonts w:hint="eastAsia" w:ascii="宋体" w:hAnsi="宋体" w:cs="宋体"/>
          <w:color w:val="auto"/>
          <w:spacing w:val="7"/>
          <w:sz w:val="24"/>
          <w:highlight w:val="none"/>
          <w:lang w:val="en-US" w:eastAsia="zh-CN"/>
        </w:rPr>
        <w:t xml:space="preserve">投标文件中</w:t>
      </w:r>
      <w:r>
        <w:rPr>
          <w:rStyle w:val="1163"/>
          <w:rFonts w:hint="eastAsia" w:ascii="宋体" w:hAnsi="宋体" w:cs="宋体"/>
          <w:color w:val="auto"/>
          <w:spacing w:val="7"/>
          <w:sz w:val="24"/>
          <w:highlight w:val="none"/>
        </w:rPr>
        <w:t xml:space="preserve">提供由</w:t>
      </w:r>
      <w:r>
        <w:rPr>
          <w:rStyle w:val="1163"/>
          <w:rFonts w:hint="eastAsia" w:ascii="宋体" w:hAnsi="宋体" w:eastAsia="宋体" w:cs="宋体"/>
          <w:b w:val="0"/>
          <w:bCs w:val="0"/>
          <w:color w:val="auto"/>
          <w:spacing w:val="7"/>
          <w:sz w:val="24"/>
          <w:szCs w:val="24"/>
          <w:highlight w:val="none"/>
          <w:lang w:val="en-US"/>
        </w:rPr>
        <w:t xml:space="preserve">国家</w:t>
      </w:r>
      <w:r>
        <w:rPr>
          <w:rStyle w:val="1163"/>
          <w:rFonts w:hint="eastAsia" w:ascii="宋体" w:hAnsi="宋体" w:cs="宋体"/>
          <w:b w:val="0"/>
          <w:bCs w:val="0"/>
          <w:color w:val="auto"/>
          <w:spacing w:val="7"/>
          <w:sz w:val="24"/>
          <w:szCs w:val="24"/>
          <w:highlight w:val="none"/>
          <w:lang w:val="en-US"/>
        </w:rPr>
        <w:t xml:space="preserve">级</w:t>
      </w:r>
      <w:r>
        <w:rPr>
          <w:rStyle w:val="1163"/>
          <w:rFonts w:hint="eastAsia" w:ascii="宋体" w:hAnsi="宋体" w:eastAsia="宋体" w:cs="宋体"/>
          <w:b w:val="0"/>
          <w:bCs w:val="0"/>
          <w:color w:val="auto"/>
          <w:spacing w:val="7"/>
          <w:sz w:val="24"/>
          <w:szCs w:val="24"/>
          <w:highlight w:val="none"/>
          <w:lang w:val="en-US"/>
        </w:rPr>
        <w:t xml:space="preserve">电光源质量检验检测中心出具的检测报告</w:t>
      </w:r>
      <w:r>
        <w:rPr>
          <w:rStyle w:val="1163"/>
          <w:rFonts w:hint="eastAsia" w:ascii="宋体" w:hAnsi="宋体" w:cs="宋体"/>
          <w:color w:val="auto"/>
          <w:spacing w:val="7"/>
          <w:sz w:val="24"/>
          <w:highlight w:val="none"/>
        </w:rPr>
        <w:t xml:space="preserve">,报告需具有CMA和CNAS认证标志并支持二维码验真伪，不提供不得分，未提供不得分。</w:t>
      </w:r>
      <w:r/>
    </w:p>
    <w:p>
      <w:pPr>
        <w:ind w:firstLine="510"/>
        <w:jc w:val="left"/>
        <w:spacing w:line="400" w:lineRule="exact"/>
        <w:rPr>
          <w:rStyle w:val="1163"/>
          <w:rFonts w:hint="eastAsia" w:ascii="宋体" w:hAnsi="宋体" w:cs="宋体"/>
          <w:b/>
          <w:bCs/>
          <w:color w:val="auto"/>
          <w:spacing w:val="7"/>
          <w:sz w:val="24"/>
        </w:rPr>
      </w:pPr>
      <w:r>
        <w:rPr>
          <w:rStyle w:val="1163"/>
          <w:rFonts w:hint="eastAsia" w:ascii="宋体" w:hAnsi="宋体" w:cs="宋体"/>
          <w:b/>
          <w:bCs/>
          <w:color w:val="auto"/>
          <w:spacing w:val="7"/>
          <w:sz w:val="24"/>
          <w:lang w:val="en-US"/>
        </w:rPr>
        <w:t xml:space="preserve">4</w:t>
      </w:r>
      <w:r>
        <w:rPr>
          <w:rStyle w:val="1163"/>
          <w:rFonts w:hint="eastAsia" w:ascii="宋体" w:hAnsi="宋体" w:cs="宋体"/>
          <w:b/>
          <w:bCs/>
          <w:color w:val="auto"/>
          <w:spacing w:val="7"/>
          <w:sz w:val="24"/>
        </w:rPr>
        <w:t xml:space="preserve">、类似业绩3分</w:t>
      </w:r>
      <w:r/>
    </w:p>
    <w:p>
      <w:pPr>
        <w:ind w:firstLine="508"/>
        <w:jc w:val="left"/>
        <w:spacing w:line="400" w:lineRule="exact"/>
        <w:rPr>
          <w:rStyle w:val="1163"/>
          <w:rFonts w:hint="eastAsia" w:ascii="宋体" w:hAnsi="宋体" w:cs="宋体"/>
          <w:color w:val="auto"/>
          <w:spacing w:val="7"/>
          <w:sz w:val="24"/>
        </w:rPr>
      </w:pPr>
      <w:r>
        <w:rPr>
          <w:rStyle w:val="1163"/>
          <w:rFonts w:hint="eastAsia" w:ascii="宋体" w:hAnsi="宋体" w:cs="宋体"/>
          <w:color w:val="auto"/>
          <w:spacing w:val="7"/>
          <w:sz w:val="24"/>
        </w:rPr>
        <w:t xml:space="preserve">投标单位提供自2023年（以签订的合同日期为准）以来承担过的类似项目业绩，每提供一份得1分，本项最高得3分。（</w:t>
      </w:r>
      <w:r>
        <w:rPr>
          <w:rStyle w:val="903"/>
          <w:rFonts w:hint="eastAsia" w:ascii="宋体" w:hAnsi="宋体" w:eastAsia="宋体" w:cs="宋体"/>
          <w:b w:val="0"/>
          <w:color w:val="auto"/>
          <w:spacing w:val="7"/>
          <w:sz w:val="24"/>
        </w:rPr>
        <w:t xml:space="preserve">请在投标文件中提供合同，合同中须反映出相关内容，如合同中不能反映，须提供其他材料予以佐证，不提供不得分</w:t>
      </w:r>
      <w:r>
        <w:rPr>
          <w:rStyle w:val="1163"/>
          <w:rFonts w:hint="eastAsia" w:ascii="宋体" w:hAnsi="宋体" w:cs="宋体"/>
          <w:color w:val="auto"/>
          <w:spacing w:val="7"/>
          <w:sz w:val="24"/>
        </w:rPr>
        <w:t xml:space="preserve">）【</w:t>
      </w:r>
      <w:r>
        <w:rPr>
          <w:rStyle w:val="1163"/>
          <w:rFonts w:hint="eastAsia" w:ascii="宋体" w:hAnsi="宋体" w:cs="宋体"/>
          <w:color w:val="auto"/>
          <w:spacing w:val="7"/>
          <w:sz w:val="24"/>
          <w:lang w:val="en-US"/>
        </w:rPr>
        <w:t xml:space="preserve">0-3</w:t>
      </w:r>
      <w:r>
        <w:rPr>
          <w:rStyle w:val="1163"/>
          <w:rFonts w:hint="eastAsia" w:ascii="宋体" w:hAnsi="宋体" w:cs="宋体"/>
          <w:color w:val="auto"/>
          <w:spacing w:val="7"/>
          <w:sz w:val="24"/>
        </w:rPr>
        <w:t xml:space="preserve">】</w:t>
      </w:r>
      <w:r/>
    </w:p>
    <w:p>
      <w:pPr>
        <w:ind w:left="0" w:right="0" w:firstLine="500"/>
        <w:jc w:val="left"/>
        <w:keepLines w:val="0"/>
        <w:keepNext w:val="0"/>
        <w:spacing w:before="0" w:beforeAutospacing="0" w:after="0" w:afterAutospacing="0" w:line="440" w:lineRule="exact"/>
        <w:widowControl/>
        <w:rPr>
          <w:rFonts w:hint="eastAsia" w:ascii="宋体" w:hAnsi="宋体" w:eastAsia="宋体" w:cs="宋体"/>
          <w:b/>
          <w:bCs w:val="0"/>
          <w:color w:val="000000"/>
          <w:spacing w:val="7"/>
          <w:sz w:val="24"/>
          <w:szCs w:val="24"/>
        </w:rPr>
        <w:suppressLineNumbers w:val="0"/>
      </w:pPr>
      <w:r>
        <w:rPr>
          <w:rFonts w:hint="eastAsia" w:ascii="宋体" w:hAnsi="宋体" w:eastAsia="宋体" w:cs="宋体"/>
          <w:b/>
          <w:bCs w:val="0"/>
          <w:color w:val="000000"/>
          <w:spacing w:val="7"/>
          <w:sz w:val="24"/>
          <w:szCs w:val="24"/>
          <w:lang w:val="en-US" w:eastAsia="zh-CN" w:bidi="ar"/>
        </w:rPr>
        <w:t xml:space="preserve">5、节能产品3分</w:t>
      </w:r>
      <w:r/>
    </w:p>
    <w:p>
      <w:pPr>
        <w:ind w:left="0" w:right="0" w:firstLine="500"/>
        <w:jc w:val="left"/>
        <w:keepLines w:val="0"/>
        <w:keepNext w:val="0"/>
        <w:spacing w:before="0" w:beforeAutospacing="0" w:after="0" w:afterAutospacing="0" w:line="440" w:lineRule="exact"/>
        <w:widowControl/>
        <w:rPr>
          <w:rFonts w:hint="eastAsia" w:ascii="宋体" w:hAnsi="宋体" w:eastAsia="宋体" w:cs="宋体"/>
          <w:color w:val="000000"/>
          <w:spacing w:val="7"/>
          <w:sz w:val="24"/>
          <w:szCs w:val="24"/>
          <w:lang w:val="en-US" w:eastAsia="zh-CN" w:bidi="ar-SA"/>
        </w:rPr>
        <w:suppressLineNumbers w:val="0"/>
      </w:pPr>
      <w:r>
        <w:rPr>
          <w:rFonts w:hint="eastAsia" w:ascii="宋体" w:hAnsi="宋体" w:eastAsia="宋体" w:cs="宋体"/>
          <w:color w:val="000000"/>
          <w:spacing w:val="7"/>
          <w:sz w:val="24"/>
          <w:szCs w:val="24"/>
          <w:lang w:val="en-US" w:eastAsia="zh-CN" w:bidi="ar"/>
        </w:rPr>
        <w:t xml:space="preserve">投标产品中，属于</w:t>
      </w:r>
      <w:r>
        <w:rPr>
          <w:rFonts w:ascii="宋体" w:hAnsi="宋体" w:eastAsia="宋体" w:cs="宋体"/>
          <w:sz w:val="24"/>
          <w:szCs w:val="24"/>
        </w:rPr>
        <w:t xml:space="preserve">财库〔2019〕19 号</w:t>
      </w:r>
      <w:r>
        <w:rPr>
          <w:rFonts w:hint="eastAsia" w:ascii="宋体" w:hAnsi="宋体" w:eastAsia="宋体" w:cs="宋体"/>
          <w:sz w:val="24"/>
          <w:szCs w:val="24"/>
        </w:rPr>
        <w:t xml:space="preserve">节能产品</w:t>
      </w:r>
      <w:r>
        <w:rPr>
          <w:rFonts w:hint="eastAsia" w:ascii="宋体" w:hAnsi="宋体" w:eastAsia="宋体" w:cs="宋体"/>
          <w:color w:val="000000"/>
          <w:spacing w:val="7"/>
          <w:sz w:val="24"/>
          <w:szCs w:val="24"/>
          <w:lang w:val="en-US" w:eastAsia="zh-CN" w:bidi="ar"/>
        </w:rPr>
        <w:t xml:space="preserve">政府采购品目清单</w:t>
      </w:r>
      <w:r>
        <w:rPr>
          <w:rFonts w:hint="eastAsia" w:ascii="宋体" w:hAnsi="宋体" w:eastAsia="宋体" w:cs="宋体"/>
          <w:sz w:val="24"/>
          <w:szCs w:val="24"/>
          <w:lang w:val="en-US" w:eastAsia="zh-CN"/>
        </w:rPr>
        <w:t xml:space="preserve">内</w:t>
      </w:r>
      <w:r>
        <w:rPr>
          <w:rFonts w:hint="eastAsia" w:ascii="宋体" w:hAnsi="宋体" w:eastAsia="宋体" w:cs="宋体"/>
          <w:color w:val="000000"/>
          <w:spacing w:val="7"/>
          <w:sz w:val="24"/>
          <w:szCs w:val="24"/>
          <w:lang w:val="en-US" w:eastAsia="zh-CN" w:bidi="ar"/>
        </w:rPr>
        <w:t xml:space="preserve">的有一个得1分，本项最高得3分。（请在投标文件中提供国家确定的认证机构出具的、处于有效期之内的节能产品认证证书等证明材料，不提供的不得分）。</w:t>
      </w:r>
      <w:r>
        <w:rPr>
          <w:rFonts w:hint="eastAsia" w:ascii="宋体" w:hAnsi="宋体" w:cs="宋体"/>
          <w:color w:val="000000"/>
          <w:spacing w:val="7"/>
          <w:sz w:val="24"/>
          <w:szCs w:val="24"/>
          <w:lang w:val="en-US" w:eastAsia="zh-CN" w:bidi="ar"/>
        </w:rPr>
        <w:t xml:space="preserve">【0-3】</w:t>
      </w:r>
      <w:r/>
    </w:p>
    <w:p>
      <w:pPr>
        <w:pStyle w:val="1123"/>
        <w:ind w:firstLine="480"/>
        <w:spacing w:line="400" w:lineRule="exact"/>
        <w:rPr>
          <w:rFonts w:hint="eastAsia" w:ascii="宋体" w:hAnsi="宋体" w:eastAsia="宋体" w:cs="宋体"/>
          <w:b/>
          <w:bCs/>
          <w:color w:val="auto"/>
          <w:lang w:bidi="ar"/>
        </w:rPr>
      </w:pPr>
      <w:r>
        <w:rPr>
          <w:rFonts w:hint="eastAsia" w:ascii="宋体" w:hAnsi="宋体" w:eastAsia="宋体" w:cs="宋体"/>
          <w:b/>
          <w:bCs/>
          <w:color w:val="auto"/>
          <w:lang w:bidi="ar"/>
        </w:rPr>
      </w:r>
      <w:r/>
    </w:p>
    <w:p>
      <w:pPr>
        <w:pStyle w:val="1123"/>
        <w:ind w:firstLine="480"/>
        <w:spacing w:line="400" w:lineRule="exact"/>
        <w:rPr>
          <w:rFonts w:hint="eastAsia" w:ascii="宋体" w:hAnsi="宋体" w:eastAsia="宋体" w:cs="宋体"/>
          <w:color w:val="auto"/>
          <w:lang w:bidi="ar"/>
        </w:rPr>
      </w:pPr>
      <w:r>
        <w:rPr>
          <w:rFonts w:hint="eastAsia" w:ascii="宋体" w:hAnsi="宋体" w:eastAsia="宋体" w:cs="宋体"/>
          <w:b/>
          <w:bCs/>
          <w:color w:val="auto"/>
          <w:lang w:bidi="ar"/>
        </w:rPr>
        <w:t xml:space="preserve">注：</w:t>
      </w:r>
      <w:r>
        <w:rPr>
          <w:b/>
          <w:bCs/>
          <w:color w:val="auto"/>
        </w:rPr>
        <w:t xml:space="preserve">以上证明材料，不提供不得分</w:t>
      </w:r>
      <w:r>
        <w:rPr>
          <w:rFonts w:hint="eastAsia" w:eastAsia="宋体"/>
          <w:b/>
          <w:bCs/>
          <w:color w:val="auto"/>
        </w:rPr>
        <w:t xml:space="preserve">。</w:t>
      </w:r>
      <w:r/>
    </w:p>
    <w:p>
      <w:pPr>
        <w:pStyle w:val="1123"/>
        <w:ind w:firstLine="480"/>
        <w:spacing w:line="400" w:lineRule="exact"/>
        <w:rPr>
          <w:rFonts w:hint="eastAsia" w:ascii="宋体" w:hAnsi="宋体" w:eastAsia="宋体" w:cs="宋体"/>
          <w:color w:val="auto"/>
          <w:lang w:bidi="ar"/>
        </w:rPr>
      </w:pPr>
      <w:r>
        <w:rPr>
          <w:rFonts w:hint="eastAsia" w:ascii="宋体" w:hAnsi="宋体" w:eastAsia="宋体" w:cs="宋体"/>
          <w:color w:val="auto"/>
          <w:lang w:bidi="ar"/>
        </w:rPr>
      </w:r>
      <w:r/>
    </w:p>
    <w:p>
      <w:pPr>
        <w:pStyle w:val="936"/>
        <w:rPr>
          <w:color w:val="auto"/>
        </w:rPr>
      </w:pPr>
      <w:r>
        <w:rPr>
          <w:color w:val="auto"/>
        </w:rPr>
      </w:r>
      <w:r/>
    </w:p>
    <w:p>
      <w:pPr>
        <w:ind w:firstLine="480"/>
        <w:rPr>
          <w:rFonts w:hint="eastAsia" w:ascii="宋体" w:hAnsi="宋体" w:cs="宋体"/>
          <w:color w:val="auto"/>
          <w:sz w:val="24"/>
        </w:rPr>
      </w:pPr>
      <w:r>
        <w:rPr>
          <w:rFonts w:hint="eastAsia" w:ascii="宋体" w:hAnsi="宋体" w:cs="宋体"/>
          <w:color w:val="auto"/>
          <w:sz w:val="24"/>
        </w:rPr>
        <w:t xml:space="preserve"> </w:t>
      </w:r>
      <w:bookmarkEnd w:id="153"/>
      <w:r/>
      <w:bookmarkEnd w:id="154"/>
      <w:r/>
      <w:bookmarkEnd w:id="175"/>
      <w:r/>
      <w:bookmarkEnd w:id="176"/>
      <w:r/>
      <w:bookmarkEnd w:id="177"/>
      <w:r/>
      <w:bookmarkEnd w:id="199"/>
      <w:r/>
      <w:r/>
    </w:p>
    <w:p>
      <w:pPr>
        <w:numPr>
          <w:ilvl w:val="0"/>
          <w:numId w:val="2"/>
        </w:numPr>
        <w:jc w:val="center"/>
        <w:pageBreakBefore/>
        <w:spacing w:after="20" w:line="480" w:lineRule="exact"/>
        <w:rPr>
          <w:rFonts w:hint="eastAsia" w:ascii="黑体" w:hAnsi="宋体" w:eastAsia="黑体" w:cs="宋体"/>
          <w:b/>
          <w:bCs/>
          <w:color w:val="auto"/>
          <w:sz w:val="44"/>
          <w:szCs w:val="44"/>
        </w:rPr>
        <w:outlineLvl w:val="0"/>
      </w:pPr>
      <w:r>
        <w:rPr>
          <w:rFonts w:hint="eastAsia" w:ascii="宋体" w:hAnsi="宋体" w:cs="宋体"/>
          <w:b/>
          <w:bCs/>
          <w:color w:val="auto"/>
          <w:sz w:val="32"/>
          <w:szCs w:val="32"/>
        </w:rPr>
        <w:t xml:space="preserve">投标文件格式</w:t>
      </w:r>
      <w:r/>
    </w:p>
    <w:p>
      <w:pPr>
        <w:ind w:firstLine="0"/>
        <w:jc w:val="center"/>
        <w:keepNext/>
        <w:rPr>
          <w:rFonts w:hint="eastAsia" w:ascii="黑体" w:hAnsi="宋体" w:eastAsia="黑体" w:cs="宋体"/>
          <w:bCs/>
          <w:color w:val="auto"/>
          <w:sz w:val="44"/>
          <w:szCs w:val="44"/>
        </w:rPr>
      </w:pPr>
      <w:r>
        <w:rPr>
          <w:rFonts w:hint="eastAsia" w:ascii="黑体" w:hAnsi="宋体" w:eastAsia="黑体" w:cs="宋体"/>
          <w:bCs/>
          <w:color w:val="auto"/>
          <w:sz w:val="44"/>
          <w:szCs w:val="44"/>
        </w:rPr>
      </w:r>
      <w:r/>
    </w:p>
    <w:p>
      <w:pPr>
        <w:pStyle w:val="923"/>
        <w:tabs>
          <w:tab w:val="right" w:pos="9746" w:leader="dot"/>
        </w:tabs>
        <w:rPr>
          <w:sz w:val="24"/>
          <w:szCs w:val="32"/>
        </w:rPr>
      </w:pPr>
      <w:r>
        <w:rPr>
          <w:rFonts w:hint="eastAsia" w:ascii="宋体" w:hAnsi="宋体" w:cs="宋体"/>
          <w:color w:val="auto"/>
          <w:sz w:val="48"/>
          <w:szCs w:val="48"/>
        </w:rPr>
        <w:fldChar w:fldCharType="begin"/>
      </w:r>
      <w:r>
        <w:rPr>
          <w:rFonts w:hint="eastAsia" w:ascii="宋体" w:hAnsi="宋体" w:cs="宋体"/>
          <w:color w:val="auto"/>
          <w:sz w:val="48"/>
          <w:szCs w:val="48"/>
        </w:rPr>
        <w:instrText xml:space="preserve">TOC \o "1-2" \n  \u </w:instrText>
      </w:r>
      <w:r>
        <w:rPr>
          <w:rFonts w:hint="eastAsia" w:ascii="宋体" w:hAnsi="宋体" w:cs="宋体"/>
          <w:color w:val="auto"/>
          <w:sz w:val="48"/>
          <w:szCs w:val="48"/>
        </w:rPr>
        <w:fldChar w:fldCharType="separate"/>
      </w:r>
      <w:r/>
    </w:p>
    <w:p>
      <w:pPr>
        <w:pStyle w:val="923"/>
        <w:tabs>
          <w:tab w:val="right" w:pos="9746" w:leader="dot"/>
        </w:tabs>
        <w:rPr>
          <w:sz w:val="24"/>
          <w:szCs w:val="32"/>
        </w:rPr>
      </w:pPr>
      <w:r>
        <w:rPr>
          <w:rFonts w:hint="eastAsia" w:ascii="宋体" w:hAnsi="宋体"/>
          <w:color w:val="auto"/>
          <w:sz w:val="24"/>
          <w:szCs w:val="40"/>
        </w:rPr>
        <w:t xml:space="preserve">一、 封面</w:t>
      </w:r>
      <w:r/>
    </w:p>
    <w:p>
      <w:pPr>
        <w:pStyle w:val="923"/>
        <w:tabs>
          <w:tab w:val="right" w:pos="9746" w:leader="dot"/>
        </w:tabs>
        <w:rPr>
          <w:sz w:val="24"/>
          <w:szCs w:val="32"/>
        </w:rPr>
      </w:pPr>
      <w:r>
        <w:rPr>
          <w:rFonts w:hint="eastAsia" w:ascii="宋体" w:hAnsi="宋体"/>
          <w:color w:val="auto"/>
          <w:sz w:val="24"/>
          <w:szCs w:val="40"/>
        </w:rPr>
        <w:t xml:space="preserve">二、 投标函格式</w:t>
      </w:r>
      <w:r/>
    </w:p>
    <w:p>
      <w:pPr>
        <w:pStyle w:val="923"/>
        <w:tabs>
          <w:tab w:val="right" w:pos="9746" w:leader="dot"/>
        </w:tabs>
        <w:rPr>
          <w:sz w:val="24"/>
          <w:szCs w:val="32"/>
        </w:rPr>
      </w:pPr>
      <w:r>
        <w:rPr>
          <w:rFonts w:hint="eastAsia" w:ascii="宋体" w:hAnsi="宋体"/>
          <w:bCs/>
          <w:color w:val="auto"/>
          <w:sz w:val="24"/>
          <w:szCs w:val="40"/>
        </w:rPr>
        <w:t xml:space="preserve">三、 </w:t>
      </w:r>
      <w:r>
        <w:rPr>
          <w:rFonts w:hint="eastAsia" w:ascii="宋体" w:hAnsi="宋体"/>
          <w:color w:val="auto"/>
          <w:sz w:val="24"/>
          <w:szCs w:val="40"/>
        </w:rPr>
        <w:t xml:space="preserve">开标</w:t>
      </w:r>
      <w:r>
        <w:rPr>
          <w:rFonts w:hint="eastAsia" w:ascii="宋体" w:hAnsi="宋体"/>
          <w:bCs/>
          <w:color w:val="auto"/>
          <w:sz w:val="24"/>
          <w:szCs w:val="40"/>
        </w:rPr>
        <w:t xml:space="preserve">一览表</w:t>
      </w:r>
      <w:r/>
    </w:p>
    <w:p>
      <w:pPr>
        <w:pStyle w:val="923"/>
        <w:tabs>
          <w:tab w:val="right" w:pos="9746" w:leader="dot"/>
        </w:tabs>
        <w:rPr>
          <w:sz w:val="24"/>
          <w:szCs w:val="32"/>
        </w:rPr>
      </w:pPr>
      <w:r>
        <w:rPr>
          <w:rFonts w:hint="eastAsia" w:ascii="宋体" w:hAnsi="宋体"/>
          <w:bCs/>
          <w:color w:val="auto"/>
          <w:sz w:val="24"/>
          <w:szCs w:val="40"/>
        </w:rPr>
        <w:t xml:space="preserve">四、 资格</w:t>
      </w:r>
      <w:r>
        <w:rPr>
          <w:rFonts w:hint="eastAsia" w:ascii="宋体" w:hAnsi="宋体"/>
          <w:color w:val="auto"/>
          <w:sz w:val="24"/>
          <w:szCs w:val="40"/>
        </w:rPr>
        <w:t xml:space="preserve">证明</w:t>
      </w:r>
      <w:r>
        <w:rPr>
          <w:rFonts w:hint="eastAsia" w:ascii="宋体" w:hAnsi="宋体"/>
          <w:bCs/>
          <w:color w:val="auto"/>
          <w:sz w:val="24"/>
          <w:szCs w:val="40"/>
        </w:rPr>
        <w:t xml:space="preserve">文件</w:t>
      </w:r>
      <w:r/>
    </w:p>
    <w:p>
      <w:pPr>
        <w:pStyle w:val="923"/>
        <w:tabs>
          <w:tab w:val="right" w:pos="9746" w:leader="dot"/>
        </w:tabs>
        <w:rPr>
          <w:sz w:val="24"/>
          <w:szCs w:val="32"/>
        </w:rPr>
      </w:pPr>
      <w:r>
        <w:rPr>
          <w:rFonts w:hint="eastAsia"/>
          <w:bCs/>
          <w:color w:val="auto"/>
          <w:sz w:val="24"/>
          <w:szCs w:val="40"/>
        </w:rPr>
        <w:t xml:space="preserve">五、 </w:t>
      </w:r>
      <w:r>
        <w:rPr>
          <w:rFonts w:ascii="宋体" w:hAnsi="宋体" w:cs="宋体"/>
          <w:color w:val="auto"/>
          <w:sz w:val="24"/>
          <w:szCs w:val="28"/>
        </w:rPr>
        <w:t xml:space="preserve">第四章</w:t>
      </w:r>
      <w:r>
        <w:rPr>
          <w:bCs/>
          <w:color w:val="auto"/>
          <w:sz w:val="24"/>
          <w:szCs w:val="40"/>
        </w:rPr>
        <w:t xml:space="preserve">项目需求中实质性要求响应对照表</w:t>
      </w:r>
      <w:r/>
    </w:p>
    <w:p>
      <w:pPr>
        <w:pStyle w:val="923"/>
        <w:tabs>
          <w:tab w:val="right" w:pos="9746" w:leader="dot"/>
        </w:tabs>
        <w:rPr>
          <w:sz w:val="24"/>
          <w:szCs w:val="32"/>
        </w:rPr>
      </w:pPr>
      <w:r>
        <w:rPr>
          <w:rFonts w:hint="eastAsia"/>
          <w:bCs/>
          <w:color w:val="auto"/>
          <w:sz w:val="24"/>
          <w:szCs w:val="40"/>
        </w:rPr>
        <w:t xml:space="preserve">六、 </w:t>
      </w:r>
      <w:r>
        <w:rPr>
          <w:rFonts w:hint="eastAsia" w:ascii="宋体" w:hAnsi="宋体"/>
          <w:bCs/>
          <w:color w:val="auto"/>
          <w:sz w:val="24"/>
          <w:szCs w:val="40"/>
        </w:rPr>
        <w:t xml:space="preserve">投标</w:t>
      </w:r>
      <w:r>
        <w:rPr>
          <w:bCs/>
          <w:color w:val="auto"/>
          <w:sz w:val="24"/>
          <w:szCs w:val="40"/>
        </w:rPr>
        <w:t xml:space="preserve">配置及分项报价表</w:t>
      </w:r>
      <w:r/>
    </w:p>
    <w:p>
      <w:pPr>
        <w:pStyle w:val="923"/>
        <w:tabs>
          <w:tab w:val="right" w:pos="9746" w:leader="dot"/>
        </w:tabs>
        <w:rPr>
          <w:sz w:val="24"/>
          <w:szCs w:val="32"/>
        </w:rPr>
      </w:pPr>
      <w:r>
        <w:rPr>
          <w:rFonts w:hint="eastAsia" w:ascii="宋体" w:hAnsi="宋体"/>
          <w:bCs/>
          <w:color w:val="auto"/>
          <w:sz w:val="24"/>
          <w:szCs w:val="40"/>
        </w:rPr>
        <w:t xml:space="preserve">七、 常用零配件及耗材报价表</w:t>
      </w:r>
      <w:r/>
    </w:p>
    <w:p>
      <w:pPr>
        <w:pStyle w:val="923"/>
        <w:tabs>
          <w:tab w:val="right" w:pos="9746" w:leader="dot"/>
        </w:tabs>
        <w:rPr>
          <w:sz w:val="24"/>
          <w:szCs w:val="32"/>
        </w:rPr>
      </w:pPr>
      <w:r>
        <w:rPr>
          <w:rFonts w:hint="eastAsia"/>
          <w:bCs/>
          <w:color w:val="auto"/>
          <w:sz w:val="24"/>
          <w:szCs w:val="40"/>
        </w:rPr>
        <w:t xml:space="preserve">八、 技术参数响应及偏离表</w:t>
      </w:r>
      <w:r/>
    </w:p>
    <w:p>
      <w:pPr>
        <w:pStyle w:val="923"/>
        <w:tabs>
          <w:tab w:val="right" w:pos="9746" w:leader="dot"/>
        </w:tabs>
        <w:rPr>
          <w:sz w:val="24"/>
          <w:szCs w:val="32"/>
        </w:rPr>
      </w:pPr>
      <w:r>
        <w:rPr>
          <w:rFonts w:hint="eastAsia" w:ascii="宋体" w:hAnsi="宋体"/>
          <w:color w:val="auto"/>
          <w:sz w:val="24"/>
          <w:szCs w:val="48"/>
        </w:rPr>
        <w:t xml:space="preserve">九、 技术</w:t>
      </w:r>
      <w:r>
        <w:rPr>
          <w:bCs/>
          <w:color w:val="auto"/>
          <w:sz w:val="24"/>
          <w:szCs w:val="40"/>
        </w:rPr>
        <w:t xml:space="preserve">方案</w:t>
      </w:r>
      <w:r>
        <w:rPr>
          <w:rFonts w:ascii="宋体" w:hAnsi="宋体"/>
          <w:color w:val="auto"/>
          <w:sz w:val="24"/>
          <w:szCs w:val="48"/>
        </w:rPr>
        <w:t xml:space="preserve">、服务方案</w:t>
      </w:r>
      <w:r/>
    </w:p>
    <w:p>
      <w:pPr>
        <w:pStyle w:val="923"/>
        <w:tabs>
          <w:tab w:val="right" w:pos="9746" w:leader="dot"/>
        </w:tabs>
        <w:rPr>
          <w:sz w:val="24"/>
          <w:szCs w:val="32"/>
        </w:rPr>
      </w:pPr>
      <w:r>
        <w:rPr>
          <w:rFonts w:hint="eastAsia" w:ascii="宋体" w:hAnsi="宋体" w:cs="宋体"/>
          <w:color w:val="auto"/>
          <w:sz w:val="24"/>
          <w:szCs w:val="28"/>
        </w:rPr>
        <w:t xml:space="preserve">十、 中小企业声明函</w:t>
      </w:r>
      <w:r/>
    </w:p>
    <w:p>
      <w:pPr>
        <w:pStyle w:val="923"/>
        <w:tabs>
          <w:tab w:val="right" w:pos="9746" w:leader="dot"/>
        </w:tabs>
        <w:rPr>
          <w:sz w:val="24"/>
          <w:szCs w:val="32"/>
        </w:rPr>
      </w:pPr>
      <w:r>
        <w:rPr>
          <w:rFonts w:hint="eastAsia" w:ascii="宋体" w:hAnsi="宋体"/>
          <w:color w:val="auto"/>
          <w:sz w:val="24"/>
          <w:szCs w:val="48"/>
        </w:rPr>
        <w:t xml:space="preserve">十一、 类似项目业绩一览表</w:t>
      </w:r>
      <w:r/>
    </w:p>
    <w:p>
      <w:pPr>
        <w:pStyle w:val="923"/>
        <w:tabs>
          <w:tab w:val="right" w:pos="9746" w:leader="dot"/>
        </w:tabs>
        <w:rPr>
          <w:sz w:val="24"/>
          <w:szCs w:val="32"/>
        </w:rPr>
      </w:pPr>
      <w:r>
        <w:rPr>
          <w:rFonts w:hint="eastAsia"/>
          <w:bCs/>
          <w:color w:val="auto"/>
          <w:sz w:val="24"/>
          <w:szCs w:val="40"/>
        </w:rPr>
        <w:t xml:space="preserve">十二、 </w:t>
      </w:r>
      <w:r>
        <w:rPr>
          <w:rFonts w:hint="eastAsia" w:ascii="宋体" w:hAnsi="宋体"/>
          <w:color w:val="auto"/>
          <w:sz w:val="24"/>
          <w:szCs w:val="40"/>
        </w:rPr>
        <w:t xml:space="preserve">投标人情况介绍</w:t>
      </w:r>
      <w:r/>
    </w:p>
    <w:p>
      <w:pPr>
        <w:pStyle w:val="923"/>
        <w:tabs>
          <w:tab w:val="right" w:pos="9746" w:leader="dot"/>
        </w:tabs>
        <w:rPr>
          <w:sz w:val="24"/>
          <w:szCs w:val="32"/>
        </w:rPr>
      </w:pPr>
      <w:r>
        <w:rPr>
          <w:rFonts w:hint="eastAsia" w:ascii="宋体" w:hAnsi="宋体"/>
          <w:color w:val="auto"/>
          <w:sz w:val="24"/>
          <w:szCs w:val="40"/>
        </w:rPr>
        <w:t xml:space="preserve">十三、 关于符合本国产品标准的声明函</w:t>
      </w:r>
      <w:r/>
    </w:p>
    <w:p>
      <w:pPr>
        <w:pStyle w:val="1098"/>
        <w:ind w:left="0" w:firstLine="0"/>
        <w:spacing w:line="360" w:lineRule="auto"/>
        <w:tabs>
          <w:tab w:val="right" w:pos="9746" w:leader="none"/>
        </w:tabs>
        <w:rPr>
          <w:rFonts w:hint="eastAsia" w:ascii="宋体" w:hAnsi="宋体" w:cs="宋体"/>
          <w:color w:val="auto"/>
          <w:sz w:val="28"/>
          <w:szCs w:val="28"/>
        </w:rPr>
      </w:pPr>
      <w:r>
        <w:rPr>
          <w:rFonts w:hint="eastAsia" w:ascii="宋体" w:hAnsi="宋体" w:cs="宋体"/>
          <w:color w:val="auto"/>
          <w:sz w:val="24"/>
          <w:szCs w:val="48"/>
        </w:rPr>
        <w:fldChar w:fldCharType="end"/>
      </w:r>
      <w:r/>
    </w:p>
    <w:p>
      <w:pPr>
        <w:pStyle w:val="935"/>
        <w:rPr>
          <w:rFonts w:hint="eastAsia" w:cs="宋体"/>
          <w:color w:val="auto"/>
          <w:sz w:val="28"/>
          <w:szCs w:val="28"/>
        </w:rPr>
      </w:pPr>
      <w:r>
        <w:rPr>
          <w:rFonts w:hint="eastAsia"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numPr>
          <w:ilvl w:val="0"/>
          <w:numId w:val="16"/>
        </w:numPr>
        <w:jc w:val="left"/>
        <w:pageBreakBefore/>
        <w:spacing w:before="120" w:after="120"/>
        <w:rPr>
          <w:rFonts w:hint="eastAsia" w:ascii="宋体" w:hAnsi="宋体"/>
          <w:b/>
          <w:color w:val="auto"/>
          <w:sz w:val="32"/>
          <w:szCs w:val="32"/>
        </w:rPr>
        <w:outlineLvl w:val="1"/>
      </w:pPr>
      <w:r/>
      <w:bookmarkStart w:id="210" w:name="_Toc209797858"/>
      <w:r>
        <w:rPr>
          <w:rFonts w:hint="eastAsia" w:ascii="宋体" w:hAnsi="宋体"/>
          <w:b/>
          <w:color w:val="auto"/>
          <w:sz w:val="32"/>
          <w:szCs w:val="32"/>
        </w:rPr>
        <w:t xml:space="preserve">封面</w:t>
      </w:r>
      <w:bookmarkEnd w:id="210"/>
      <w:r/>
      <w:r/>
    </w:p>
    <w:p>
      <w:pPr>
        <w:pStyle w:val="935"/>
        <w:rPr>
          <w:rFonts w:hint="eastAsia"/>
          <w:color w:val="auto"/>
        </w:rPr>
      </w:pPr>
      <w:r>
        <w:rPr>
          <w:rFonts w:hint="eastAsia"/>
          <w:color w:val="auto"/>
        </w:rPr>
      </w:r>
      <w:r/>
    </w:p>
    <w:p>
      <w:pPr>
        <w:pStyle w:val="1171"/>
        <w:jc w:val="center"/>
        <w:spacing w:before="540" w:after="540"/>
        <w:rPr>
          <w:rStyle w:val="1163"/>
          <w:rFonts w:hint="eastAsia" w:ascii="宋体" w:hAnsi="宋体" w:eastAsia="宋体" w:cs="宋体"/>
          <w:color w:val="auto"/>
          <w:sz w:val="54"/>
          <w:szCs w:val="54"/>
        </w:rPr>
      </w:pPr>
      <w:r>
        <w:rPr>
          <w:rStyle w:val="1163"/>
          <w:rFonts w:ascii="宋体" w:hAnsi="宋体" w:eastAsia="宋体" w:cs="宋体"/>
          <w:color w:val="auto"/>
          <w:sz w:val="54"/>
          <w:szCs w:val="54"/>
        </w:rPr>
        <w:t xml:space="preserve">投 标 文 件</w:t>
      </w:r>
      <w:r/>
    </w:p>
    <w:p>
      <w:pPr>
        <w:pStyle w:val="1171"/>
        <w:spacing w:before="240" w:after="240"/>
        <w:rPr>
          <w:rStyle w:val="1163"/>
          <w:rFonts w:hint="eastAsia" w:ascii="宋体" w:hAnsi="宋体" w:eastAsia="宋体" w:cs="宋体"/>
          <w:color w:val="auto"/>
        </w:rPr>
      </w:pPr>
      <w:r>
        <w:rPr>
          <w:rStyle w:val="1163"/>
          <w:rFonts w:ascii="宋体" w:hAnsi="宋体" w:eastAsia="宋体" w:cs="宋体"/>
          <w:color w:val="auto"/>
        </w:rPr>
        <w:t xml:space="preserve"> </w:t>
      </w:r>
      <w:r/>
    </w:p>
    <w:p>
      <w:pPr>
        <w:pStyle w:val="1171"/>
        <w:jc w:val="center"/>
        <w:spacing w:before="400" w:after="400"/>
        <w:rPr>
          <w:rStyle w:val="1163"/>
          <w:rFonts w:hint="eastAsia" w:ascii="宋体" w:hAnsi="宋体" w:eastAsia="宋体" w:cs="宋体"/>
          <w:color w:val="auto"/>
          <w:sz w:val="40"/>
          <w:szCs w:val="40"/>
        </w:rPr>
      </w:pPr>
      <w:r>
        <w:rPr>
          <w:rStyle w:val="1163"/>
          <w:rFonts w:ascii="宋体" w:hAnsi="宋体" w:eastAsia="宋体" w:cs="宋体"/>
          <w:color w:val="auto"/>
          <w:sz w:val="40"/>
          <w:szCs w:val="40"/>
        </w:rPr>
        <w:t xml:space="preserve"> </w:t>
      </w:r>
      <w:r/>
    </w:p>
    <w:p>
      <w:pPr>
        <w:pStyle w:val="1171"/>
        <w:spacing w:before="240" w:after="240"/>
        <w:rPr>
          <w:rStyle w:val="1163"/>
          <w:rFonts w:hint="eastAsia" w:ascii="宋体" w:hAnsi="宋体" w:eastAsia="宋体" w:cs="宋体"/>
          <w:color w:val="auto"/>
        </w:rPr>
      </w:pPr>
      <w:r>
        <w:rPr>
          <w:rStyle w:val="1163"/>
          <w:rFonts w:ascii="宋体" w:hAnsi="宋体" w:eastAsia="宋体" w:cs="宋体"/>
          <w:color w:val="auto"/>
        </w:rPr>
        <w:t xml:space="preserve"> </w:t>
      </w:r>
      <w:r/>
    </w:p>
    <w:p>
      <w:pPr>
        <w:pStyle w:val="1171"/>
        <w:jc w:val="center"/>
        <w:spacing w:before="360" w:after="360"/>
        <w:rPr>
          <w:rStyle w:val="1163"/>
          <w:rFonts w:hint="eastAsia" w:ascii="宋体" w:hAnsi="宋体" w:eastAsia="宋体" w:cs="宋体"/>
          <w:color w:val="auto"/>
          <w:sz w:val="36"/>
          <w:szCs w:val="36"/>
        </w:rPr>
      </w:pPr>
      <w:r>
        <w:rPr>
          <w:rStyle w:val="1163"/>
          <w:rFonts w:ascii="宋体" w:hAnsi="宋体" w:eastAsia="宋体" w:cs="宋体"/>
          <w:color w:val="auto"/>
          <w:sz w:val="36"/>
          <w:szCs w:val="36"/>
        </w:rPr>
        <w:t xml:space="preserve">项目名称：   </w:t>
      </w:r>
      <w:r/>
    </w:p>
    <w:p>
      <w:pPr>
        <w:pStyle w:val="1171"/>
        <w:jc w:val="center"/>
        <w:spacing w:before="360" w:after="360"/>
        <w:rPr>
          <w:rStyle w:val="1163"/>
          <w:rFonts w:hint="eastAsia" w:ascii="宋体" w:hAnsi="宋体" w:eastAsia="宋体" w:cs="宋体"/>
          <w:color w:val="auto"/>
          <w:sz w:val="36"/>
          <w:szCs w:val="36"/>
        </w:rPr>
      </w:pPr>
      <w:r>
        <w:rPr>
          <w:rStyle w:val="1163"/>
          <w:rFonts w:ascii="宋体" w:hAnsi="宋体" w:eastAsia="宋体" w:cs="宋体"/>
          <w:color w:val="auto"/>
          <w:sz w:val="36"/>
          <w:szCs w:val="36"/>
        </w:rPr>
        <w:t xml:space="preserve">招标编号：   </w:t>
      </w:r>
      <w:r/>
    </w:p>
    <w:p>
      <w:pPr>
        <w:pStyle w:val="1171"/>
        <w:jc w:val="center"/>
        <w:spacing w:before="360" w:after="360"/>
        <w:rPr>
          <w:rStyle w:val="1163"/>
          <w:rFonts w:hint="eastAsia" w:ascii="宋体" w:hAnsi="宋体" w:eastAsia="宋体" w:cs="宋体"/>
          <w:color w:val="auto"/>
          <w:sz w:val="36"/>
          <w:szCs w:val="36"/>
        </w:rPr>
      </w:pPr>
      <w:r>
        <w:rPr>
          <w:rStyle w:val="1163"/>
          <w:rFonts w:ascii="宋体" w:hAnsi="宋体" w:eastAsia="宋体" w:cs="宋体"/>
          <w:color w:val="auto"/>
          <w:sz w:val="36"/>
          <w:szCs w:val="36"/>
        </w:rPr>
        <w:t xml:space="preserve"> </w:t>
      </w:r>
      <w:r/>
    </w:p>
    <w:p>
      <w:pPr>
        <w:pStyle w:val="1171"/>
        <w:jc w:val="center"/>
        <w:spacing w:before="360" w:after="360"/>
        <w:rPr>
          <w:rStyle w:val="1163"/>
          <w:rFonts w:hint="eastAsia" w:ascii="宋体" w:hAnsi="宋体" w:eastAsia="宋体" w:cs="宋体"/>
          <w:color w:val="auto"/>
          <w:sz w:val="36"/>
          <w:szCs w:val="36"/>
        </w:rPr>
      </w:pPr>
      <w:r>
        <w:rPr>
          <w:rStyle w:val="1163"/>
          <w:rFonts w:ascii="宋体" w:hAnsi="宋体" w:eastAsia="宋体" w:cs="宋体"/>
          <w:color w:val="auto"/>
          <w:sz w:val="36"/>
          <w:szCs w:val="36"/>
        </w:rPr>
        <w:t xml:space="preserve"> </w:t>
      </w:r>
      <w:r/>
    </w:p>
    <w:p>
      <w:pPr>
        <w:pStyle w:val="1171"/>
        <w:jc w:val="center"/>
        <w:spacing w:before="360" w:after="360"/>
        <w:rPr>
          <w:rStyle w:val="1163"/>
          <w:rFonts w:hint="eastAsia" w:ascii="宋体" w:hAnsi="宋体" w:eastAsia="宋体" w:cs="宋体"/>
          <w:color w:val="auto"/>
          <w:sz w:val="36"/>
          <w:szCs w:val="36"/>
        </w:rPr>
      </w:pPr>
      <w:r>
        <w:rPr>
          <w:rStyle w:val="1163"/>
          <w:rFonts w:ascii="宋体" w:hAnsi="宋体" w:eastAsia="宋体" w:cs="宋体"/>
          <w:color w:val="auto"/>
          <w:sz w:val="36"/>
          <w:szCs w:val="36"/>
        </w:rPr>
        <w:t xml:space="preserve">投标人名称：   </w:t>
      </w:r>
      <w:r/>
    </w:p>
    <w:p>
      <w:pPr>
        <w:pStyle w:val="1171"/>
        <w:jc w:val="center"/>
        <w:spacing w:before="360" w:after="360"/>
        <w:rPr>
          <w:rStyle w:val="1163"/>
          <w:rFonts w:hint="eastAsia" w:ascii="宋体" w:hAnsi="宋体" w:eastAsia="宋体" w:cs="宋体"/>
          <w:color w:val="auto"/>
          <w:sz w:val="36"/>
          <w:szCs w:val="36"/>
        </w:rPr>
      </w:pPr>
      <w:r>
        <w:rPr>
          <w:rStyle w:val="1163"/>
          <w:rFonts w:ascii="宋体" w:hAnsi="宋体" w:eastAsia="宋体" w:cs="宋体"/>
          <w:color w:val="auto"/>
          <w:sz w:val="36"/>
          <w:szCs w:val="36"/>
        </w:rPr>
        <w:t xml:space="preserve">日期：   </w:t>
      </w:r>
      <w:r/>
    </w:p>
    <w:p>
      <w:pPr>
        <w:numPr>
          <w:ilvl w:val="0"/>
          <w:numId w:val="16"/>
        </w:numPr>
        <w:jc w:val="left"/>
        <w:pageBreakBefore/>
        <w:spacing w:before="120" w:after="120"/>
        <w:rPr>
          <w:rFonts w:hint="eastAsia" w:ascii="宋体" w:hAnsi="宋体"/>
          <w:b/>
          <w:color w:val="auto"/>
          <w:sz w:val="32"/>
          <w:szCs w:val="32"/>
        </w:rPr>
        <w:outlineLvl w:val="1"/>
      </w:pPr>
      <w:r>
        <w:rPr>
          <w:rFonts w:hint="eastAsia" w:ascii="宋体" w:hAnsi="宋体"/>
          <w:b/>
          <w:color w:val="auto"/>
          <w:sz w:val="32"/>
          <w:szCs w:val="32"/>
        </w:rPr>
        <w:t xml:space="preserve">投标函格式</w:t>
      </w:r>
      <w:r/>
    </w:p>
    <w:p>
      <w:pPr>
        <w:pStyle w:val="935"/>
        <w:jc w:val="center"/>
        <w:rPr>
          <w:rFonts w:hint="eastAsia"/>
          <w:color w:val="auto"/>
        </w:rPr>
      </w:pPr>
      <w:r>
        <w:rPr>
          <w:rStyle w:val="1163"/>
          <w:rFonts w:cs="宋体"/>
          <w:b/>
          <w:bCs/>
          <w:color w:val="auto"/>
          <w:sz w:val="32"/>
          <w:szCs w:val="32"/>
        </w:rPr>
        <w:t xml:space="preserve">投标函</w:t>
      </w:r>
      <w:r/>
    </w:p>
    <w:p>
      <w:pPr>
        <w:ind w:firstLine="480"/>
        <w:rPr>
          <w:rFonts w:hint="eastAsia" w:ascii="宋体" w:hAnsi="宋体"/>
          <w:color w:val="auto"/>
          <w:sz w:val="24"/>
        </w:rPr>
      </w:pPr>
      <w:r>
        <w:rPr>
          <w:rFonts w:hint="eastAsia" w:ascii="宋体" w:hAnsi="宋体"/>
          <w:color w:val="auto"/>
          <w:sz w:val="24"/>
        </w:rPr>
      </w:r>
      <w:r/>
    </w:p>
    <w:p>
      <w:pPr>
        <w:ind w:firstLine="0"/>
        <w:rPr>
          <w:rFonts w:hint="eastAsia" w:ascii="宋体" w:hAnsi="宋体"/>
          <w:bCs/>
          <w:color w:val="auto"/>
          <w:sz w:val="24"/>
        </w:rPr>
      </w:pPr>
      <w:r>
        <w:rPr>
          <w:rFonts w:hint="eastAsia" w:ascii="宋体" w:hAnsi="宋体"/>
          <w:bCs/>
          <w:color w:val="auto"/>
          <w:sz w:val="24"/>
        </w:rPr>
        <w:t xml:space="preserve">致</w:t>
      </w:r>
      <w:r>
        <w:rPr>
          <w:rFonts w:hint="eastAsia" w:ascii="宋体" w:hAnsi="宋体"/>
          <w:bCs/>
          <w:color w:val="auto"/>
          <w:sz w:val="24"/>
          <w:u w:val="single"/>
        </w:rPr>
        <w:t xml:space="preserve">：    </w:t>
      </w:r>
      <w:r>
        <w:rPr>
          <w:rFonts w:hint="eastAsia" w:ascii="宋体" w:hAnsi="宋体"/>
          <w:bCs/>
          <w:color w:val="auto"/>
          <w:sz w:val="24"/>
        </w:rPr>
        <w:t xml:space="preserve">：</w:t>
      </w:r>
      <w:r/>
    </w:p>
    <w:p>
      <w:pPr>
        <w:ind w:firstLine="480"/>
        <w:jc w:val="left"/>
        <w:widowControl/>
        <w:rPr>
          <w:color w:val="auto"/>
        </w:rPr>
      </w:pPr>
      <w:r>
        <w:rPr>
          <w:rFonts w:hint="eastAsia" w:ascii="宋体" w:hAnsi="宋体" w:cs="宋体"/>
          <w:color w:val="auto"/>
          <w:sz w:val="24"/>
          <w:lang w:bidi="ar"/>
        </w:rPr>
        <w:t xml:space="preserve">根据贵方的</w:t>
      </w:r>
      <w:r>
        <w:rPr>
          <w:rFonts w:hint="eastAsia" w:ascii="宋体" w:hAnsi="宋体" w:cs="宋体"/>
          <w:color w:val="auto"/>
          <w:sz w:val="24"/>
          <w:u w:val="single"/>
          <w:lang w:bidi="ar"/>
        </w:rPr>
        <w:t xml:space="preserve">   号</w:t>
      </w:r>
      <w:r>
        <w:rPr>
          <w:rFonts w:hint="eastAsia" w:ascii="宋体" w:hAnsi="宋体" w:cs="宋体"/>
          <w:color w:val="auto"/>
          <w:sz w:val="24"/>
          <w:lang w:bidi="ar"/>
        </w:rPr>
        <w:t xml:space="preserve">招标文件，正式授权下述签字人</w:t>
      </w:r>
      <w:r>
        <w:rPr>
          <w:rFonts w:hint="eastAsia" w:ascii="宋体" w:hAnsi="宋体" w:cs="宋体"/>
          <w:color w:val="auto"/>
          <w:sz w:val="24"/>
          <w:u w:val="single"/>
          <w:lang w:bidi="ar"/>
        </w:rPr>
        <w:t xml:space="preserve"> (姓名和职务)</w:t>
      </w:r>
      <w:r>
        <w:rPr>
          <w:rFonts w:hint="eastAsia" w:ascii="宋体" w:hAnsi="宋体" w:cs="宋体"/>
          <w:color w:val="auto"/>
          <w:sz w:val="24"/>
          <w:lang w:bidi="ar"/>
        </w:rPr>
        <w:t xml:space="preserve">代表我方</w:t>
      </w:r>
      <w:r>
        <w:rPr>
          <w:rFonts w:hint="eastAsia" w:ascii="宋体" w:hAnsi="宋体" w:cs="宋体"/>
          <w:color w:val="auto"/>
          <w:sz w:val="24"/>
          <w:u w:val="single"/>
          <w:lang w:bidi="ar"/>
        </w:rPr>
        <w:t xml:space="preserve">（投标人的名称）</w:t>
      </w:r>
      <w:r>
        <w:rPr>
          <w:rFonts w:hint="eastAsia" w:ascii="宋体" w:hAnsi="宋体" w:cs="宋体"/>
          <w:color w:val="auto"/>
          <w:sz w:val="24"/>
          <w:lang w:bidi="ar"/>
        </w:rPr>
        <w:t xml:space="preserve">，全权处理本次项目投标的有关事宜。 </w:t>
      </w:r>
      <w:r/>
    </w:p>
    <w:p>
      <w:pPr>
        <w:ind w:firstLine="480"/>
        <w:jc w:val="left"/>
        <w:widowControl/>
        <w:rPr>
          <w:color w:val="auto"/>
        </w:rPr>
      </w:pPr>
      <w:r>
        <w:rPr>
          <w:rFonts w:hint="eastAsia" w:ascii="宋体" w:hAnsi="宋体" w:cs="宋体"/>
          <w:color w:val="auto"/>
          <w:sz w:val="24"/>
          <w:lang w:bidi="ar"/>
        </w:rPr>
        <w:t xml:space="preserve">据此函，签字人兹宣布同意如下： </w:t>
      </w:r>
      <w:r/>
    </w:p>
    <w:p>
      <w:pPr>
        <w:ind w:firstLine="480"/>
        <w:jc w:val="left"/>
        <w:widowControl/>
        <w:rPr>
          <w:color w:val="auto"/>
        </w:rPr>
      </w:pPr>
      <w:r>
        <w:rPr>
          <w:rFonts w:hint="eastAsia" w:ascii="宋体" w:hAnsi="宋体" w:cs="宋体"/>
          <w:color w:val="auto"/>
          <w:sz w:val="24"/>
          <w:lang w:bidi="ar"/>
        </w:rPr>
        <w:t xml:space="preserve">1、同意向贵方提供贵方可能另外要求的与投标有关的任何证据或资料； </w:t>
      </w:r>
      <w:r/>
    </w:p>
    <w:p>
      <w:pPr>
        <w:ind w:firstLine="480"/>
        <w:jc w:val="left"/>
        <w:widowControl/>
        <w:rPr>
          <w:color w:val="auto"/>
        </w:rPr>
      </w:pPr>
      <w:r>
        <w:rPr>
          <w:rFonts w:hint="eastAsia" w:ascii="宋体" w:hAnsi="宋体" w:cs="宋体"/>
          <w:color w:val="auto"/>
          <w:sz w:val="24"/>
          <w:lang w:bidi="ar"/>
        </w:rPr>
        <w:t xml:space="preserve">2、我们完全理解贵方不一定将合同授予最低报价的投标人； </w:t>
      </w:r>
      <w:r/>
    </w:p>
    <w:p>
      <w:pPr>
        <w:ind w:firstLine="480"/>
        <w:jc w:val="left"/>
        <w:widowControl/>
        <w:rPr>
          <w:color w:val="auto"/>
        </w:rPr>
      </w:pPr>
      <w:r>
        <w:rPr>
          <w:rFonts w:hint="eastAsia" w:ascii="宋体" w:hAnsi="宋体" w:cs="宋体"/>
          <w:color w:val="auto"/>
          <w:sz w:val="24"/>
          <w:lang w:bidi="ar"/>
        </w:rPr>
        <w:t xml:space="preserve">3、我们已详细审核全部招标文件及其有效补充文件，我们知道必须放弃提出含糊不清或误解问题的权利； </w:t>
      </w:r>
      <w:r/>
    </w:p>
    <w:p>
      <w:pPr>
        <w:ind w:firstLine="480"/>
        <w:jc w:val="left"/>
        <w:widowControl/>
        <w:rPr>
          <w:color w:val="auto"/>
        </w:rPr>
      </w:pPr>
      <w:r>
        <w:rPr>
          <w:rFonts w:hint="eastAsia" w:ascii="宋体" w:hAnsi="宋体" w:cs="宋体"/>
          <w:color w:val="auto"/>
          <w:sz w:val="24"/>
          <w:lang w:bidi="ar"/>
        </w:rPr>
        <w:t xml:space="preserve">4、一旦我方中标，我们将根据招标文件的规定，严格履行合同条款的责任和义务，并保证按照合同条款提供服务； </w:t>
      </w:r>
      <w:r/>
    </w:p>
    <w:p>
      <w:pPr>
        <w:ind w:firstLine="480"/>
        <w:jc w:val="left"/>
        <w:widowControl/>
        <w:rPr>
          <w:color w:val="auto"/>
        </w:rPr>
      </w:pPr>
      <w:r>
        <w:rPr>
          <w:rFonts w:hint="eastAsia" w:ascii="宋体" w:hAnsi="宋体" w:cs="宋体"/>
          <w:color w:val="auto"/>
          <w:sz w:val="24"/>
          <w:lang w:bidi="ar"/>
        </w:rPr>
        <w:t xml:space="preserve">5、与本投标有关的正式通讯地址为： </w:t>
      </w:r>
      <w:r/>
    </w:p>
    <w:p>
      <w:pPr>
        <w:ind w:firstLine="480"/>
        <w:jc w:val="left"/>
        <w:widowControl/>
        <w:rPr>
          <w:color w:val="auto"/>
        </w:rPr>
      </w:pPr>
      <w:r>
        <w:rPr>
          <w:rFonts w:hint="eastAsia" w:ascii="宋体" w:hAnsi="宋体" w:cs="宋体"/>
          <w:color w:val="auto"/>
          <w:sz w:val="24"/>
          <w:lang w:bidi="ar"/>
        </w:rPr>
        <w:t xml:space="preserve">地址： </w:t>
      </w:r>
      <w:r/>
    </w:p>
    <w:p>
      <w:pPr>
        <w:ind w:firstLine="480"/>
        <w:jc w:val="left"/>
        <w:widowControl/>
        <w:rPr>
          <w:color w:val="auto"/>
        </w:rPr>
      </w:pPr>
      <w:r>
        <w:rPr>
          <w:rFonts w:hint="eastAsia" w:ascii="宋体" w:hAnsi="宋体" w:cs="宋体"/>
          <w:color w:val="auto"/>
          <w:sz w:val="24"/>
          <w:lang w:bidi="ar"/>
        </w:rPr>
        <w:t xml:space="preserve">邮编： </w:t>
      </w:r>
      <w:r/>
    </w:p>
    <w:p>
      <w:pPr>
        <w:ind w:firstLine="480"/>
        <w:jc w:val="left"/>
        <w:widowControl/>
        <w:rPr>
          <w:color w:val="auto"/>
        </w:rPr>
      </w:pPr>
      <w:r>
        <w:rPr>
          <w:rFonts w:hint="eastAsia" w:ascii="宋体" w:hAnsi="宋体" w:cs="宋体"/>
          <w:color w:val="auto"/>
          <w:sz w:val="24"/>
          <w:lang w:bidi="ar"/>
        </w:rPr>
        <w:t xml:space="preserve">电话： </w:t>
      </w:r>
      <w:r/>
    </w:p>
    <w:p>
      <w:pPr>
        <w:ind w:firstLine="480"/>
        <w:jc w:val="left"/>
        <w:widowControl/>
        <w:rPr>
          <w:color w:val="auto"/>
        </w:rPr>
      </w:pPr>
      <w:r>
        <w:rPr>
          <w:rFonts w:hint="eastAsia" w:ascii="宋体" w:hAnsi="宋体" w:cs="宋体"/>
          <w:color w:val="auto"/>
          <w:sz w:val="24"/>
          <w:lang w:bidi="ar"/>
        </w:rPr>
        <w:t xml:space="preserve">传真： </w:t>
      </w:r>
      <w:r/>
    </w:p>
    <w:p>
      <w:pPr>
        <w:ind w:firstLine="480"/>
        <w:jc w:val="left"/>
        <w:widowControl/>
        <w:rPr>
          <w:color w:val="auto"/>
        </w:rPr>
      </w:pPr>
      <w:r>
        <w:rPr>
          <w:rFonts w:hint="eastAsia" w:ascii="宋体" w:hAnsi="宋体" w:cs="宋体"/>
          <w:color w:val="auto"/>
          <w:sz w:val="24"/>
          <w:lang w:bidi="ar"/>
        </w:rPr>
        <w:t xml:space="preserve">投标单位代表姓名： </w:t>
      </w:r>
      <w:r/>
    </w:p>
    <w:p>
      <w:pPr>
        <w:ind w:firstLine="480"/>
        <w:jc w:val="left"/>
        <w:widowControl/>
        <w:rPr>
          <w:color w:val="auto"/>
        </w:rPr>
      </w:pPr>
      <w:r>
        <w:rPr>
          <w:rFonts w:hint="eastAsia" w:ascii="宋体" w:hAnsi="宋体" w:cs="宋体"/>
          <w:color w:val="auto"/>
          <w:sz w:val="24"/>
          <w:lang w:bidi="ar"/>
        </w:rPr>
        <w:t xml:space="preserve">投标单位名称： </w:t>
      </w:r>
      <w:r/>
    </w:p>
    <w:p>
      <w:pPr>
        <w:ind w:firstLine="480"/>
        <w:jc w:val="left"/>
        <w:widowControl/>
        <w:rPr>
          <w:color w:val="auto"/>
        </w:rPr>
      </w:pPr>
      <w:r>
        <w:rPr>
          <w:rFonts w:hint="eastAsia" w:ascii="宋体" w:hAnsi="宋体" w:cs="宋体"/>
          <w:color w:val="auto"/>
          <w:sz w:val="24"/>
          <w:lang w:bidi="ar"/>
        </w:rPr>
        <w:t xml:space="preserve">公章： </w:t>
      </w:r>
      <w:r/>
    </w:p>
    <w:p>
      <w:pPr>
        <w:ind w:firstLine="480"/>
        <w:jc w:val="left"/>
        <w:widowControl/>
        <w:rPr>
          <w:color w:val="auto"/>
        </w:rPr>
      </w:pPr>
      <w:r>
        <w:rPr>
          <w:rFonts w:hint="eastAsia" w:ascii="宋体" w:hAnsi="宋体" w:cs="宋体"/>
          <w:color w:val="auto"/>
          <w:sz w:val="24"/>
          <w:lang w:bidi="ar"/>
        </w:rPr>
        <w:t xml:space="preserve">日期：</w:t>
      </w:r>
      <w:r/>
    </w:p>
    <w:p>
      <w:pPr>
        <w:ind w:firstLine="480"/>
        <w:rPr>
          <w:rFonts w:ascii="仿宋_GB2312" w:eastAsia="仿宋_GB2312"/>
          <w:bCs/>
          <w:color w:val="auto"/>
          <w:sz w:val="24"/>
        </w:rPr>
      </w:pPr>
      <w:r>
        <w:rPr>
          <w:rFonts w:ascii="仿宋_GB2312" w:eastAsia="仿宋_GB2312"/>
          <w:bCs/>
          <w:color w:val="auto"/>
          <w:sz w:val="24"/>
        </w:rPr>
      </w:r>
      <w:r/>
    </w:p>
    <w:p>
      <w:pPr>
        <w:ind w:firstLine="480"/>
        <w:rPr>
          <w:rFonts w:ascii="仿宋_GB2312" w:eastAsia="仿宋_GB2312"/>
          <w:bCs/>
          <w:color w:val="auto"/>
          <w:sz w:val="24"/>
        </w:rPr>
      </w:pPr>
      <w:r>
        <w:rPr>
          <w:rFonts w:ascii="仿宋_GB2312" w:eastAsia="仿宋_GB2312"/>
          <w:bCs/>
          <w:color w:val="auto"/>
          <w:sz w:val="24"/>
        </w:rPr>
      </w:r>
      <w:r/>
    </w:p>
    <w:p>
      <w:pPr>
        <w:pStyle w:val="935"/>
        <w:ind w:firstLine="0"/>
        <w:rPr>
          <w:rFonts w:hint="eastAsia"/>
          <w:color w:val="auto"/>
        </w:rPr>
      </w:pPr>
      <w:r>
        <w:rPr>
          <w:rFonts w:hint="eastAsia"/>
          <w:color w:val="auto"/>
        </w:rPr>
      </w:r>
      <w:r/>
    </w:p>
    <w:p>
      <w:pPr>
        <w:ind w:firstLine="2570"/>
        <w:jc w:val="left"/>
        <w:rPr>
          <w:rFonts w:hint="eastAsia" w:ascii="宋体" w:hAnsi="宋体"/>
          <w:b/>
          <w:bCs/>
          <w:color w:val="auto"/>
          <w:sz w:val="32"/>
          <w:szCs w:val="32"/>
        </w:rPr>
      </w:pPr>
      <w:r>
        <w:rPr>
          <w:rFonts w:hint="eastAsia" w:ascii="宋体" w:hAnsi="宋体"/>
          <w:b/>
          <w:bCs/>
          <w:color w:val="auto"/>
          <w:sz w:val="32"/>
          <w:szCs w:val="32"/>
        </w:rPr>
      </w:r>
      <w:r/>
    </w:p>
    <w:p>
      <w:pPr>
        <w:ind w:firstLine="2570"/>
        <w:jc w:val="left"/>
        <w:rPr>
          <w:rFonts w:hint="eastAsia" w:ascii="宋体" w:hAnsi="宋体"/>
          <w:b/>
          <w:bCs/>
          <w:color w:val="auto"/>
          <w:sz w:val="32"/>
          <w:szCs w:val="32"/>
        </w:rPr>
      </w:pPr>
      <w:r>
        <w:rPr>
          <w:rFonts w:hint="eastAsia" w:ascii="宋体" w:hAnsi="宋体"/>
          <w:b/>
          <w:bCs/>
          <w:color w:val="auto"/>
          <w:sz w:val="32"/>
          <w:szCs w:val="32"/>
        </w:rPr>
      </w:r>
      <w:r/>
    </w:p>
    <w:p>
      <w:pPr>
        <w:ind w:firstLine="2570"/>
        <w:jc w:val="left"/>
        <w:rPr>
          <w:rFonts w:hint="eastAsia" w:ascii="宋体" w:hAnsi="宋体"/>
          <w:b/>
          <w:bCs/>
          <w:color w:val="auto"/>
          <w:sz w:val="32"/>
          <w:szCs w:val="32"/>
        </w:rPr>
      </w:pPr>
      <w:r>
        <w:rPr>
          <w:rFonts w:hint="eastAsia" w:ascii="宋体" w:hAnsi="宋体"/>
          <w:b/>
          <w:bCs/>
          <w:color w:val="auto"/>
          <w:sz w:val="32"/>
          <w:szCs w:val="32"/>
        </w:rPr>
      </w:r>
      <w:r/>
    </w:p>
    <w:p>
      <w:pPr>
        <w:ind w:firstLine="2570"/>
        <w:jc w:val="left"/>
        <w:rPr>
          <w:rFonts w:hint="eastAsia" w:ascii="宋体" w:hAnsi="宋体"/>
          <w:b/>
          <w:bCs/>
          <w:color w:val="auto"/>
          <w:sz w:val="32"/>
          <w:szCs w:val="32"/>
        </w:rPr>
      </w:pPr>
      <w:r>
        <w:rPr>
          <w:rFonts w:hint="eastAsia" w:ascii="宋体" w:hAnsi="宋体"/>
          <w:b/>
          <w:bCs/>
          <w:color w:val="auto"/>
          <w:sz w:val="32"/>
          <w:szCs w:val="32"/>
        </w:rPr>
      </w:r>
      <w:r/>
    </w:p>
    <w:p>
      <w:pPr>
        <w:ind w:firstLine="2570"/>
        <w:jc w:val="left"/>
        <w:rPr>
          <w:rFonts w:hint="eastAsia" w:ascii="宋体" w:hAnsi="宋体"/>
          <w:b/>
          <w:bCs/>
          <w:color w:val="auto"/>
          <w:sz w:val="32"/>
          <w:szCs w:val="32"/>
        </w:rPr>
      </w:pPr>
      <w:r>
        <w:rPr>
          <w:rFonts w:hint="eastAsia" w:ascii="宋体" w:hAnsi="宋体"/>
          <w:b/>
          <w:bCs/>
          <w:color w:val="auto"/>
          <w:sz w:val="32"/>
          <w:szCs w:val="32"/>
        </w:rPr>
      </w:r>
      <w:r/>
    </w:p>
    <w:p>
      <w:pPr>
        <w:numPr>
          <w:ilvl w:val="0"/>
          <w:numId w:val="16"/>
        </w:numPr>
        <w:jc w:val="left"/>
        <w:pageBreakBefore/>
        <w:spacing w:before="120" w:after="120"/>
        <w:rPr>
          <w:rFonts w:hint="eastAsia" w:ascii="宋体" w:hAnsi="宋体"/>
          <w:b/>
          <w:bCs/>
          <w:color w:val="auto"/>
          <w:sz w:val="32"/>
          <w:szCs w:val="32"/>
        </w:rPr>
        <w:outlineLvl w:val="1"/>
      </w:pPr>
      <w:r>
        <w:rPr>
          <w:rFonts w:hint="eastAsia" w:ascii="宋体" w:hAnsi="宋体"/>
          <w:b/>
          <w:color w:val="auto"/>
          <w:sz w:val="32"/>
          <w:szCs w:val="32"/>
        </w:rPr>
        <w:t xml:space="preserve">开标</w:t>
      </w:r>
      <w:r>
        <w:rPr>
          <w:rFonts w:hint="eastAsia" w:ascii="宋体" w:hAnsi="宋体"/>
          <w:b/>
          <w:bCs/>
          <w:color w:val="auto"/>
          <w:sz w:val="32"/>
          <w:szCs w:val="32"/>
        </w:rPr>
        <w:t xml:space="preserve">一览表</w:t>
      </w:r>
      <w:r/>
    </w:p>
    <w:p>
      <w:pPr>
        <w:pStyle w:val="925"/>
        <w:jc w:val="center"/>
        <w:widowControl/>
        <w:rPr>
          <w:color w:val="auto"/>
        </w:rPr>
      </w:pPr>
      <w:r>
        <w:rPr>
          <w:color w:val="auto"/>
        </w:rPr>
        <w:t xml:space="preserve">开标一览表（总报价）</w:t>
      </w:r>
      <w:r/>
    </w:p>
    <w:p>
      <w:pPr>
        <w:pStyle w:val="925"/>
        <w:widowControl/>
        <w:rPr>
          <w:color w:val="auto"/>
        </w:rPr>
      </w:pPr>
      <w:r>
        <w:rPr>
          <w:color w:val="auto"/>
        </w:rPr>
        <w:t xml:space="preserve">投标人全称（加盖公章）： </w:t>
      </w:r>
      <w:r/>
    </w:p>
    <w:p>
      <w:pPr>
        <w:pStyle w:val="925"/>
        <w:widowControl/>
        <w:rPr>
          <w:color w:val="auto"/>
        </w:rPr>
      </w:pPr>
      <w:r>
        <w:rPr>
          <w:color w:val="auto"/>
        </w:rPr>
        <w:t xml:space="preserve">项目编号： </w:t>
      </w:r>
      <w:r/>
    </w:p>
    <w:p>
      <w:pPr>
        <w:pStyle w:val="925"/>
        <w:widowControl/>
        <w:rPr>
          <w:color w:val="auto"/>
        </w:rPr>
      </w:pPr>
      <w:r>
        <w:rPr>
          <w:color w:val="auto"/>
        </w:rPr>
        <w:t xml:space="preserve">分包号： </w:t>
      </w:r>
      <w:r/>
    </w:p>
    <w:tbl>
      <w:tblPr>
        <w:tblStyle w:val="904"/>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color w:val="auto"/>
              </w:rPr>
            </w:pPr>
            <w:r>
              <w:rPr>
                <w:rFonts w:ascii="宋体" w:hAnsi="宋体" w:cs="宋体"/>
                <w:color w:val="auto"/>
                <w:sz w:val="24"/>
                <w:lang w:bidi="ar"/>
              </w:rPr>
              <w:t xml:space="preserve">项目名称</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color w:val="auto"/>
              </w:rPr>
            </w:pPr>
            <w:r>
              <w:rPr>
                <w:rFonts w:ascii="宋体" w:hAnsi="宋体" w:cs="宋体"/>
                <w:color w:val="auto"/>
                <w:sz w:val="24"/>
                <w:lang w:bidi="ar"/>
              </w:rPr>
              <w:t xml:space="preserve">投标总报价</w:t>
            </w:r>
            <w:r/>
          </w:p>
        </w:tc>
      </w:tr>
      <w:tr>
        <w:trPr>
          <w:trHeight w:val="625"/>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color w:val="auto"/>
              </w:rPr>
            </w:pPr>
            <w:r>
              <w:rPr>
                <w:rFonts w:ascii="宋体" w:hAnsi="宋体" w:cs="宋体"/>
                <w:color w:val="auto"/>
                <w:sz w:val="24"/>
                <w:lang w:bidi="ar"/>
              </w:rPr>
              <w:t xml:space="preserve"> </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color w:val="auto"/>
              </w:rPr>
            </w:pPr>
            <w:r>
              <w:rPr>
                <w:rFonts w:ascii="宋体" w:hAnsi="宋体" w:cs="宋体"/>
                <w:color w:val="auto"/>
                <w:sz w:val="24"/>
                <w:lang w:bidi="ar"/>
              </w:rPr>
              <w:t xml:space="preserve">小写： </w:t>
            </w:r>
            <w:r>
              <w:rPr>
                <w:rFonts w:hint="eastAsia" w:ascii="宋体" w:hAnsi="宋体" w:cs="宋体"/>
                <w:color w:val="auto"/>
                <w:sz w:val="24"/>
                <w:lang w:bidi="ar"/>
              </w:rPr>
              <w:t xml:space="preserve">    </w:t>
            </w:r>
            <w:r>
              <w:rPr>
                <w:rFonts w:ascii="宋体" w:hAnsi="宋体" w:cs="宋体"/>
                <w:color w:val="auto"/>
                <w:sz w:val="24"/>
                <w:lang w:bidi="ar"/>
              </w:rPr>
              <w:t xml:space="preserve">（元人民币）</w:t>
            </w:r>
            <w:r/>
          </w:p>
        </w:tc>
      </w:tr>
      <w:tr>
        <w:trPr>
          <w:trHeight w:val="438"/>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color w:val="auto"/>
              </w:rPr>
            </w:pPr>
            <w:r>
              <w:rPr>
                <w:rFonts w:ascii="宋体" w:hAnsi="宋体" w:cs="宋体"/>
                <w:color w:val="auto"/>
                <w:sz w:val="24"/>
                <w:lang w:bidi="ar"/>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color w:val="auto"/>
              </w:rPr>
            </w:pPr>
            <w:r>
              <w:rPr>
                <w:rFonts w:ascii="宋体" w:hAnsi="宋体" w:cs="宋体"/>
                <w:color w:val="auto"/>
                <w:sz w:val="24"/>
                <w:lang w:bidi="ar"/>
              </w:rPr>
              <w:t xml:space="preserve">金额大写 </w:t>
            </w:r>
            <w:r/>
          </w:p>
        </w:tc>
      </w:tr>
    </w:tbl>
    <w:p>
      <w:pPr>
        <w:pStyle w:val="925"/>
        <w:jc w:val="right"/>
        <w:widowControl/>
        <w:rPr>
          <w:color w:val="auto"/>
        </w:rPr>
      </w:pPr>
      <w:r>
        <w:rPr>
          <w:color w:val="auto"/>
        </w:rPr>
        <w:t xml:space="preserve">日期： 年 月   日</w:t>
      </w:r>
      <w:r/>
    </w:p>
    <w:p>
      <w:pPr>
        <w:pStyle w:val="925"/>
        <w:widowControl/>
        <w:rPr>
          <w:color w:val="auto"/>
        </w:rPr>
      </w:pPr>
      <w:r>
        <w:rPr>
          <w:color w:val="auto"/>
        </w:rPr>
        <w:t xml:space="preserve">填写说明：</w:t>
      </w:r>
      <w:r/>
    </w:p>
    <w:p>
      <w:pPr>
        <w:pStyle w:val="925"/>
        <w:widowControl/>
        <w:rPr>
          <w:color w:val="auto"/>
        </w:rPr>
      </w:pPr>
      <w:r>
        <w:rPr>
          <w:rStyle w:val="932"/>
          <w:color w:val="auto"/>
          <w:u w:val="single"/>
        </w:rPr>
        <w:t xml:space="preserve">1、开标一览表必须加盖投标人公章（复印件无效）。</w:t>
      </w:r>
      <w:r/>
    </w:p>
    <w:p>
      <w:pPr>
        <w:pStyle w:val="925"/>
        <w:widowControl/>
        <w:rPr>
          <w:rStyle w:val="932"/>
          <w:color w:val="auto"/>
          <w:u w:val="single"/>
        </w:rPr>
      </w:pPr>
      <w:r>
        <w:rPr>
          <w:rStyle w:val="932"/>
          <w:color w:val="auto"/>
          <w:u w:val="single"/>
        </w:rPr>
        <w:t xml:space="preserve">2、如有分包，投标人投任何一个包的标的，都需单独填写开标一览表。</w:t>
      </w:r>
      <w:r/>
    </w:p>
    <w:p>
      <w:pPr>
        <w:ind w:right="139" w:firstLine="0"/>
        <w:rPr>
          <w:rStyle w:val="932"/>
          <w:color w:val="auto"/>
          <w:u w:val="single"/>
        </w:rPr>
      </w:pPr>
      <w:r>
        <w:rPr>
          <w:color w:val="auto"/>
          <w:u w:val="single"/>
        </w:rPr>
      </w:r>
      <w:r/>
    </w:p>
    <w:p>
      <w:pPr>
        <w:numPr>
          <w:ilvl w:val="0"/>
          <w:numId w:val="16"/>
        </w:numPr>
        <w:jc w:val="left"/>
        <w:pageBreakBefore/>
        <w:spacing w:before="120" w:after="120"/>
        <w:rPr>
          <w:rFonts w:hint="eastAsia" w:ascii="宋体" w:hAnsi="宋体"/>
          <w:b/>
          <w:bCs/>
          <w:color w:val="auto"/>
          <w:sz w:val="32"/>
          <w:szCs w:val="32"/>
        </w:rPr>
        <w:outlineLvl w:val="1"/>
      </w:pPr>
      <w:r>
        <w:rPr>
          <w:rFonts w:hint="eastAsia" w:ascii="宋体" w:hAnsi="宋体"/>
          <w:b/>
          <w:bCs/>
          <w:color w:val="auto"/>
          <w:sz w:val="32"/>
          <w:szCs w:val="32"/>
        </w:rPr>
        <w:t xml:space="preserve">资格</w:t>
      </w:r>
      <w:r>
        <w:rPr>
          <w:rFonts w:hint="eastAsia" w:ascii="宋体" w:hAnsi="宋体"/>
          <w:b/>
          <w:color w:val="auto"/>
          <w:sz w:val="32"/>
          <w:szCs w:val="32"/>
        </w:rPr>
        <w:t xml:space="preserve">证明</w:t>
      </w:r>
      <w:r>
        <w:rPr>
          <w:rFonts w:hint="eastAsia" w:ascii="宋体" w:hAnsi="宋体"/>
          <w:b/>
          <w:bCs/>
          <w:color w:val="auto"/>
          <w:sz w:val="32"/>
          <w:szCs w:val="32"/>
        </w:rPr>
        <w:t xml:space="preserve">文件</w:t>
      </w:r>
      <w:r/>
    </w:p>
    <w:p>
      <w:pPr>
        <w:pStyle w:val="1132"/>
        <w:numPr>
          <w:ilvl w:val="0"/>
          <w:numId w:val="0"/>
        </w:numPr>
        <w:rPr>
          <w:rFonts w:hint="eastAsia"/>
          <w:b/>
          <w:bCs/>
          <w:color w:val="auto"/>
          <w:sz w:val="24"/>
          <w:szCs w:val="24"/>
        </w:rPr>
      </w:pPr>
      <w:r>
        <w:rPr>
          <w:rFonts w:hint="eastAsia"/>
          <w:b/>
          <w:bCs/>
          <w:color w:val="auto"/>
          <w:sz w:val="24"/>
          <w:szCs w:val="24"/>
        </w:rPr>
      </w:r>
      <w:r/>
    </w:p>
    <w:p>
      <w:pPr>
        <w:pStyle w:val="1132"/>
        <w:numPr>
          <w:ilvl w:val="0"/>
          <w:numId w:val="17"/>
        </w:numPr>
        <w:ind w:left="0" w:firstLine="482"/>
        <w:keepLines w:val="0"/>
        <w:keepNext w:val="0"/>
        <w:pageBreakBefore w:val="0"/>
        <w:spacing w:line="440" w:lineRule="exact"/>
        <w:widowControl w:val="off"/>
        <w:rPr>
          <w:rFonts w:hint="eastAsia" w:ascii="宋体" w:hAnsi="宋体" w:eastAsia="宋体" w:cs="宋体"/>
          <w:b/>
          <w:bCs/>
          <w:i w:val="0"/>
          <w:iCs w:val="0"/>
          <w:color w:val="auto"/>
          <w:sz w:val="24"/>
          <w:szCs w:val="24"/>
          <w:u w:val="none"/>
        </w:rPr>
        <w:outlineLvl w:val="9"/>
      </w:pPr>
      <w:r>
        <w:rPr>
          <w:rFonts w:hint="eastAsia" w:ascii="宋体" w:hAnsi="宋体" w:eastAsia="宋体" w:cs="宋体"/>
          <w:b/>
          <w:bCs/>
          <w:i w:val="0"/>
          <w:iCs w:val="0"/>
          <w:color w:val="auto"/>
          <w:sz w:val="24"/>
          <w:szCs w:val="24"/>
          <w:u w:val="none"/>
        </w:rPr>
        <w:t xml:space="preserve"> </w:t>
      </w:r>
      <w:r>
        <w:rPr>
          <w:rFonts w:hint="eastAsia" w:ascii="宋体" w:hAnsi="宋体" w:eastAsia="宋体" w:cs="宋体"/>
          <w:b/>
          <w:bCs w:val="0"/>
          <w:color w:val="auto"/>
          <w:sz w:val="32"/>
          <w:szCs w:val="32"/>
        </w:rPr>
        <w:t xml:space="preserve">法人或者其他组织的营业执照等证明文件，自然人的身份证明</w:t>
      </w:r>
      <w:r/>
    </w:p>
    <w:p>
      <w:pPr>
        <w:pStyle w:val="1132"/>
        <w:numPr>
          <w:ilvl w:val="0"/>
          <w:numId w:val="0"/>
        </w:numPr>
        <w:jc w:val="center"/>
        <w:keepLines w:val="0"/>
        <w:keepNext w:val="0"/>
        <w:pageBreakBefore w:val="0"/>
        <w:spacing w:line="440" w:lineRule="exact"/>
        <w:widowControl w:val="off"/>
        <w:rPr>
          <w:rFonts w:hint="eastAsia" w:ascii="宋体" w:hAnsi="宋体" w:eastAsia="宋体" w:cs="宋体"/>
          <w:b/>
          <w:bCs w:val="0"/>
          <w:i w:val="0"/>
          <w:iCs/>
          <w:color w:val="auto"/>
          <w:sz w:val="24"/>
          <w:szCs w:val="24"/>
          <w:u w:val="none"/>
        </w:rPr>
        <w:outlineLvl w:val="9"/>
      </w:pPr>
      <w:r>
        <w:rPr>
          <w:rFonts w:hint="eastAsia"/>
          <w:b/>
          <w:bCs w:val="0"/>
          <w:i w:val="0"/>
          <w:iCs/>
          <w:color w:val="auto"/>
          <w:sz w:val="24"/>
          <w:szCs w:val="24"/>
          <w:highlight w:val="none"/>
          <w:u w:val="none"/>
        </w:rPr>
        <w:t xml:space="preserve">（如为联合体，则联合体成员均须提供）</w:t>
      </w:r>
      <w:r/>
    </w:p>
    <w:p>
      <w:pPr>
        <w:pStyle w:val="1164"/>
        <w:spacing w:before="240" w:after="240"/>
        <w:rPr>
          <w:rStyle w:val="903"/>
          <w:rFonts w:ascii="Times New Roman" w:hAnsi="Times New Roman" w:eastAsia="Times New Roman" w:cs="Times New Roman"/>
          <w:color w:val="auto"/>
          <w:sz w:val="24"/>
          <w:szCs w:val="24"/>
          <w:highlight w:val="none"/>
        </w:rPr>
      </w:pPr>
      <w:r>
        <w:rPr>
          <w:rStyle w:val="903"/>
          <w:rFonts w:ascii="Times New Roman" w:hAnsi="Times New Roman" w:eastAsia="Times New Roman" w:cs="Times New Roman"/>
          <w:color w:val="auto"/>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3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u w:val="none"/>
        </w:rPr>
        <w:outlineLvl w:val="9"/>
      </w:pPr>
      <w:r>
        <w:rPr>
          <w:rFonts w:hint="eastAsia" w:ascii="宋体" w:hAnsi="宋体" w:eastAsia="宋体" w:cs="宋体"/>
          <w:b/>
          <w:bCs/>
          <w:i w:val="0"/>
          <w:iCs w:val="0"/>
          <w:color w:val="auto"/>
          <w:sz w:val="24"/>
          <w:szCs w:val="24"/>
          <w:u w:val="none"/>
        </w:rPr>
      </w:r>
      <w:r/>
    </w:p>
    <w:p>
      <w:pPr>
        <w:pStyle w:val="113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color w:val="auto"/>
          <w:sz w:val="32"/>
          <w:szCs w:val="32"/>
        </w:rPr>
        <w:outlineLvl w:val="9"/>
      </w:pPr>
      <w:r>
        <w:rPr>
          <w:rFonts w:hint="eastAsia" w:ascii="宋体" w:hAnsi="宋体" w:eastAsia="宋体" w:cs="宋体"/>
          <w:b/>
          <w:bCs w:val="0"/>
          <w:color w:val="auto"/>
          <w:sz w:val="32"/>
          <w:szCs w:val="32"/>
        </w:rPr>
        <w:t xml:space="preserve">财务状况报告（成立不满一年不需要提供）；</w:t>
      </w:r>
      <w:r/>
    </w:p>
    <w:p>
      <w:pPr>
        <w:pStyle w:val="1132"/>
        <w:numPr>
          <w:ilvl w:val="0"/>
          <w:numId w:val="0"/>
        </w:numPr>
        <w:jc w:val="center"/>
        <w:keepLines w:val="0"/>
        <w:keepNext w:val="0"/>
        <w:pageBreakBefore w:val="0"/>
        <w:spacing w:line="440" w:lineRule="exact"/>
        <w:widowControl w:val="off"/>
        <w:rPr>
          <w:rFonts w:hint="eastAsia" w:ascii="宋体" w:hAnsi="宋体" w:eastAsia="宋体" w:cs="宋体"/>
          <w:b/>
          <w:bCs w:val="0"/>
          <w:i w:val="0"/>
          <w:iCs/>
          <w:color w:val="auto"/>
          <w:sz w:val="24"/>
          <w:szCs w:val="24"/>
          <w:u w:val="none"/>
        </w:rPr>
        <w:outlineLvl w:val="9"/>
      </w:pPr>
      <w:r>
        <w:rPr>
          <w:rFonts w:hint="eastAsia"/>
          <w:b/>
          <w:bCs w:val="0"/>
          <w:i w:val="0"/>
          <w:iCs/>
          <w:color w:val="auto"/>
          <w:sz w:val="24"/>
          <w:szCs w:val="24"/>
          <w:highlight w:val="none"/>
          <w:u w:val="none"/>
        </w:rPr>
        <w:t xml:space="preserve">（如为联合体，则联合体成员均须提供）</w:t>
      </w:r>
      <w:r/>
    </w:p>
    <w:p>
      <w:pPr>
        <w:pStyle w:val="1165"/>
        <w:jc w:val="center"/>
        <w:spacing w:before="360" w:after="360" w:line="300" w:lineRule="auto"/>
        <w:rPr>
          <w:rStyle w:val="903"/>
          <w:rFonts w:hint="eastAsia" w:ascii="黑体" w:hAnsi="黑体" w:eastAsia="黑体" w:cs="黑体"/>
          <w:b/>
          <w:bCs/>
          <w:color w:val="auto"/>
          <w:sz w:val="36"/>
          <w:szCs w:val="36"/>
          <w:highlight w:val="none"/>
          <w:lang w:val="en-US" w:eastAsia="zh-CN"/>
        </w:rPr>
      </w:pPr>
      <w:r>
        <w:rPr>
          <w:rFonts w:ascii="黑体" w:hAnsi="黑体" w:eastAsia="黑体" w:cs="黑体"/>
          <w:b/>
          <w:bCs/>
          <w:color w:val="auto"/>
          <w:sz w:val="36"/>
          <w:szCs w:val="36"/>
        </w:rPr>
        <w:t xml:space="preserve">近年财务状况表</w:t>
      </w:r>
      <w:r/>
    </w:p>
    <w:p>
      <w:pPr>
        <w:pStyle w:val="113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color w:val="auto"/>
          <w:sz w:val="32"/>
          <w:szCs w:val="32"/>
          <w:lang w:val="en-US" w:eastAsia="zh-CN"/>
        </w:rPr>
        <w:outlineLvl w:val="9"/>
      </w:pPr>
      <w:r>
        <w:rPr>
          <w:rFonts w:hint="eastAsia" w:ascii="宋体" w:hAnsi="宋体" w:eastAsia="宋体" w:cs="宋体"/>
          <w:b/>
          <w:bCs w:val="0"/>
          <w:color w:val="auto"/>
          <w:sz w:val="32"/>
          <w:szCs w:val="32"/>
        </w:rPr>
        <w:t xml:space="preserve">依法缴纳税收和社会保障资金的相关材料；</w:t>
      </w:r>
      <w:r/>
    </w:p>
    <w:p>
      <w:pPr>
        <w:pStyle w:val="1132"/>
        <w:numPr>
          <w:ilvl w:val="0"/>
          <w:numId w:val="0"/>
        </w:numPr>
        <w:jc w:val="center"/>
        <w:keepLines w:val="0"/>
        <w:keepNext w:val="0"/>
        <w:pageBreakBefore w:val="0"/>
        <w:spacing w:line="440" w:lineRule="exact"/>
        <w:widowControl w:val="off"/>
        <w:rPr>
          <w:rFonts w:hint="eastAsia" w:ascii="宋体" w:hAnsi="宋体" w:eastAsia="宋体" w:cs="宋体"/>
          <w:b/>
          <w:bCs w:val="0"/>
          <w:i w:val="0"/>
          <w:iCs/>
          <w:color w:val="auto"/>
          <w:sz w:val="24"/>
          <w:szCs w:val="24"/>
          <w:u w:val="none"/>
        </w:rPr>
        <w:outlineLvl w:val="9"/>
      </w:pPr>
      <w:r>
        <w:rPr>
          <w:rFonts w:hint="eastAsia"/>
          <w:b/>
          <w:bCs w:val="0"/>
          <w:i w:val="0"/>
          <w:iCs/>
          <w:color w:val="auto"/>
          <w:sz w:val="24"/>
          <w:szCs w:val="24"/>
          <w:highlight w:val="none"/>
          <w:u w:val="none"/>
        </w:rPr>
        <w:t xml:space="preserve">（如为联合体，则联合体成员均须提供）</w:t>
      </w:r>
      <w:r/>
    </w:p>
    <w:p>
      <w:pPr>
        <w:pStyle w:val="113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u w:val="none"/>
        </w:rPr>
        <w:outlineLvl w:val="9"/>
      </w:pPr>
      <w:r>
        <w:rPr>
          <w:rFonts w:hint="eastAsia" w:ascii="宋体" w:hAnsi="宋体" w:eastAsia="宋体" w:cs="宋体"/>
          <w:b/>
          <w:bCs/>
          <w:i w:val="0"/>
          <w:iCs w:val="0"/>
          <w:color w:val="auto"/>
          <w:sz w:val="24"/>
          <w:szCs w:val="24"/>
          <w:u w:val="none"/>
        </w:rPr>
      </w:r>
      <w:r/>
    </w:p>
    <w:p>
      <w:pPr>
        <w:pStyle w:val="1166"/>
        <w:jc w:val="center"/>
        <w:rPr>
          <w:color w:val="auto"/>
          <w:sz w:val="24"/>
          <w:szCs w:val="28"/>
        </w:rPr>
      </w:pPr>
      <w:r>
        <w:rPr>
          <w:rFonts w:hint="eastAsia"/>
          <w:color w:val="auto"/>
          <w:sz w:val="24"/>
          <w:szCs w:val="28"/>
        </w:rPr>
        <w:t xml:space="preserve">依法缴纳税收和社会保障资金的相关材料</w:t>
      </w:r>
      <w:r/>
    </w:p>
    <w:p>
      <w:pPr>
        <w:pStyle w:val="1132"/>
        <w:numPr>
          <w:ilvl w:val="0"/>
          <w:numId w:val="0"/>
        </w:numPr>
        <w:jc w:val="both"/>
        <w:keepLines w:val="0"/>
        <w:keepNext w:val="0"/>
        <w:pageBreakBefore w:val="0"/>
        <w:spacing w:line="440" w:lineRule="exact"/>
        <w:widowControl w:val="off"/>
        <w:rPr>
          <w:rFonts w:hint="eastAsia" w:ascii="宋体" w:hAnsi="宋体" w:eastAsia="宋体" w:cs="宋体"/>
          <w:b/>
          <w:bCs/>
          <w:i w:val="0"/>
          <w:iCs w:val="0"/>
          <w:color w:val="auto"/>
          <w:sz w:val="24"/>
          <w:szCs w:val="24"/>
          <w:u w:val="none"/>
        </w:rPr>
        <w:outlineLvl w:val="9"/>
      </w:pPr>
      <w:r>
        <w:rPr>
          <w:rFonts w:hint="eastAsia" w:ascii="宋体" w:hAnsi="宋体" w:eastAsia="宋体" w:cs="宋体"/>
          <w:b/>
          <w:bCs/>
          <w:i w:val="0"/>
          <w:iCs w:val="0"/>
          <w:color w:val="auto"/>
          <w:sz w:val="24"/>
          <w:szCs w:val="24"/>
          <w:u w:val="none"/>
        </w:rPr>
      </w:r>
      <w:r/>
    </w:p>
    <w:p>
      <w:pPr>
        <w:pStyle w:val="1091"/>
        <w:rPr>
          <w:rFonts w:hint="eastAsia" w:ascii="宋体" w:hAnsi="宋体"/>
          <w:b/>
          <w:color w:val="auto"/>
          <w:sz w:val="32"/>
          <w:szCs w:val="32"/>
          <w:lang w:val="en-US" w:eastAsia="zh-CN"/>
        </w:rPr>
      </w:pPr>
      <w:r>
        <w:rPr>
          <w:rFonts w:hint="eastAsia" w:ascii="宋体" w:hAnsi="宋体"/>
          <w:b/>
          <w:color w:val="auto"/>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color w:val="auto"/>
          <w:sz w:val="32"/>
          <w:szCs w:val="32"/>
          <w:lang w:val="en-US" w:eastAsia="zh-CN"/>
        </w:rPr>
      </w:pPr>
      <w:r>
        <w:rPr>
          <w:rFonts w:hint="eastAsia" w:ascii="宋体" w:hAnsi="宋体"/>
          <w:b/>
          <w:color w:val="auto"/>
          <w:sz w:val="32"/>
          <w:szCs w:val="32"/>
          <w:lang w:val="en-US" w:eastAsia="zh-CN"/>
        </w:rPr>
      </w:r>
      <w:r/>
    </w:p>
    <w:p>
      <w:pPr>
        <w:pStyle w:val="113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color w:val="auto"/>
          <w:sz w:val="32"/>
          <w:szCs w:val="32"/>
        </w:rPr>
        <w:outlineLvl w:val="9"/>
      </w:pPr>
      <w:r>
        <w:rPr>
          <w:rFonts w:hint="eastAsia" w:ascii="宋体" w:hAnsi="宋体" w:eastAsia="宋体" w:cs="宋体"/>
          <w:b/>
          <w:bCs w:val="0"/>
          <w:color w:val="auto"/>
          <w:sz w:val="32"/>
          <w:szCs w:val="32"/>
        </w:rPr>
        <w:t xml:space="preserve">具备履行合同所必需的设备和专业技术能力的书面声明</w:t>
      </w:r>
      <w:r/>
    </w:p>
    <w:p>
      <w:pPr>
        <w:pStyle w:val="1132"/>
        <w:numPr>
          <w:ilvl w:val="0"/>
          <w:numId w:val="0"/>
        </w:numPr>
        <w:jc w:val="center"/>
        <w:keepLines w:val="0"/>
        <w:keepNext w:val="0"/>
        <w:pageBreakBefore w:val="0"/>
        <w:spacing w:line="440" w:lineRule="exact"/>
        <w:widowControl w:val="off"/>
        <w:rPr>
          <w:rFonts w:hint="eastAsia" w:ascii="宋体" w:hAnsi="宋体" w:eastAsia="宋体" w:cs="宋体"/>
          <w:b/>
          <w:bCs w:val="0"/>
          <w:i w:val="0"/>
          <w:iCs/>
          <w:color w:val="auto"/>
          <w:sz w:val="24"/>
          <w:szCs w:val="24"/>
          <w:u w:val="none"/>
        </w:rPr>
        <w:outlineLvl w:val="9"/>
      </w:pPr>
      <w:r>
        <w:rPr>
          <w:rFonts w:hint="eastAsia"/>
          <w:b/>
          <w:bCs w:val="0"/>
          <w:i w:val="0"/>
          <w:iCs/>
          <w:color w:val="auto"/>
          <w:sz w:val="24"/>
          <w:szCs w:val="24"/>
          <w:highlight w:val="none"/>
          <w:u w:val="none"/>
        </w:rPr>
        <w:t xml:space="preserve">（如为联合体，则联合体成员均须提供）</w:t>
      </w:r>
      <w:r/>
    </w:p>
    <w:p>
      <w:pPr>
        <w:ind w:left="0" w:firstLine="0"/>
        <w:spacing w:line="560" w:lineRule="exact"/>
        <w:rPr>
          <w:rFonts w:hint="eastAsia" w:hAnsi="宋体" w:cs="宋体"/>
          <w:color w:val="auto"/>
          <w:sz w:val="24"/>
        </w:rPr>
      </w:pPr>
      <w:r>
        <w:rPr>
          <w:rFonts w:hint="eastAsia" w:hAnsi="宋体" w:cs="宋体"/>
          <w:color w:val="auto"/>
          <w:sz w:val="24"/>
        </w:rPr>
      </w:r>
      <w:r/>
    </w:p>
    <w:p>
      <w:pPr>
        <w:ind w:left="0" w:firstLine="420"/>
        <w:spacing w:line="560" w:lineRule="exact"/>
        <w:rPr>
          <w:rFonts w:hAnsi="宋体" w:cs="宋体"/>
          <w:color w:val="auto"/>
          <w:sz w:val="24"/>
        </w:rPr>
      </w:pPr>
      <w:r>
        <w:rPr>
          <w:rFonts w:hint="eastAsia" w:hAnsi="宋体" w:cs="宋体"/>
          <w:color w:val="auto"/>
          <w:sz w:val="24"/>
        </w:rPr>
        <w:t xml:space="preserve">我单位郑重声明：我单位具备履行本项采购合同所必需的设备和专业技术能力。</w:t>
      </w:r>
      <w:r/>
    </w:p>
    <w:p>
      <w:pPr>
        <w:ind w:left="0" w:firstLine="480"/>
        <w:spacing w:line="560" w:lineRule="exact"/>
        <w:rPr>
          <w:rFonts w:hint="eastAsia" w:hAnsi="宋体" w:cs="宋体"/>
          <w:color w:val="auto"/>
          <w:sz w:val="24"/>
        </w:rPr>
      </w:pPr>
      <w:r>
        <w:rPr>
          <w:rFonts w:hint="eastAsia" w:hAnsi="宋体" w:cs="宋体"/>
          <w:color w:val="auto"/>
          <w:sz w:val="24"/>
        </w:rPr>
      </w:r>
      <w:r/>
    </w:p>
    <w:p>
      <w:pPr>
        <w:ind w:firstLine="480"/>
        <w:spacing w:line="560" w:lineRule="exact"/>
        <w:rPr>
          <w:rFonts w:hAnsi="宋体" w:cs="宋体"/>
          <w:color w:val="auto"/>
          <w:sz w:val="24"/>
        </w:rPr>
      </w:pPr>
      <w:r>
        <w:rPr>
          <w:rFonts w:hAnsi="宋体" w:cs="宋体"/>
          <w:color w:val="auto"/>
          <w:sz w:val="24"/>
        </w:rPr>
      </w:r>
      <w:r/>
    </w:p>
    <w:p>
      <w:pPr>
        <w:ind w:firstLine="480"/>
        <w:rPr>
          <w:rFonts w:hint="eastAsia" w:hAnsi="宋体" w:cs="宋体"/>
          <w:color w:val="auto"/>
          <w:sz w:val="24"/>
        </w:rPr>
      </w:pPr>
      <w:r>
        <w:rPr>
          <w:rFonts w:hint="eastAsia" w:hAnsi="宋体" w:cs="宋体"/>
          <w:color w:val="auto"/>
          <w:sz w:val="24"/>
        </w:rPr>
      </w:r>
      <w:r/>
    </w:p>
    <w:p>
      <w:pPr>
        <w:ind w:firstLine="480"/>
        <w:rPr>
          <w:rFonts w:hint="eastAsia" w:hAnsi="宋体" w:cs="宋体"/>
          <w:color w:val="auto"/>
          <w:sz w:val="24"/>
        </w:rPr>
      </w:pPr>
      <w:r>
        <w:rPr>
          <w:rFonts w:hint="eastAsia" w:hAnsi="宋体" w:cs="宋体"/>
          <w:color w:val="auto"/>
          <w:sz w:val="24"/>
        </w:rPr>
      </w:r>
      <w:r/>
    </w:p>
    <w:p>
      <w:pPr>
        <w:ind w:firstLine="480"/>
        <w:rPr>
          <w:rFonts w:hint="eastAsia" w:hAnsi="宋体" w:cs="宋体"/>
          <w:color w:val="auto"/>
          <w:sz w:val="24"/>
        </w:rPr>
      </w:pPr>
      <w:r>
        <w:rPr>
          <w:rFonts w:hint="eastAsia" w:hAnsi="宋体" w:cs="宋体"/>
          <w:color w:val="auto"/>
          <w:sz w:val="24"/>
        </w:rPr>
      </w:r>
      <w:r/>
    </w:p>
    <w:p>
      <w:pPr>
        <w:ind w:firstLine="480"/>
        <w:rPr>
          <w:rFonts w:hint="eastAsia" w:hAnsi="宋体" w:cs="宋体"/>
          <w:color w:val="auto"/>
          <w:sz w:val="24"/>
        </w:rPr>
      </w:pPr>
      <w:r>
        <w:rPr>
          <w:rFonts w:hint="eastAsia" w:hAnsi="宋体" w:cs="宋体"/>
          <w:color w:val="auto"/>
          <w:sz w:val="24"/>
        </w:rPr>
        <w:t xml:space="preserve">投标单位（加盖公章）：</w:t>
      </w:r>
      <w:r/>
    </w:p>
    <w:p>
      <w:pPr>
        <w:ind w:firstLine="480"/>
        <w:rPr>
          <w:rFonts w:hint="eastAsia" w:ascii="宋体" w:hAnsi="宋体" w:eastAsia="宋体"/>
          <w:color w:val="auto"/>
          <w:sz w:val="24"/>
          <w:lang w:val="en-US" w:eastAsia="zh-CN"/>
        </w:rPr>
      </w:pPr>
      <w:r>
        <w:rPr>
          <w:rFonts w:hint="eastAsia" w:ascii="宋体" w:hAnsi="宋体"/>
          <w:color w:val="auto"/>
          <w:sz w:val="24"/>
          <w:lang w:val="en-US" w:eastAsia="zh-CN"/>
        </w:rPr>
        <w:t xml:space="preserve">日期：</w:t>
      </w:r>
      <w:r/>
    </w:p>
    <w:p>
      <w:pPr>
        <w:ind w:firstLine="480"/>
        <w:jc w:val="center"/>
        <w:rPr>
          <w:rFonts w:hint="eastAsia" w:ascii="宋体" w:hAnsi="宋体"/>
          <w:color w:val="auto"/>
          <w:sz w:val="24"/>
        </w:rPr>
      </w:pPr>
      <w:r>
        <w:rPr>
          <w:rFonts w:hint="eastAsia" w:ascii="宋体" w:hAnsi="宋体"/>
          <w:color w:val="auto"/>
          <w:sz w:val="24"/>
        </w:rPr>
      </w:r>
      <w:r/>
    </w:p>
    <w:p>
      <w:pPr>
        <w:pStyle w:val="1091"/>
        <w:rPr>
          <w:rFonts w:hint="eastAsia" w:ascii="宋体" w:hAnsi="宋体"/>
          <w:color w:val="auto"/>
          <w:sz w:val="24"/>
        </w:rPr>
      </w:pPr>
      <w:r>
        <w:rPr>
          <w:rFonts w:hint="eastAsia" w:ascii="宋体" w:hAnsi="宋体"/>
          <w:color w:val="auto"/>
          <w:sz w:val="24"/>
        </w:rPr>
      </w:r>
      <w:r/>
    </w:p>
    <w:p>
      <w:pPr>
        <w:pStyle w:val="1091"/>
        <w:rPr>
          <w:rFonts w:hint="eastAsia" w:ascii="宋体" w:hAnsi="宋体"/>
          <w:color w:val="auto"/>
          <w:sz w:val="24"/>
        </w:rPr>
      </w:pPr>
      <w:r>
        <w:rPr>
          <w:rFonts w:hint="eastAsia" w:ascii="宋体" w:hAnsi="宋体"/>
          <w:color w:val="auto"/>
          <w:sz w:val="24"/>
        </w:rPr>
      </w:r>
      <w:r/>
    </w:p>
    <w:p>
      <w:pPr>
        <w:pStyle w:val="113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color w:val="auto"/>
          <w:sz w:val="32"/>
          <w:szCs w:val="32"/>
        </w:rPr>
        <w:outlineLvl w:val="9"/>
      </w:pPr>
      <w:r>
        <w:rPr>
          <w:rFonts w:hint="eastAsia" w:ascii="宋体" w:hAnsi="宋体" w:eastAsia="宋体" w:cs="宋体"/>
          <w:b/>
          <w:bCs w:val="0"/>
          <w:color w:val="auto"/>
          <w:sz w:val="32"/>
          <w:szCs w:val="32"/>
          <w:lang w:val="en-US" w:eastAsia="zh-CN"/>
        </w:rPr>
        <w:t xml:space="preserve">参加本次采购活动前3年内在经营活动中没有重大违法记录的书面声明</w:t>
      </w:r>
      <w:r/>
    </w:p>
    <w:p>
      <w:pPr>
        <w:pStyle w:val="1132"/>
        <w:numPr>
          <w:ilvl w:val="0"/>
          <w:numId w:val="0"/>
        </w:numPr>
        <w:jc w:val="center"/>
        <w:keepLines w:val="0"/>
        <w:keepNext w:val="0"/>
        <w:pageBreakBefore w:val="0"/>
        <w:spacing w:line="440" w:lineRule="exact"/>
        <w:widowControl w:val="off"/>
        <w:rPr>
          <w:rFonts w:hint="eastAsia" w:ascii="宋体" w:hAnsi="宋体" w:eastAsia="宋体" w:cs="宋体"/>
          <w:b/>
          <w:bCs w:val="0"/>
          <w:i w:val="0"/>
          <w:iCs/>
          <w:color w:val="auto"/>
          <w:sz w:val="24"/>
          <w:szCs w:val="24"/>
          <w:u w:val="none"/>
        </w:rPr>
        <w:outlineLvl w:val="9"/>
      </w:pPr>
      <w:r>
        <w:rPr>
          <w:rFonts w:hint="eastAsia"/>
          <w:b/>
          <w:bCs w:val="0"/>
          <w:i w:val="0"/>
          <w:iCs/>
          <w:color w:val="auto"/>
          <w:sz w:val="24"/>
          <w:szCs w:val="24"/>
          <w:highlight w:val="none"/>
          <w:u w:val="none"/>
        </w:rPr>
        <w:t xml:space="preserve">（如为联合体，则联合体成员均须提供）</w:t>
      </w:r>
      <w:r/>
    </w:p>
    <w:p>
      <w:pPr>
        <w:ind w:firstLine="420"/>
        <w:keepLines w:val="0"/>
        <w:keepNext w:val="0"/>
        <w:rPr>
          <w:rFonts w:hint="eastAsia"/>
          <w:b/>
          <w:bCs/>
          <w:color w:val="auto"/>
        </w:rPr>
        <w:outlineLvl w:val="9"/>
      </w:pPr>
      <w:r>
        <w:rPr>
          <w:rFonts w:hint="eastAsia"/>
          <w:b/>
          <w:bCs/>
          <w:color w:val="auto"/>
        </w:rPr>
      </w:r>
      <w:r/>
    </w:p>
    <w:p>
      <w:pPr>
        <w:ind w:left="0" w:firstLine="0"/>
        <w:jc w:val="center"/>
        <w:keepLines w:val="0"/>
        <w:keepNext w:val="0"/>
        <w:rPr>
          <w:rFonts w:hint="eastAsia" w:ascii="宋体" w:hAnsi="宋体" w:eastAsia="宋体" w:cs="宋体"/>
          <w:b w:val="0"/>
          <w:bCs w:val="0"/>
          <w:color w:val="auto"/>
          <w:sz w:val="28"/>
          <w:szCs w:val="28"/>
        </w:rPr>
        <w:outlineLvl w:val="9"/>
      </w:pPr>
      <w:r>
        <w:rPr>
          <w:rFonts w:ascii="宋体" w:hAnsi="宋体" w:eastAsia="宋体" w:cs="宋体"/>
          <w:b w:val="0"/>
          <w:bCs w:val="0"/>
          <w:color w:val="auto"/>
          <w:sz w:val="36"/>
          <w:szCs w:val="36"/>
        </w:rPr>
        <w:t xml:space="preserve">声明</w:t>
      </w:r>
      <w:r/>
    </w:p>
    <w:p>
      <w:pPr>
        <w:ind w:firstLine="480"/>
        <w:keepLines w:val="0"/>
        <w:keepNext w:val="0"/>
        <w:rPr>
          <w:rFonts w:hint="eastAsia" w:ascii="宋体" w:hAnsi="宋体" w:eastAsia="宋体" w:cs="宋体"/>
          <w:color w:val="auto"/>
          <w:sz w:val="24"/>
        </w:rPr>
        <w:outlineLvl w:val="9"/>
      </w:pPr>
      <w:r>
        <w:rPr>
          <w:rFonts w:hint="eastAsia" w:ascii="宋体" w:hAnsi="宋体" w:eastAsia="宋体" w:cs="宋体"/>
          <w:color w:val="auto"/>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color w:val="auto"/>
          <w:sz w:val="24"/>
        </w:rPr>
        <w:outlineLvl w:val="9"/>
      </w:pPr>
      <w:r>
        <w:rPr>
          <w:rFonts w:hint="eastAsia"/>
          <w:color w:val="auto"/>
          <w:sz w:val="24"/>
        </w:rPr>
      </w:r>
      <w:r/>
    </w:p>
    <w:p>
      <w:pPr>
        <w:ind w:firstLine="480"/>
        <w:keepLines w:val="0"/>
        <w:keepNext w:val="0"/>
        <w:rPr>
          <w:rFonts w:hint="eastAsia"/>
          <w:color w:val="auto"/>
          <w:sz w:val="24"/>
        </w:rPr>
        <w:outlineLvl w:val="9"/>
      </w:pPr>
      <w:r>
        <w:rPr>
          <w:rFonts w:hint="eastAsia"/>
          <w:color w:val="auto"/>
          <w:sz w:val="24"/>
        </w:rPr>
        <w:t xml:space="preserve"> </w:t>
      </w:r>
      <w:r/>
    </w:p>
    <w:p>
      <w:pPr>
        <w:ind w:firstLine="480"/>
        <w:keepLines w:val="0"/>
        <w:keepNext w:val="0"/>
        <w:rPr>
          <w:rFonts w:hint="eastAsia"/>
          <w:color w:val="auto"/>
          <w:sz w:val="24"/>
          <w:lang w:val="en-US" w:eastAsia="zh-CN"/>
        </w:rPr>
        <w:outlineLvl w:val="9"/>
      </w:pPr>
      <w:r>
        <w:rPr>
          <w:rFonts w:hint="eastAsia"/>
          <w:color w:val="auto"/>
          <w:sz w:val="24"/>
        </w:rPr>
        <w:t xml:space="preserve">                                </w:t>
      </w:r>
      <w:r>
        <w:rPr>
          <w:rFonts w:hint="eastAsia"/>
          <w:color w:val="auto"/>
          <w:sz w:val="24"/>
          <w:lang w:val="en-US" w:eastAsia="zh-CN"/>
        </w:rPr>
        <w:t xml:space="preserve">                     </w:t>
      </w:r>
      <w:r/>
    </w:p>
    <w:p>
      <w:pPr>
        <w:ind w:firstLine="480"/>
        <w:jc w:val="both"/>
        <w:keepLines w:val="0"/>
        <w:keepNext w:val="0"/>
        <w:rPr>
          <w:rFonts w:hint="eastAsia"/>
          <w:color w:val="auto"/>
          <w:sz w:val="24"/>
        </w:rPr>
        <w:outlineLvl w:val="9"/>
      </w:pPr>
      <w:r>
        <w:rPr>
          <w:rFonts w:hint="eastAsia"/>
          <w:color w:val="auto"/>
          <w:sz w:val="24"/>
        </w:rPr>
        <w:t xml:space="preserve">投标单位（加盖公章）：</w:t>
      </w:r>
      <w:r/>
    </w:p>
    <w:p>
      <w:pPr>
        <w:ind w:firstLine="480"/>
        <w:rPr>
          <w:rFonts w:hint="eastAsia" w:ascii="宋体" w:hAnsi="宋体" w:eastAsia="宋体"/>
          <w:color w:val="auto"/>
          <w:sz w:val="24"/>
          <w:lang w:val="en-US" w:eastAsia="zh-CN"/>
        </w:rPr>
      </w:pPr>
      <w:r>
        <w:rPr>
          <w:rFonts w:hint="eastAsia" w:ascii="宋体" w:hAnsi="宋体"/>
          <w:color w:val="auto"/>
          <w:sz w:val="24"/>
          <w:lang w:val="en-US" w:eastAsia="zh-CN"/>
        </w:rPr>
        <w:t xml:space="preserve">日期：</w:t>
      </w:r>
      <w:r/>
    </w:p>
    <w:p>
      <w:pPr>
        <w:ind w:firstLine="480"/>
        <w:keepLines w:val="0"/>
        <w:keepNext w:val="0"/>
        <w:rPr>
          <w:rFonts w:hint="eastAsia"/>
          <w:color w:val="auto"/>
          <w:sz w:val="24"/>
        </w:rPr>
        <w:outlineLvl w:val="9"/>
      </w:pPr>
      <w:r>
        <w:rPr>
          <w:rFonts w:hint="eastAsia"/>
          <w:color w:val="auto"/>
          <w:sz w:val="24"/>
        </w:rPr>
      </w:r>
      <w:r/>
    </w:p>
    <w:p>
      <w:pPr>
        <w:pStyle w:val="113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color w:val="auto"/>
          <w:sz w:val="32"/>
          <w:szCs w:val="32"/>
          <w:lang w:val="en-US" w:eastAsia="zh-CN"/>
        </w:rPr>
        <w:outlineLvl w:val="9"/>
      </w:pPr>
      <w:r>
        <w:rPr>
          <w:rFonts w:hint="eastAsia" w:ascii="宋体" w:hAnsi="宋体" w:eastAsia="宋体" w:cs="宋体"/>
          <w:b/>
          <w:bCs w:val="0"/>
          <w:color w:val="auto"/>
          <w:sz w:val="32"/>
          <w:szCs w:val="32"/>
          <w:lang w:val="en-US" w:eastAsia="zh-CN"/>
        </w:rPr>
        <w:t xml:space="preserve">关于资格证明文件的书面承诺</w:t>
      </w:r>
      <w:r/>
    </w:p>
    <w:p>
      <w:pPr>
        <w:pStyle w:val="1132"/>
        <w:numPr>
          <w:ilvl w:val="0"/>
          <w:numId w:val="0"/>
        </w:numPr>
        <w:jc w:val="center"/>
        <w:keepLines w:val="0"/>
        <w:keepNext w:val="0"/>
        <w:pageBreakBefore w:val="0"/>
        <w:spacing w:line="440" w:lineRule="exact"/>
        <w:widowControl w:val="off"/>
        <w:rPr>
          <w:rFonts w:hint="eastAsia" w:ascii="宋体" w:hAnsi="宋体" w:eastAsia="宋体" w:cs="宋体"/>
          <w:b/>
          <w:bCs w:val="0"/>
          <w:i w:val="0"/>
          <w:iCs/>
          <w:color w:val="auto"/>
          <w:sz w:val="24"/>
          <w:szCs w:val="24"/>
          <w:u w:val="none"/>
        </w:rPr>
        <w:outlineLvl w:val="9"/>
      </w:pPr>
      <w:r>
        <w:rPr>
          <w:rFonts w:hint="eastAsia"/>
          <w:b/>
          <w:bCs w:val="0"/>
          <w:i w:val="0"/>
          <w:iCs/>
          <w:color w:val="auto"/>
          <w:sz w:val="24"/>
          <w:szCs w:val="24"/>
          <w:highlight w:val="none"/>
          <w:u w:val="none"/>
        </w:rPr>
        <w:t xml:space="preserve">（如为联合体，则联合体成员均须提供）</w:t>
      </w:r>
      <w:r/>
    </w:p>
    <w:p>
      <w:pPr>
        <w:ind w:firstLine="643"/>
        <w:jc w:val="center"/>
        <w:keepLines w:val="0"/>
        <w:keepNext w:val="0"/>
        <w:rPr>
          <w:rFonts w:eastAsia="宋体"/>
          <w:b/>
          <w:bCs/>
          <w:color w:val="auto"/>
          <w:sz w:val="32"/>
          <w:szCs w:val="32"/>
          <w:highlight w:val="white"/>
        </w:rPr>
        <w:outlineLvl w:val="9"/>
      </w:pPr>
      <w:r>
        <w:rPr>
          <w:rFonts w:eastAsia="宋体"/>
          <w:b/>
          <w:bCs/>
          <w:color w:val="auto"/>
          <w:sz w:val="32"/>
          <w:szCs w:val="32"/>
          <w:highlight w:val="white"/>
        </w:rPr>
      </w:r>
      <w:r/>
    </w:p>
    <w:p>
      <w:pPr>
        <w:ind w:firstLine="643"/>
        <w:jc w:val="center"/>
        <w:keepLines w:val="0"/>
        <w:keepNext w:val="0"/>
        <w:rPr>
          <w:rFonts w:eastAsia="宋体"/>
          <w:color w:val="auto"/>
          <w:sz w:val="32"/>
          <w:szCs w:val="32"/>
          <w:highlight w:val="white"/>
        </w:rPr>
        <w:outlineLvl w:val="9"/>
      </w:pPr>
      <w:r>
        <w:rPr>
          <w:rFonts w:eastAsia="宋体"/>
          <w:color w:val="auto"/>
          <w:sz w:val="32"/>
          <w:szCs w:val="32"/>
          <w:highlight w:val="white"/>
        </w:rPr>
      </w:r>
      <w:r/>
    </w:p>
    <w:p>
      <w:pPr>
        <w:ind w:firstLine="643"/>
        <w:jc w:val="center"/>
        <w:keepLines w:val="0"/>
        <w:keepNext w:val="0"/>
        <w:rPr>
          <w:rFonts w:hint="eastAsia" w:ascii="宋体" w:hAnsi="宋体"/>
          <w:b/>
          <w:color w:val="auto"/>
          <w:sz w:val="32"/>
          <w:szCs w:val="32"/>
          <w:highlight w:val="none"/>
        </w:rPr>
        <w:outlineLvl w:val="9"/>
      </w:pPr>
      <w:r>
        <w:rPr>
          <w:rFonts w:eastAsia="宋体"/>
          <w:color w:val="auto"/>
          <w:sz w:val="32"/>
          <w:szCs w:val="32"/>
          <w:highlight w:val="none"/>
        </w:rPr>
        <w:t xml:space="preserve">关于资格证明文件的书面承诺</w:t>
      </w:r>
      <w:r/>
    </w:p>
    <w:p>
      <w:pPr>
        <w:ind w:firstLine="643"/>
        <w:jc w:val="center"/>
        <w:keepLines w:val="0"/>
        <w:keepNext w:val="0"/>
        <w:rPr>
          <w:rFonts w:hint="eastAsia" w:ascii="宋体" w:hAnsi="宋体"/>
          <w:b/>
          <w:color w:val="auto"/>
          <w:sz w:val="32"/>
          <w:szCs w:val="32"/>
        </w:rPr>
        <w:outlineLvl w:val="9"/>
      </w:pPr>
      <w:r>
        <w:rPr>
          <w:rFonts w:hint="eastAsia" w:ascii="宋体" w:hAnsi="宋体"/>
          <w:b/>
          <w:color w:val="auto"/>
          <w:sz w:val="32"/>
          <w:szCs w:val="32"/>
        </w:rPr>
      </w:r>
      <w:r/>
    </w:p>
    <w:p>
      <w:pPr>
        <w:pStyle w:val="1089"/>
        <w:ind w:firstLine="480"/>
        <w:keepLines w:val="0"/>
        <w:keepNext w:val="0"/>
        <w:rPr>
          <w:rFonts w:ascii="宋体" w:hAnsi="宋体"/>
          <w:color w:val="auto"/>
          <w:sz w:val="24"/>
          <w:szCs w:val="24"/>
        </w:rPr>
        <w:outlineLvl w:val="9"/>
      </w:pPr>
      <w:r>
        <w:rPr>
          <w:rFonts w:hint="eastAsia" w:ascii="宋体" w:hAnsi="宋体"/>
          <w:color w:val="auto"/>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color w:val="auto"/>
          <w:sz w:val="24"/>
        </w:rPr>
        <w:outlineLvl w:val="9"/>
      </w:pPr>
      <w:r>
        <w:rPr>
          <w:rFonts w:hint="eastAsia" w:ascii="宋体" w:hAnsi="宋体"/>
          <w:color w:val="auto"/>
          <w:sz w:val="24"/>
        </w:rPr>
      </w:r>
      <w:r/>
    </w:p>
    <w:p>
      <w:pPr>
        <w:ind w:firstLine="643"/>
        <w:jc w:val="center"/>
        <w:keepLines w:val="0"/>
        <w:keepNext w:val="0"/>
        <w:rPr>
          <w:rFonts w:hint="eastAsia"/>
          <w:b/>
          <w:color w:val="auto"/>
          <w:sz w:val="32"/>
          <w:szCs w:val="32"/>
        </w:rPr>
        <w:outlineLvl w:val="9"/>
      </w:pPr>
      <w:r>
        <w:rPr>
          <w:rFonts w:hint="eastAsia"/>
          <w:b/>
          <w:color w:val="auto"/>
          <w:sz w:val="32"/>
          <w:szCs w:val="32"/>
        </w:rPr>
      </w:r>
      <w:r/>
    </w:p>
    <w:p>
      <w:pPr>
        <w:ind w:firstLine="480"/>
        <w:jc w:val="both"/>
        <w:keepLines w:val="0"/>
        <w:keepNext w:val="0"/>
        <w:rPr>
          <w:rFonts w:hint="eastAsia" w:ascii="宋体" w:hAnsi="宋体"/>
          <w:color w:val="auto"/>
          <w:sz w:val="24"/>
        </w:rPr>
        <w:outlineLvl w:val="9"/>
      </w:pPr>
      <w:r>
        <w:rPr>
          <w:rFonts w:hint="eastAsia" w:ascii="宋体" w:hAnsi="宋体"/>
          <w:color w:val="auto"/>
          <w:sz w:val="24"/>
        </w:rPr>
        <w:t xml:space="preserve">投标单位（加盖公章）：</w:t>
      </w:r>
      <w:r/>
    </w:p>
    <w:p>
      <w:pPr>
        <w:ind w:firstLine="480"/>
        <w:rPr>
          <w:rFonts w:hint="eastAsia" w:ascii="宋体" w:hAnsi="宋体" w:eastAsia="宋体"/>
          <w:color w:val="auto"/>
          <w:sz w:val="24"/>
          <w:lang w:val="en-US" w:eastAsia="zh-CN"/>
        </w:rPr>
      </w:pPr>
      <w:r>
        <w:rPr>
          <w:rFonts w:hint="eastAsia" w:ascii="宋体" w:hAnsi="宋体"/>
          <w:color w:val="auto"/>
          <w:sz w:val="24"/>
          <w:lang w:val="en-US" w:eastAsia="zh-CN"/>
        </w:rPr>
        <w:t xml:space="preserve">日期：</w:t>
      </w:r>
      <w:r/>
    </w:p>
    <w:p>
      <w:pPr>
        <w:ind w:firstLine="560"/>
        <w:jc w:val="center"/>
        <w:keepLines w:val="0"/>
        <w:keepNext w:val="0"/>
        <w:rPr>
          <w:rFonts w:hint="eastAsia" w:ascii="仿宋_GB2312" w:eastAsia="仿宋_GB2312"/>
          <w:color w:val="auto"/>
          <w:sz w:val="28"/>
          <w:szCs w:val="28"/>
        </w:rPr>
        <w:outlineLvl w:val="9"/>
      </w:pPr>
      <w:r>
        <w:rPr>
          <w:rFonts w:hint="eastAsia" w:ascii="仿宋_GB2312" w:eastAsia="仿宋_GB2312"/>
          <w:color w:val="auto"/>
          <w:sz w:val="28"/>
          <w:szCs w:val="28"/>
        </w:rPr>
      </w:r>
      <w:r/>
    </w:p>
    <w:p>
      <w:pPr>
        <w:pStyle w:val="113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color w:val="auto"/>
          <w:sz w:val="32"/>
          <w:szCs w:val="32"/>
          <w:lang w:val="en-US" w:eastAsia="zh-CN"/>
        </w:rPr>
        <w:outlineLvl w:val="9"/>
      </w:pPr>
      <w:r>
        <w:rPr>
          <w:rFonts w:hint="eastAsia" w:ascii="宋体" w:hAnsi="宋体" w:eastAsia="宋体" w:cs="宋体"/>
          <w:b/>
          <w:bCs w:val="0"/>
          <w:color w:val="auto"/>
          <w:sz w:val="32"/>
          <w:szCs w:val="32"/>
          <w:lang w:val="en-US" w:eastAsia="zh-CN"/>
        </w:rPr>
        <w:t xml:space="preserve">授权委托书</w:t>
      </w:r>
      <w:r/>
    </w:p>
    <w:p>
      <w:pPr>
        <w:pStyle w:val="1142"/>
        <w:ind w:left="0" w:firstLine="0"/>
        <w:jc w:val="center"/>
        <w:spacing w:line="440" w:lineRule="exact"/>
        <w:rPr>
          <w:rFonts w:hint="eastAsia" w:eastAsia="宋体"/>
          <w:b/>
          <w:bCs/>
          <w:i w:val="0"/>
          <w:iCs/>
          <w:color w:val="auto"/>
          <w:sz w:val="32"/>
          <w:szCs w:val="32"/>
          <w:highlight w:val="white"/>
          <w:u w:val="none"/>
          <w:lang w:val="en-US" w:eastAsia="zh-CN"/>
        </w:rPr>
      </w:pPr>
      <w:r>
        <w:rPr>
          <w:rFonts w:hint="eastAsia"/>
          <w:b/>
          <w:bCs w:val="0"/>
          <w:i w:val="0"/>
          <w:iCs/>
          <w:color w:val="auto"/>
          <w:sz w:val="24"/>
          <w:szCs w:val="24"/>
          <w:highlight w:val="none"/>
          <w:u w:val="none"/>
        </w:rPr>
        <w:t xml:space="preserve">（如为联合体，则联合体牵头单位须提供）</w:t>
      </w:r>
      <w:r/>
    </w:p>
    <w:p>
      <w:pPr>
        <w:pStyle w:val="1142"/>
        <w:ind w:left="0" w:firstLine="0"/>
        <w:jc w:val="center"/>
        <w:spacing w:line="440" w:lineRule="exact"/>
        <w:rPr>
          <w:rFonts w:hint="default" w:eastAsia="宋体"/>
          <w:b/>
          <w:bCs/>
          <w:color w:val="auto"/>
          <w:sz w:val="32"/>
          <w:szCs w:val="32"/>
          <w:highlight w:val="none"/>
          <w:lang w:val="en-US" w:eastAsia="zh-CN"/>
        </w:rPr>
      </w:pPr>
      <w:r>
        <w:rPr>
          <w:rFonts w:hint="eastAsia" w:eastAsia="宋体"/>
          <w:b/>
          <w:bCs/>
          <w:color w:val="auto"/>
          <w:sz w:val="32"/>
          <w:szCs w:val="32"/>
          <w:highlight w:val="none"/>
          <w:lang w:val="en-US" w:eastAsia="zh-CN"/>
        </w:rPr>
        <w:t xml:space="preserve">授权委托书</w:t>
      </w:r>
      <w:r/>
    </w:p>
    <w:p>
      <w:pPr>
        <w:pStyle w:val="1142"/>
        <w:ind w:firstLine="499"/>
        <w:spacing w:line="440" w:lineRule="exact"/>
        <w:rPr>
          <w:rFonts w:eastAsia="宋体"/>
          <w:color w:val="auto"/>
          <w:highlight w:val="none"/>
        </w:rPr>
      </w:pPr>
      <w:r>
        <w:rPr>
          <w:rFonts w:eastAsia="宋体"/>
          <w:color w:val="auto"/>
          <w:highlight w:val="none"/>
        </w:rPr>
        <w:t xml:space="preserve">本授权书声明：</w:t>
      </w:r>
      <w:r>
        <w:rPr>
          <w:rFonts w:eastAsia="宋体"/>
          <w:color w:val="auto"/>
          <w:highlight w:val="none"/>
          <w:u w:val="single"/>
        </w:rPr>
        <w:t xml:space="preserve">（投标人名称）</w:t>
      </w:r>
      <w:r>
        <w:rPr>
          <w:rFonts w:eastAsia="宋体"/>
          <w:color w:val="auto"/>
          <w:highlight w:val="none"/>
        </w:rPr>
        <w:t xml:space="preserve">授权</w:t>
      </w:r>
      <w:bookmarkStart w:id="211" w:name="sys_STR"/>
      <w:r/>
      <w:bookmarkEnd w:id="211"/>
      <w:r>
        <w:rPr>
          <w:rFonts w:eastAsia="宋体"/>
          <w:color w:val="auto"/>
          <w:highlight w:val="none"/>
          <w:u w:val="single"/>
        </w:rPr>
        <w:t xml:space="preserve">(被授权人的姓名)</w:t>
      </w:r>
      <w:r>
        <w:rPr>
          <w:rFonts w:eastAsia="宋体"/>
          <w:color w:val="auto"/>
          <w:highlight w:val="none"/>
        </w:rPr>
        <w:t xml:space="preserve">为我方就</w:t>
      </w:r>
      <w:r>
        <w:rPr>
          <w:rFonts w:eastAsia="宋体"/>
          <w:color w:val="auto"/>
          <w:highlight w:val="none"/>
          <w:u w:val="single"/>
        </w:rPr>
        <w:t xml:space="preserve">       </w:t>
      </w:r>
      <w:r>
        <w:rPr>
          <w:rFonts w:eastAsia="宋体"/>
          <w:color w:val="auto"/>
          <w:highlight w:val="none"/>
        </w:rPr>
        <w:t xml:space="preserve">项目采购活动的合法代理人，以本单位名义全权处理一切与该项目采购有关的事务。 </w:t>
      </w:r>
      <w:r/>
    </w:p>
    <w:p>
      <w:pPr>
        <w:pStyle w:val="1142"/>
        <w:ind w:firstLine="499"/>
        <w:spacing w:line="440" w:lineRule="exact"/>
        <w:rPr>
          <w:rFonts w:eastAsia="宋体"/>
          <w:color w:val="auto"/>
          <w:highlight w:val="none"/>
        </w:rPr>
      </w:pPr>
      <w:r>
        <w:rPr>
          <w:rFonts w:eastAsia="宋体"/>
          <w:color w:val="auto"/>
          <w:highlight w:val="none"/>
        </w:rPr>
        <w:t xml:space="preserve">本授权书于</w:t>
      </w:r>
      <w:r>
        <w:rPr>
          <w:rFonts w:eastAsia="宋体"/>
          <w:color w:val="auto"/>
          <w:highlight w:val="none"/>
          <w:u w:val="single"/>
        </w:rPr>
        <w:t xml:space="preserve">          </w:t>
      </w:r>
      <w:r>
        <w:rPr>
          <w:rFonts w:eastAsia="宋体"/>
          <w:color w:val="auto"/>
          <w:highlight w:val="none"/>
        </w:rPr>
        <w:t xml:space="preserve">起生效，特此声明。  </w:t>
      </w:r>
      <w:r/>
    </w:p>
    <w:p>
      <w:pPr>
        <w:pStyle w:val="1142"/>
        <w:spacing w:before="240" w:after="240"/>
        <w:rPr>
          <w:rFonts w:eastAsia="宋体"/>
          <w:color w:val="auto"/>
          <w:highlight w:val="none"/>
        </w:rPr>
      </w:pPr>
      <w:r>
        <w:rPr>
          <w:rFonts w:eastAsia="宋体"/>
          <w:color w:val="auto"/>
          <w:highlight w:val="none"/>
        </w:rPr>
        <w:t xml:space="preserve"> </w:t>
      </w:r>
      <w:r/>
    </w:p>
    <w:p>
      <w:pPr>
        <w:pStyle w:val="1142"/>
        <w:ind w:firstLine="3570"/>
        <w:spacing w:before="240" w:after="240"/>
        <w:rPr>
          <w:rFonts w:eastAsia="宋体"/>
          <w:color w:val="auto"/>
          <w:highlight w:val="none"/>
        </w:rPr>
      </w:pPr>
      <w:r>
        <w:rPr>
          <w:rFonts w:eastAsia="宋体"/>
          <w:color w:val="auto"/>
          <w:highlight w:val="none"/>
        </w:rPr>
        <w:t xml:space="preserve">被授权人身份证号码：   </w:t>
      </w:r>
      <w:r/>
    </w:p>
    <w:p>
      <w:pPr>
        <w:pStyle w:val="1142"/>
        <w:ind w:firstLine="3570"/>
        <w:spacing w:before="240" w:after="240"/>
        <w:rPr>
          <w:rFonts w:eastAsia="宋体"/>
          <w:color w:val="auto"/>
          <w:highlight w:val="none"/>
        </w:rPr>
      </w:pPr>
      <w:r>
        <w:rPr>
          <w:rFonts w:eastAsia="宋体"/>
          <w:color w:val="auto"/>
          <w:highlight w:val="none"/>
        </w:rPr>
        <w:t xml:space="preserve">被授权人联系电话：（手机）   </w:t>
      </w:r>
      <w:r/>
    </w:p>
    <w:p>
      <w:pPr>
        <w:pStyle w:val="1142"/>
        <w:ind w:firstLine="3570"/>
        <w:spacing w:before="240" w:after="240"/>
        <w:rPr>
          <w:rFonts w:eastAsia="宋体"/>
          <w:color w:val="auto"/>
          <w:highlight w:val="none"/>
        </w:rPr>
      </w:pPr>
      <w:r>
        <w:rPr>
          <w:rFonts w:eastAsia="宋体"/>
          <w:color w:val="auto"/>
          <w:highlight w:val="none"/>
        </w:rPr>
        <w:t xml:space="preserve">授权单位名称：   （加盖公章）</w:t>
      </w:r>
      <w:r/>
    </w:p>
    <w:p>
      <w:pPr>
        <w:pStyle w:val="1142"/>
        <w:ind w:firstLine="3570"/>
        <w:spacing w:before="240" w:after="240"/>
        <w:rPr>
          <w:rFonts w:eastAsia="宋体"/>
          <w:color w:val="auto"/>
          <w:highlight w:val="none"/>
        </w:rPr>
      </w:pPr>
      <w:r>
        <w:rPr>
          <w:rFonts w:eastAsia="宋体"/>
          <w:color w:val="auto"/>
          <w:highlight w:val="none"/>
        </w:rPr>
        <w:t xml:space="preserve">单位地址：   </w:t>
      </w:r>
      <w:r/>
    </w:p>
    <w:p>
      <w:pPr>
        <w:pStyle w:val="1142"/>
        <w:ind w:firstLine="3600"/>
        <w:spacing w:before="240" w:after="240"/>
        <w:rPr>
          <w:rFonts w:eastAsia="宋体"/>
          <w:color w:val="auto"/>
          <w:highlight w:val="none"/>
        </w:rPr>
      </w:pPr>
      <w:r>
        <w:rPr>
          <w:rFonts w:eastAsia="宋体"/>
          <w:color w:val="auto"/>
          <w:highlight w:val="none"/>
        </w:rPr>
        <w:t xml:space="preserve">日期：   </w:t>
      </w:r>
      <w:r/>
    </w:p>
    <w:p>
      <w:pPr>
        <w:pStyle w:val="1142"/>
        <w:ind w:firstLine="4830"/>
        <w:spacing w:before="240" w:after="240"/>
        <w:rPr>
          <w:rFonts w:eastAsia="宋体"/>
          <w:color w:val="auto"/>
          <w:highlight w:val="none"/>
        </w:rPr>
      </w:pPr>
      <w:r>
        <w:rPr>
          <w:rFonts w:eastAsia="宋体"/>
          <w:color w:val="auto"/>
          <w:highlight w:val="none"/>
        </w:rPr>
      </w:r>
      <w:r/>
    </w:p>
    <w:p>
      <w:pPr>
        <w:pStyle w:val="1142"/>
        <w:contextualSpacing/>
        <w:ind w:firstLine="482"/>
        <w:spacing w:line="360" w:lineRule="auto"/>
        <w:rPr>
          <w:rFonts w:eastAsia="宋体"/>
          <w:b/>
          <w:bCs/>
          <w:color w:val="auto"/>
          <w:highlight w:val="none"/>
        </w:rPr>
      </w:pPr>
      <w:r/>
      <w:bookmarkStart w:id="212" w:name="OLE_LINK6"/>
      <w:r>
        <w:rPr>
          <w:rFonts w:eastAsia="宋体"/>
          <w:b/>
          <w:bCs/>
          <w:color w:val="auto"/>
          <w:highlight w:val="none"/>
        </w:rPr>
        <w:t xml:space="preserve">注：</w:t>
      </w:r>
      <w:r>
        <w:rPr>
          <w:rFonts w:hint="eastAsia" w:eastAsia="宋体"/>
          <w:b/>
          <w:bCs/>
          <w:color w:val="auto"/>
          <w:highlight w:val="none"/>
        </w:rPr>
        <w:t xml:space="preserve">被授权人非法定代表人的，应提供授权委托书原件及身份证原件的扫描件；被授权人是法定代表人的，应提供法定代表人身份证明书、法定代表人身份证原件的扫描件</w:t>
      </w:r>
      <w:r>
        <w:rPr>
          <w:rFonts w:eastAsia="宋体"/>
          <w:b/>
          <w:bCs/>
          <w:color w:val="auto"/>
          <w:highlight w:val="none"/>
        </w:rPr>
        <w:t xml:space="preserve">。</w:t>
      </w:r>
      <w:r/>
    </w:p>
    <w:p>
      <w:pPr>
        <w:pStyle w:val="1142"/>
        <w:contextualSpacing/>
        <w:ind w:firstLine="482"/>
        <w:spacing w:line="360" w:lineRule="auto"/>
        <w:rPr>
          <w:rFonts w:eastAsia="宋体"/>
          <w:b/>
          <w:bCs/>
          <w:color w:val="auto"/>
          <w:highlight w:val="none"/>
        </w:rPr>
      </w:pPr>
      <w:r>
        <w:rPr>
          <w:rFonts w:eastAsia="宋体"/>
          <w:b/>
          <w:bCs/>
          <w:color w:val="auto"/>
          <w:highlight w:val="none"/>
        </w:rPr>
      </w:r>
      <w:r/>
    </w:p>
    <w:p>
      <w:pPr>
        <w:jc w:val="center"/>
        <w:spacing w:before="240" w:after="240"/>
        <w:rPr>
          <w:rFonts w:ascii="Times New Roman" w:hAnsi="Times New Roman"/>
          <w:color w:val="auto"/>
          <w:sz w:val="24"/>
          <w:szCs w:val="24"/>
          <w:highlight w:val="none"/>
        </w:rPr>
      </w:pPr>
      <w:r>
        <w:rPr>
          <w:rFonts w:ascii="Times New Roman" w:hAnsi="Times New Roman"/>
          <w:b/>
          <w:bCs/>
          <w:color w:val="auto"/>
          <w:sz w:val="32"/>
          <w:szCs w:val="32"/>
          <w:highlight w:val="none"/>
        </w:rPr>
        <w:t xml:space="preserve">法定代表人身份证明书</w:t>
      </w:r>
      <w:r/>
    </w:p>
    <w:p>
      <w:pPr>
        <w:ind w:firstLine="50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兹证明（姓名）（法定代表人身份证号码：</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）担任(</w:t>
      </w:r>
      <w:r>
        <w:rPr>
          <w:rFonts w:hint="eastAsia" w:ascii="Times New Roman" w:hAnsi="Times New Roman"/>
          <w:color w:val="auto"/>
          <w:spacing w:val="8"/>
          <w:sz w:val="24"/>
          <w:highlight w:val="none"/>
        </w:rPr>
        <w:t xml:space="preserve">投标人</w:t>
      </w:r>
      <w:r>
        <w:rPr>
          <w:rFonts w:ascii="Times New Roman" w:hAnsi="Times New Roman"/>
          <w:color w:val="auto"/>
          <w:sz w:val="24"/>
          <w:szCs w:val="24"/>
          <w:highlight w:val="none"/>
        </w:rPr>
        <w:t xml:space="preserve">名称)</w:t>
      </w:r>
      <w:r>
        <w:rPr>
          <w:rFonts w:ascii="Times New Roman" w:hAnsi="Times New Roman"/>
          <w:color w:val="auto"/>
          <w:sz w:val="24"/>
          <w:szCs w:val="24"/>
          <w:highlight w:val="none"/>
          <w:u w:val="single"/>
        </w:rPr>
        <w:t xml:space="preserve">      （职位 ）</w:t>
      </w:r>
      <w:r>
        <w:rPr>
          <w:rFonts w:ascii="Times New Roman" w:hAnsi="Times New Roman"/>
          <w:color w:val="auto"/>
          <w:sz w:val="24"/>
          <w:szCs w:val="24"/>
          <w:highlight w:val="none"/>
        </w:rPr>
        <w:t xml:space="preserve">，是我单位的法定代表人。 </w:t>
      </w:r>
      <w:r/>
    </w:p>
    <w:p>
      <w:pPr>
        <w:ind w:firstLine="50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特此证明。  </w:t>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357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法定代表人联系电话：（手机）   </w:t>
      </w:r>
      <w:r/>
    </w:p>
    <w:p>
      <w:pPr>
        <w:ind w:firstLine="357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单位名称：   （加盖公章）</w:t>
      </w:r>
      <w:r/>
    </w:p>
    <w:p>
      <w:pPr>
        <w:ind w:firstLine="357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单位地址：   </w:t>
      </w:r>
      <w:r/>
    </w:p>
    <w:p>
      <w:pPr>
        <w:ind w:firstLine="360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bookmarkEnd w:id="212"/>
      <w:r/>
      <w:r/>
    </w:p>
    <w:p>
      <w:pPr>
        <w:ind w:firstLine="3600"/>
        <w:spacing w:line="44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132"/>
        <w:numPr>
          <w:ilvl w:val="0"/>
          <w:numId w:val="0"/>
        </w:numPr>
        <w:ind w:firstLine="482"/>
        <w:keepLines w:val="0"/>
        <w:keepNext w:val="0"/>
        <w:pageBreakBefore w:val="0"/>
        <w:spacing w:line="440" w:lineRule="exact"/>
        <w:widowControl w:val="off"/>
        <w:rPr>
          <w:rStyle w:val="1163"/>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firstLine="500"/>
        <w:spacing w:line="440" w:lineRule="exact"/>
        <w:rPr>
          <w:rFonts w:ascii="Times New Roman" w:hAnsi="Times New Roman"/>
          <w:color w:val="auto"/>
          <w:sz w:val="24"/>
          <w:szCs w:val="24"/>
        </w:rPr>
      </w:pPr>
      <w:r>
        <w:rPr>
          <w:rFonts w:ascii="Times New Roman" w:hAnsi="Times New Roman"/>
          <w:color w:val="auto"/>
          <w:sz w:val="24"/>
          <w:szCs w:val="24"/>
        </w:rPr>
        <w:t xml:space="preserve">  </w:t>
      </w:r>
      <w:r/>
    </w:p>
    <w:p>
      <w:pPr>
        <w:pStyle w:val="1132"/>
        <w:numPr>
          <w:ilvl w:val="0"/>
          <w:numId w:val="17"/>
        </w:numPr>
        <w:ind w:left="0" w:firstLine="0"/>
        <w:jc w:val="center"/>
        <w:keepLines w:val="0"/>
        <w:keepNext w:val="0"/>
        <w:pageBreakBefore/>
        <w:spacing w:line="440" w:lineRule="exact"/>
        <w:widowControl w:val="off"/>
        <w:rPr>
          <w:rFonts w:hint="eastAsia" w:ascii="宋体" w:hAnsi="宋体" w:eastAsia="宋体" w:cs="宋体"/>
          <w:b/>
          <w:bCs w:val="0"/>
          <w:color w:val="auto"/>
          <w:sz w:val="32"/>
          <w:szCs w:val="32"/>
          <w:lang w:val="en-US" w:eastAsia="zh-CN"/>
        </w:rPr>
        <w:outlineLvl w:val="9"/>
      </w:pPr>
      <w:r>
        <w:rPr>
          <w:rFonts w:hint="eastAsia" w:ascii="Times New Roman" w:hAnsi="Times New Roman" w:eastAsia="宋体" w:cs="Times New Roman"/>
          <w:b/>
          <w:bCs/>
          <w:color w:val="auto"/>
          <w:sz w:val="32"/>
          <w:szCs w:val="32"/>
          <w:highlight w:val="none"/>
          <w14:ligatures w14:val="none"/>
        </w:rPr>
        <w:t xml:space="preserve">联合</w:t>
      </w:r>
      <w:r>
        <w:rPr>
          <w:rFonts w:ascii="Times New Roman" w:hAnsi="Times New Roman" w:eastAsia="宋体" w:cs="Times New Roman"/>
          <w:b/>
          <w:bCs/>
          <w:color w:val="auto"/>
          <w:sz w:val="32"/>
          <w:szCs w:val="32"/>
          <w:highlight w:val="none"/>
          <w14:ligatures w14:val="none"/>
        </w:rPr>
        <w:t xml:space="preserve">投标协议书</w:t>
      </w:r>
      <w:r>
        <w:rPr>
          <w:rFonts w:hint="eastAsia" w:ascii="Times New Roman" w:hAnsi="Times New Roman" w:eastAsia="宋体" w:cs="Times New Roman"/>
          <w:b/>
          <w:bCs/>
          <w:color w:val="auto"/>
          <w:sz w:val="32"/>
          <w:szCs w:val="32"/>
          <w:highlight w:val="none"/>
          <w14:ligatures w14:val="none"/>
        </w:rPr>
        <w:t xml:space="preserve">（</w:t>
      </w:r>
      <w:r>
        <w:rPr>
          <w:rFonts w:hint="eastAsia" w:ascii="宋体" w:hAnsi="宋体" w:eastAsia="宋体" w:cs="Times New Roman"/>
          <w:b/>
          <w:bCs/>
          <w:color w:val="auto"/>
          <w:sz w:val="32"/>
          <w:szCs w:val="32"/>
          <w:highlight w:val="none"/>
          <w14:ligatures w14:val="none"/>
        </w:rPr>
        <w:t xml:space="preserve">如为联合体，才须提供）</w:t>
      </w:r>
      <w:r/>
    </w:p>
    <w:p>
      <w:pPr>
        <w:ind w:firstLine="480"/>
        <w:keepLines w:val="0"/>
        <w:keepNext w:val="0"/>
        <w:pageBreakBefore w:val="0"/>
        <w:spacing w:line="420" w:lineRule="exact"/>
        <w:widowControl w:val="off"/>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甲方</w:t>
      </w:r>
      <w:r>
        <w:rPr>
          <w:rFonts w:hint="eastAsia" w:ascii="Times New Roman" w:hAnsi="Times New Roman" w:eastAsia="宋体" w:cs="Times New Roman"/>
          <w:color w:val="auto"/>
          <w:sz w:val="24"/>
          <w:szCs w:val="24"/>
          <w:highlight w:val="none"/>
        </w:rPr>
        <w:t xml:space="preserve">（牵头人）</w:t>
      </w:r>
      <w:r>
        <w:rPr>
          <w:rFonts w:ascii="Times New Roman" w:hAnsi="Times New Roman" w:eastAsia="宋体" w:cs="Times New Roman"/>
          <w:color w:val="auto"/>
          <w:sz w:val="24"/>
          <w:szCs w:val="24"/>
          <w:highlight w:val="none"/>
          <w14:ligatures w14:val="none"/>
        </w:rPr>
        <w:t xml:space="preserve">：</w:t>
      </w:r>
      <w:r/>
    </w:p>
    <w:p>
      <w:pPr>
        <w:ind w:firstLine="480"/>
        <w:keepLines w:val="0"/>
        <w:keepNext w:val="0"/>
        <w:pageBreakBefore w:val="0"/>
        <w:spacing w:line="420" w:lineRule="exact"/>
        <w:widowControl w:val="off"/>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乙方</w:t>
      </w:r>
      <w:r>
        <w:rPr>
          <w:rFonts w:hint="eastAsia" w:ascii="Times New Roman" w:hAnsi="Times New Roman" w:eastAsia="宋体" w:cs="Times New Roman"/>
          <w:color w:val="auto"/>
          <w:sz w:val="24"/>
          <w:szCs w:val="24"/>
          <w:highlight w:val="none"/>
        </w:rPr>
        <w:t xml:space="preserve">（联合体成员</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14:ligatures w14:val="none"/>
        </w:rPr>
        <w:t xml:space="preserve">：</w:t>
      </w:r>
      <w:r/>
    </w:p>
    <w:p>
      <w:pPr>
        <w:ind w:firstLine="480"/>
        <w:keepLines w:val="0"/>
        <w:keepNext w:val="0"/>
        <w:pageBreakBefore w:val="0"/>
        <w:spacing w:line="420" w:lineRule="exact"/>
        <w:widowControl w:val="off"/>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 xml:space="preserve">丙方（</w:t>
      </w:r>
      <w:r>
        <w:rPr>
          <w:rFonts w:hint="eastAsia" w:ascii="Times New Roman" w:hAnsi="Times New Roman" w:eastAsia="宋体" w:cs="Times New Roman"/>
          <w:color w:val="auto"/>
          <w:sz w:val="24"/>
          <w:szCs w:val="24"/>
          <w:highlight w:val="none"/>
        </w:rPr>
        <w:t xml:space="preserve">联合体成员</w:t>
      </w:r>
      <w:r>
        <w:rPr>
          <w:rFonts w:hint="eastAsia" w:ascii="Times New Roman" w:hAnsi="Times New Roman" w:cs="Times New Roman"/>
          <w:color w:val="auto"/>
          <w:sz w:val="24"/>
          <w:szCs w:val="24"/>
          <w:highlight w:val="none"/>
          <w:lang w:val="en-US" w:eastAsia="zh-CN"/>
        </w:rPr>
        <w:t xml:space="preserve">2，如有</w:t>
      </w:r>
      <w:r>
        <w:rPr>
          <w:rFonts w:hint="eastAsia" w:ascii="Times New Roman" w:hAnsi="Times New Roman" w:eastAsia="宋体" w:cs="Times New Roman"/>
          <w:color w:val="auto"/>
          <w:sz w:val="24"/>
          <w:szCs w:val="24"/>
          <w:highlight w:val="none"/>
          <w:lang w:val="en-US" w:eastAsia="zh-CN"/>
          <w14:ligatures w14:val="none"/>
        </w:rPr>
        <w:t xml:space="preserve">）：</w:t>
      </w:r>
      <w:r/>
    </w:p>
    <w:p>
      <w:pPr>
        <w:ind w:firstLine="480"/>
        <w:jc w:val="both"/>
        <w:keepLines w:val="0"/>
        <w:keepNext w:val="0"/>
        <w:pageBreakBefore w:val="0"/>
        <w:spacing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各方经协商，就响应</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组织实施的采购编号为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号的招标活动联合进行投标之事宜，达成如下协议：</w:t>
      </w:r>
      <w:r/>
    </w:p>
    <w:p>
      <w:pPr>
        <w:ind w:firstLine="480"/>
        <w:jc w:val="both"/>
        <w:keepLines w:val="0"/>
        <w:keepNext w:val="0"/>
        <w:pageBreakBefore w:val="0"/>
        <w:spacing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一、各方一致决定，以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为主办人（即联合体投标人代表）进行投标，并按照招标文件的规定提交资格文件。</w:t>
      </w:r>
      <w:r/>
    </w:p>
    <w:p>
      <w:pPr>
        <w:ind w:firstLine="480"/>
        <w:jc w:val="both"/>
        <w:keepLines w:val="0"/>
        <w:keepNext w:val="0"/>
        <w:pageBreakBefore w:val="0"/>
        <w:spacing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二、在本次投标过程中，主办人的法定代表人（负责人）或授权代理人根据招标文件规定及投标内容而对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p>
    <w:p>
      <w:pPr>
        <w:ind w:firstLine="480"/>
        <w:jc w:val="both"/>
        <w:keepLines w:val="0"/>
        <w:keepNext w:val="0"/>
        <w:pageBreakBefore w:val="0"/>
        <w:spacing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三、联合投标其余各方保证对主办人为响应本次招标而提供的产品和服务提供全部质量保证及售后服务支持。</w:t>
      </w:r>
      <w:r/>
    </w:p>
    <w:p>
      <w:pPr>
        <w:ind w:firstLine="480"/>
        <w:jc w:val="both"/>
        <w:keepLines w:val="0"/>
        <w:keepNext w:val="0"/>
        <w:pageBreakBefore w:val="0"/>
        <w:spacing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四、本次联合投标中</w:t>
      </w:r>
      <w:r/>
    </w:p>
    <w:p>
      <w:pPr>
        <w:ind w:firstLine="480"/>
        <w:keepLines w:val="0"/>
        <w:keepNext w:val="0"/>
        <w:pageBreakBefore w:val="0"/>
        <w:spacing w:line="420" w:lineRule="exact"/>
        <w:widowControl w:val="off"/>
        <w:rPr>
          <w:rFonts w:ascii="Times New Roman" w:hAnsi="Times New Roman" w:eastAsia="宋体" w:cs="Times New Roman"/>
          <w:b w:val="0"/>
          <w:bCs w:val="0"/>
          <w:color w:val="auto"/>
          <w:sz w:val="24"/>
          <w:szCs w:val="24"/>
          <w:highlight w:val="none"/>
          <w14:ligatures w14:val="none"/>
        </w:rPr>
      </w:pPr>
      <w:r>
        <w:rPr>
          <w:rFonts w:ascii="Times New Roman" w:hAnsi="Times New Roman" w:eastAsia="宋体" w:cs="Times New Roman"/>
          <w:b w:val="0"/>
          <w:bCs w:val="0"/>
          <w:color w:val="auto"/>
          <w:sz w:val="24"/>
          <w:szCs w:val="24"/>
          <w:highlight w:val="none"/>
          <w14:ligatures w14:val="none"/>
        </w:rPr>
        <w:t xml:space="preserve">甲方</w:t>
      </w:r>
      <w:r>
        <w:rPr>
          <w:rFonts w:hint="eastAsia"/>
          <w:b w:val="0"/>
          <w:bCs w:val="0"/>
          <w:color w:val="auto"/>
          <w:sz w:val="24"/>
          <w:highlight w:val="none"/>
          <w:u w:val="single"/>
        </w:rPr>
        <w:t xml:space="preserve">（牵头人全称）</w:t>
      </w:r>
      <w:r>
        <w:rPr>
          <w:rFonts w:ascii="Times New Roman" w:hAnsi="Times New Roman" w:eastAsia="宋体" w:cs="Times New Roman"/>
          <w:b w:val="0"/>
          <w:bCs w:val="0"/>
          <w:color w:val="auto"/>
          <w:sz w:val="24"/>
          <w:szCs w:val="24"/>
          <w:highlight w:val="none"/>
          <w14:ligatures w14:val="none"/>
        </w:rPr>
        <w:t xml:space="preserve">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 xml:space="preserve">（占合同金额的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 xml:space="preserve">%）</w:t>
      </w:r>
      <w:r/>
    </w:p>
    <w:p>
      <w:pPr>
        <w:ind w:firstLine="480"/>
        <w:keepLines w:val="0"/>
        <w:keepNext w:val="0"/>
        <w:pageBreakBefore w:val="0"/>
        <w:spacing w:line="420" w:lineRule="exact"/>
        <w:widowControl w:val="off"/>
        <w:rPr>
          <w:rFonts w:hint="eastAsia"/>
          <w:b w:val="0"/>
          <w:bCs w:val="0"/>
          <w:color w:val="auto"/>
          <w:sz w:val="24"/>
          <w:szCs w:val="24"/>
          <w:highlight w:val="none"/>
        </w:rPr>
      </w:pPr>
      <w:r>
        <w:rPr>
          <w:rFonts w:ascii="Times New Roman" w:hAnsi="Times New Roman" w:eastAsia="宋体" w:cs="Times New Roman"/>
          <w:b w:val="0"/>
          <w:bCs w:val="0"/>
          <w:color w:val="auto"/>
          <w:sz w:val="24"/>
          <w:szCs w:val="24"/>
          <w:highlight w:val="none"/>
          <w14:ligatures w14:val="none"/>
        </w:rPr>
        <w:t xml:space="preserve">乙方</w:t>
      </w:r>
      <w:r>
        <w:rPr>
          <w:rFonts w:hint="eastAsia"/>
          <w:b w:val="0"/>
          <w:bCs w:val="0"/>
          <w:color w:val="auto"/>
          <w:sz w:val="24"/>
          <w:highlight w:val="none"/>
          <w:u w:val="single"/>
        </w:rPr>
        <w:t xml:space="preserve">（联合体成员</w:t>
      </w:r>
      <w:r>
        <w:rPr>
          <w:rFonts w:hint="eastAsia"/>
          <w:b w:val="0"/>
          <w:bCs w:val="0"/>
          <w:color w:val="auto"/>
          <w:sz w:val="24"/>
          <w:highlight w:val="none"/>
          <w:u w:val="single"/>
          <w:lang w:val="en-US" w:eastAsia="zh-CN"/>
        </w:rPr>
        <w:t xml:space="preserve">1</w:t>
      </w:r>
      <w:r>
        <w:rPr>
          <w:rFonts w:hint="eastAsia"/>
          <w:b w:val="0"/>
          <w:bCs w:val="0"/>
          <w:color w:val="auto"/>
          <w:sz w:val="24"/>
          <w:highlight w:val="none"/>
          <w:u w:val="single"/>
        </w:rPr>
        <w:t xml:space="preserve">全称）</w:t>
      </w:r>
      <w:r>
        <w:rPr>
          <w:rFonts w:ascii="Times New Roman" w:hAnsi="Times New Roman" w:eastAsia="宋体" w:cs="Times New Roman"/>
          <w:b w:val="0"/>
          <w:bCs w:val="0"/>
          <w:color w:val="auto"/>
          <w:sz w:val="24"/>
          <w:szCs w:val="24"/>
          <w:highlight w:val="none"/>
          <w14:ligatures w14:val="none"/>
        </w:rPr>
        <w:t xml:space="preserve">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 xml:space="preserve">（占合同金额的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 xml:space="preserve">%）</w:t>
      </w:r>
      <w:r/>
    </w:p>
    <w:p>
      <w:pPr>
        <w:ind w:firstLine="480"/>
        <w:keepLines w:val="0"/>
        <w:keepNext w:val="0"/>
        <w:pageBreakBefore w:val="0"/>
        <w:spacing w:line="420" w:lineRule="exact"/>
        <w:widowControl w:val="off"/>
        <w:rPr>
          <w:rFonts w:hint="eastAsia"/>
          <w:b w:val="0"/>
          <w:bCs w:val="0"/>
          <w:color w:val="auto"/>
          <w:sz w:val="24"/>
          <w:szCs w:val="24"/>
          <w:highlight w:val="none"/>
        </w:rPr>
      </w:pPr>
      <w:r>
        <w:rPr>
          <w:rFonts w:hint="eastAsia" w:ascii="Times New Roman" w:hAnsi="Times New Roman" w:cs="Times New Roman"/>
          <w:b w:val="0"/>
          <w:bCs w:val="0"/>
          <w:color w:val="auto"/>
          <w:sz w:val="24"/>
          <w:szCs w:val="24"/>
          <w:highlight w:val="none"/>
          <w:lang w:val="en-US" w:eastAsia="zh-CN"/>
          <w14:ligatures w14:val="none"/>
        </w:rPr>
        <w:t xml:space="preserve">丙</w:t>
      </w:r>
      <w:r>
        <w:rPr>
          <w:rFonts w:ascii="Times New Roman" w:hAnsi="Times New Roman" w:eastAsia="宋体" w:cs="Times New Roman"/>
          <w:b w:val="0"/>
          <w:bCs w:val="0"/>
          <w:color w:val="auto"/>
          <w:sz w:val="24"/>
          <w:szCs w:val="24"/>
          <w:highlight w:val="none"/>
          <w14:ligatures w14:val="none"/>
        </w:rPr>
        <w:t xml:space="preserve">方</w:t>
      </w:r>
      <w:r>
        <w:rPr>
          <w:rFonts w:hint="eastAsia"/>
          <w:b w:val="0"/>
          <w:bCs w:val="0"/>
          <w:color w:val="auto"/>
          <w:sz w:val="24"/>
          <w:highlight w:val="none"/>
          <w:u w:val="single"/>
        </w:rPr>
        <w:t xml:space="preserve">（联合体成员</w:t>
      </w:r>
      <w:r>
        <w:rPr>
          <w:rFonts w:hint="eastAsia"/>
          <w:b w:val="0"/>
          <w:bCs w:val="0"/>
          <w:color w:val="auto"/>
          <w:sz w:val="24"/>
          <w:highlight w:val="none"/>
          <w:u w:val="single"/>
          <w:lang w:val="en-US" w:eastAsia="zh-CN"/>
        </w:rPr>
        <w:t xml:space="preserve">2</w:t>
      </w:r>
      <w:r>
        <w:rPr>
          <w:rFonts w:hint="eastAsia"/>
          <w:b w:val="0"/>
          <w:bCs w:val="0"/>
          <w:color w:val="auto"/>
          <w:sz w:val="24"/>
          <w:highlight w:val="none"/>
          <w:u w:val="single"/>
        </w:rPr>
        <w:t xml:space="preserve">全称</w:t>
      </w:r>
      <w:r>
        <w:rPr>
          <w:rFonts w:hint="eastAsia"/>
          <w:b w:val="0"/>
          <w:bCs w:val="0"/>
          <w:color w:val="auto"/>
          <w:sz w:val="24"/>
          <w:highlight w:val="none"/>
          <w:u w:val="single"/>
          <w:lang w:eastAsia="zh-CN"/>
        </w:rPr>
        <w:t xml:space="preserve">，</w:t>
      </w:r>
      <w:r>
        <w:rPr>
          <w:rFonts w:hint="eastAsia"/>
          <w:b w:val="0"/>
          <w:bCs w:val="0"/>
          <w:color w:val="auto"/>
          <w:sz w:val="24"/>
          <w:highlight w:val="none"/>
          <w:u w:val="single"/>
          <w:lang w:val="en-US" w:eastAsia="zh-CN"/>
        </w:rPr>
        <w:t xml:space="preserve">如有</w:t>
      </w:r>
      <w:r>
        <w:rPr>
          <w:rFonts w:hint="eastAsia"/>
          <w:b w:val="0"/>
          <w:bCs w:val="0"/>
          <w:color w:val="auto"/>
          <w:sz w:val="24"/>
          <w:highlight w:val="none"/>
          <w:u w:val="single"/>
        </w:rPr>
        <w:t xml:space="preserve">）</w:t>
      </w:r>
      <w:r>
        <w:rPr>
          <w:rFonts w:ascii="Times New Roman" w:hAnsi="Times New Roman" w:eastAsia="宋体" w:cs="Times New Roman"/>
          <w:b w:val="0"/>
          <w:bCs w:val="0"/>
          <w:color w:val="auto"/>
          <w:sz w:val="24"/>
          <w:szCs w:val="24"/>
          <w:highlight w:val="none"/>
          <w14:ligatures w14:val="none"/>
        </w:rPr>
        <w:t xml:space="preserve">承担的工作和义务为：</w:t>
      </w:r>
      <w:r>
        <w:rPr>
          <w:rFonts w:hint="eastAsia" w:ascii="Times New Roman" w:hAnsi="Times New Roman" w:cs="Times New Roman"/>
          <w:b w:val="0"/>
          <w:bCs w:val="0"/>
          <w:color w:val="auto"/>
          <w:sz w:val="24"/>
          <w:szCs w:val="24"/>
          <w:highlight w:val="none"/>
          <w:lang w:val="en-US" w:eastAsia="zh-CN"/>
          <w14:ligatures w14:val="none"/>
        </w:rPr>
        <w:t xml:space="preserve">  </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 xml:space="preserve">（占合同金额的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五、有关本次联合投标的其他事宜：</w:t>
      </w:r>
      <w:r>
        <w:rPr>
          <w:rFonts w:ascii="Times New Roman" w:hAnsi="Times New Roman" w:eastAsia="宋体" w:cs="Times New Roman"/>
          <w:b w:val="0"/>
          <w:bCs w:val="0"/>
          <w:color w:val="auto"/>
          <w:sz w:val="24"/>
          <w:szCs w:val="24"/>
          <w:highlight w:val="none"/>
          <w:u w:val="single"/>
          <w14:ligatures w14:val="none"/>
        </w:rPr>
        <w:t xml:space="preserve">                   </w:t>
      </w:r>
      <w:r/>
    </w:p>
    <w:p>
      <w:pPr>
        <w:ind w:firstLine="480"/>
        <w:jc w:val="both"/>
        <w:keepLines w:val="0"/>
        <w:keepNext w:val="0"/>
        <w:pageBreakBefore w:val="0"/>
        <w:spacing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六、本协议提交招标方后，联合投标各方不得以任何形式对上述实质内容进行修改或撤销。</w:t>
      </w:r>
      <w:r/>
    </w:p>
    <w:p>
      <w:pPr>
        <w:ind w:firstLine="480"/>
        <w:jc w:val="both"/>
        <w:keepLines w:val="0"/>
        <w:keepNext w:val="0"/>
        <w:pageBreakBefore w:val="0"/>
        <w:spacing w:line="4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七、本协议一式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份，签约各方各持一份，交政府采购管理部门及采购人和采购代理机构各一份。</w:t>
      </w:r>
      <w:r/>
    </w:p>
    <w:tbl>
      <w:tblPr>
        <w:tblStyle w:val="904"/>
        <w:tblW w:w="0" w:type="auto"/>
        <w:jc w:val="center"/>
        <w:tblLayout w:type="fixed"/>
        <w:tblCellMar>
          <w:left w:w="108" w:type="dxa"/>
          <w:top w:w="0" w:type="dxa"/>
          <w:right w:w="108" w:type="dxa"/>
          <w:bottom w:w="0" w:type="dxa"/>
        </w:tblCellMar>
        <w:tblLook w:val="04A0" w:firstRow="1" w:lastRow="0" w:firstColumn="1" w:lastColumn="0" w:noHBand="0" w:noVBand="1"/>
      </w:tblPr>
      <w:tblGrid>
        <w:gridCol w:w="5077"/>
        <w:gridCol w:w="4476"/>
      </w:tblGrid>
      <w:tr>
        <w:trPr>
          <w:jc w:val="center"/>
          <w:trHeight w:val="1710"/>
        </w:trPr>
        <w:tc>
          <w:tcPr>
            <w:tcW w:w="5077" w:type="dxa"/>
            <w:vAlign w:val="top"/>
            <w:textDirection w:val="lrTb"/>
            <w:noWrap w:val="false"/>
          </w:tcPr>
          <w:p>
            <w:pPr>
              <w:jc w:val="both"/>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甲方单位：   （公章）</w:t>
            </w:r>
            <w:r/>
          </w:p>
          <w:p>
            <w:pPr>
              <w:jc w:val="both"/>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法定代表人（负责人）：（签章）</w:t>
            </w:r>
            <w:r/>
          </w:p>
          <w:p>
            <w:pPr>
              <w:ind w:firstLine="42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tc>
        <w:tc>
          <w:tcPr>
            <w:tcW w:w="4476" w:type="dxa"/>
            <w:vAlign w:val="top"/>
            <w:textDirection w:val="lrTb"/>
            <w:noWrap w:val="false"/>
          </w:tcPr>
          <w:p>
            <w:pPr>
              <w:ind w:firstLine="21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乙方单位：   （公章）       </w:t>
            </w:r>
            <w:r/>
          </w:p>
          <w:p>
            <w:pPr>
              <w:ind w:firstLine="210"/>
              <w:jc w:val="both"/>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法定代表人（负责人）：（签章）</w:t>
            </w:r>
            <w:r/>
          </w:p>
          <w:p>
            <w:pPr>
              <w:ind w:firstLine="840"/>
              <w:jc w:val="both"/>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    </w:t>
            </w:r>
            <w:r/>
          </w:p>
        </w:tc>
      </w:tr>
    </w:tbl>
    <w:p>
      <w:pPr>
        <w:ind w:firstLine="463"/>
        <w:spacing w:line="360" w:lineRule="auto"/>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24"/>
          <w:szCs w:val="24"/>
          <w:highlight w:val="none"/>
          <w14:ligatures w14:val="none"/>
        </w:rPr>
      </w:r>
      <w:r/>
    </w:p>
    <w:p>
      <w:pPr>
        <w:ind w:firstLine="482"/>
        <w:jc w:val="left"/>
        <w:keepLines w:val="0"/>
        <w:keepNext w:val="0"/>
        <w:pageBreakBefore w:val="0"/>
        <w:spacing w:line="400" w:lineRule="exact"/>
        <w:widowControl w:val="off"/>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24"/>
          <w:szCs w:val="24"/>
          <w:highlight w:val="none"/>
          <w14:ligatures w14:val="none"/>
        </w:rPr>
        <w:t xml:space="preserve">注：</w:t>
      </w:r>
      <w:r/>
    </w:p>
    <w:p>
      <w:pPr>
        <w:numPr>
          <w:ilvl w:val="0"/>
          <w:numId w:val="0"/>
        </w:numPr>
        <w:ind w:firstLine="482"/>
        <w:jc w:val="left"/>
        <w:keepLines w:val="0"/>
        <w:keepNext w:val="0"/>
        <w:pageBreakBefore w:val="0"/>
        <w:spacing w:line="400" w:lineRule="exact"/>
        <w:widowControl w:val="off"/>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lang w:val="en-US" w:eastAsia="zh-CN" w:bidi="ar-SA"/>
          <w14:ligatures w14:val="none"/>
        </w:rPr>
        <w:t xml:space="preserve">1.</w:t>
      </w:r>
      <w:r>
        <w:rPr>
          <w:rFonts w:ascii="Times New Roman" w:hAnsi="Times New Roman" w:eastAsia="宋体" w:cs="Times New Roman"/>
          <w:b/>
          <w:bCs/>
          <w:color w:val="auto"/>
          <w:sz w:val="24"/>
          <w:szCs w:val="24"/>
          <w:highlight w:val="none"/>
          <w14:ligatures w14:val="none"/>
        </w:rPr>
        <w:t xml:space="preserve">联合</w:t>
      </w:r>
      <w:r>
        <w:rPr>
          <w:rFonts w:hint="eastAsia" w:ascii="Times New Roman" w:hAnsi="Times New Roman" w:eastAsia="宋体" w:cs="Times New Roman"/>
          <w:b/>
          <w:bCs/>
          <w:color w:val="auto"/>
          <w:sz w:val="24"/>
          <w:szCs w:val="24"/>
          <w:highlight w:val="none"/>
          <w14:ligatures w14:val="none"/>
        </w:rPr>
        <w:t xml:space="preserve">投标</w:t>
      </w:r>
      <w:r>
        <w:rPr>
          <w:rFonts w:ascii="Times New Roman" w:hAnsi="Times New Roman" w:eastAsia="宋体" w:cs="Times New Roman"/>
          <w:b/>
          <w:bCs/>
          <w:color w:val="auto"/>
          <w:sz w:val="24"/>
          <w:szCs w:val="24"/>
          <w:highlight w:val="none"/>
          <w14:ligatures w14:val="none"/>
        </w:rPr>
        <w:t xml:space="preserve">协议书须由联合体各方法定代表人</w:t>
      </w:r>
      <w:r>
        <w:rPr>
          <w:rFonts w:hint="eastAsia" w:ascii="Times New Roman" w:hAnsi="Times New Roman" w:eastAsia="宋体" w:cs="Times New Roman"/>
          <w:b/>
          <w:bCs/>
          <w:color w:val="auto"/>
          <w:sz w:val="24"/>
          <w:szCs w:val="24"/>
          <w:highlight w:val="none"/>
          <w14:ligatures w14:val="none"/>
        </w:rPr>
        <w:t xml:space="preserve">（负责人）</w:t>
      </w:r>
      <w:r>
        <w:rPr>
          <w:rFonts w:ascii="Times New Roman" w:hAnsi="Times New Roman" w:eastAsia="宋体" w:cs="Times New Roman"/>
          <w:b/>
          <w:bCs/>
          <w:color w:val="auto"/>
          <w:sz w:val="24"/>
          <w:szCs w:val="24"/>
          <w:highlight w:val="none"/>
          <w14:ligatures w14:val="none"/>
        </w:rPr>
        <w:t xml:space="preserve">签字或盖章，并加盖公章，否则按无效投标处理</w:t>
      </w:r>
      <w:r>
        <w:rPr>
          <w:rFonts w:hint="eastAsia" w:ascii="Times New Roman" w:hAnsi="Times New Roman" w:eastAsia="宋体" w:cs="Times New Roman"/>
          <w:b/>
          <w:bCs/>
          <w:color w:val="auto"/>
          <w:sz w:val="24"/>
          <w:szCs w:val="24"/>
          <w:highlight w:val="none"/>
          <w14:ligatures w14:val="none"/>
        </w:rPr>
        <w:t xml:space="preserve">。</w:t>
      </w:r>
      <w:r/>
    </w:p>
    <w:p>
      <w:pPr>
        <w:ind w:firstLine="482"/>
        <w:jc w:val="left"/>
        <w:keepLines w:val="0"/>
        <w:keepNext w:val="0"/>
        <w:pageBreakBefore w:val="0"/>
        <w:spacing w:line="400" w:lineRule="exact"/>
        <w:widowControl w:val="off"/>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cs="Times New Roman"/>
          <w:b/>
          <w:bCs/>
          <w:color w:val="auto"/>
          <w:sz w:val="24"/>
          <w:szCs w:val="24"/>
          <w:highlight w:val="none"/>
          <w:lang w:val="en-US" w:eastAsia="zh-CN"/>
          <w14:ligatures w14:val="none"/>
        </w:rPr>
        <w:t xml:space="preserve">2.</w:t>
      </w:r>
      <w:r>
        <w:rPr>
          <w:rFonts w:hint="eastAsia" w:ascii="Times New Roman" w:hAnsi="Times New Roman" w:eastAsia="宋体" w:cs="Times New Roman"/>
          <w:b/>
          <w:bCs/>
          <w:color w:val="auto"/>
          <w:sz w:val="24"/>
          <w:szCs w:val="24"/>
          <w:highlight w:val="none"/>
          <w14:ligatures w14:val="none"/>
        </w:rPr>
        <w:t xml:space="preserve"> 联合体组成成员数量不得超过</w:t>
      </w:r>
      <w:r>
        <w:rPr>
          <w:rFonts w:hint="eastAsia" w:ascii="Times New Roman" w:hAnsi="Times New Roman" w:eastAsia="宋体" w:cs="Times New Roman"/>
          <w:b/>
          <w:bCs/>
          <w:color w:val="auto"/>
          <w:sz w:val="24"/>
          <w:szCs w:val="24"/>
          <w:highlight w:val="none"/>
          <w:lang w:val="en-US" w:eastAsia="zh-CN"/>
          <w14:ligatures w14:val="none"/>
        </w:rPr>
        <w:t xml:space="preserve">3</w:t>
      </w:r>
      <w:r>
        <w:rPr>
          <w:rFonts w:hint="eastAsia" w:ascii="Times New Roman" w:hAnsi="Times New Roman" w:eastAsia="宋体" w:cs="Times New Roman"/>
          <w:b/>
          <w:bCs/>
          <w:color w:val="auto"/>
          <w:sz w:val="24"/>
          <w:szCs w:val="24"/>
          <w:highlight w:val="none"/>
          <w14:ligatures w14:val="none"/>
        </w:rPr>
        <w:t xml:space="preserve">家；</w:t>
      </w:r>
      <w:r/>
    </w:p>
    <w:p>
      <w:pPr>
        <w:pStyle w:val="1132"/>
        <w:numPr>
          <w:ilvl w:val="0"/>
          <w:numId w:val="17"/>
        </w:numPr>
        <w:ind w:left="0" w:firstLine="0"/>
        <w:jc w:val="center"/>
        <w:keepLines w:val="0"/>
        <w:keepNext w:val="0"/>
        <w:pageBreakBefore/>
        <w:spacing w:line="440" w:lineRule="exact"/>
        <w:widowControl w:val="off"/>
        <w:rPr>
          <w:rFonts w:hint="eastAsia" w:ascii="Times New Roman" w:hAnsi="Times New Roman" w:eastAsia="宋体" w:cs="Times New Roman"/>
          <w:b/>
          <w:bCs/>
          <w:color w:val="auto"/>
          <w:sz w:val="32"/>
          <w:szCs w:val="32"/>
          <w:highlight w:val="none"/>
          <w14:ligatures w14:val="none"/>
        </w:rPr>
        <w:outlineLvl w:val="9"/>
      </w:pPr>
      <w:r/>
      <w:bookmarkStart w:id="213" w:name="OLE_LINK8"/>
      <w:r>
        <w:rPr>
          <w:rFonts w:hint="eastAsia" w:ascii="Times New Roman" w:hAnsi="Times New Roman" w:eastAsia="宋体" w:cs="Times New Roman"/>
          <w:b/>
          <w:bCs/>
          <w:color w:val="auto"/>
          <w:sz w:val="32"/>
          <w:szCs w:val="32"/>
          <w:highlight w:val="none"/>
          <w14:ligatures w14:val="none"/>
        </w:rPr>
        <w:t xml:space="preserve">联合投标授权委托书（如为联合体，才须提供</w:t>
      </w:r>
      <w:r>
        <w:rPr>
          <w:rFonts w:hint="eastAsia" w:ascii="Times New Roman" w:hAnsi="Times New Roman" w:eastAsia="宋体" w:cs="Times New Roman"/>
          <w:b/>
          <w:bCs/>
          <w:color w:val="auto"/>
          <w:sz w:val="32"/>
          <w:szCs w:val="32"/>
          <w:highlight w:val="none"/>
          <w:lang w:eastAsia="zh-CN"/>
          <w14:ligatures w14:val="none"/>
        </w:rPr>
        <w:t xml:space="preserve">）</w:t>
      </w:r>
      <w:bookmarkEnd w:id="213"/>
      <w:r/>
      <w:r/>
    </w:p>
    <w:p>
      <w:pPr>
        <w:ind w:firstLine="42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2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本授权委托书声明：  根据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签订的《联合投标协议书》的内容，主办人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的法定代表人（负责人）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现授权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为联合投标代理人，代理人在投标、开标、评标、合同谈判过程中所签署的一切文件和处理与这有关的一切事务， 联合投标各方均予以认可并遵守。</w:t>
      </w:r>
      <w:r/>
    </w:p>
    <w:p>
      <w:pPr>
        <w:ind w:firstLine="42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特此委托。</w:t>
      </w:r>
      <w:r/>
    </w:p>
    <w:p>
      <w:pPr>
        <w:ind w:firstLine="42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42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42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主办人的法定代表人（负责人）（签字或盖章）：</w:t>
      </w:r>
      <w:r/>
    </w:p>
    <w:p>
      <w:pPr>
        <w:ind w:left="850" w:firstLine="425"/>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left="687" w:firstLine="1841"/>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年  月  日</w:t>
      </w:r>
      <w:r/>
    </w:p>
    <w:p>
      <w:pPr>
        <w:ind w:firstLine="42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2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联合投标代理人（签字或盖章）：</w:t>
      </w:r>
      <w:r/>
    </w:p>
    <w:p>
      <w:pPr>
        <w:ind w:left="850" w:firstLine="425"/>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left="687" w:firstLine="1841"/>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年  月  日</w:t>
      </w:r>
      <w:r/>
    </w:p>
    <w:p>
      <w:pPr>
        <w:ind w:firstLine="500"/>
        <w:jc w:val="both"/>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rPr>
          <w:rStyle w:val="1163"/>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Style w:val="1163"/>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Style w:val="1163"/>
          <w:rFonts w:hint="eastAsia" w:ascii="宋体" w:hAnsi="宋体" w:eastAsia="宋体" w:cs="宋体"/>
          <w:b/>
          <w:bCs/>
          <w:color w:val="auto"/>
          <w:sz w:val="24"/>
          <w:szCs w:val="24"/>
          <w:lang w:val="en-US" w:eastAsia="zh-CN"/>
        </w:rPr>
      </w:pPr>
      <w:r>
        <w:rPr>
          <w:rStyle w:val="1163"/>
          <w:rFonts w:hint="eastAsia" w:ascii="宋体" w:hAnsi="宋体" w:eastAsia="宋体" w:cs="宋体"/>
          <w:b/>
          <w:bCs/>
          <w:color w:val="auto"/>
          <w:sz w:val="24"/>
          <w:szCs w:val="24"/>
          <w:lang w:val="en-US" w:eastAsia="zh-CN"/>
        </w:rPr>
        <w:t xml:space="preserve">注：此声明函可与营业执照等证明文件上传。</w:t>
      </w:r>
      <w:r/>
    </w:p>
    <w:p>
      <w:pPr>
        <w:pStyle w:val="1132"/>
        <w:numPr>
          <w:ilvl w:val="0"/>
          <w:numId w:val="0"/>
        </w:numPr>
        <w:ind w:firstLine="482"/>
        <w:rPr>
          <w:rStyle w:val="1163"/>
          <w:rFonts w:hint="eastAsia"/>
          <w:b/>
          <w:color w:val="auto"/>
          <w:sz w:val="24"/>
          <w:szCs w:val="22"/>
        </w:rPr>
      </w:pPr>
      <w:r>
        <w:rPr>
          <w:rFonts w:hint="eastAsia"/>
          <w:b/>
          <w:color w:val="auto"/>
          <w:sz w:val="24"/>
          <w:szCs w:val="22"/>
        </w:rPr>
      </w:r>
      <w:r/>
    </w:p>
    <w:p>
      <w:pPr>
        <w:ind w:firstLine="500"/>
        <w:rPr>
          <w:color w:val="auto"/>
          <w:sz w:val="24"/>
        </w:rPr>
      </w:pPr>
      <w:r>
        <w:rPr>
          <w:color w:val="auto"/>
          <w:sz w:val="24"/>
        </w:rPr>
        <w:t xml:space="preserve">  </w:t>
      </w:r>
      <w:r/>
    </w:p>
    <w:p>
      <w:pPr>
        <w:pStyle w:val="1132"/>
        <w:numPr>
          <w:ilvl w:val="0"/>
          <w:numId w:val="17"/>
        </w:numPr>
        <w:ind w:left="0" w:firstLine="0"/>
        <w:jc w:val="center"/>
        <w:keepLines w:val="0"/>
        <w:keepNext w:val="0"/>
        <w:pageBreakBefore/>
        <w:spacing w:line="440" w:lineRule="exact"/>
        <w:widowControl w:val="off"/>
        <w:rPr>
          <w:rFonts w:hint="eastAsia" w:ascii="Times New Roman" w:hAnsi="Times New Roman" w:eastAsia="宋体" w:cs="Times New Roman"/>
          <w:b/>
          <w:bCs/>
          <w:color w:val="auto"/>
          <w:sz w:val="32"/>
          <w:szCs w:val="32"/>
          <w:highlight w:val="none"/>
          <w14:ligatures w14:val="none"/>
        </w:rPr>
        <w:outlineLvl w:val="9"/>
      </w:pPr>
      <w:r>
        <w:rPr>
          <w:rFonts w:hint="eastAsia" w:ascii="Times New Roman" w:hAnsi="Times New Roman" w:eastAsia="宋体" w:cs="Times New Roman"/>
          <w:b/>
          <w:bCs/>
          <w:color w:val="auto"/>
          <w:sz w:val="32"/>
          <w:szCs w:val="32"/>
          <w:highlight w:val="none"/>
          <w14:ligatures w14:val="none"/>
        </w:rPr>
        <w:t xml:space="preserve">分包意向协议（如为协议分包，才须提供）</w:t>
      </w:r>
      <w:r/>
    </w:p>
    <w:p>
      <w:pPr>
        <w:ind w:firstLine="643"/>
        <w:jc w:val="center"/>
        <w:keepLines/>
        <w:keepNext/>
        <w:spacing w:line="440" w:lineRule="exact"/>
        <w:rPr>
          <w:rFonts w:ascii="Times New Roman" w:hAnsi="Times New Roman"/>
          <w:b/>
          <w:bCs/>
          <w:color w:val="000000"/>
          <w:sz w:val="32"/>
          <w:szCs w:val="32"/>
          <w:highlight w:val="none"/>
        </w:rPr>
        <w:outlineLvl w:val="9"/>
      </w:pPr>
      <w:r>
        <w:rPr>
          <w:rFonts w:hint="eastAsia" w:ascii="宋体" w:hAnsi="宋体"/>
          <w:b/>
          <w:bCs/>
          <w:color w:val="000000"/>
          <w:sz w:val="32"/>
          <w:szCs w:val="32"/>
          <w:highlight w:val="none"/>
        </w:rPr>
        <w:t xml:space="preserve">分包意向协议</w:t>
      </w:r>
      <w:r>
        <w:rPr>
          <w:rFonts w:ascii="Times New Roman" w:hAnsi="Times New Roman"/>
          <w:b/>
          <w:bCs/>
          <w:color w:val="000000"/>
          <w:sz w:val="32"/>
          <w:szCs w:val="32"/>
          <w:highlight w:val="none"/>
        </w:rPr>
        <w:t xml:space="preserve">书</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（甲公司全称）</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（乙公司全称）</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（……公司全称）</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（甲公司全称）、（乙公司全称）、（……公司全称）自愿达成分包意向，参加</w:t>
      </w:r>
      <w:r>
        <w:rPr>
          <w:rFonts w:hint="eastAsia" w:ascii="宋体" w:hAnsi="宋体" w:eastAsia="宋体" w:cs="宋体"/>
          <w:color w:val="auto"/>
          <w:sz w:val="24"/>
          <w:szCs w:val="24"/>
          <w:highlight w:val="none"/>
          <w:u w:val="single"/>
        </w:rPr>
        <w:t xml:space="preserve">（采购项目编号） （采购项目名称）</w:t>
      </w:r>
      <w:r>
        <w:rPr>
          <w:rFonts w:hint="eastAsia" w:ascii="宋体" w:hAnsi="宋体" w:eastAsia="宋体" w:cs="宋体"/>
          <w:color w:val="auto"/>
          <w:sz w:val="24"/>
          <w:szCs w:val="24"/>
          <w:highlight w:val="none"/>
        </w:rPr>
        <w:t xml:space="preserve">的投标活动。经各方充分协商一致，就项目的投标和合同实施阶段的有关事务协商一致订立意向如下：</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一、分包意向各方关系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为投标单位，</w:t>
      </w:r>
      <w:r>
        <w:rPr>
          <w:rFonts w:hint="eastAsia" w:ascii="宋体" w:hAnsi="宋体" w:eastAsia="宋体" w:cs="宋体"/>
          <w:color w:val="auto"/>
          <w:sz w:val="24"/>
          <w:szCs w:val="24"/>
          <w:highlight w:val="none"/>
          <w:u w:val="single"/>
        </w:rPr>
        <w:t xml:space="preserve">（乙公司全称）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（……公司全称）</w:t>
      </w:r>
      <w:r>
        <w:rPr>
          <w:rFonts w:hint="eastAsia" w:ascii="宋体" w:hAnsi="宋体" w:eastAsia="宋体" w:cs="宋体"/>
          <w:color w:val="auto"/>
          <w:sz w:val="24"/>
          <w:szCs w:val="24"/>
          <w:highlight w:val="none"/>
        </w:rPr>
        <w:t xml:space="preserve">为分包意向单位，</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以投标单位的身份参加本项目的投标。若中标，</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与采购人签订政府采购合同。承接分包意向的各单位与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签订分包合同。</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就采购项目和分包项目向采购人负责，分包供应商就分包项目承担责任。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二、有关事项约定如下：</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1.如中标，分包意向单位分别与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签订合同，并就中标项目分包部分向采购人负责，有连带的和各自的法律责任。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2.分包意向单位1</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3.分包意向单位2</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4.分包意向单位3</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三、如中标，分包意向单位不得以任何理由提出终止本意向协议。</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四、本意向协议书在自签订之日起生效，投标有效期结束之日失效。如中标，有效期延续至政府采购合同履行完毕之日。</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五、其他补充内容</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六、本意向协议书正本一式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及各分包意向单位各一份。</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1.各方成员在本意向协议书上共同盖章确认</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2.本意向协议书内容不得擅自修改，并将作为签订合同的附件之一。</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3.小微企业不得将合同分包给大中型企业，中型企业不得将合同分包给大型企业。</w:t>
      </w:r>
      <w:r/>
    </w:p>
    <w:p>
      <w:pPr>
        <w:ind w:left="0" w:firstLine="315"/>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09"/>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rPr>
          <w:color w:val="auto"/>
          <w:sz w:val="24"/>
        </w:rPr>
      </w:pPr>
      <w:r>
        <w:rPr>
          <w:color w:val="auto"/>
          <w:sz w:val="24"/>
        </w:rPr>
      </w:r>
      <w:r/>
    </w:p>
    <w:p>
      <w:pPr>
        <w:numPr>
          <w:ilvl w:val="0"/>
          <w:numId w:val="16"/>
        </w:numPr>
        <w:jc w:val="left"/>
        <w:pageBreakBefore/>
        <w:spacing w:before="120" w:after="120"/>
        <w:rPr>
          <w:b/>
          <w:bCs/>
          <w:color w:val="auto"/>
          <w:sz w:val="32"/>
          <w:szCs w:val="32"/>
        </w:rPr>
        <w:outlineLvl w:val="1"/>
      </w:pPr>
      <w:r>
        <w:rPr>
          <w:rStyle w:val="1163"/>
          <w:rFonts w:ascii="宋体" w:hAnsi="宋体" w:cs="宋体"/>
          <w:b/>
          <w:color w:val="auto"/>
          <w:sz w:val="32"/>
          <w:szCs w:val="22"/>
        </w:rPr>
        <w:t xml:space="preserve">第四章</w:t>
      </w:r>
      <w:r>
        <w:rPr>
          <w:b/>
          <w:bCs/>
          <w:color w:val="auto"/>
          <w:sz w:val="32"/>
          <w:szCs w:val="32"/>
        </w:rPr>
        <w:t xml:space="preserve">项目需求中实质性要求响应对照表</w:t>
      </w:r>
      <w:r/>
    </w:p>
    <w:p>
      <w:pPr>
        <w:pStyle w:val="1167"/>
        <w:spacing w:line="440" w:lineRule="exact"/>
        <w:rPr>
          <w:rFonts w:hint="eastAsia" w:ascii="宋体" w:hAnsi="宋体" w:eastAsia="宋体" w:cs="宋体"/>
          <w:b/>
          <w:bCs/>
          <w:color w:val="auto"/>
        </w:rPr>
      </w:pPr>
      <w:r>
        <w:rPr>
          <w:rFonts w:ascii="宋体" w:hAnsi="宋体" w:eastAsia="宋体" w:cs="宋体"/>
          <w:b/>
          <w:bCs/>
          <w:color w:val="auto"/>
        </w:rPr>
        <w:t xml:space="preserve"> </w:t>
      </w:r>
      <w:r>
        <w:rPr>
          <w:rFonts w:hint="eastAsia" w:ascii="宋体" w:hAnsi="宋体" w:eastAsia="宋体" w:cs="宋体"/>
          <w:b/>
          <w:bCs/>
          <w:color w:val="auto"/>
        </w:rPr>
        <w:t xml:space="preserve">1、商务条款的实质性格式</w:t>
      </w:r>
      <w:r>
        <w:rPr>
          <w:rFonts w:ascii="宋体" w:hAnsi="宋体" w:eastAsia="宋体" w:cs="宋体"/>
          <w:b/>
          <w:bCs/>
          <w:color w:val="auto"/>
        </w:rPr>
        <w:t xml:space="preserve"> </w:t>
      </w:r>
      <w:r/>
    </w:p>
    <w:tbl>
      <w:tblPr>
        <w:tblStyle w:val="904"/>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7"/>
              <w:jc w:val="center"/>
              <w:rPr>
                <w:rFonts w:hint="eastAsia" w:ascii="宋体" w:hAnsi="宋体" w:eastAsia="宋体" w:cs="宋体"/>
                <w:color w:val="auto"/>
              </w:rPr>
            </w:pPr>
            <w:r>
              <w:rPr>
                <w:rFonts w:ascii="宋体" w:hAnsi="宋体" w:eastAsia="宋体" w:cs="宋体"/>
                <w:color w:val="auto"/>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商务条款</w:t>
            </w:r>
            <w:r>
              <w:rPr>
                <w:rFonts w:ascii="宋体" w:hAnsi="宋体" w:eastAsia="宋体" w:cs="宋体"/>
                <w:color w:val="auto"/>
              </w:rPr>
              <w:t xml:space="preserve">的实质性要求</w:t>
            </w:r>
            <w:r/>
          </w:p>
          <w:p>
            <w:pPr>
              <w:pStyle w:val="1167"/>
              <w:jc w:val="center"/>
              <w:rPr>
                <w:rFonts w:hint="eastAsia" w:ascii="宋体" w:hAnsi="宋体" w:eastAsia="宋体" w:cs="宋体"/>
                <w:color w:val="auto"/>
              </w:rPr>
            </w:pPr>
            <w:r>
              <w:rPr>
                <w:rFonts w:hint="eastAsia" w:ascii="宋体" w:hAnsi="宋体"/>
                <w:i/>
                <w:color w:val="auto"/>
                <w:u w:val="single"/>
              </w:rPr>
              <w:t xml:space="preserve">（加</w:t>
            </w:r>
            <w:r>
              <w:rPr>
                <w:rFonts w:ascii="宋体" w:hAnsi="宋体"/>
                <w:i/>
                <w:color w:val="auto"/>
                <w:u w:val="single"/>
              </w:rPr>
              <w:t xml:space="preserve">斜体下划线内容</w:t>
            </w:r>
            <w:r>
              <w:rPr>
                <w:rFonts w:hint="eastAsia" w:ascii="宋体" w:hAnsi="宋体"/>
                <w:i/>
                <w:color w:val="auto"/>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68"/>
              <w:ind w:firstLine="500"/>
              <w:spacing w:line="440" w:lineRule="exact"/>
              <w:rPr>
                <w:rFonts w:hint="eastAsia" w:ascii="宋体" w:hAnsi="宋体" w:eastAsia="宋体" w:cs="宋体"/>
                <w:i/>
                <w:color w:val="auto"/>
                <w:u w:val="single"/>
              </w:rPr>
            </w:pPr>
            <w:r>
              <w:rPr>
                <w:rFonts w:hint="eastAsia" w:ascii="宋体" w:hAnsi="宋体" w:eastAsia="宋体" w:cs="宋体"/>
                <w:i/>
                <w:color w:val="auto"/>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68"/>
              <w:ind w:firstLine="50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68"/>
              <w:spacing w:line="440" w:lineRule="exact"/>
              <w:rPr>
                <w:rFonts w:hint="eastAsia" w:ascii="宋体" w:hAnsi="宋体" w:eastAsia="宋体" w:cs="宋体"/>
                <w:color w:val="auto"/>
              </w:rPr>
            </w:pPr>
            <w:r>
              <w:rPr>
                <w:rFonts w:hint="eastAsia" w:ascii="宋体" w:hAnsi="宋体" w:eastAsia="宋体" w:cs="宋体"/>
                <w:color w:val="auto"/>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r>
    </w:tbl>
    <w:p>
      <w:pPr>
        <w:spacing w:line="400" w:lineRule="exact"/>
        <w:rPr>
          <w:rFonts w:hint="eastAsia" w:ascii="宋体" w:hAnsi="宋体"/>
          <w:color w:val="auto"/>
          <w:sz w:val="24"/>
        </w:rPr>
      </w:pPr>
      <w:r>
        <w:rPr>
          <w:rFonts w:hint="eastAsia" w:ascii="宋体" w:hAnsi="宋体"/>
          <w:color w:val="auto"/>
          <w:sz w:val="24"/>
        </w:rPr>
        <w:t xml:space="preserve">备注</w:t>
      </w:r>
      <w:r>
        <w:rPr>
          <w:rFonts w:ascii="宋体" w:hAnsi="宋体"/>
          <w:color w:val="auto"/>
          <w:sz w:val="24"/>
        </w:rPr>
        <w:t xml:space="preserve">：</w:t>
      </w:r>
      <w:r/>
    </w:p>
    <w:p>
      <w:pPr>
        <w:spacing w:line="400" w:lineRule="exact"/>
        <w:rPr>
          <w:rFonts w:hint="eastAsia" w:ascii="宋体" w:hAnsi="宋体"/>
          <w:color w:val="auto"/>
          <w:sz w:val="24"/>
        </w:rPr>
      </w:pPr>
      <w:r>
        <w:rPr>
          <w:rFonts w:hint="eastAsia" w:ascii="宋体" w:hAnsi="宋体"/>
          <w:color w:val="auto"/>
          <w:sz w:val="24"/>
        </w:rPr>
        <w:t xml:space="preserve">1.投标人必须</w:t>
      </w:r>
      <w:r>
        <w:rPr>
          <w:rFonts w:ascii="宋体" w:hAnsi="宋体"/>
          <w:color w:val="auto"/>
          <w:sz w:val="24"/>
        </w:rPr>
        <w:t xml:space="preserve">对商务</w:t>
      </w:r>
      <w:r>
        <w:rPr>
          <w:rFonts w:hint="eastAsia" w:ascii="宋体" w:hAnsi="宋体"/>
          <w:color w:val="auto"/>
          <w:sz w:val="24"/>
        </w:rPr>
        <w:t xml:space="preserve">条款</w:t>
      </w:r>
      <w:r>
        <w:rPr>
          <w:rFonts w:ascii="宋体" w:hAnsi="宋体"/>
          <w:color w:val="auto"/>
          <w:sz w:val="24"/>
        </w:rPr>
        <w:t xml:space="preserve">中的实质性要求</w:t>
      </w:r>
      <w:r>
        <w:rPr>
          <w:rFonts w:hint="eastAsia" w:ascii="宋体" w:hAnsi="宋体"/>
          <w:i/>
          <w:color w:val="auto"/>
          <w:sz w:val="24"/>
          <w:u w:val="single"/>
        </w:rPr>
        <w:t xml:space="preserve">（加</w:t>
      </w:r>
      <w:r>
        <w:rPr>
          <w:rFonts w:ascii="宋体" w:hAnsi="宋体"/>
          <w:i/>
          <w:color w:val="auto"/>
          <w:sz w:val="24"/>
          <w:u w:val="single"/>
        </w:rPr>
        <w:t xml:space="preserve">斜体下划线内容</w:t>
      </w:r>
      <w:r>
        <w:rPr>
          <w:rFonts w:hint="eastAsia" w:ascii="宋体" w:hAnsi="宋体"/>
          <w:i/>
          <w:color w:val="auto"/>
          <w:sz w:val="24"/>
          <w:u w:val="single"/>
        </w:rPr>
        <w:t xml:space="preserve">）</w:t>
      </w:r>
      <w:r>
        <w:rPr>
          <w:rFonts w:ascii="宋体" w:hAnsi="宋体"/>
          <w:color w:val="auto"/>
          <w:sz w:val="24"/>
        </w:rPr>
        <w:t xml:space="preserve">逐条做出明确响应</w:t>
      </w:r>
      <w:r>
        <w:rPr>
          <w:rFonts w:hint="eastAsia" w:ascii="宋体" w:hAnsi="宋体"/>
          <w:color w:val="auto"/>
          <w:sz w:val="24"/>
        </w:rPr>
        <w:t xml:space="preserve">，否则该采购包作无效投标处理</w:t>
      </w:r>
      <w:r>
        <w:rPr>
          <w:rFonts w:ascii="宋体" w:hAnsi="宋体"/>
          <w:color w:val="auto"/>
          <w:sz w:val="24"/>
        </w:rPr>
        <w:t xml:space="preserve">。</w:t>
      </w:r>
      <w:r/>
    </w:p>
    <w:p>
      <w:pPr>
        <w:pStyle w:val="1167"/>
        <w:rPr>
          <w:rFonts w:hint="eastAsia" w:ascii="宋体" w:hAnsi="宋体" w:eastAsia="宋体" w:cs="宋体"/>
          <w:color w:val="auto"/>
        </w:rPr>
      </w:pPr>
      <w:r>
        <w:rPr>
          <w:rFonts w:hint="eastAsia" w:ascii="宋体" w:hAnsi="宋体" w:eastAsia="宋体" w:cs="宋体"/>
          <w:color w:val="auto"/>
        </w:rPr>
      </w:r>
      <w:r/>
    </w:p>
    <w:p>
      <w:pPr>
        <w:pStyle w:val="1167"/>
        <w:ind w:firstLine="482"/>
        <w:rPr>
          <w:rFonts w:hint="eastAsia" w:ascii="宋体" w:hAnsi="宋体" w:eastAsia="宋体" w:cs="宋体"/>
          <w:b/>
          <w:bCs/>
          <w:color w:val="auto"/>
        </w:rPr>
      </w:pPr>
      <w:r>
        <w:rPr>
          <w:rFonts w:hint="eastAsia" w:ascii="宋体" w:hAnsi="宋体" w:eastAsia="宋体" w:cs="宋体"/>
          <w:b/>
          <w:bCs/>
          <w:color w:val="auto"/>
        </w:rPr>
      </w:r>
      <w:r/>
    </w:p>
    <w:p>
      <w:pPr>
        <w:pStyle w:val="1167"/>
        <w:ind w:firstLine="482"/>
        <w:rPr>
          <w:rFonts w:hint="eastAsia" w:ascii="宋体" w:hAnsi="宋体" w:eastAsia="宋体" w:cs="宋体"/>
          <w:b/>
          <w:bCs/>
          <w:color w:val="auto"/>
        </w:rPr>
      </w:pPr>
      <w:r>
        <w:rPr>
          <w:rFonts w:hint="eastAsia" w:ascii="宋体" w:hAnsi="宋体" w:eastAsia="宋体" w:cs="宋体"/>
          <w:b/>
          <w:bCs/>
          <w:color w:val="auto"/>
        </w:rPr>
        <w:t xml:space="preserve">2、技术要求的实质性格式</w:t>
      </w:r>
      <w:r/>
    </w:p>
    <w:tbl>
      <w:tblPr>
        <w:tblStyle w:val="904"/>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7"/>
              <w:jc w:val="center"/>
              <w:rPr>
                <w:rFonts w:hint="eastAsia" w:ascii="宋体" w:hAnsi="宋体" w:eastAsia="宋体" w:cs="宋体"/>
                <w:color w:val="auto"/>
              </w:rPr>
            </w:pPr>
            <w:r>
              <w:rPr>
                <w:rFonts w:ascii="宋体" w:hAnsi="宋体" w:eastAsia="宋体" w:cs="宋体"/>
                <w:color w:val="auto"/>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技术要求</w:t>
            </w:r>
            <w:r>
              <w:rPr>
                <w:rFonts w:ascii="宋体" w:hAnsi="宋体" w:eastAsia="宋体" w:cs="宋体"/>
                <w:color w:val="auto"/>
              </w:rPr>
              <w:t xml:space="preserve">的实质性要求</w:t>
            </w:r>
            <w:r/>
          </w:p>
          <w:p>
            <w:pPr>
              <w:pStyle w:val="1167"/>
              <w:jc w:val="center"/>
              <w:rPr>
                <w:rFonts w:hint="eastAsia" w:ascii="宋体" w:hAnsi="宋体" w:eastAsia="宋体" w:cs="宋体"/>
                <w:color w:val="auto"/>
              </w:rPr>
            </w:pPr>
            <w:r>
              <w:rPr>
                <w:rFonts w:hint="eastAsia" w:ascii="宋体" w:hAnsi="宋体"/>
                <w:i/>
                <w:color w:val="auto"/>
                <w:u w:val="single"/>
              </w:rPr>
              <w:t xml:space="preserve">（加</w:t>
            </w:r>
            <w:r>
              <w:rPr>
                <w:rFonts w:ascii="宋体" w:hAnsi="宋体"/>
                <w:i/>
                <w:color w:val="auto"/>
                <w:u w:val="single"/>
              </w:rPr>
              <w:t xml:space="preserve">斜体下划线内容</w:t>
            </w:r>
            <w:r>
              <w:rPr>
                <w:rFonts w:hint="eastAsia" w:ascii="宋体" w:hAnsi="宋体"/>
                <w:i/>
                <w:color w:val="auto"/>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7"/>
              <w:rPr>
                <w:rFonts w:hint="eastAsia" w:ascii="宋体" w:hAnsi="宋体" w:eastAsia="宋体" w:cs="宋体"/>
                <w:i/>
                <w:color w:val="auto"/>
                <w:u w:val="single"/>
              </w:rPr>
            </w:pPr>
            <w:r>
              <w:rPr>
                <w:rFonts w:hint="eastAsia" w:ascii="宋体" w:hAnsi="宋体" w:eastAsia="宋体" w:cs="宋体"/>
                <w:i/>
                <w:color w:val="auto"/>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7"/>
              <w:rPr>
                <w:rFonts w:ascii="宋体" w:hAnsi="宋体" w:cs="宋体"/>
                <w:b/>
                <w:i/>
                <w:iCs/>
                <w:color w:val="auto"/>
                <w:u w:val="single"/>
              </w:rPr>
            </w:pPr>
            <w:r>
              <w:rPr>
                <w:rFonts w:ascii="宋体" w:hAnsi="宋体" w:cs="宋体"/>
                <w:b/>
                <w:i/>
                <w:iCs/>
                <w:color w:val="auto"/>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7"/>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67"/>
              <w:rPr>
                <w:rFonts w:hint="eastAsia" w:ascii="宋体" w:hAnsi="宋体" w:eastAsia="宋体" w:cs="宋体"/>
                <w:color w:val="auto"/>
              </w:rPr>
            </w:pPr>
            <w:r>
              <w:rPr>
                <w:rFonts w:hint="eastAsia" w:ascii="宋体" w:hAnsi="宋体" w:eastAsia="宋体" w:cs="宋体"/>
                <w:color w:val="auto"/>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67"/>
              <w:jc w:val="center"/>
              <w:rPr>
                <w:rFonts w:hint="eastAsia" w:ascii="宋体" w:hAnsi="宋体" w:eastAsia="宋体" w:cs="宋体"/>
                <w:color w:val="auto"/>
              </w:rPr>
            </w:pPr>
            <w:r>
              <w:rPr>
                <w:rFonts w:hint="eastAsia" w:ascii="宋体" w:hAnsi="宋体" w:eastAsia="宋体" w:cs="宋体"/>
                <w:color w:val="auto"/>
              </w:rPr>
            </w:r>
            <w:r/>
          </w:p>
        </w:tc>
      </w:tr>
    </w:tbl>
    <w:p>
      <w:pPr>
        <w:spacing w:line="400" w:lineRule="exact"/>
        <w:rPr>
          <w:rFonts w:hint="eastAsia" w:ascii="宋体" w:hAnsi="宋体"/>
          <w:color w:val="auto"/>
          <w:sz w:val="24"/>
        </w:rPr>
      </w:pPr>
      <w:r>
        <w:rPr>
          <w:rFonts w:hint="eastAsia" w:ascii="宋体" w:hAnsi="宋体"/>
          <w:color w:val="auto"/>
          <w:sz w:val="24"/>
        </w:rPr>
        <w:t xml:space="preserve">备注</w:t>
      </w:r>
      <w:r>
        <w:rPr>
          <w:rFonts w:ascii="宋体" w:hAnsi="宋体"/>
          <w:color w:val="auto"/>
          <w:sz w:val="24"/>
        </w:rPr>
        <w:t xml:space="preserve">：</w:t>
      </w:r>
      <w:r/>
    </w:p>
    <w:p>
      <w:pPr>
        <w:spacing w:line="400" w:lineRule="exact"/>
        <w:rPr>
          <w:rFonts w:hint="eastAsia" w:ascii="宋体" w:hAnsi="宋体"/>
          <w:color w:val="auto"/>
          <w:sz w:val="24"/>
        </w:rPr>
      </w:pPr>
      <w:r>
        <w:rPr>
          <w:rFonts w:hint="eastAsia" w:ascii="宋体" w:hAnsi="宋体"/>
          <w:color w:val="auto"/>
          <w:sz w:val="24"/>
        </w:rPr>
        <w:t xml:space="preserve">1.投标人必须</w:t>
      </w:r>
      <w:r>
        <w:rPr>
          <w:rFonts w:ascii="宋体" w:hAnsi="宋体"/>
          <w:color w:val="auto"/>
          <w:sz w:val="24"/>
        </w:rPr>
        <w:t xml:space="preserve">对</w:t>
      </w:r>
      <w:r>
        <w:rPr>
          <w:rFonts w:hint="eastAsia" w:ascii="宋体" w:hAnsi="宋体"/>
          <w:color w:val="auto"/>
          <w:sz w:val="24"/>
        </w:rPr>
        <w:t xml:space="preserve">技术要求</w:t>
      </w:r>
      <w:r>
        <w:rPr>
          <w:rFonts w:ascii="宋体" w:hAnsi="宋体"/>
          <w:color w:val="auto"/>
          <w:sz w:val="24"/>
        </w:rPr>
        <w:t xml:space="preserve">中的实质性要求</w:t>
      </w:r>
      <w:r>
        <w:rPr>
          <w:rFonts w:hint="eastAsia" w:ascii="宋体" w:hAnsi="宋体"/>
          <w:i/>
          <w:color w:val="auto"/>
          <w:sz w:val="24"/>
          <w:u w:val="single"/>
        </w:rPr>
        <w:t xml:space="preserve">（加</w:t>
      </w:r>
      <w:r>
        <w:rPr>
          <w:rFonts w:ascii="宋体" w:hAnsi="宋体"/>
          <w:i/>
          <w:color w:val="auto"/>
          <w:sz w:val="24"/>
          <w:u w:val="single"/>
        </w:rPr>
        <w:t xml:space="preserve">斜体下划线内容</w:t>
      </w:r>
      <w:r>
        <w:rPr>
          <w:rFonts w:hint="eastAsia" w:ascii="宋体" w:hAnsi="宋体"/>
          <w:i/>
          <w:color w:val="auto"/>
          <w:sz w:val="24"/>
          <w:u w:val="single"/>
        </w:rPr>
        <w:t xml:space="preserve">）</w:t>
      </w:r>
      <w:r>
        <w:rPr>
          <w:rFonts w:ascii="宋体" w:hAnsi="宋体"/>
          <w:color w:val="auto"/>
          <w:sz w:val="24"/>
        </w:rPr>
        <w:t xml:space="preserve">逐条做出明确响应</w:t>
      </w:r>
      <w:r>
        <w:rPr>
          <w:rFonts w:hint="eastAsia" w:ascii="宋体" w:hAnsi="宋体"/>
          <w:color w:val="auto"/>
          <w:sz w:val="24"/>
        </w:rPr>
        <w:t xml:space="preserve">，否则该采购包作无效投标处理</w:t>
      </w:r>
      <w:r>
        <w:rPr>
          <w:rFonts w:ascii="宋体" w:hAnsi="宋体"/>
          <w:color w:val="auto"/>
          <w:sz w:val="24"/>
        </w:rPr>
        <w:t xml:space="preserve">。</w:t>
      </w:r>
      <w:r/>
    </w:p>
    <w:p>
      <w:pPr>
        <w:ind w:firstLine="0"/>
        <w:keepLines/>
        <w:keepNext/>
        <w:spacing w:before="120" w:after="120" w:line="240" w:lineRule="auto"/>
        <w:rPr>
          <w:b/>
          <w:bCs/>
          <w:color w:val="auto"/>
          <w:sz w:val="32"/>
          <w:szCs w:val="32"/>
        </w:rPr>
      </w:pPr>
      <w:r>
        <w:rPr>
          <w:b/>
          <w:bCs/>
          <w:color w:val="auto"/>
          <w:sz w:val="32"/>
          <w:szCs w:val="32"/>
        </w:rPr>
      </w:r>
      <w:r/>
    </w:p>
    <w:p>
      <w:pPr>
        <w:ind w:right="775" w:firstLine="643"/>
        <w:jc w:val="center"/>
        <w:rPr>
          <w:rFonts w:ascii="宋体"/>
          <w:b/>
          <w:color w:val="auto"/>
          <w:sz w:val="32"/>
          <w:szCs w:val="32"/>
        </w:rPr>
      </w:pPr>
      <w:r>
        <w:rPr>
          <w:rFonts w:ascii="宋体"/>
          <w:b/>
          <w:color w:val="auto"/>
          <w:sz w:val="32"/>
          <w:szCs w:val="32"/>
        </w:rPr>
      </w:r>
      <w:r/>
    </w:p>
    <w:p>
      <w:pPr>
        <w:pStyle w:val="935"/>
        <w:rPr>
          <w:rFonts w:hint="eastAsia"/>
          <w:color w:val="auto"/>
        </w:rPr>
      </w:pPr>
      <w:r>
        <w:rPr>
          <w:rFonts w:hint="eastAsia"/>
          <w:color w:val="auto"/>
        </w:rPr>
      </w:r>
      <w:r/>
    </w:p>
    <w:p>
      <w:pPr>
        <w:numPr>
          <w:ilvl w:val="0"/>
          <w:numId w:val="16"/>
        </w:numPr>
        <w:jc w:val="left"/>
        <w:pageBreakBefore/>
        <w:spacing w:before="120" w:after="120"/>
        <w:rPr>
          <w:b/>
          <w:bCs/>
          <w:color w:val="auto"/>
          <w:sz w:val="32"/>
          <w:szCs w:val="32"/>
        </w:rPr>
        <w:outlineLvl w:val="1"/>
      </w:pPr>
      <w:r>
        <w:rPr>
          <w:rFonts w:hint="eastAsia" w:ascii="宋体" w:hAnsi="宋体"/>
          <w:b/>
          <w:bCs/>
          <w:color w:val="auto"/>
          <w:sz w:val="32"/>
          <w:szCs w:val="32"/>
        </w:rPr>
        <w:t xml:space="preserve">投标</w:t>
      </w:r>
      <w:r>
        <w:rPr>
          <w:b/>
          <w:bCs/>
          <w:color w:val="auto"/>
          <w:sz w:val="32"/>
          <w:szCs w:val="32"/>
        </w:rPr>
        <w:t xml:space="preserve">配置及分项报价表</w:t>
      </w:r>
      <w:r/>
    </w:p>
    <w:p>
      <w:pPr>
        <w:pStyle w:val="1174"/>
        <w:jc w:val="center"/>
        <w:spacing w:before="400" w:after="400" w:line="300" w:lineRule="auto"/>
        <w:rPr>
          <w:rStyle w:val="1087"/>
          <w:rFonts w:hint="eastAsia" w:ascii="黑体" w:hAnsi="黑体" w:eastAsia="黑体" w:cs="黑体"/>
          <w:b/>
          <w:bCs/>
          <w:color w:val="auto"/>
          <w:sz w:val="40"/>
          <w:szCs w:val="40"/>
        </w:rPr>
      </w:pPr>
      <w:r>
        <w:rPr>
          <w:rStyle w:val="1087"/>
          <w:rFonts w:ascii="黑体" w:hAnsi="黑体" w:eastAsia="黑体" w:cs="黑体"/>
          <w:b/>
          <w:bCs/>
          <w:color w:val="auto"/>
          <w:sz w:val="40"/>
          <w:szCs w:val="40"/>
        </w:rPr>
        <w:t xml:space="preserve">投标配置及分项报价表 </w:t>
      </w:r>
      <w:r/>
    </w:p>
    <w:p>
      <w:pPr>
        <w:pStyle w:val="1174"/>
        <w:spacing w:before="240" w:after="240"/>
        <w:rPr>
          <w:rStyle w:val="1087"/>
          <w:rFonts w:hint="eastAsia" w:ascii="宋体" w:hAnsi="宋体" w:eastAsia="宋体" w:cs="宋体"/>
          <w:color w:val="auto"/>
        </w:rPr>
      </w:pPr>
      <w:r>
        <w:rPr>
          <w:rStyle w:val="1087"/>
          <w:rFonts w:ascii="宋体" w:hAnsi="宋体" w:eastAsia="宋体" w:cs="宋体"/>
          <w:color w:val="auto"/>
        </w:rPr>
        <w:t xml:space="preserve">  </w:t>
      </w:r>
      <w:r/>
    </w:p>
    <w:tbl>
      <w:tblPr>
        <w:tblStyle w:val="904"/>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90"/>
        <w:gridCol w:w="1184"/>
        <w:gridCol w:w="925"/>
        <w:gridCol w:w="764"/>
        <w:gridCol w:w="925"/>
        <w:gridCol w:w="925"/>
        <w:gridCol w:w="925"/>
        <w:gridCol w:w="441"/>
        <w:gridCol w:w="1147"/>
        <w:gridCol w:w="1166"/>
      </w:tblGrid>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序号</w:t>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设备名称</w:t>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品牌</w:t>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规格型号</w:t>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制造厂商</w:t>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产地</w:t>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数量</w:t>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单位</w:t>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单价（元）</w:t>
            </w:r>
            <w:r/>
          </w:p>
        </w:tc>
        <w:tc>
          <w:tcPr>
            <w:tcMar>
              <w:left w:w="0" w:type="dxa"/>
              <w:top w:w="0" w:type="dxa"/>
              <w:right w:w="0" w:type="dxa"/>
              <w:bottom w:w="0" w:type="dxa"/>
            </w:tcMar>
            <w:tcW w:w="1166" w:type="dxa"/>
            <w:vAlign w:val="center"/>
            <w:textDirection w:val="lrTb"/>
            <w:noWrap w:val="false"/>
          </w:tcPr>
          <w:p>
            <w:pPr>
              <w:pStyle w:val="1174"/>
              <w:jc w:val="center"/>
              <w:rPr>
                <w:rStyle w:val="1087"/>
                <w:rFonts w:hint="eastAsia" w:ascii="宋体" w:hAnsi="宋体" w:eastAsia="宋体" w:cs="宋体"/>
                <w:color w:val="auto"/>
              </w:rPr>
            </w:pPr>
            <w:r>
              <w:rPr>
                <w:rStyle w:val="1087"/>
                <w:rFonts w:ascii="宋体" w:hAnsi="宋体" w:eastAsia="宋体" w:cs="宋体"/>
                <w:color w:val="auto"/>
              </w:rPr>
              <w:t xml:space="preserve">总价（元）</w:t>
            </w:r>
            <w:r/>
          </w:p>
        </w:tc>
      </w:tr>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66"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r>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66"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r>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66"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r>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66"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r>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66"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r>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66"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r>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66"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r>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66"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r>
      <w:tr>
        <w:trPr>
          <w:jc w:val="center"/>
          <w:trHeight w:val="287"/>
        </w:trPr>
        <w:tc>
          <w:tcPr>
            <w:tcMar>
              <w:left w:w="0" w:type="dxa"/>
              <w:top w:w="0" w:type="dxa"/>
              <w:right w:w="0" w:type="dxa"/>
              <w:bottom w:w="0" w:type="dxa"/>
            </w:tcMar>
            <w:tcW w:w="590"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764"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925"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441"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47" w:type="dxa"/>
            <w:vAlign w:val="center"/>
            <w:textDirection w:val="lrTb"/>
            <w:noWrap w:val="false"/>
          </w:tcPr>
          <w:p>
            <w:pPr>
              <w:pStyle w:val="1174"/>
              <w:jc w:val="center"/>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66"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r>
      <w:tr>
        <w:trPr>
          <w:jc w:val="center"/>
        </w:trPr>
        <w:tc>
          <w:tcPr>
            <w:tcMar>
              <w:left w:w="0" w:type="dxa"/>
              <w:top w:w="0" w:type="dxa"/>
              <w:right w:w="0" w:type="dxa"/>
              <w:bottom w:w="0" w:type="dxa"/>
            </w:tcMar>
            <w:tcW w:w="590" w:type="dxa"/>
            <w:vAlign w:val="center"/>
            <w:textDirection w:val="lrTb"/>
            <w:noWrap w:val="false"/>
          </w:tcPr>
          <w:p>
            <w:pPr>
              <w:pStyle w:val="1174"/>
              <w:rPr>
                <w:rStyle w:val="1087"/>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184" w:type="dxa"/>
            <w:vAlign w:val="center"/>
            <w:textDirection w:val="lrTb"/>
            <w:noWrap w:val="false"/>
          </w:tcPr>
          <w:p>
            <w:pPr>
              <w:pStyle w:val="1174"/>
              <w:rPr>
                <w:rStyle w:val="1087"/>
                <w:rFonts w:hint="eastAsia" w:ascii="宋体" w:hAnsi="宋体" w:eastAsia="宋体" w:cs="宋体"/>
                <w:color w:val="auto"/>
              </w:rPr>
            </w:pPr>
            <w:r>
              <w:rPr>
                <w:rStyle w:val="1087"/>
                <w:rFonts w:ascii="宋体" w:hAnsi="宋体" w:eastAsia="宋体" w:cs="宋体"/>
                <w:color w:val="auto"/>
              </w:rPr>
              <w:t xml:space="preserve">合计 </w:t>
            </w:r>
            <w:r/>
          </w:p>
        </w:tc>
        <w:tc>
          <w:tcPr>
            <w:gridSpan w:val="8"/>
            <w:tcMar>
              <w:left w:w="0" w:type="dxa"/>
              <w:top w:w="0" w:type="dxa"/>
              <w:right w:w="0" w:type="dxa"/>
              <w:bottom w:w="0" w:type="dxa"/>
            </w:tcMar>
            <w:tcW w:w="7218" w:type="dxa"/>
            <w:vAlign w:val="center"/>
            <w:textDirection w:val="lrTb"/>
            <w:noWrap w:val="false"/>
          </w:tcPr>
          <w:p>
            <w:pPr>
              <w:pStyle w:val="1174"/>
              <w:rPr>
                <w:rStyle w:val="1087"/>
                <w:rFonts w:hint="eastAsia" w:ascii="宋体" w:hAnsi="宋体" w:eastAsia="宋体" w:cs="宋体"/>
                <w:color w:val="auto"/>
              </w:rPr>
            </w:pPr>
            <w:r>
              <w:rPr>
                <w:rStyle w:val="1087"/>
                <w:rFonts w:ascii="宋体" w:hAnsi="宋体" w:eastAsia="宋体" w:cs="宋体"/>
                <w:color w:val="auto"/>
              </w:rPr>
              <w:t xml:space="preserve">   元(大写：   ) </w:t>
            </w:r>
            <w:r/>
          </w:p>
        </w:tc>
      </w:tr>
      <w:tr>
        <w:trPr>
          <w:jc w:val="center"/>
        </w:trPr>
        <w:tc>
          <w:tcPr>
            <w:gridSpan w:val="10"/>
            <w:tcMar>
              <w:left w:w="0" w:type="dxa"/>
              <w:top w:w="0" w:type="dxa"/>
              <w:right w:w="0" w:type="dxa"/>
              <w:bottom w:w="0" w:type="dxa"/>
            </w:tcMar>
            <w:tcW w:w="8987" w:type="dxa"/>
            <w:vAlign w:val="center"/>
            <w:textDirection w:val="lrTb"/>
            <w:noWrap w:val="false"/>
          </w:tcPr>
          <w:p>
            <w:pPr>
              <w:pStyle w:val="1167"/>
              <w:tabs>
                <w:tab w:val="left" w:pos="993" w:leader="none"/>
              </w:tabs>
              <w:rPr>
                <w:rFonts w:hint="eastAsia" w:ascii="宋体" w:hAnsi="宋体" w:eastAsia="宋体"/>
                <w:color w:val="auto"/>
              </w:rPr>
            </w:pPr>
            <w:r>
              <w:rPr>
                <w:rFonts w:hint="eastAsia" w:ascii="宋体" w:hAnsi="宋体" w:eastAsia="宋体" w:cs="宋体"/>
                <w:color w:val="auto"/>
              </w:rPr>
              <w:t xml:space="preserve">本采购包中提供的符合本国产品标准的产品成本之和占该采购包提供的全部产品成本之和的比例为</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tc>
      </w:tr>
    </w:tbl>
    <w:p>
      <w:pPr>
        <w:pStyle w:val="1174"/>
        <w:spacing w:before="240" w:after="240"/>
        <w:rPr>
          <w:rStyle w:val="1087"/>
          <w:rFonts w:hint="eastAsia" w:ascii="宋体" w:hAnsi="宋体" w:eastAsia="宋体" w:cs="宋体"/>
          <w:color w:val="auto"/>
        </w:rPr>
      </w:pPr>
      <w:r>
        <w:rPr>
          <w:rStyle w:val="1087"/>
          <w:rFonts w:ascii="宋体" w:hAnsi="宋体" w:eastAsia="宋体" w:cs="宋体"/>
          <w:color w:val="auto"/>
        </w:rPr>
        <w:t xml:space="preserve">  </w:t>
      </w:r>
      <w:r/>
    </w:p>
    <w:p>
      <w:pPr>
        <w:pStyle w:val="1174"/>
        <w:spacing w:before="240" w:after="240"/>
        <w:rPr>
          <w:rStyle w:val="1087"/>
          <w:rFonts w:hint="eastAsia" w:ascii="宋体" w:hAnsi="宋体" w:eastAsia="宋体" w:cs="宋体"/>
          <w:color w:val="auto"/>
        </w:rPr>
      </w:pPr>
      <w:r>
        <w:rPr>
          <w:rStyle w:val="1087"/>
          <w:rFonts w:ascii="宋体" w:hAnsi="宋体" w:eastAsia="宋体" w:cs="宋体"/>
          <w:color w:val="auto"/>
        </w:rPr>
        <w:t xml:space="preserve">注： </w:t>
      </w:r>
      <w:r/>
    </w:p>
    <w:p>
      <w:pPr>
        <w:pStyle w:val="1174"/>
        <w:spacing w:before="240" w:after="240"/>
        <w:rPr>
          <w:rStyle w:val="1087"/>
          <w:rFonts w:hint="eastAsia" w:ascii="宋体" w:hAnsi="宋体" w:eastAsia="宋体" w:cs="宋体"/>
          <w:color w:val="auto"/>
        </w:rPr>
      </w:pPr>
      <w:r>
        <w:rPr>
          <w:rStyle w:val="1087"/>
          <w:rFonts w:ascii="宋体" w:hAnsi="宋体" w:eastAsia="宋体" w:cs="宋体"/>
          <w:color w:val="auto"/>
        </w:rPr>
        <w:t xml:space="preserve">1、技术要求详见招标文件第四章项目需求；此表的总计金额应与开标一览表相符。 </w:t>
      </w:r>
      <w:r/>
    </w:p>
    <w:p>
      <w:pPr>
        <w:pStyle w:val="1174"/>
        <w:spacing w:before="240" w:after="240"/>
        <w:rPr>
          <w:rStyle w:val="1087"/>
          <w:rFonts w:hint="eastAsia" w:ascii="宋体" w:hAnsi="宋体" w:eastAsia="宋体" w:cs="宋体"/>
          <w:color w:val="auto"/>
        </w:rPr>
      </w:pPr>
      <w:r>
        <w:rPr>
          <w:rStyle w:val="1087"/>
          <w:rFonts w:ascii="宋体" w:hAnsi="宋体" w:eastAsia="宋体" w:cs="宋体"/>
          <w:color w:val="auto"/>
        </w:rPr>
        <w:t xml:space="preserve">2、请提供本标书要求设备详细的配置清单及分项报价，包括标准件及选购件。 </w:t>
      </w:r>
      <w:r/>
    </w:p>
    <w:p>
      <w:pPr>
        <w:pStyle w:val="935"/>
        <w:ind w:firstLine="0"/>
        <w:rPr>
          <w:rStyle w:val="1087"/>
          <w:rFonts w:hint="eastAsia" w:cs="宋体"/>
          <w:color w:val="auto"/>
        </w:rPr>
      </w:pPr>
      <w:r>
        <w:rPr>
          <w:rStyle w:val="1087"/>
          <w:rFonts w:cs="宋体"/>
          <w:color w:val="auto"/>
        </w:rPr>
        <w:t xml:space="preserve">3、若无品牌，可填“自制”。</w:t>
      </w:r>
      <w:r/>
    </w:p>
    <w:p>
      <w:pPr>
        <w:pStyle w:val="935"/>
        <w:ind w:firstLine="0"/>
        <w:rPr>
          <w:rStyle w:val="1087"/>
          <w:rFonts w:hint="eastAsia" w:cs="宋体"/>
          <w:color w:val="auto"/>
        </w:rPr>
      </w:pPr>
      <w:r>
        <w:rPr>
          <w:rStyle w:val="1087"/>
          <w:rFonts w:hint="eastAsia" w:cs="宋体"/>
          <w:color w:val="auto"/>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6"/>
        </w:numPr>
        <w:jc w:val="left"/>
        <w:pageBreakBefore/>
        <w:spacing w:before="120" w:after="120"/>
        <w:rPr>
          <w:rFonts w:hint="eastAsia" w:ascii="宋体" w:hAnsi="宋体"/>
          <w:b/>
          <w:bCs/>
          <w:color w:val="auto"/>
          <w:sz w:val="32"/>
          <w:szCs w:val="32"/>
        </w:rPr>
        <w:outlineLvl w:val="1"/>
      </w:pPr>
      <w:r/>
      <w:bookmarkStart w:id="214" w:name="_Toc29348"/>
      <w:r/>
      <w:bookmarkStart w:id="215" w:name="_Toc12686"/>
      <w:r>
        <w:rPr>
          <w:rFonts w:hint="eastAsia" w:ascii="宋体" w:hAnsi="宋体"/>
          <w:b/>
          <w:bCs/>
          <w:color w:val="auto"/>
          <w:sz w:val="32"/>
          <w:szCs w:val="32"/>
        </w:rPr>
        <w:t xml:space="preserve">常用零配件及耗材报价表</w:t>
      </w:r>
      <w:r/>
    </w:p>
    <w:p>
      <w:pPr>
        <w:jc w:val="center"/>
        <w:rPr>
          <w:rStyle w:val="1087"/>
          <w:rFonts w:hint="eastAsia" w:ascii="黑体" w:hAnsi="黑体" w:eastAsia="黑体" w:cs="黑体"/>
          <w:b/>
          <w:bCs/>
          <w:color w:val="auto"/>
          <w:sz w:val="40"/>
          <w:szCs w:val="40"/>
        </w:rPr>
      </w:pPr>
      <w:r>
        <w:rPr>
          <w:rFonts w:hint="eastAsia" w:ascii="黑体" w:hAnsi="黑体" w:eastAsia="黑体" w:cs="黑体"/>
          <w:b/>
          <w:bCs/>
          <w:color w:val="auto"/>
          <w:sz w:val="40"/>
          <w:szCs w:val="40"/>
        </w:rPr>
      </w:r>
      <w:r/>
    </w:p>
    <w:p>
      <w:pPr>
        <w:jc w:val="center"/>
        <w:rPr>
          <w:rStyle w:val="1087"/>
          <w:rFonts w:hint="eastAsia" w:ascii="黑体" w:hAnsi="黑体" w:eastAsia="黑体" w:cs="黑体"/>
          <w:b/>
          <w:bCs/>
          <w:color w:val="auto"/>
          <w:sz w:val="40"/>
          <w:szCs w:val="40"/>
        </w:rPr>
      </w:pPr>
      <w:r>
        <w:rPr>
          <w:rStyle w:val="1087"/>
          <w:rFonts w:ascii="黑体" w:hAnsi="黑体" w:eastAsia="黑体" w:cs="黑体"/>
          <w:b/>
          <w:bCs/>
          <w:color w:val="auto"/>
          <w:sz w:val="40"/>
          <w:szCs w:val="40"/>
        </w:rPr>
        <w:t xml:space="preserve">常用零配件及耗材报价表</w:t>
      </w:r>
      <w:r/>
    </w:p>
    <w:p>
      <w:pPr>
        <w:pStyle w:val="935"/>
        <w:rPr>
          <w:rFonts w:hint="eastAsia"/>
          <w:color w:val="auto"/>
        </w:rPr>
      </w:pPr>
      <w:r>
        <w:rPr>
          <w:rFonts w:hint="eastAsia"/>
          <w:color w:val="auto"/>
        </w:rPr>
      </w:r>
      <w:r/>
    </w:p>
    <w:tbl>
      <w:tblPr>
        <w:tblStyle w:val="904"/>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2184"/>
        <w:gridCol w:w="2821"/>
        <w:gridCol w:w="1039"/>
        <w:gridCol w:w="1039"/>
        <w:gridCol w:w="1421"/>
      </w:tblGrid>
      <w:tr>
        <w:trPr>
          <w:jc w:val="center"/>
          <w:trHeight w:val="287"/>
        </w:trPr>
        <w:tc>
          <w:tcPr>
            <w:tcMar>
              <w:left w:w="0" w:type="dxa"/>
              <w:top w:w="0" w:type="dxa"/>
              <w:right w:w="0" w:type="dxa"/>
              <w:bottom w:w="0" w:type="dxa"/>
            </w:tcMar>
            <w:tcW w:w="710" w:type="dxa"/>
            <w:vAlign w:val="center"/>
            <w:textDirection w:val="lrTb"/>
            <w:noWrap w:val="false"/>
          </w:tcPr>
          <w:p>
            <w:pPr>
              <w:pStyle w:val="1158"/>
              <w:jc w:val="center"/>
              <w:widowControl w:val="off"/>
              <w:rPr>
                <w:rStyle w:val="1163"/>
                <w:rFonts w:hint="eastAsia" w:ascii="宋体" w:hAnsi="宋体" w:eastAsia="宋体" w:cs="宋体"/>
                <w:color w:val="auto"/>
              </w:rPr>
            </w:pPr>
            <w:r>
              <w:rPr>
                <w:rStyle w:val="1163"/>
                <w:rFonts w:ascii="宋体" w:hAnsi="宋体" w:eastAsia="宋体" w:cs="宋体"/>
                <w:color w:val="auto"/>
              </w:rPr>
              <w:t xml:space="preserve">序号</w:t>
            </w:r>
            <w:r/>
          </w:p>
        </w:tc>
        <w:tc>
          <w:tcPr>
            <w:tcMar>
              <w:left w:w="0" w:type="dxa"/>
              <w:top w:w="0" w:type="dxa"/>
              <w:right w:w="0" w:type="dxa"/>
              <w:bottom w:w="0" w:type="dxa"/>
            </w:tcMar>
            <w:tcW w:w="2184" w:type="dxa"/>
            <w:vAlign w:val="center"/>
            <w:textDirection w:val="lrTb"/>
            <w:noWrap w:val="false"/>
          </w:tcPr>
          <w:p>
            <w:pPr>
              <w:pStyle w:val="1158"/>
              <w:jc w:val="center"/>
              <w:widowControl w:val="off"/>
              <w:rPr>
                <w:rStyle w:val="1163"/>
                <w:rFonts w:hint="eastAsia" w:ascii="宋体" w:hAnsi="宋体" w:eastAsia="宋体" w:cs="宋体"/>
                <w:color w:val="auto"/>
              </w:rPr>
            </w:pPr>
            <w:r>
              <w:rPr>
                <w:rStyle w:val="1163"/>
                <w:rFonts w:ascii="宋体" w:hAnsi="宋体" w:eastAsia="宋体" w:cs="宋体"/>
                <w:color w:val="auto"/>
              </w:rPr>
              <w:t xml:space="preserve">产品名称</w:t>
            </w:r>
            <w:r/>
          </w:p>
        </w:tc>
        <w:tc>
          <w:tcPr>
            <w:tcMar>
              <w:left w:w="0" w:type="dxa"/>
              <w:top w:w="0" w:type="dxa"/>
              <w:right w:w="0" w:type="dxa"/>
              <w:bottom w:w="0" w:type="dxa"/>
            </w:tcMar>
            <w:tcW w:w="2821" w:type="dxa"/>
            <w:vAlign w:val="center"/>
            <w:textDirection w:val="lrTb"/>
            <w:noWrap w:val="false"/>
          </w:tcPr>
          <w:p>
            <w:pPr>
              <w:pStyle w:val="1158"/>
              <w:jc w:val="center"/>
              <w:widowControl w:val="off"/>
              <w:rPr>
                <w:rStyle w:val="1163"/>
                <w:rFonts w:hint="eastAsia" w:ascii="宋体" w:hAnsi="宋体" w:eastAsia="宋体" w:cs="宋体"/>
                <w:color w:val="auto"/>
              </w:rPr>
            </w:pPr>
            <w:r>
              <w:rPr>
                <w:rStyle w:val="1163"/>
                <w:rFonts w:ascii="宋体" w:hAnsi="宋体" w:eastAsia="宋体" w:cs="宋体"/>
                <w:color w:val="auto"/>
              </w:rPr>
              <w:t xml:space="preserve">规格型号</w:t>
            </w:r>
            <w:r/>
          </w:p>
        </w:tc>
        <w:tc>
          <w:tcPr>
            <w:tcMar>
              <w:left w:w="0" w:type="dxa"/>
              <w:top w:w="0" w:type="dxa"/>
              <w:right w:w="0" w:type="dxa"/>
              <w:bottom w:w="0" w:type="dxa"/>
            </w:tcMar>
            <w:tcW w:w="1039" w:type="dxa"/>
            <w:vAlign w:val="center"/>
            <w:textDirection w:val="lrTb"/>
            <w:noWrap w:val="false"/>
          </w:tcPr>
          <w:p>
            <w:pPr>
              <w:pStyle w:val="1158"/>
              <w:jc w:val="center"/>
              <w:widowControl w:val="off"/>
              <w:rPr>
                <w:rStyle w:val="1163"/>
                <w:rFonts w:hint="eastAsia" w:ascii="宋体" w:hAnsi="宋体" w:eastAsia="宋体" w:cs="宋体"/>
                <w:color w:val="auto"/>
              </w:rPr>
            </w:pPr>
            <w:r>
              <w:rPr>
                <w:rStyle w:val="1163"/>
                <w:rFonts w:ascii="宋体" w:hAnsi="宋体" w:eastAsia="宋体" w:cs="宋体"/>
                <w:color w:val="auto"/>
              </w:rPr>
              <w:t xml:space="preserve">计量单位</w:t>
            </w:r>
            <w:r/>
          </w:p>
        </w:tc>
        <w:tc>
          <w:tcPr>
            <w:tcMar>
              <w:left w:w="0" w:type="dxa"/>
              <w:top w:w="0" w:type="dxa"/>
              <w:right w:w="0" w:type="dxa"/>
              <w:bottom w:w="0" w:type="dxa"/>
            </w:tcMar>
            <w:tcW w:w="1039" w:type="dxa"/>
            <w:vAlign w:val="center"/>
            <w:textDirection w:val="lrTb"/>
            <w:noWrap w:val="false"/>
          </w:tcPr>
          <w:p>
            <w:pPr>
              <w:pStyle w:val="1158"/>
              <w:jc w:val="center"/>
              <w:widowControl w:val="off"/>
              <w:rPr>
                <w:rStyle w:val="1163"/>
                <w:rFonts w:hint="eastAsia" w:ascii="宋体" w:hAnsi="宋体" w:eastAsia="宋体" w:cs="宋体"/>
                <w:color w:val="auto"/>
              </w:rPr>
            </w:pPr>
            <w:r>
              <w:rPr>
                <w:rStyle w:val="1163"/>
                <w:rFonts w:ascii="宋体" w:hAnsi="宋体" w:eastAsia="宋体" w:cs="宋体"/>
                <w:color w:val="auto"/>
              </w:rPr>
              <w:t xml:space="preserve">数量</w:t>
            </w:r>
            <w:r/>
          </w:p>
        </w:tc>
        <w:tc>
          <w:tcPr>
            <w:tcMar>
              <w:left w:w="0" w:type="dxa"/>
              <w:top w:w="0" w:type="dxa"/>
              <w:right w:w="0" w:type="dxa"/>
              <w:bottom w:w="0" w:type="dxa"/>
            </w:tcMar>
            <w:tcW w:w="1421" w:type="dxa"/>
            <w:vAlign w:val="center"/>
            <w:textDirection w:val="lrTb"/>
            <w:noWrap w:val="false"/>
          </w:tcPr>
          <w:p>
            <w:pPr>
              <w:pStyle w:val="1158"/>
              <w:jc w:val="center"/>
              <w:widowControl w:val="off"/>
              <w:rPr>
                <w:rStyle w:val="1163"/>
                <w:rFonts w:hint="eastAsia" w:ascii="宋体" w:hAnsi="宋体" w:eastAsia="宋体" w:cs="宋体"/>
                <w:color w:val="auto"/>
              </w:rPr>
            </w:pPr>
            <w:r>
              <w:rPr>
                <w:rStyle w:val="1163"/>
                <w:rFonts w:ascii="宋体" w:hAnsi="宋体" w:eastAsia="宋体" w:cs="宋体"/>
                <w:color w:val="auto"/>
              </w:rPr>
              <w:t xml:space="preserve">单价（元）</w:t>
            </w:r>
            <w:r/>
          </w:p>
        </w:tc>
      </w:tr>
      <w:tr>
        <w:trPr>
          <w:jc w:val="center"/>
          <w:trHeight w:val="287"/>
        </w:trPr>
        <w:tc>
          <w:tcPr>
            <w:tcMar>
              <w:left w:w="0" w:type="dxa"/>
              <w:top w:w="0" w:type="dxa"/>
              <w:right w:w="0" w:type="dxa"/>
              <w:bottom w:w="0" w:type="dxa"/>
            </w:tcMar>
            <w:tcW w:w="710" w:type="dxa"/>
            <w:vAlign w:val="center"/>
            <w:textDirection w:val="lrTb"/>
            <w:noWrap w:val="false"/>
          </w:tcPr>
          <w:p>
            <w:pPr>
              <w:pStyle w:val="1158"/>
              <w:jc w:val="center"/>
              <w:widowControl w:val="off"/>
              <w:rPr>
                <w:rStyle w:val="1163"/>
                <w:rFonts w:hint="eastAsia" w:ascii="宋体" w:hAnsi="宋体" w:eastAsia="宋体" w:cs="宋体"/>
                <w:color w:val="auto"/>
              </w:rPr>
            </w:pPr>
            <w:r>
              <w:rPr>
                <w:rStyle w:val="1163"/>
                <w:rFonts w:ascii="宋体" w:hAnsi="宋体" w:eastAsia="宋体" w:cs="宋体"/>
                <w:color w:val="auto"/>
              </w:rPr>
              <w:t xml:space="preserve">1</w:t>
            </w:r>
            <w:r/>
          </w:p>
        </w:tc>
        <w:tc>
          <w:tcPr>
            <w:tcMar>
              <w:left w:w="0" w:type="dxa"/>
              <w:top w:w="0" w:type="dxa"/>
              <w:right w:w="0" w:type="dxa"/>
              <w:bottom w:w="0" w:type="dxa"/>
            </w:tcMar>
            <w:tcW w:w="2184" w:type="dxa"/>
            <w:vAlign w:val="center"/>
            <w:textDirection w:val="lrTb"/>
            <w:noWrap w:val="false"/>
          </w:tcPr>
          <w:p>
            <w:pPr>
              <w:pStyle w:val="1158"/>
              <w:jc w:val="center"/>
              <w:widowControl w:val="off"/>
              <w:rPr>
                <w:rStyle w:val="1163"/>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2821" w:type="dxa"/>
            <w:vAlign w:val="center"/>
            <w:textDirection w:val="lrTb"/>
            <w:noWrap w:val="false"/>
          </w:tcPr>
          <w:p>
            <w:pPr>
              <w:pStyle w:val="1158"/>
              <w:jc w:val="center"/>
              <w:widowControl w:val="off"/>
              <w:rPr>
                <w:rStyle w:val="1163"/>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039" w:type="dxa"/>
            <w:vAlign w:val="center"/>
            <w:textDirection w:val="lrTb"/>
            <w:noWrap w:val="false"/>
          </w:tcPr>
          <w:p>
            <w:pPr>
              <w:pStyle w:val="1158"/>
              <w:jc w:val="center"/>
              <w:widowControl w:val="off"/>
              <w:rPr>
                <w:rStyle w:val="1163"/>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039" w:type="dxa"/>
            <w:vAlign w:val="center"/>
            <w:textDirection w:val="lrTb"/>
            <w:noWrap w:val="false"/>
          </w:tcPr>
          <w:p>
            <w:pPr>
              <w:pStyle w:val="1158"/>
              <w:jc w:val="center"/>
              <w:widowControl w:val="off"/>
              <w:rPr>
                <w:rStyle w:val="1163"/>
                <w:rFonts w:hint="eastAsia" w:ascii="宋体" w:hAnsi="宋体" w:eastAsia="宋体" w:cs="宋体"/>
                <w:color w:val="auto"/>
              </w:rPr>
            </w:pPr>
            <w:r>
              <w:rPr>
                <w:rFonts w:hint="eastAsia" w:ascii="宋体" w:hAnsi="宋体" w:eastAsia="宋体" w:cs="宋体"/>
                <w:color w:val="auto"/>
              </w:rPr>
            </w:r>
            <w:r/>
          </w:p>
        </w:tc>
        <w:tc>
          <w:tcPr>
            <w:tcMar>
              <w:left w:w="0" w:type="dxa"/>
              <w:top w:w="0" w:type="dxa"/>
              <w:right w:w="0" w:type="dxa"/>
              <w:bottom w:w="0" w:type="dxa"/>
            </w:tcMar>
            <w:tcW w:w="1421" w:type="dxa"/>
            <w:vAlign w:val="center"/>
            <w:textDirection w:val="lrTb"/>
            <w:noWrap w:val="false"/>
          </w:tcPr>
          <w:p>
            <w:pPr>
              <w:pStyle w:val="1158"/>
              <w:jc w:val="center"/>
              <w:widowControl w:val="off"/>
              <w:rPr>
                <w:rStyle w:val="1163"/>
                <w:rFonts w:hint="eastAsia" w:ascii="宋体" w:hAnsi="宋体" w:eastAsia="宋体" w:cs="宋体"/>
                <w:color w:val="auto"/>
              </w:rPr>
            </w:pPr>
            <w:r>
              <w:rPr>
                <w:rFonts w:hint="eastAsia" w:ascii="宋体" w:hAnsi="宋体" w:eastAsia="宋体" w:cs="宋体"/>
                <w:color w:val="auto"/>
              </w:rPr>
            </w:r>
            <w:r/>
          </w:p>
        </w:tc>
      </w:tr>
    </w:tbl>
    <w:p>
      <w:pPr>
        <w:ind w:firstLine="480"/>
        <w:jc w:val="left"/>
        <w:spacing w:line="360" w:lineRule="auto"/>
        <w:rPr>
          <w:rFonts w:hint="eastAsia" w:ascii="宋体" w:hAnsi="宋体" w:cs="宋体"/>
          <w:color w:val="auto"/>
          <w:sz w:val="24"/>
        </w:rPr>
      </w:pPr>
      <w:r>
        <w:rPr>
          <w:rFonts w:hint="eastAsia" w:ascii="宋体" w:hAnsi="宋体" w:cs="宋体"/>
          <w:color w:val="auto"/>
          <w:sz w:val="24"/>
        </w:rPr>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注：以上常用零配件及耗材必须保证与所投报设备兼容配套使用。</w:t>
      </w:r>
      <w:bookmarkEnd w:id="214"/>
      <w:r/>
      <w:bookmarkEnd w:id="215"/>
      <w:r/>
      <w:r/>
    </w:p>
    <w:p>
      <w:pPr>
        <w:pStyle w:val="1175"/>
        <w:jc w:val="center"/>
        <w:spacing w:before="400" w:after="400" w:line="300" w:lineRule="auto"/>
        <w:rPr>
          <w:rStyle w:val="1087"/>
          <w:rFonts w:hint="eastAsia" w:ascii="黑体" w:hAnsi="黑体" w:eastAsia="黑体" w:cs="黑体"/>
          <w:b/>
          <w:bCs/>
          <w:color w:val="auto"/>
          <w:sz w:val="40"/>
          <w:szCs w:val="40"/>
        </w:rPr>
      </w:pPr>
      <w:r>
        <w:rPr>
          <w:rFonts w:hint="eastAsia" w:ascii="黑体" w:hAnsi="黑体" w:eastAsia="黑体" w:cs="黑体"/>
          <w:b/>
          <w:bCs/>
          <w:color w:val="auto"/>
          <w:sz w:val="40"/>
          <w:szCs w:val="40"/>
        </w:rPr>
      </w:r>
      <w:r/>
    </w:p>
    <w:p>
      <w:pPr>
        <w:pStyle w:val="1175"/>
        <w:spacing w:before="240" w:after="240"/>
        <w:rPr>
          <w:rStyle w:val="1087"/>
          <w:rFonts w:hint="eastAsia" w:ascii="宋体" w:hAnsi="宋体" w:eastAsia="宋体" w:cs="宋体"/>
          <w:color w:val="auto"/>
        </w:rPr>
      </w:pPr>
      <w:r>
        <w:rPr>
          <w:rStyle w:val="1087"/>
          <w:rFonts w:ascii="宋体" w:hAnsi="宋体" w:eastAsia="宋体" w:cs="宋体"/>
          <w:color w:val="auto"/>
        </w:rPr>
        <w:t xml:space="preserve"> </w:t>
      </w:r>
      <w:r/>
    </w:p>
    <w:p>
      <w:pPr>
        <w:numPr>
          <w:ilvl w:val="0"/>
          <w:numId w:val="16"/>
        </w:numPr>
        <w:jc w:val="left"/>
        <w:pageBreakBefore/>
        <w:spacing w:before="120" w:after="120"/>
        <w:rPr>
          <w:b/>
          <w:bCs/>
          <w:color w:val="auto"/>
          <w:sz w:val="32"/>
          <w:szCs w:val="32"/>
        </w:rPr>
        <w:outlineLvl w:val="1"/>
      </w:pPr>
      <w:r>
        <w:rPr>
          <w:rFonts w:hint="eastAsia"/>
          <w:b/>
          <w:bCs/>
          <w:color w:val="auto"/>
          <w:sz w:val="32"/>
          <w:szCs w:val="32"/>
        </w:rPr>
        <w:t xml:space="preserve">技术参数响应及偏离表</w:t>
      </w:r>
      <w:r/>
    </w:p>
    <w:p>
      <w:pPr>
        <w:pStyle w:val="1174"/>
        <w:jc w:val="center"/>
        <w:spacing w:before="320" w:after="320" w:line="300" w:lineRule="auto"/>
        <w:rPr>
          <w:rFonts w:eastAsia="宋体"/>
          <w:b/>
          <w:bCs/>
          <w:color w:val="auto"/>
          <w:sz w:val="32"/>
          <w:szCs w:val="32"/>
        </w:rPr>
      </w:pPr>
      <w:r>
        <w:rPr>
          <w:rFonts w:eastAsia="宋体"/>
          <w:b/>
          <w:bCs/>
          <w:color w:val="auto"/>
          <w:sz w:val="32"/>
          <w:szCs w:val="32"/>
        </w:rPr>
        <w:t xml:space="preserve">技术参数响应及偏离表 </w:t>
      </w:r>
      <w:r/>
    </w:p>
    <w:p>
      <w:pPr>
        <w:pStyle w:val="1174"/>
        <w:spacing w:before="240" w:after="240"/>
        <w:rPr>
          <w:rFonts w:eastAsia="宋体"/>
          <w:color w:val="auto"/>
        </w:rPr>
      </w:pPr>
      <w:r>
        <w:rPr>
          <w:rFonts w:eastAsia="宋体"/>
          <w:color w:val="auto"/>
        </w:rPr>
        <w:t xml:space="preserve">  </w:t>
      </w:r>
      <w:r/>
    </w:p>
    <w:tbl>
      <w:tblPr>
        <w:tblStyle w:val="904"/>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74"/>
              <w:jc w:val="center"/>
              <w:rPr>
                <w:rFonts w:eastAsia="宋体"/>
                <w:color w:val="auto"/>
              </w:rPr>
            </w:pPr>
            <w:r>
              <w:rPr>
                <w:rFonts w:eastAsia="宋体"/>
                <w:color w:val="auto"/>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74"/>
              <w:jc w:val="center"/>
              <w:rPr>
                <w:rFonts w:eastAsia="宋体"/>
                <w:color w:val="auto"/>
              </w:rPr>
            </w:pPr>
            <w:r>
              <w:rPr>
                <w:rFonts w:eastAsia="宋体"/>
                <w:color w:val="auto"/>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74"/>
              <w:jc w:val="center"/>
              <w:rPr>
                <w:rFonts w:eastAsia="宋体"/>
                <w:color w:val="auto"/>
              </w:rPr>
            </w:pPr>
            <w:r>
              <w:rPr>
                <w:rFonts w:eastAsia="宋体"/>
                <w:color w:val="auto"/>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74"/>
              <w:jc w:val="center"/>
              <w:rPr>
                <w:rFonts w:eastAsia="宋体"/>
                <w:color w:val="auto"/>
              </w:rPr>
            </w:pPr>
            <w:r>
              <w:rPr>
                <w:rFonts w:eastAsia="宋体"/>
                <w:color w:val="auto"/>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74"/>
              <w:jc w:val="center"/>
              <w:rPr>
                <w:rFonts w:eastAsia="宋体"/>
                <w:color w:val="auto"/>
              </w:rPr>
            </w:pPr>
            <w:r>
              <w:rPr>
                <w:rFonts w:eastAsia="宋体"/>
                <w:color w:val="auto"/>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74"/>
              <w:rPr>
                <w:rFonts w:eastAsia="宋体"/>
                <w:color w:val="auto"/>
              </w:rPr>
            </w:pPr>
            <w:r>
              <w:rPr>
                <w:rFonts w:eastAsia="宋体"/>
                <w:color w:val="auto"/>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74"/>
              <w:jc w:val="center"/>
              <w:rPr>
                <w:rFonts w:eastAsia="宋体"/>
                <w:color w:val="auto"/>
              </w:rPr>
            </w:pPr>
            <w:r>
              <w:rPr>
                <w:rFonts w:eastAsia="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74"/>
              <w:jc w:val="center"/>
              <w:rPr>
                <w:rFonts w:eastAsia="宋体"/>
                <w:color w:val="auto"/>
              </w:rPr>
            </w:pPr>
            <w:r>
              <w:rPr>
                <w:rFonts w:eastAsia="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74"/>
              <w:jc w:val="center"/>
              <w:rPr>
                <w:rFonts w:eastAsia="宋体"/>
                <w:color w:val="auto"/>
              </w:rPr>
            </w:pPr>
            <w:r>
              <w:rPr>
                <w:rFonts w:eastAsia="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74"/>
              <w:jc w:val="center"/>
              <w:rPr>
                <w:rFonts w:eastAsia="宋体"/>
                <w:color w:val="auto"/>
              </w:rPr>
            </w:pPr>
            <w:r>
              <w:rPr>
                <w:rFonts w:eastAsia="宋体"/>
                <w:color w:val="auto"/>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74"/>
              <w:jc w:val="center"/>
              <w:rPr>
                <w:rFonts w:eastAsia="宋体"/>
                <w:color w:val="auto"/>
              </w:rPr>
            </w:pPr>
            <w:r>
              <w:rPr>
                <w:rFonts w:eastAsia="宋体"/>
                <w:color w:val="auto"/>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74"/>
              <w:rPr>
                <w:rFonts w:eastAsia="宋体"/>
                <w:color w:val="auto"/>
              </w:rPr>
            </w:pPr>
            <w:r>
              <w:rPr>
                <w:rFonts w:eastAsia="宋体"/>
                <w:color w:val="auto"/>
              </w:rPr>
            </w:r>
            <w:r/>
          </w:p>
        </w:tc>
      </w:tr>
    </w:tbl>
    <w:p>
      <w:pPr>
        <w:pStyle w:val="1174"/>
        <w:spacing w:before="240" w:after="240"/>
        <w:rPr>
          <w:rFonts w:eastAsia="宋体"/>
          <w:color w:val="auto"/>
        </w:rPr>
      </w:pPr>
      <w:r>
        <w:rPr>
          <w:rFonts w:eastAsia="宋体"/>
          <w:color w:val="auto"/>
        </w:rPr>
        <w:t xml:space="preserve">  </w:t>
      </w:r>
      <w:r/>
    </w:p>
    <w:p>
      <w:pPr>
        <w:pStyle w:val="1174"/>
        <w:spacing w:before="240" w:after="240"/>
        <w:rPr>
          <w:rFonts w:eastAsia="宋体"/>
          <w:color w:val="auto"/>
        </w:rPr>
      </w:pPr>
      <w:r>
        <w:rPr>
          <w:rFonts w:eastAsia="宋体"/>
          <w:color w:val="auto"/>
        </w:rPr>
        <w:t xml:space="preserve">注： </w:t>
      </w:r>
      <w:r/>
    </w:p>
    <w:p>
      <w:pPr>
        <w:pStyle w:val="1174"/>
        <w:spacing w:before="240" w:after="240"/>
        <w:rPr>
          <w:rFonts w:eastAsia="宋体"/>
          <w:color w:val="auto"/>
        </w:rPr>
      </w:pPr>
      <w:r>
        <w:rPr>
          <w:rFonts w:eastAsia="宋体"/>
          <w:color w:val="auto"/>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74"/>
        <w:spacing w:before="240" w:after="240"/>
        <w:rPr>
          <w:rFonts w:eastAsia="宋体"/>
          <w:color w:val="auto"/>
        </w:rPr>
      </w:pPr>
      <w:r>
        <w:rPr>
          <w:rFonts w:eastAsia="宋体"/>
          <w:color w:val="auto"/>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74"/>
        <w:spacing w:before="240" w:after="240"/>
        <w:rPr>
          <w:rFonts w:eastAsia="宋体"/>
          <w:color w:val="auto"/>
        </w:rPr>
      </w:pPr>
      <w:r>
        <w:rPr>
          <w:rFonts w:eastAsia="宋体"/>
          <w:color w:val="auto"/>
        </w:rPr>
        <w:t xml:space="preserve">3、表格不够可另接。 </w:t>
      </w:r>
      <w:r/>
    </w:p>
    <w:p>
      <w:pPr>
        <w:pStyle w:val="1175"/>
        <w:jc w:val="center"/>
        <w:spacing w:before="320" w:after="320" w:line="300" w:lineRule="auto"/>
        <w:rPr>
          <w:rFonts w:eastAsia="宋体"/>
          <w:b/>
          <w:bCs/>
          <w:color w:val="auto"/>
          <w:sz w:val="32"/>
          <w:szCs w:val="32"/>
        </w:rPr>
      </w:pPr>
      <w:r>
        <w:rPr>
          <w:rFonts w:eastAsia="宋体"/>
          <w:b/>
          <w:bCs/>
          <w:color w:val="auto"/>
          <w:sz w:val="32"/>
          <w:szCs w:val="32"/>
        </w:rPr>
      </w:r>
      <w:r/>
    </w:p>
    <w:p>
      <w:pPr>
        <w:pStyle w:val="1175"/>
        <w:jc w:val="center"/>
        <w:spacing w:before="320" w:after="320" w:line="300" w:lineRule="auto"/>
        <w:rPr>
          <w:rFonts w:eastAsia="宋体"/>
          <w:b/>
          <w:bCs/>
          <w:color w:val="auto"/>
          <w:sz w:val="32"/>
          <w:szCs w:val="32"/>
        </w:rPr>
      </w:pPr>
      <w:r>
        <w:rPr>
          <w:rFonts w:eastAsia="宋体"/>
          <w:b/>
          <w:bCs/>
          <w:color w:val="auto"/>
          <w:sz w:val="32"/>
          <w:szCs w:val="32"/>
        </w:rPr>
      </w:r>
      <w:r/>
    </w:p>
    <w:p>
      <w:pPr>
        <w:numPr>
          <w:ilvl w:val="0"/>
          <w:numId w:val="16"/>
        </w:numPr>
        <w:jc w:val="left"/>
        <w:pageBreakBefore/>
        <w:spacing w:before="120" w:after="120"/>
        <w:rPr>
          <w:rFonts w:hint="eastAsia" w:ascii="宋体" w:hAnsi="宋体"/>
          <w:b/>
          <w:color w:val="auto"/>
          <w:sz w:val="32"/>
          <w:szCs w:val="40"/>
        </w:rPr>
        <w:outlineLvl w:val="1"/>
      </w:pPr>
      <w:r>
        <w:rPr>
          <w:rFonts w:hint="eastAsia" w:ascii="宋体" w:hAnsi="宋体"/>
          <w:b/>
          <w:color w:val="auto"/>
          <w:sz w:val="32"/>
          <w:szCs w:val="40"/>
        </w:rPr>
        <w:t xml:space="preserve">技术</w:t>
      </w:r>
      <w:r>
        <w:rPr>
          <w:b/>
          <w:bCs/>
          <w:color w:val="auto"/>
          <w:sz w:val="32"/>
          <w:szCs w:val="32"/>
        </w:rPr>
        <w:t xml:space="preserve">方案</w:t>
      </w:r>
      <w:r>
        <w:rPr>
          <w:rFonts w:ascii="宋体" w:hAnsi="宋体"/>
          <w:b/>
          <w:color w:val="auto"/>
          <w:sz w:val="32"/>
          <w:szCs w:val="40"/>
        </w:rPr>
        <w:t xml:space="preserve">、服务方案</w:t>
      </w:r>
      <w:r/>
    </w:p>
    <w:p>
      <w:pPr>
        <w:pStyle w:val="935"/>
        <w:ind w:firstLine="0"/>
        <w:jc w:val="center"/>
        <w:widowControl/>
        <w:rPr>
          <w:rFonts w:ascii="Times New Roman" w:hAnsi="Times New Roman"/>
          <w:b/>
          <w:bCs/>
          <w:color w:val="auto"/>
        </w:rPr>
      </w:pPr>
      <w:r/>
      <w:bookmarkStart w:id="216" w:name="_Toc43285583"/>
      <w:r/>
      <w:bookmarkStart w:id="217" w:name="_Toc35266041"/>
      <w:r>
        <w:rPr>
          <w:rStyle w:val="1163"/>
          <w:rFonts w:hint="eastAsia"/>
          <w:b/>
          <w:bCs/>
          <w:color w:val="auto"/>
          <w:sz w:val="28"/>
          <w:szCs w:val="28"/>
        </w:rPr>
        <w:t xml:space="preserve">技术方案、服务方案</w:t>
      </w:r>
      <w:bookmarkEnd w:id="216"/>
      <w:r/>
      <w:bookmarkEnd w:id="217"/>
      <w:r/>
      <w:r/>
    </w:p>
    <w:p>
      <w:pPr>
        <w:pStyle w:val="935"/>
        <w:ind w:firstLine="0"/>
        <w:widowControl/>
        <w:rPr>
          <w:rFonts w:ascii="Times New Roman" w:hAnsi="Times New Roman"/>
          <w:b/>
          <w:bCs/>
          <w:color w:val="auto"/>
        </w:rPr>
      </w:pPr>
      <w:r>
        <w:rPr>
          <w:rFonts w:ascii="Times New Roman" w:hAnsi="Times New Roman"/>
          <w:b/>
          <w:bCs/>
          <w:color w:val="auto"/>
        </w:rPr>
      </w:r>
      <w:r/>
    </w:p>
    <w:p>
      <w:pPr>
        <w:pStyle w:val="935"/>
        <w:ind w:firstLine="0"/>
        <w:jc w:val="center"/>
        <w:widowControl/>
        <w:rPr>
          <w:rFonts w:hint="eastAsia"/>
          <w:color w:val="auto"/>
          <w:szCs w:val="21"/>
        </w:rPr>
      </w:pPr>
      <w:r>
        <w:rPr>
          <w:color w:val="auto"/>
          <w:szCs w:val="21"/>
        </w:rPr>
        <w:t xml:space="preserve">（</w:t>
      </w:r>
      <w:r>
        <w:rPr>
          <w:rFonts w:hint="eastAsia"/>
          <w:color w:val="auto"/>
          <w:szCs w:val="21"/>
        </w:rPr>
        <w:t xml:space="preserve">投标人结合项目需求自行编写</w:t>
      </w:r>
      <w:r>
        <w:rPr>
          <w:color w:val="auto"/>
          <w:szCs w:val="21"/>
        </w:rPr>
        <w:t xml:space="preserve">）</w:t>
      </w:r>
      <w:r/>
    </w:p>
    <w:p>
      <w:pPr>
        <w:rPr>
          <w:color w:val="auto"/>
          <w:sz w:val="24"/>
          <w:szCs w:val="21"/>
        </w:rPr>
      </w:pPr>
      <w:r>
        <w:rPr>
          <w:color w:val="auto"/>
          <w:sz w:val="24"/>
          <w:szCs w:val="21"/>
        </w:rPr>
      </w:r>
      <w:r/>
    </w:p>
    <w:p>
      <w:pPr>
        <w:numPr>
          <w:ilvl w:val="0"/>
          <w:numId w:val="16"/>
        </w:numPr>
        <w:jc w:val="left"/>
        <w:pageBreakBefore/>
        <w:spacing w:before="120" w:after="120"/>
        <w:rPr>
          <w:rStyle w:val="1163"/>
          <w:rFonts w:hint="eastAsia" w:ascii="宋体" w:hAnsi="宋体" w:cs="宋体"/>
          <w:b/>
          <w:color w:val="auto"/>
          <w:sz w:val="32"/>
          <w:szCs w:val="22"/>
        </w:rPr>
        <w:outlineLvl w:val="1"/>
      </w:pPr>
      <w:r>
        <w:rPr>
          <w:rStyle w:val="1163"/>
          <w:rFonts w:hint="eastAsia" w:ascii="宋体" w:hAnsi="宋体" w:cs="宋体"/>
          <w:b/>
          <w:color w:val="auto"/>
          <w:sz w:val="32"/>
          <w:szCs w:val="22"/>
        </w:rPr>
        <w:t xml:space="preserve">中小企业声明函</w:t>
      </w:r>
      <w:r/>
    </w:p>
    <w:p>
      <w:pPr>
        <w:jc w:val="center"/>
        <w:rPr>
          <w:color w:val="auto"/>
        </w:rPr>
      </w:pPr>
      <w:r>
        <w:rPr>
          <w:rStyle w:val="1163"/>
          <w:rFonts w:ascii="宋体" w:hAnsi="宋体" w:cs="宋体"/>
          <w:color w:val="auto"/>
          <w:sz w:val="32"/>
          <w:szCs w:val="32"/>
        </w:rPr>
        <w:t xml:space="preserve">中小企业声明函（</w:t>
      </w:r>
      <w:r>
        <w:rPr>
          <w:rStyle w:val="1163"/>
          <w:rFonts w:hint="eastAsia" w:ascii="宋体" w:hAnsi="宋体" w:cs="宋体"/>
          <w:color w:val="auto"/>
          <w:sz w:val="32"/>
          <w:szCs w:val="32"/>
        </w:rPr>
        <w:t xml:space="preserve">货物</w:t>
      </w:r>
      <w:r>
        <w:rPr>
          <w:rStyle w:val="1163"/>
          <w:rFonts w:ascii="宋体" w:hAnsi="宋体" w:cs="宋体"/>
          <w:color w:val="auto"/>
          <w:sz w:val="32"/>
          <w:szCs w:val="32"/>
        </w:rPr>
        <w:t xml:space="preserve">）</w:t>
      </w:r>
      <w:r/>
    </w:p>
    <w:p>
      <w:pPr>
        <w:pStyle w:val="1148"/>
        <w:ind w:firstLine="480"/>
        <w:spacing w:before="240" w:after="240"/>
        <w:rPr>
          <w:rFonts w:hint="eastAsia" w:ascii="宋体" w:hAnsi="宋体" w:eastAsia="宋体" w:cs="宋体"/>
          <w:color w:val="auto"/>
        </w:rPr>
      </w:pPr>
      <w:r>
        <w:rPr>
          <w:rFonts w:ascii="宋体" w:hAnsi="宋体" w:eastAsia="宋体" w:cs="宋体"/>
          <w:color w:val="auto"/>
        </w:rPr>
        <w:t xml:space="preserve">本公司郑重声明，根据《政府采购促进中小企业发展管理办法》 (财库〔2020〕46号)的规定，本公司参加 </w:t>
      </w:r>
      <w:r>
        <w:rPr>
          <w:rFonts w:ascii="宋体" w:hAnsi="宋体" w:eastAsia="宋体" w:cs="宋体"/>
          <w:color w:val="auto"/>
          <w:u w:val="single"/>
        </w:rPr>
        <w:t xml:space="preserve">  （</w:t>
      </w:r>
      <w:r>
        <w:rPr>
          <w:rFonts w:ascii="宋体" w:hAnsi="宋体" w:eastAsia="宋体" w:cs="宋体"/>
          <w:color w:val="auto"/>
        </w:rPr>
        <w:t xml:space="preserve">单位名称）的</w:t>
      </w:r>
      <w:r>
        <w:rPr>
          <w:rFonts w:ascii="宋体" w:hAnsi="宋体" w:eastAsia="宋体" w:cs="宋体"/>
          <w:color w:val="auto"/>
          <w:u w:val="single"/>
        </w:rPr>
        <w:t xml:space="preserve">   </w:t>
      </w:r>
      <w:r>
        <w:rPr>
          <w:rFonts w:ascii="宋体" w:hAnsi="宋体" w:eastAsia="宋体" w:cs="宋体"/>
          <w:color w:val="auto"/>
        </w:rPr>
        <w:t xml:space="preserve">（项目名称）采购活动，</w:t>
      </w:r>
      <w:r>
        <w:rPr>
          <w:rFonts w:hint="eastAsia" w:ascii="宋体" w:hAnsi="宋体" w:eastAsia="宋体" w:cs="宋体"/>
          <w:color w:val="auto"/>
        </w:rPr>
        <w:t xml:space="preserve">提供的货物全部由符合政策要求的中小企业制造</w:t>
      </w:r>
      <w:r>
        <w:rPr>
          <w:rFonts w:ascii="宋体" w:hAnsi="宋体" w:eastAsia="宋体" w:cs="宋体"/>
          <w:color w:val="auto"/>
        </w:rPr>
        <w:t xml:space="preserve">。相关企业的具体情况如下：</w:t>
      </w:r>
      <w:r/>
    </w:p>
    <w:p>
      <w:pPr>
        <w:pStyle w:val="1145"/>
        <w:numPr>
          <w:ilvl w:val="0"/>
          <w:numId w:val="18"/>
        </w:numPr>
        <w:spacing w:line="440" w:lineRule="exact"/>
        <w:rPr>
          <w:rFonts w:hint="eastAsia" w:ascii="宋体" w:hAnsi="宋体" w:eastAsia="宋体" w:cs="宋体"/>
          <w:color w:val="auto"/>
        </w:rPr>
      </w:pPr>
      <w:r>
        <w:rPr>
          <w:rFonts w:hint="eastAsia" w:ascii="宋体" w:hAnsi="宋体" w:eastAsia="宋体" w:cs="宋体"/>
          <w:i/>
          <w:iCs/>
          <w:color w:val="auto"/>
          <w:u w:val="single"/>
        </w:rPr>
        <w:t xml:space="preserve">（标的名称） </w:t>
      </w:r>
      <w:r>
        <w:rPr>
          <w:rFonts w:hint="eastAsia" w:ascii="宋体" w:hAnsi="宋体" w:eastAsia="宋体" w:cs="宋体"/>
          <w:i/>
          <w:iCs/>
          <w:color w:val="auto"/>
        </w:rPr>
        <w:t xml:space="preserve">，</w:t>
      </w:r>
      <w:r>
        <w:rPr>
          <w:rFonts w:hint="eastAsia" w:ascii="宋体" w:hAnsi="宋体" w:eastAsia="宋体" w:cs="宋体"/>
          <w:color w:val="auto"/>
        </w:rPr>
        <w:t xml:space="preserve">属于</w:t>
      </w:r>
      <w:r>
        <w:rPr>
          <w:rFonts w:hint="eastAsia" w:ascii="宋体" w:hAnsi="宋体" w:eastAsia="宋体" w:cs="宋体"/>
          <w:b/>
          <w:bCs/>
          <w:color w:val="auto"/>
          <w:szCs w:val="21"/>
          <w:u w:val="single"/>
        </w:rPr>
        <w:t xml:space="preserve">     </w:t>
      </w:r>
      <w:r>
        <w:rPr>
          <w:rFonts w:hint="eastAsia" w:ascii="宋体" w:hAnsi="宋体" w:eastAsia="宋体" w:cs="宋体"/>
          <w:color w:val="auto"/>
          <w:szCs w:val="21"/>
          <w:u w:val="single"/>
        </w:rPr>
        <w:t xml:space="preserve">（采购文件中明确的所属行业）</w:t>
      </w:r>
      <w:r>
        <w:rPr>
          <w:rFonts w:hint="eastAsia" w:ascii="宋体" w:hAnsi="宋体" w:eastAsia="宋体" w:cs="宋体"/>
          <w:color w:val="auto"/>
        </w:rPr>
        <w:t xml:space="preserve">；制造商企业为</w:t>
      </w:r>
      <w:r>
        <w:rPr>
          <w:rFonts w:hint="eastAsia" w:ascii="宋体" w:hAnsi="宋体" w:eastAsia="宋体" w:cs="宋体"/>
          <w:i/>
          <w:iCs/>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i/>
          <w:iCs/>
          <w:color w:val="auto"/>
          <w:u w:val="single"/>
        </w:rPr>
        <w:t xml:space="preserve">（中型企业、小型企业、微型企业）</w:t>
      </w:r>
      <w:r>
        <w:rPr>
          <w:rFonts w:hint="eastAsia" w:ascii="宋体" w:hAnsi="宋体" w:eastAsia="宋体" w:cs="宋体"/>
          <w:color w:val="auto"/>
        </w:rPr>
        <w:t xml:space="preserve">；</w:t>
      </w:r>
      <w:r/>
    </w:p>
    <w:p>
      <w:pPr>
        <w:pStyle w:val="1145"/>
        <w:numPr>
          <w:ilvl w:val="0"/>
          <w:numId w:val="18"/>
        </w:numPr>
        <w:spacing w:line="440" w:lineRule="exact"/>
        <w:rPr>
          <w:rFonts w:hint="eastAsia" w:ascii="宋体" w:hAnsi="宋体" w:eastAsia="宋体" w:cs="宋体"/>
          <w:color w:val="auto"/>
        </w:rPr>
      </w:pPr>
      <w:r>
        <w:rPr>
          <w:rFonts w:hint="eastAsia" w:ascii="宋体" w:hAnsi="宋体" w:eastAsia="宋体" w:cs="宋体"/>
          <w:color w:val="auto"/>
        </w:rPr>
        <w:t xml:space="preserve">......</w:t>
      </w:r>
      <w:r/>
    </w:p>
    <w:p>
      <w:pPr>
        <w:pStyle w:val="1148"/>
        <w:ind w:firstLine="480"/>
        <w:spacing w:before="240" w:after="240"/>
        <w:rPr>
          <w:rFonts w:hint="eastAsia" w:ascii="宋体" w:hAnsi="宋体" w:eastAsia="宋体" w:cs="宋体"/>
          <w:color w:val="auto"/>
        </w:rPr>
      </w:pPr>
      <w:r>
        <w:rPr>
          <w:rFonts w:ascii="宋体" w:hAnsi="宋体" w:eastAsia="宋体" w:cs="宋体"/>
          <w:color w:val="auto"/>
        </w:rPr>
        <w:t xml:space="preserve">以上企业，不属于大企业的分支机构，不存在控股股东为大企业的情形，也不存在与大企业的负责人为同一人的情形。 </w:t>
      </w:r>
      <w:r/>
    </w:p>
    <w:p>
      <w:pPr>
        <w:pStyle w:val="1148"/>
        <w:ind w:firstLine="480"/>
        <w:spacing w:before="240" w:after="240"/>
        <w:rPr>
          <w:rFonts w:hint="eastAsia" w:ascii="宋体" w:hAnsi="宋体" w:eastAsia="宋体" w:cs="宋体"/>
          <w:color w:val="auto"/>
        </w:rPr>
      </w:pPr>
      <w:r>
        <w:rPr>
          <w:rFonts w:ascii="宋体" w:hAnsi="宋体" w:eastAsia="宋体" w:cs="宋体"/>
          <w:color w:val="auto"/>
        </w:rPr>
        <w:t xml:space="preserve">本企业对上述声明内容的真实性负责。如有虚假，将依法承担相应责任。 </w:t>
      </w:r>
      <w:r/>
    </w:p>
    <w:p>
      <w:pPr>
        <w:pStyle w:val="1148"/>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企业名称（盖章）：   </w:t>
      </w:r>
      <w:r/>
    </w:p>
    <w:p>
      <w:pPr>
        <w:pStyle w:val="1148"/>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w:t>
      </w:r>
      <w:r/>
    </w:p>
    <w:p>
      <w:pPr>
        <w:pStyle w:val="1148"/>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注：供应商对照《关于印发中小企业划型标准规定的通知》（工信部联企业【2011】300号）中的标准，明确标的承接企业所属企业类型。</w:t>
      </w:r>
      <w:r/>
    </w:p>
    <w:p>
      <w:pPr>
        <w:ind w:firstLine="480"/>
        <w:rPr>
          <w:rFonts w:hint="eastAsia" w:ascii="宋体" w:hAnsi="宋体" w:cs="宋体"/>
          <w:color w:val="auto"/>
          <w:sz w:val="24"/>
        </w:rPr>
      </w:pPr>
      <w:r>
        <w:rPr>
          <w:rFonts w:hint="eastAsia" w:ascii="宋体" w:hAnsi="宋体" w:cs="宋体"/>
          <w:color w:val="auto"/>
          <w:sz w:val="24"/>
        </w:rPr>
        <w:t xml:space="preserve">备注：1.从业人员、营业收入、资产总额填报上一年度数据，无上一年度数据的新成立企业可不填报。</w:t>
      </w:r>
      <w:r/>
    </w:p>
    <w:p>
      <w:pPr>
        <w:ind w:firstLine="480"/>
        <w:rPr>
          <w:rFonts w:hint="eastAsia" w:ascii="宋体" w:hAnsi="宋体" w:cs="宋体"/>
          <w:color w:val="auto"/>
          <w:sz w:val="24"/>
        </w:rPr>
      </w:pPr>
      <w:r>
        <w:rPr>
          <w:rFonts w:hint="eastAsia" w:ascii="宋体" w:hAnsi="宋体" w:cs="宋体"/>
          <w:color w:val="auto"/>
          <w:sz w:val="24"/>
        </w:rPr>
        <w:t xml:space="preserve">2.涉及多个采购标的的项目，供应商应当逐一填报与采购项目属性一致的每个采购标的（主要采购标的，不包括配件、辅料等）的制造商或者承建（承接）供应商信息。</w:t>
      </w:r>
      <w:r/>
    </w:p>
    <w:p>
      <w:pPr>
        <w:ind w:firstLine="480"/>
        <w:rPr>
          <w:rFonts w:hint="eastAsia" w:ascii="宋体" w:hAnsi="宋体" w:cs="宋体"/>
          <w:color w:val="auto"/>
          <w:sz w:val="24"/>
        </w:rPr>
      </w:pPr>
      <w:r>
        <w:rPr>
          <w:rFonts w:hint="eastAsia" w:ascii="宋体" w:hAnsi="宋体" w:cs="宋体"/>
          <w:color w:val="auto"/>
          <w:sz w:val="24"/>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rPr>
          <w:rStyle w:val="1163"/>
          <w:rFonts w:hint="eastAsia" w:ascii="宋体" w:hAnsi="宋体" w:cs="宋体"/>
          <w:color w:val="auto"/>
          <w:sz w:val="24"/>
        </w:rPr>
      </w:pPr>
      <w:r>
        <w:rPr>
          <w:rFonts w:hint="eastAsia" w:ascii="宋体" w:hAnsi="宋体" w:cs="宋体"/>
          <w:color w:val="auto"/>
          <w:sz w:val="24"/>
        </w:rPr>
        <w:t xml:space="preserve">4.若供应商对照《政府采购促进中小企业发展管理办法》 (财库〔2020〕46号)中的规定，明确不符合中小企业的，则无需提供此声明函。 </w:t>
      </w:r>
      <w:r/>
    </w:p>
    <w:p>
      <w:pPr>
        <w:pStyle w:val="1148"/>
        <w:rPr>
          <w:rStyle w:val="1163"/>
          <w:rFonts w:hint="eastAsia" w:ascii="宋体" w:hAnsi="宋体" w:eastAsia="宋体" w:cs="宋体"/>
          <w:color w:val="auto"/>
        </w:rPr>
      </w:pPr>
      <w:r>
        <w:rPr>
          <w:rFonts w:hint="eastAsia" w:ascii="宋体" w:hAnsi="宋体" w:eastAsia="宋体" w:cs="宋体"/>
          <w:color w:val="auto"/>
        </w:rPr>
      </w:r>
      <w:r/>
    </w:p>
    <w:p>
      <w:pPr>
        <w:pStyle w:val="1148"/>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附：中小企业划型标准规定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（一）农、林、牧、渔业。营业收入20000万元以下的为中小微型企业。其中，营业收入500万元及以上的为中型企业，营业收入50万元及以上的为小型企业，营业收入50万元以下的为微型企业。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48"/>
        <w:spacing w:before="240" w:after="240"/>
        <w:rPr>
          <w:rFonts w:hint="eastAsia" w:ascii="宋体" w:hAnsi="宋体" w:eastAsia="宋体" w:cs="宋体"/>
          <w:color w:val="auto"/>
        </w:rPr>
      </w:pPr>
      <w:r>
        <w:rPr>
          <w:rFonts w:ascii="宋体" w:hAnsi="宋体" w:eastAsia="宋体" w:cs="宋体"/>
          <w:color w:va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0"/>
        <w:rPr>
          <w:rFonts w:hint="eastAsia" w:ascii="宋体" w:hAnsi="宋体" w:cs="宋体"/>
          <w:color w:val="auto"/>
          <w:sz w:val="24"/>
        </w:rPr>
      </w:pPr>
      <w:r>
        <w:rPr>
          <w:rFonts w:ascii="宋体" w:hAnsi="宋体" w:cs="宋体"/>
          <w:color w:val="auto"/>
          <w:sz w:val="24"/>
        </w:rPr>
        <w:t xml:space="preserve">（十六）其他未列明行业。从业人员300人以下的为中小微型企业。其中，从业人员100人及以上的为中型企业；从业人员10人及以上的为小型企业；从业人员10人以下的为微型企业。</w:t>
      </w:r>
      <w:r/>
    </w:p>
    <w:p>
      <w:pPr>
        <w:pStyle w:val="1148"/>
        <w:rPr>
          <w:rStyle w:val="1163"/>
          <w:rFonts w:hint="eastAsia" w:ascii="宋体" w:hAnsi="宋体" w:eastAsia="宋体" w:cs="宋体"/>
          <w:color w:val="auto"/>
        </w:rPr>
      </w:pPr>
      <w:r>
        <w:rPr>
          <w:rFonts w:hint="eastAsia" w:ascii="宋体" w:hAnsi="宋体" w:eastAsia="宋体" w:cs="宋体"/>
          <w:color w:val="auto"/>
        </w:rPr>
      </w:r>
      <w:r/>
    </w:p>
    <w:p>
      <w:pPr>
        <w:pStyle w:val="1132"/>
        <w:numPr>
          <w:ilvl w:val="0"/>
          <w:numId w:val="0"/>
        </w:numPr>
        <w:jc w:val="center"/>
        <w:pageBreakBefore/>
        <w:rPr>
          <w:rFonts w:ascii="Times New Roman" w:hAnsi="Times New Roman" w:cs="Times New Roman"/>
          <w:b/>
          <w:bCs/>
          <w:color w:val="auto"/>
          <w:sz w:val="32"/>
          <w:szCs w:val="32"/>
        </w:rPr>
      </w:pPr>
      <w:r>
        <w:rPr>
          <w:rFonts w:hint="eastAsia" w:ascii="Times New Roman" w:hAnsi="Times New Roman" w:cs="Times New Roman"/>
          <w:b/>
          <w:bCs/>
          <w:color w:val="auto"/>
          <w:sz w:val="32"/>
          <w:szCs w:val="32"/>
        </w:rPr>
        <w:t xml:space="preserve">残疾人福利性单位声明函</w:t>
      </w:r>
      <w:r>
        <w:rPr>
          <w:rFonts w:hint="eastAsia"/>
          <w:b/>
          <w:color w:val="auto"/>
          <w:sz w:val="32"/>
          <w:szCs w:val="32"/>
        </w:rPr>
      </w:r>
      <w:r/>
    </w:p>
    <w:p>
      <w:pPr>
        <w:jc w:val="center"/>
        <w:rPr>
          <w:color w:val="auto"/>
        </w:rPr>
      </w:pPr>
      <w:r>
        <w:rPr>
          <w:rStyle w:val="1163"/>
          <w:rFonts w:ascii="宋体" w:hAnsi="宋体" w:cs="宋体"/>
          <w:color w:val="auto"/>
          <w:sz w:val="32"/>
          <w:szCs w:val="32"/>
        </w:rPr>
        <w:t xml:space="preserve">残疾人福利性单位声明函</w:t>
      </w:r>
      <w:r/>
    </w:p>
    <w:p>
      <w:pPr>
        <w:rPr>
          <w:color w:val="auto"/>
        </w:rPr>
      </w:pPr>
      <w:r>
        <w:rPr>
          <w:color w:val="auto"/>
        </w:rPr>
      </w:r>
      <w:r/>
    </w:p>
    <w:p>
      <w:pPr>
        <w:pStyle w:val="1155"/>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w:t>
      </w:r>
      <w:r>
        <w:rPr>
          <w:rStyle w:val="1163"/>
          <w:rFonts w:ascii="宋体" w:hAnsi="宋体" w:eastAsia="宋体" w:cs="宋体"/>
          <w:color w:val="auto"/>
          <w:sz w:val="24"/>
          <w:szCs w:val="24"/>
        </w:rPr>
        <w:t xml:space="preserve">单位的</w:t>
      </w:r>
      <w:r>
        <w:rPr>
          <w:rFonts w:hint="eastAsia" w:ascii="宋体" w:hAnsi="宋体" w:eastAsia="宋体" w:cs="宋体"/>
          <w:color w:val="auto"/>
          <w:sz w:val="24"/>
          <w:szCs w:val="24"/>
          <w:u w:val="single"/>
        </w:rPr>
        <w:t xml:space="preserve">    </w:t>
      </w:r>
      <w:r>
        <w:rPr>
          <w:rStyle w:val="1163"/>
          <w:rFonts w:ascii="宋体" w:hAnsi="宋体" w:eastAsia="宋体" w:cs="宋体"/>
          <w:color w:val="auto"/>
          <w:sz w:val="24"/>
          <w:szCs w:val="24"/>
        </w:rPr>
        <w:t xml:space="preserve">项目采购活动提供本单位制造的货物（由本单位承担工程/提供服务），或者提供其他残疾人福利性单位制造的货物（不包括使用非残疾人福利性单位注册商标的货物）。 </w:t>
      </w:r>
      <w:r/>
    </w:p>
    <w:p>
      <w:pPr>
        <w:pStyle w:val="1155"/>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本单位对上述声明的真实性负责。如有虚假，将依法承担相应责任。</w:t>
      </w:r>
      <w:r/>
    </w:p>
    <w:p>
      <w:pPr>
        <w:pStyle w:val="1155"/>
        <w:jc w:val="center"/>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 </w:t>
      </w:r>
      <w:r/>
    </w:p>
    <w:p>
      <w:pPr>
        <w:pStyle w:val="1155"/>
        <w:jc w:val="center"/>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 </w:t>
      </w:r>
      <w:r/>
    </w:p>
    <w:p>
      <w:pPr>
        <w:pStyle w:val="1155"/>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单位名称（盖章）：   </w:t>
      </w:r>
      <w:r/>
    </w:p>
    <w:p>
      <w:pPr>
        <w:pStyle w:val="1155"/>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日期：   </w:t>
      </w:r>
      <w:r/>
    </w:p>
    <w:p>
      <w:pPr>
        <w:pStyle w:val="1155"/>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55"/>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供应商提供的《残疾人福利性单位声明函》与事实不符的，依照《政府采购法》第七十七条第一款的规定追究法律责任。</w:t>
      </w:r>
      <w:r/>
    </w:p>
    <w:p>
      <w:pPr>
        <w:pStyle w:val="1155"/>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中标、成交供应商为残疾人福利性单位的，采购人或者其委托的采购代理机构应当随中标、成交结果同时公告其《残疾人福利性单位声明函》，接受社会监督。</w:t>
      </w:r>
      <w:r/>
    </w:p>
    <w:p>
      <w:pPr>
        <w:pStyle w:val="1155"/>
        <w:spacing w:before="240" w:after="240"/>
        <w:rPr>
          <w:rStyle w:val="1163"/>
          <w:rFonts w:hint="eastAsia" w:ascii="宋体" w:hAnsi="宋体" w:eastAsia="宋体" w:cs="宋体"/>
          <w:color w:val="auto"/>
          <w:sz w:val="24"/>
          <w:szCs w:val="24"/>
        </w:rPr>
      </w:pPr>
      <w:r>
        <w:rPr>
          <w:rStyle w:val="1163"/>
          <w:rFonts w:ascii="宋体" w:hAnsi="宋体" w:eastAsia="宋体" w:cs="宋体"/>
          <w:color w:val="auto"/>
          <w:sz w:val="24"/>
          <w:szCs w:val="24"/>
        </w:rPr>
        <w:t xml:space="preserve">2、若供应商对照《关于促进残疾人就业政府采购政策的通知》（财库〔2017〕141号）中的规定，明确不符合残疾人福利性单位条件的，则无需提供此声明函。 </w:t>
      </w:r>
      <w:r/>
    </w:p>
    <w:p>
      <w:pPr>
        <w:ind w:firstLine="648"/>
        <w:jc w:val="left"/>
        <w:rPr>
          <w:color w:val="auto"/>
        </w:rPr>
      </w:pPr>
      <w:r>
        <w:rPr>
          <w:color w:val="auto"/>
        </w:rPr>
      </w:r>
      <w:r/>
    </w:p>
    <w:p>
      <w:pPr>
        <w:pStyle w:val="1132"/>
        <w:numPr>
          <w:ilvl w:val="0"/>
          <w:numId w:val="0"/>
        </w:numPr>
        <w:jc w:val="center"/>
        <w:pageBreakBefore/>
        <w:rPr>
          <w:rFonts w:ascii="Times New Roman" w:hAnsi="Times New Roman" w:cs="Times New Roman"/>
          <w:b/>
          <w:bCs/>
          <w:color w:val="auto"/>
          <w:sz w:val="32"/>
          <w:szCs w:val="32"/>
        </w:rPr>
      </w:pPr>
      <w:r>
        <w:rPr>
          <w:rFonts w:hint="eastAsia" w:ascii="Times New Roman" w:hAnsi="Times New Roman" w:cs="Times New Roman"/>
          <w:b/>
          <w:bCs/>
          <w:color w:val="auto"/>
          <w:sz w:val="32"/>
          <w:szCs w:val="32"/>
        </w:rPr>
        <w:t xml:space="preserve">监狱企业的证明文件</w:t>
      </w:r>
      <w:r>
        <w:rPr>
          <w:rFonts w:hint="eastAsia"/>
          <w:b/>
          <w:color w:val="auto"/>
          <w:sz w:val="32"/>
          <w:szCs w:val="32"/>
        </w:rPr>
      </w:r>
      <w:r/>
    </w:p>
    <w:p>
      <w:pPr>
        <w:jc w:val="center"/>
        <w:rPr>
          <w:rStyle w:val="1163"/>
          <w:rFonts w:ascii="Calibri" w:hAnsi="Calibri"/>
          <w:color w:val="auto"/>
          <w:sz w:val="32"/>
          <w:szCs w:val="32"/>
        </w:rPr>
      </w:pPr>
      <w:r>
        <w:rPr>
          <w:rStyle w:val="1163"/>
          <w:rFonts w:hint="eastAsia" w:ascii="Calibri" w:hAnsi="Calibri"/>
          <w:color w:val="auto"/>
          <w:sz w:val="32"/>
          <w:szCs w:val="32"/>
        </w:rPr>
        <w:t xml:space="preserve">监狱企业的证明文件</w:t>
      </w:r>
      <w:r/>
    </w:p>
    <w:p>
      <w:pPr>
        <w:pStyle w:val="1142"/>
        <w:ind w:firstLine="4560"/>
        <w:spacing w:before="240" w:after="240"/>
        <w:rPr>
          <w:rStyle w:val="1087"/>
          <w:color w:val="auto"/>
        </w:rPr>
      </w:pPr>
      <w:r>
        <w:rPr>
          <w:color w:val="auto"/>
        </w:rPr>
      </w:r>
      <w:r/>
    </w:p>
    <w:p>
      <w:pPr>
        <w:pStyle w:val="1157"/>
        <w:ind w:firstLine="480"/>
        <w:spacing w:line="440" w:lineRule="exact"/>
        <w:rPr>
          <w:rStyle w:val="1163"/>
          <w:rFonts w:hint="eastAsia" w:ascii="宋体" w:hAnsi="宋体" w:cs="宋体"/>
          <w:color w:val="auto"/>
          <w:sz w:val="24"/>
          <w:szCs w:val="24"/>
        </w:rPr>
      </w:pPr>
      <w:r>
        <w:rPr>
          <w:rStyle w:val="1163"/>
          <w:rFonts w:hint="eastAsia" w:ascii="宋体" w:hAnsi="宋体" w:cs="宋体"/>
          <w:color w:val="auto"/>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57"/>
        <w:rPr>
          <w:rStyle w:val="1163"/>
          <w:rFonts w:hint="eastAsia" w:ascii="等线" w:hAnsi="等线" w:eastAsia="等线"/>
          <w:color w:val="auto"/>
        </w:rPr>
      </w:pPr>
      <w:r>
        <w:rPr>
          <w:rStyle w:val="1163"/>
          <w:rFonts w:hint="eastAsia" w:ascii="等线" w:hAnsi="等线" w:eastAsia="等线"/>
          <w:color w:val="auto"/>
        </w:rPr>
        <w:t xml:space="preserve">      </w:t>
      </w:r>
      <w:r/>
    </w:p>
    <w:p>
      <w:pPr>
        <w:pStyle w:val="1132"/>
        <w:numPr>
          <w:ilvl w:val="0"/>
          <w:numId w:val="0"/>
        </w:numPr>
        <w:ind w:firstLine="480"/>
        <w:rPr>
          <w:rStyle w:val="1163"/>
          <w:rFonts w:hint="eastAsia"/>
          <w:b/>
          <w:color w:val="auto"/>
          <w:sz w:val="24"/>
          <w:szCs w:val="22"/>
        </w:rPr>
      </w:pPr>
      <w:r>
        <w:rPr>
          <w:rStyle w:val="1163"/>
          <w:rFonts w:hint="eastAsia"/>
          <w:color w:val="auto"/>
          <w:sz w:val="24"/>
          <w:szCs w:val="24"/>
        </w:rPr>
        <w:t xml:space="preserve">2、若供应商对照《关于政府采购支持监狱企业发展有关问题的通知》（财库〔2014〕68号）中的规定，明确不符合监狱企业条件的，则无需提供相关证明文件。</w:t>
      </w:r>
      <w:r/>
    </w:p>
    <w:p>
      <w:pPr>
        <w:pStyle w:val="1142"/>
        <w:spacing w:before="240" w:after="240"/>
        <w:rPr>
          <w:rStyle w:val="1087"/>
          <w:color w:val="auto"/>
        </w:rPr>
      </w:pPr>
      <w:r>
        <w:rPr>
          <w:color w:val="auto"/>
        </w:rPr>
      </w:r>
      <w:r/>
    </w:p>
    <w:p>
      <w:pPr>
        <w:numPr>
          <w:ilvl w:val="0"/>
          <w:numId w:val="16"/>
        </w:numPr>
        <w:jc w:val="left"/>
        <w:pageBreakBefore/>
        <w:spacing w:before="120" w:after="120"/>
        <w:rPr>
          <w:rFonts w:hint="eastAsia" w:ascii="宋体" w:hAnsi="宋体"/>
          <w:b/>
          <w:color w:val="auto"/>
          <w:sz w:val="32"/>
          <w:szCs w:val="40"/>
        </w:rPr>
        <w:outlineLvl w:val="1"/>
      </w:pPr>
      <w:r>
        <w:rPr>
          <w:rFonts w:hint="eastAsia" w:ascii="宋体" w:hAnsi="宋体"/>
          <w:b/>
          <w:color w:val="auto"/>
          <w:sz w:val="32"/>
          <w:szCs w:val="40"/>
        </w:rPr>
        <w:t xml:space="preserve">类似项目业绩一览表</w:t>
      </w:r>
      <w:r/>
    </w:p>
    <w:p>
      <w:pPr>
        <w:ind w:left="0" w:right="775" w:firstLine="0"/>
        <w:jc w:val="center"/>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类似项目业绩一览表</w:t>
      </w:r>
      <w:r/>
    </w:p>
    <w:tbl>
      <w:tblPr>
        <w:tblStyle w:val="904"/>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序号</w:t>
            </w:r>
            <w:r/>
          </w:p>
        </w:tc>
        <w:tc>
          <w:tcPr>
            <w:tcW w:w="2661"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项目名称</w:t>
            </w:r>
            <w:r/>
          </w:p>
        </w:tc>
        <w:tc>
          <w:tcPr>
            <w:tcBorders>
              <w:right w:val="single" w:color="auto" w:sz="4" w:space="0"/>
            </w:tcBorders>
            <w:tcW w:w="2322"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合同金额</w:t>
            </w:r>
            <w:r/>
          </w:p>
        </w:tc>
        <w:tc>
          <w:tcPr>
            <w:tcW w:w="1792"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备注</w:t>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2661"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W w:w="179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2661"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W w:w="179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2661"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W w:w="179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2661"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W w:w="179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r>
      <w:tr>
        <w:trPr>
          <w:cantSplit/>
          <w:jc w:val="center"/>
          <w:trHeight w:val="510" w:hRule="exact"/>
        </w:trPr>
        <w:tc>
          <w:tcPr>
            <w:tcW w:w="1071"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2661"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W w:w="179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r>
      <w:tr>
        <w:trPr>
          <w:cantSplit/>
          <w:jc w:val="center"/>
          <w:trHeight w:val="510" w:hRule="exact"/>
        </w:trPr>
        <w:tc>
          <w:tcPr>
            <w:tcW w:w="1071" w:type="dxa"/>
            <w:vAlign w:val="center"/>
            <w:textDirection w:val="tbRlV"/>
            <w:noWrap w:val="false"/>
          </w:tcPr>
          <w:p>
            <w:pPr>
              <w:ind w:left="113" w:right="113" w:firstLine="480"/>
              <w:jc w:val="center"/>
              <w:rPr>
                <w:rFonts w:hint="eastAsia" w:ascii="宋体" w:hAnsi="宋体"/>
                <w:color w:val="auto"/>
                <w:sz w:val="24"/>
              </w:rPr>
            </w:pPr>
            <w:r>
              <w:rPr>
                <w:rFonts w:hint="eastAsia" w:ascii="宋体" w:hAnsi="宋体"/>
                <w:color w:val="auto"/>
                <w:sz w:val="24"/>
              </w:rPr>
            </w:r>
            <w:r/>
          </w:p>
        </w:tc>
        <w:tc>
          <w:tcPr>
            <w:tcW w:w="2661"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right w:val="single" w:color="auto" w:sz="4" w:space="0"/>
            </w:tcBorders>
            <w:tcW w:w="232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c>
          <w:tcPr>
            <w:tcW w:w="1792" w:type="dxa"/>
            <w:vAlign w:val="center"/>
            <w:textDirection w:val="lrTb"/>
            <w:noWrap w:val="false"/>
          </w:tcPr>
          <w:p>
            <w:pPr>
              <w:ind w:left="420" w:firstLine="480"/>
              <w:jc w:val="center"/>
              <w:rPr>
                <w:rFonts w:hint="eastAsia" w:ascii="宋体" w:hAnsi="宋体"/>
                <w:color w:val="auto"/>
                <w:sz w:val="24"/>
              </w:rPr>
            </w:pPr>
            <w:r>
              <w:rPr>
                <w:rFonts w:hint="eastAsia" w:ascii="宋体" w:hAnsi="宋体"/>
                <w:color w:val="auto"/>
                <w:sz w:val="24"/>
              </w:rPr>
            </w:r>
            <w:r/>
          </w:p>
        </w:tc>
      </w:tr>
      <w:tr>
        <w:trPr>
          <w:cantSplit/>
          <w:jc w:val="center"/>
          <w:trHeight w:val="510" w:hRule="exact"/>
        </w:trPr>
        <w:tc>
          <w:tcPr>
            <w:tcW w:w="1071" w:type="dxa"/>
            <w:vAlign w:val="center"/>
            <w:textDirection w:val="lrTb"/>
            <w:noWrap w:val="false"/>
          </w:tcPr>
          <w:p>
            <w:pPr>
              <w:ind w:firstLine="480"/>
              <w:jc w:val="center"/>
              <w:rPr>
                <w:rFonts w:hint="eastAsia" w:ascii="宋体" w:hAnsi="宋体"/>
                <w:color w:val="auto"/>
                <w:sz w:val="24"/>
              </w:rPr>
            </w:pPr>
            <w:r>
              <w:rPr>
                <w:rFonts w:hint="eastAsia" w:ascii="宋体" w:hAnsi="宋体"/>
                <w:color w:val="auto"/>
                <w:sz w:val="24"/>
              </w:rPr>
            </w:r>
            <w:r/>
          </w:p>
        </w:tc>
        <w:tc>
          <w:tcPr>
            <w:tcW w:w="2661" w:type="dxa"/>
            <w:vAlign w:val="center"/>
            <w:textDirection w:val="lrTb"/>
            <w:noWrap w:val="false"/>
          </w:tcPr>
          <w:p>
            <w:pPr>
              <w:ind w:firstLine="480"/>
              <w:jc w:val="center"/>
              <w:rPr>
                <w:rFonts w:hint="eastAsia" w:ascii="宋体" w:hAnsi="宋体"/>
                <w:color w:val="auto"/>
                <w:sz w:val="24"/>
              </w:rPr>
            </w:pPr>
            <w:r>
              <w:rPr>
                <w:rFonts w:hint="eastAsia" w:ascii="宋体" w:hAnsi="宋体"/>
                <w:color w:val="auto"/>
                <w:sz w:val="24"/>
              </w:rPr>
            </w:r>
            <w:r/>
          </w:p>
        </w:tc>
        <w:tc>
          <w:tcPr>
            <w:tcBorders>
              <w:right w:val="single" w:color="auto" w:sz="4" w:space="0"/>
            </w:tcBorders>
            <w:tcW w:w="2322" w:type="dxa"/>
            <w:vAlign w:val="center"/>
            <w:textDirection w:val="lrTb"/>
            <w:noWrap w:val="false"/>
          </w:tcPr>
          <w:p>
            <w:pPr>
              <w:ind w:firstLine="480"/>
              <w:jc w:val="center"/>
              <w:rPr>
                <w:rFonts w:hint="eastAsia" w:ascii="宋体" w:hAnsi="宋体"/>
                <w:color w:val="auto"/>
                <w:sz w:val="24"/>
              </w:rPr>
            </w:pPr>
            <w:r>
              <w:rPr>
                <w:rFonts w:hint="eastAsia" w:ascii="宋体" w:hAnsi="宋体"/>
                <w:color w:val="auto"/>
                <w:sz w:val="24"/>
              </w:rPr>
            </w:r>
            <w:r/>
          </w:p>
        </w:tc>
        <w:tc>
          <w:tcPr>
            <w:tcBorders>
              <w:left w:val="single" w:color="auto" w:sz="4" w:space="0"/>
              <w:right w:val="single" w:color="auto" w:sz="4" w:space="0"/>
            </w:tcBorders>
            <w:tcW w:w="1956" w:type="dxa"/>
            <w:vAlign w:val="center"/>
            <w:textDirection w:val="lrTb"/>
            <w:noWrap w:val="false"/>
          </w:tcPr>
          <w:p>
            <w:pPr>
              <w:ind w:firstLine="480"/>
              <w:jc w:val="center"/>
              <w:rPr>
                <w:rFonts w:hint="eastAsia" w:ascii="宋体" w:hAnsi="宋体"/>
                <w:color w:val="auto"/>
                <w:sz w:val="24"/>
              </w:rPr>
            </w:pPr>
            <w:r>
              <w:rPr>
                <w:rFonts w:hint="eastAsia" w:ascii="宋体" w:hAnsi="宋体"/>
                <w:color w:val="auto"/>
                <w:sz w:val="24"/>
              </w:rPr>
            </w:r>
            <w:r/>
          </w:p>
        </w:tc>
        <w:tc>
          <w:tcPr>
            <w:tcW w:w="1792" w:type="dxa"/>
            <w:vAlign w:val="center"/>
            <w:textDirection w:val="lrTb"/>
            <w:noWrap w:val="false"/>
          </w:tcPr>
          <w:p>
            <w:pPr>
              <w:ind w:firstLine="480"/>
              <w:jc w:val="center"/>
              <w:rPr>
                <w:rFonts w:hint="eastAsia" w:ascii="宋体" w:hAnsi="宋体"/>
                <w:color w:val="auto"/>
                <w:sz w:val="24"/>
              </w:rPr>
            </w:pPr>
            <w:r>
              <w:rPr>
                <w:rFonts w:hint="eastAsia" w:ascii="宋体" w:hAnsi="宋体"/>
                <w:color w:val="auto"/>
                <w:sz w:val="24"/>
              </w:rPr>
            </w:r>
            <w:r/>
          </w:p>
        </w:tc>
      </w:tr>
    </w:tbl>
    <w:p>
      <w:pPr>
        <w:rPr>
          <w:color w:val="auto"/>
          <w:sz w:val="24"/>
          <w:szCs w:val="21"/>
        </w:rPr>
      </w:pPr>
      <w:r>
        <w:rPr>
          <w:color w:val="auto"/>
          <w:sz w:val="24"/>
          <w:szCs w:val="21"/>
        </w:rPr>
      </w:r>
      <w:r/>
    </w:p>
    <w:p>
      <w:pPr>
        <w:rPr>
          <w:color w:val="auto"/>
          <w:sz w:val="24"/>
          <w:szCs w:val="21"/>
        </w:rPr>
      </w:pPr>
      <w:r>
        <w:rPr>
          <w:color w:val="auto"/>
          <w:sz w:val="24"/>
          <w:szCs w:val="21"/>
        </w:rPr>
      </w:r>
      <w:r/>
    </w:p>
    <w:p>
      <w:pPr>
        <w:jc w:val="center"/>
        <w:keepLines/>
        <w:keepNext/>
        <w:pageBreakBefore/>
        <w:spacing w:line="360" w:lineRule="auto"/>
        <w:rPr>
          <w:rFonts w:ascii="Times New Roman Regular" w:hAnsi="Times New Roman Regular" w:cs="Times New Roman Regular"/>
          <w:b/>
          <w:bCs/>
          <w:color w:val="auto"/>
          <w:sz w:val="32"/>
          <w:szCs w:val="32"/>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3"/>
      </w:pPr>
      <w:r>
        <w:rPr>
          <w:rFonts w:ascii="Times New Roman Regular" w:hAnsi="Times New Roman Regular" w:cs="Times New Roman Regular"/>
          <w:b/>
          <w:bCs/>
          <w:color w:val="auto"/>
          <w:sz w:val="32"/>
          <w:szCs w:val="32"/>
        </w:rPr>
      </w:r>
      <w:r/>
    </w:p>
    <w:p>
      <w:pPr>
        <w:numPr>
          <w:ilvl w:val="0"/>
          <w:numId w:val="16"/>
        </w:numPr>
        <w:jc w:val="center"/>
        <w:pageBreakBefore/>
        <w:spacing w:before="120" w:after="120"/>
        <w:rPr>
          <w:b/>
          <w:bCs/>
          <w:color w:val="auto"/>
          <w:sz w:val="32"/>
          <w:szCs w:val="32"/>
        </w:rPr>
        <w:outlineLvl w:val="1"/>
      </w:pPr>
      <w:r>
        <w:rPr>
          <w:rFonts w:hint="eastAsia" w:ascii="宋体" w:hAnsi="宋体"/>
          <w:b/>
          <w:color w:val="auto"/>
          <w:sz w:val="32"/>
          <w:szCs w:val="32"/>
        </w:rPr>
        <w:t xml:space="preserve">投标人情况介绍</w:t>
      </w:r>
      <w:r/>
    </w:p>
    <w:p>
      <w:pPr>
        <w:pStyle w:val="1091"/>
        <w:ind w:firstLine="0"/>
        <w:spacing w:after="0" w:line="360" w:lineRule="auto"/>
        <w:widowControl/>
        <w:tabs>
          <w:tab w:val="left" w:pos="1484" w:leader="none"/>
        </w:tabs>
        <w:rPr>
          <w:rFonts w:hint="eastAsia" w:ascii="宋体" w:hAnsi="宋体" w:cs="宋体"/>
          <w:color w:val="auto"/>
          <w:sz w:val="24"/>
          <w:szCs w:val="32"/>
        </w:rPr>
      </w:pPr>
      <w:r>
        <w:rPr>
          <w:rStyle w:val="1163"/>
          <w:rFonts w:hint="eastAsia" w:ascii="宋体" w:hAnsi="宋体" w:cs="Arial"/>
          <w:color w:val="auto"/>
          <w:sz w:val="24"/>
          <w:szCs w:val="21"/>
        </w:rPr>
        <w:t xml:space="preserve">内容自定，可参考如下</w:t>
      </w:r>
      <w:r>
        <w:rPr>
          <w:rFonts w:hint="eastAsia" w:ascii="宋体" w:hAnsi="宋体" w:cs="宋体"/>
          <w:color w:val="auto"/>
          <w:sz w:val="24"/>
          <w:szCs w:val="32"/>
        </w:rPr>
        <w:t xml:space="preserve">：</w:t>
      </w:r>
      <w:r/>
    </w:p>
    <w:p>
      <w:pPr>
        <w:pStyle w:val="1091"/>
        <w:tabs>
          <w:tab w:val="left" w:pos="1484" w:leader="none"/>
        </w:tabs>
        <w:rPr>
          <w:rFonts w:hint="eastAsia" w:ascii="宋体" w:hAnsi="宋体" w:cs="宋体"/>
          <w:color w:val="auto"/>
          <w:sz w:val="24"/>
        </w:rPr>
      </w:pPr>
      <w:r>
        <w:rPr>
          <w:rFonts w:hint="eastAsia" w:ascii="宋体" w:hAnsi="宋体" w:cs="宋体"/>
          <w:color w:val="auto"/>
          <w:sz w:val="24"/>
        </w:rPr>
        <w:t xml:space="preserve">1.投标人拥有的设施设备情况（若有的话）</w:t>
      </w:r>
      <w:r/>
    </w:p>
    <w:p>
      <w:pPr>
        <w:pStyle w:val="1091"/>
        <w:tabs>
          <w:tab w:val="left" w:pos="1484" w:leader="none"/>
        </w:tabs>
        <w:rPr>
          <w:rFonts w:hint="eastAsia" w:ascii="宋体" w:hAnsi="宋体" w:cs="宋体"/>
          <w:color w:val="auto"/>
          <w:sz w:val="24"/>
        </w:rPr>
      </w:pPr>
      <w:r>
        <w:rPr>
          <w:rFonts w:hint="eastAsia" w:ascii="宋体" w:hAnsi="宋体" w:cs="宋体"/>
          <w:color w:val="auto"/>
          <w:sz w:val="24"/>
        </w:rPr>
        <w:t xml:space="preserve">2.项目负责人及其他人员介绍</w:t>
      </w:r>
      <w:r/>
    </w:p>
    <w:p>
      <w:pPr>
        <w:pStyle w:val="1091"/>
        <w:tabs>
          <w:tab w:val="left" w:pos="1484" w:leader="none"/>
        </w:tabs>
        <w:rPr>
          <w:rFonts w:hint="eastAsia" w:ascii="宋体" w:hAnsi="宋体" w:cs="宋体"/>
          <w:color w:val="auto"/>
          <w:sz w:val="24"/>
        </w:rPr>
      </w:pPr>
      <w:r>
        <w:rPr>
          <w:rFonts w:hint="eastAsia" w:ascii="宋体" w:hAnsi="宋体" w:cs="宋体"/>
          <w:color w:val="auto"/>
          <w:sz w:val="24"/>
        </w:rPr>
        <w:t xml:space="preserve">3.相关证书、奖项等</w:t>
      </w:r>
      <w:r/>
    </w:p>
    <w:p>
      <w:pPr>
        <w:ind w:firstLine="420"/>
        <w:rPr>
          <w:color w:val="auto"/>
        </w:rPr>
      </w:pPr>
      <w:r>
        <w:rPr>
          <w:rFonts w:hint="eastAsia"/>
          <w:color w:val="auto"/>
        </w:rPr>
        <w:t xml:space="preserve">.............</w:t>
      </w:r>
      <w:r/>
    </w:p>
    <w:p>
      <w:pPr>
        <w:pStyle w:val="935"/>
        <w:rPr>
          <w:rFonts w:hint="eastAsia"/>
          <w:color w:val="auto"/>
        </w:rPr>
      </w:pPr>
      <w:r>
        <w:rPr>
          <w:rFonts w:hint="eastAsia"/>
          <w:color w:val="auto"/>
        </w:rPr>
      </w:r>
      <w:r/>
    </w:p>
    <w:p>
      <w:pPr>
        <w:pStyle w:val="935"/>
        <w:rPr>
          <w:rFonts w:hint="eastAsia"/>
          <w:color w:val="auto"/>
        </w:rPr>
      </w:pPr>
      <w:r>
        <w:rPr>
          <w:rFonts w:hint="eastAsia"/>
          <w:color w:val="auto"/>
        </w:rPr>
      </w:r>
      <w:r/>
    </w:p>
    <w:p>
      <w:pPr>
        <w:numPr>
          <w:ilvl w:val="0"/>
          <w:numId w:val="16"/>
        </w:numPr>
        <w:jc w:val="center"/>
        <w:pageBreakBefore/>
        <w:spacing w:before="120" w:after="120"/>
        <w:rPr>
          <w:rFonts w:hint="eastAsia" w:ascii="宋体" w:hAnsi="宋体"/>
          <w:b/>
          <w:color w:val="auto"/>
          <w:sz w:val="32"/>
          <w:szCs w:val="32"/>
        </w:rPr>
        <w:outlineLvl w:val="1"/>
      </w:pPr>
      <w:r>
        <w:rPr>
          <w:rFonts w:hint="eastAsia" w:ascii="宋体" w:hAnsi="宋体"/>
          <w:b/>
          <w:color w:val="auto"/>
          <w:sz w:val="32"/>
          <w:szCs w:val="32"/>
        </w:rPr>
        <w:t xml:space="preserve">关于符合本国产品标准的声明函</w:t>
      </w:r>
      <w:r/>
    </w:p>
    <w:p>
      <w:pPr>
        <w:pStyle w:val="1091"/>
        <w:jc w:val="right"/>
        <w:tabs>
          <w:tab w:val="left" w:pos="1484" w:leader="none"/>
        </w:tabs>
        <w:rPr>
          <w:rFonts w:hint="eastAsia" w:ascii="宋体" w:hAnsi="宋体" w:cs="宋体"/>
          <w:color w:val="auto"/>
          <w:sz w:val="24"/>
        </w:rPr>
      </w:pPr>
      <w:r>
        <w:rPr>
          <w:rFonts w:hint="eastAsia" w:ascii="宋体" w:hAnsi="宋体" w:cs="宋体"/>
          <w:color w:val="auto"/>
          <w:sz w:val="24"/>
        </w:rPr>
      </w:r>
      <w:r/>
    </w:p>
    <w:p>
      <w:pPr>
        <w:pStyle w:val="1179"/>
        <w:jc w:val="center"/>
        <w:rPr>
          <w:rFonts w:hint="eastAsia" w:ascii="宋体" w:hAnsi="宋体" w:eastAsia="宋体" w:cs="宋体"/>
          <w:bCs/>
          <w:color w:val="auto"/>
          <w:sz w:val="32"/>
        </w:rPr>
      </w:pPr>
      <w:r>
        <w:rPr>
          <w:rFonts w:hint="eastAsia" w:ascii="宋体" w:hAnsi="宋体" w:eastAsia="宋体" w:cs="宋体"/>
          <w:bCs/>
          <w:color w:val="auto"/>
          <w:sz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auto"/>
          <w:sz w:val="24"/>
        </w:rPr>
      </w:pPr>
      <w:r>
        <w:rPr>
          <w:rFonts w:ascii="方正魏碑_GBK" w:hAnsi="方正魏碑_GBK" w:eastAsia="方正魏碑_GBK" w:cs="方正魏碑_GBK"/>
          <w:color w:val="auto"/>
          <w:sz w:val="24"/>
        </w:rPr>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4889500</wp:posOffset>
                </wp:positionH>
                <wp:positionV relativeFrom="paragraph">
                  <wp:posOffset>72390</wp:posOffset>
                </wp:positionV>
                <wp:extent cx="577215" cy="92075"/>
                <wp:effectExtent l="635" t="4445" r="12700" b="17780"/>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85.0pt;mso-position-horizontal:absolute;mso-position-vertical-relative:text;margin-top:5.7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4471035</wp:posOffset>
                </wp:positionH>
                <wp:positionV relativeFrom="paragraph">
                  <wp:posOffset>260985</wp:posOffset>
                </wp:positionV>
                <wp:extent cx="535940" cy="97790"/>
                <wp:effectExtent l="635" t="4445" r="15875" b="12065"/>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53594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2.1pt;mso-position-horizontal:absolute;mso-position-vertical-relative:text;margin-top:20.6pt;mso-position-vertical:absolute;width:42.2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3302635</wp:posOffset>
                </wp:positionH>
                <wp:positionV relativeFrom="paragraph">
                  <wp:posOffset>252730</wp:posOffset>
                </wp:positionV>
                <wp:extent cx="816610" cy="103505"/>
                <wp:effectExtent l="635" t="4445" r="1905" b="635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60.1pt;mso-position-horizontal:absolute;mso-position-vertical-relative:text;margin-top:19.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2098040</wp:posOffset>
                </wp:positionH>
                <wp:positionV relativeFrom="paragraph">
                  <wp:posOffset>260350</wp:posOffset>
                </wp:positionV>
                <wp:extent cx="816610" cy="76200"/>
                <wp:effectExtent l="635" t="4445" r="1905" b="14604"/>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65.2pt;mso-position-horizontal:absolute;mso-position-vertical-relative:text;margin-top:20.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593090</wp:posOffset>
                </wp:positionH>
                <wp:positionV relativeFrom="paragraph">
                  <wp:posOffset>455930</wp:posOffset>
                </wp:positionV>
                <wp:extent cx="763270" cy="140970"/>
                <wp:effectExtent l="635" t="4445" r="17145" b="698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763270"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46.7pt;mso-position-horizontal:absolute;mso-position-vertical-relative:text;margin-top:35.9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hd w:val="clear" w:color="auto" w:fill="ffffff"/>
        </w:rPr>
        <w:t xml:space="preserve">1.</w:t>
      </w:r>
      <w:r>
        <w:rPr>
          <w:rStyle w:val="932"/>
          <w:rFonts w:hint="eastAsia" w:ascii="宋体" w:hAnsi="宋体" w:eastAsia="宋体" w:cs="宋体"/>
          <w:i w:val="0"/>
          <w:color w:val="auto"/>
          <w:sz w:val="24"/>
          <w:u w:val="single"/>
          <w:shd w:val="clear" w:color="auto" w:fill="ffffff"/>
        </w:rPr>
        <w:t xml:space="preserve">（产品名称1）</w:t>
      </w:r>
      <w:r>
        <w:rPr>
          <w:rStyle w:val="932"/>
          <w:rFonts w:hint="eastAsia" w:ascii="宋体" w:hAnsi="宋体" w:eastAsia="宋体" w:cs="宋体"/>
          <w:i w:val="0"/>
          <w:color w:val="auto"/>
          <w:sz w:val="24"/>
          <w:shd w:val="clear" w:color="auto" w:fill="ffffff"/>
          <w:vertAlign w:val="superscript"/>
        </w:rPr>
        <w:t xml:space="preserve">1</w:t>
      </w:r>
      <w:r>
        <w:rPr>
          <w:rFonts w:hint="eastAsia" w:ascii="宋体" w:hAnsi="宋体" w:eastAsia="宋体" w:cs="宋体"/>
          <w:color w:val="auto"/>
          <w:sz w:val="24"/>
          <w:shd w:val="clear" w:color="auto" w:fill="ffffff"/>
        </w:rPr>
        <w:t xml:space="preserve">，生产厂为</w:t>
      </w:r>
      <w:r>
        <w:rPr>
          <w:rStyle w:val="932"/>
          <w:rFonts w:hint="eastAsia" w:ascii="宋体" w:hAnsi="宋体" w:eastAsia="宋体" w:cs="宋体"/>
          <w:i w:val="0"/>
          <w:color w:val="auto"/>
          <w:sz w:val="24"/>
          <w:u w:val="single"/>
          <w:shd w:val="clear" w:color="auto" w:fill="ffffff"/>
        </w:rPr>
        <w:t xml:space="preserve">（厂名）</w:t>
      </w:r>
      <w:r>
        <w:rPr>
          <w:rStyle w:val="932"/>
          <w:rFonts w:hint="eastAsia" w:ascii="宋体" w:hAnsi="宋体" w:eastAsia="宋体" w:cs="宋体"/>
          <w:i w:val="0"/>
          <w:color w:val="auto"/>
          <w:sz w:val="24"/>
          <w:shd w:val="clear" w:color="auto" w:fill="ffffff"/>
          <w:vertAlign w:val="superscript"/>
        </w:rPr>
        <w:t xml:space="preserve">2</w:t>
      </w:r>
      <w:r>
        <w:rPr>
          <w:rFonts w:hint="eastAsia" w:ascii="宋体" w:hAnsi="宋体" w:eastAsia="宋体" w:cs="宋体"/>
          <w:color w:val="auto"/>
          <w:sz w:val="24"/>
          <w:shd w:val="clear" w:color="auto" w:fill="ffffff"/>
        </w:rPr>
        <w:t xml:space="preserve">，厂址为</w:t>
      </w:r>
      <w:r>
        <w:rPr>
          <w:rStyle w:val="932"/>
          <w:rFonts w:hint="eastAsia" w:ascii="宋体" w:hAnsi="宋体" w:eastAsia="宋体" w:cs="宋体"/>
          <w:i w:val="0"/>
          <w:color w:val="auto"/>
          <w:sz w:val="24"/>
          <w:u w:val="single"/>
          <w:shd w:val="clear" w:color="auto" w:fill="ffffff"/>
        </w:rPr>
        <w:t xml:space="preserve">（生产厂址）</w:t>
      </w:r>
      <w:r>
        <w:rPr>
          <w:rFonts w:hint="eastAsia"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w:t>
      </w:r>
      <w:r>
        <w:rPr>
          <w:rStyle w:val="932"/>
          <w:rFonts w:hint="eastAsia" w:ascii="宋体" w:hAnsi="宋体" w:eastAsia="宋体" w:cs="宋体"/>
          <w:i w:val="0"/>
          <w:color w:val="auto"/>
          <w:sz w:val="24"/>
          <w:u w:val="single"/>
          <w:shd w:val="clear" w:color="auto" w:fill="ffffff"/>
        </w:rPr>
        <w:t xml:space="preserve">（产品名称1） </w:t>
      </w:r>
      <w:r>
        <w:rPr>
          <w:rFonts w:hint="eastAsia" w:ascii="宋体" w:hAnsi="宋体" w:eastAsia="宋体" w:cs="宋体"/>
          <w:color w:val="auto"/>
          <w:sz w:val="24"/>
          <w:shd w:val="clear" w:color="auto" w:fill="ffffff"/>
        </w:rPr>
        <w:t xml:space="preserve">的中国境内生产的组件成本占比≥</w:t>
      </w:r>
      <w:r>
        <w:rPr>
          <w:rStyle w:val="932"/>
          <w:rFonts w:hint="eastAsia" w:ascii="宋体" w:hAnsi="宋体" w:eastAsia="宋体" w:cs="宋体"/>
          <w:i w:val="0"/>
          <w:color w:val="auto"/>
          <w:sz w:val="24"/>
          <w:u w:val="single"/>
          <w:shd w:val="clear" w:color="auto" w:fill="ffffff"/>
        </w:rPr>
        <w:t xml:space="preserve">（规定比例）</w:t>
      </w:r>
      <w:r>
        <w:rPr>
          <w:rStyle w:val="932"/>
          <w:rFonts w:hint="eastAsia" w:ascii="宋体" w:hAnsi="宋体" w:eastAsia="宋体" w:cs="宋体"/>
          <w:i w:val="0"/>
          <w:color w:val="auto"/>
          <w:sz w:val="24"/>
          <w:shd w:val="clear" w:color="auto" w:fill="ffffff"/>
          <w:vertAlign w:val="superscript"/>
        </w:rPr>
        <w:t xml:space="preserve">3</w:t>
      </w:r>
      <w:r>
        <w:rPr>
          <w:rFonts w:hint="eastAsia" w:ascii="宋体" w:hAnsi="宋体" w:eastAsia="宋体" w:cs="宋体"/>
          <w:color w:val="auto"/>
          <w:sz w:val="24"/>
          <w:shd w:val="clear" w:color="auto" w:fill="ffffff"/>
        </w:rPr>
        <w:t xml:space="preserve">。</w:t>
      </w:r>
      <w:r>
        <w:rPr>
          <w:rStyle w:val="932"/>
          <w:rFonts w:hint="eastAsia" w:ascii="宋体" w:hAnsi="宋体" w:eastAsia="宋体" w:cs="宋体"/>
          <w:i w:val="0"/>
          <w:color w:val="auto"/>
          <w:sz w:val="24"/>
          <w:u w:val="single"/>
          <w:shd w:val="clear" w:color="auto" w:fill="ffffff"/>
        </w:rPr>
        <w:t xml:space="preserve">（产品名称1）</w:t>
      </w:r>
      <w:r>
        <w:rPr>
          <w:rFonts w:hint="eastAsia" w:ascii="宋体" w:hAnsi="宋体" w:eastAsia="宋体" w:cs="宋体"/>
          <w:color w:val="auto"/>
          <w:sz w:val="24"/>
          <w:shd w:val="clear" w:color="auto" w:fill="ffffff"/>
        </w:rPr>
        <w:t xml:space="preserve">的</w:t>
      </w:r>
      <w:r>
        <w:rPr>
          <w:rStyle w:val="932"/>
          <w:rFonts w:hint="eastAsia" w:ascii="宋体" w:hAnsi="宋体" w:eastAsia="宋体" w:cs="宋体"/>
          <w:i w:val="0"/>
          <w:color w:val="auto"/>
          <w:sz w:val="24"/>
          <w:u w:val="single"/>
          <w:shd w:val="clear" w:color="auto" w:fill="ffffff"/>
        </w:rPr>
        <w:t xml:space="preserve">（关键组件）</w:t>
      </w:r>
      <w:r>
        <w:rPr>
          <w:rStyle w:val="932"/>
          <w:rFonts w:hint="eastAsia" w:ascii="宋体" w:hAnsi="宋体" w:eastAsia="宋体" w:cs="宋体"/>
          <w:i w:val="0"/>
          <w:color w:val="auto"/>
          <w:sz w:val="24"/>
          <w:shd w:val="clear" w:color="auto" w:fill="ffffff"/>
          <w:vertAlign w:val="superscript"/>
        </w:rPr>
        <w:t xml:space="preserve">4</w:t>
      </w:r>
      <w:r>
        <w:rPr>
          <w:rFonts w:hint="eastAsia" w:ascii="宋体" w:hAnsi="宋体" w:eastAsia="宋体" w:cs="宋体"/>
          <w:color w:val="auto"/>
          <w:sz w:val="24"/>
          <w:shd w:val="clear" w:color="auto" w:fill="ffffff"/>
        </w:rPr>
        <w:t xml:space="preserve">在中国境内生产。</w:t>
      </w:r>
      <w:r>
        <w:rPr>
          <w:rStyle w:val="932"/>
          <w:rFonts w:hint="eastAsia" w:ascii="宋体" w:hAnsi="宋体" w:eastAsia="宋体" w:cs="宋体"/>
          <w:i w:val="0"/>
          <w:color w:val="auto"/>
          <w:sz w:val="24"/>
          <w:u w:val="single"/>
          <w:shd w:val="clear" w:color="auto" w:fill="ffffff"/>
        </w:rPr>
        <w:t xml:space="preserve">（产品名称1）</w:t>
      </w:r>
      <w:r>
        <w:rPr>
          <w:rFonts w:hint="eastAsia" w:ascii="宋体" w:hAnsi="宋体" w:eastAsia="宋体" w:cs="宋体"/>
          <w:color w:val="auto"/>
          <w:sz w:val="24"/>
          <w:shd w:val="clear" w:color="auto" w:fill="ffffff"/>
        </w:rPr>
        <w:t xml:space="preserve">的</w:t>
      </w:r>
      <w:r>
        <w:rPr>
          <w:rStyle w:val="932"/>
          <w:rFonts w:hint="eastAsia" w:ascii="宋体" w:hAnsi="宋体" w:eastAsia="宋体" w:cs="宋体"/>
          <w:i w:val="0"/>
          <w:color w:val="auto"/>
          <w:sz w:val="24"/>
          <w:u w:val="single"/>
          <w:shd w:val="clear" w:color="auto" w:fill="ffffff"/>
        </w:rPr>
        <w:t xml:space="preserve">（关键工序）</w:t>
      </w:r>
      <w:r>
        <w:rPr>
          <w:rStyle w:val="932"/>
          <w:rFonts w:hint="eastAsia" w:ascii="宋体" w:hAnsi="宋体" w:eastAsia="宋体" w:cs="宋体"/>
          <w:i w:val="0"/>
          <w:color w:val="auto"/>
          <w:sz w:val="24"/>
          <w:shd w:val="clear" w:color="auto" w:fill="ffffff"/>
          <w:vertAlign w:val="superscript"/>
        </w:rPr>
        <w:t xml:space="preserve">5</w:t>
      </w:r>
      <w:r>
        <w:rPr>
          <w:rFonts w:hint="eastAsia" w:ascii="宋体" w:hAnsi="宋体" w:eastAsia="宋体" w:cs="宋体"/>
          <w:color w:val="auto"/>
          <w:sz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4107180</wp:posOffset>
                </wp:positionH>
                <wp:positionV relativeFrom="paragraph">
                  <wp:posOffset>234950</wp:posOffset>
                </wp:positionV>
                <wp:extent cx="462280" cy="147320"/>
                <wp:effectExtent l="1270" t="4445" r="12700" b="1968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23.4pt;mso-position-horizontal:absolute;mso-position-vertical-relative:text;margin-top:18.5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2963545</wp:posOffset>
                </wp:positionH>
                <wp:positionV relativeFrom="paragraph">
                  <wp:posOffset>233045</wp:posOffset>
                </wp:positionV>
                <wp:extent cx="763270" cy="120015"/>
                <wp:effectExtent l="635" t="4445" r="17145" b="889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33.3pt;mso-position-horizontal:absolute;mso-position-vertical-relative:text;margin-top:18.3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1218565</wp:posOffset>
                </wp:positionH>
                <wp:positionV relativeFrom="paragraph">
                  <wp:posOffset>442595</wp:posOffset>
                </wp:positionV>
                <wp:extent cx="763270" cy="140970"/>
                <wp:effectExtent l="635" t="4445" r="17145" b="6985"/>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95.9pt;mso-position-horizontal:absolute;mso-position-vertical-relative:text;margin-top:34.9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1863725</wp:posOffset>
                </wp:positionH>
                <wp:positionV relativeFrom="paragraph">
                  <wp:posOffset>217170</wp:posOffset>
                </wp:positionV>
                <wp:extent cx="692785" cy="125730"/>
                <wp:effectExtent l="635" t="4445" r="11430" b="2222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46.8pt;mso-position-horizontal:absolute;mso-position-vertical-relative:text;margin-top:17.1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235585</wp:posOffset>
                </wp:positionH>
                <wp:positionV relativeFrom="paragraph">
                  <wp:posOffset>426720</wp:posOffset>
                </wp:positionV>
                <wp:extent cx="633730" cy="121285"/>
                <wp:effectExtent l="635" t="4445" r="13335" b="7620"/>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18.6pt;mso-position-horizontal:absolute;mso-position-vertical-relative:text;margin-top:33.6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hd w:val="clear" w:color="auto" w:fill="ffffff"/>
        </w:rPr>
        <w:t xml:space="preserve">2.</w:t>
      </w:r>
      <w:r>
        <w:rPr>
          <w:rStyle w:val="932"/>
          <w:rFonts w:hint="eastAsia" w:ascii="宋体" w:hAnsi="宋体" w:eastAsia="宋体" w:cs="宋体"/>
          <w:i w:val="0"/>
          <w:color w:val="auto"/>
          <w:sz w:val="24"/>
          <w:u w:val="single"/>
          <w:shd w:val="clear" w:color="auto" w:fill="ffffff"/>
        </w:rPr>
        <w:t xml:space="preserve">（产品名称2）</w:t>
      </w:r>
      <w:r>
        <w:rPr>
          <w:rFonts w:hint="eastAsia" w:ascii="宋体" w:hAnsi="宋体" w:eastAsia="宋体" w:cs="宋体"/>
          <w:color w:val="auto"/>
          <w:sz w:val="24"/>
          <w:shd w:val="clear" w:color="auto" w:fill="ffffff"/>
        </w:rPr>
        <w:t xml:space="preserve">，生产厂为</w:t>
      </w:r>
      <w:r>
        <w:rPr>
          <w:rStyle w:val="932"/>
          <w:rFonts w:hint="eastAsia" w:ascii="宋体" w:hAnsi="宋体" w:eastAsia="宋体" w:cs="宋体"/>
          <w:i w:val="0"/>
          <w:color w:val="auto"/>
          <w:sz w:val="24"/>
          <w:u w:val="single"/>
          <w:shd w:val="clear" w:color="auto" w:fill="ffffff"/>
        </w:rPr>
        <w:t xml:space="preserve">（厂名）</w:t>
      </w:r>
      <w:r>
        <w:rPr>
          <w:rFonts w:hint="eastAsia" w:ascii="宋体" w:hAnsi="宋体" w:eastAsia="宋体" w:cs="宋体"/>
          <w:color w:val="auto"/>
          <w:sz w:val="24"/>
          <w:shd w:val="clear" w:color="auto" w:fill="ffffff"/>
        </w:rPr>
        <w:t xml:space="preserve">，厂址为</w:t>
      </w:r>
      <w:r>
        <w:rPr>
          <w:rStyle w:val="932"/>
          <w:rFonts w:hint="eastAsia" w:ascii="宋体" w:hAnsi="宋体" w:eastAsia="宋体" w:cs="宋体"/>
          <w:i w:val="0"/>
          <w:color w:val="auto"/>
          <w:sz w:val="24"/>
          <w:u w:val="single"/>
          <w:shd w:val="clear" w:color="auto" w:fill="ffffff"/>
        </w:rPr>
        <w:t xml:space="preserve">（生产厂址）</w:t>
      </w:r>
      <w:r>
        <w:rPr>
          <w:rFonts w:hint="eastAsia" w:ascii="宋体" w:hAnsi="宋体" w:eastAsia="宋体" w:cs="宋体"/>
          <w:color w:val="auto"/>
          <w:sz w:val="24"/>
          <w:shd w:val="clear" w:color="auto" w:fill="ffffff"/>
        </w:rPr>
        <w:t xml:space="preserve">。</w:t>
      </w:r>
      <w:r>
        <w:rPr>
          <w:rStyle w:val="932"/>
          <w:rFonts w:hint="eastAsia" w:ascii="宋体" w:hAnsi="宋体" w:eastAsia="宋体" w:cs="宋体"/>
          <w:i w:val="0"/>
          <w:color w:val="auto"/>
          <w:sz w:val="24"/>
          <w:u w:val="single"/>
          <w:shd w:val="clear" w:color="auto" w:fill="ffffff"/>
        </w:rPr>
        <w:t xml:space="preserve">（产品名称2）</w:t>
      </w:r>
      <w:r>
        <w:rPr>
          <w:rFonts w:hint="eastAsia" w:ascii="宋体" w:hAnsi="宋体" w:eastAsia="宋体" w:cs="宋体"/>
          <w:color w:val="auto"/>
          <w:sz w:val="24"/>
          <w:shd w:val="clear" w:color="auto" w:fill="ffffff"/>
        </w:rPr>
        <w:t xml:space="preserve">的中国境内生产的组件成本占比≥</w:t>
      </w:r>
      <w:r>
        <w:rPr>
          <w:rStyle w:val="932"/>
          <w:rFonts w:hint="eastAsia" w:ascii="宋体" w:hAnsi="宋体" w:eastAsia="宋体" w:cs="宋体"/>
          <w:i w:val="0"/>
          <w:color w:val="auto"/>
          <w:sz w:val="24"/>
          <w:u w:val="single"/>
          <w:shd w:val="clear" w:color="auto" w:fill="ffffff"/>
        </w:rPr>
        <w:t xml:space="preserve">（规定比例）</w:t>
      </w:r>
      <w:r>
        <w:rPr>
          <w:rFonts w:hint="eastAsia" w:ascii="宋体" w:hAnsi="宋体" w:eastAsia="宋体" w:cs="宋体"/>
          <w:color w:val="auto"/>
          <w:sz w:val="24"/>
          <w:shd w:val="clear" w:color="auto" w:fill="ffffff"/>
        </w:rPr>
        <w:t xml:space="preserve">。</w:t>
      </w:r>
      <w:r>
        <w:rPr>
          <w:rStyle w:val="932"/>
          <w:rFonts w:hint="eastAsia" w:ascii="宋体" w:hAnsi="宋体" w:eastAsia="宋体" w:cs="宋体"/>
          <w:i w:val="0"/>
          <w:color w:val="auto"/>
          <w:sz w:val="24"/>
          <w:u w:val="single"/>
          <w:shd w:val="clear" w:color="auto" w:fill="ffffff"/>
        </w:rPr>
        <w:t xml:space="preserve">（产品名称2）</w:t>
      </w:r>
      <w:r>
        <w:rPr>
          <w:rFonts w:hint="eastAsia" w:ascii="宋体" w:hAnsi="宋体" w:eastAsia="宋体" w:cs="宋体"/>
          <w:color w:val="auto"/>
          <w:sz w:val="24"/>
          <w:shd w:val="clear" w:color="auto" w:fill="ffffff"/>
        </w:rPr>
        <w:t xml:space="preserve">的</w:t>
      </w:r>
      <w:r>
        <w:rPr>
          <w:rStyle w:val="932"/>
          <w:rFonts w:hint="eastAsia" w:ascii="宋体" w:hAnsi="宋体" w:eastAsia="宋体" w:cs="宋体"/>
          <w:i w:val="0"/>
          <w:color w:val="auto"/>
          <w:sz w:val="24"/>
          <w:u w:val="single"/>
          <w:shd w:val="clear" w:color="auto" w:fill="ffffff"/>
        </w:rPr>
        <w:t xml:space="preserve">（关键组件）</w:t>
      </w:r>
      <w:r>
        <w:rPr>
          <w:rFonts w:hint="eastAsia" w:ascii="宋体" w:hAnsi="宋体" w:eastAsia="宋体" w:cs="宋体"/>
          <w:color w:val="auto"/>
          <w:sz w:val="24"/>
          <w:shd w:val="clear" w:color="auto" w:fill="ffffff"/>
        </w:rPr>
        <w:t xml:space="preserve">在中国境内生产。</w:t>
      </w:r>
      <w:r>
        <w:rPr>
          <w:rStyle w:val="932"/>
          <w:rFonts w:hint="eastAsia" w:ascii="宋体" w:hAnsi="宋体" w:eastAsia="宋体" w:cs="宋体"/>
          <w:i w:val="0"/>
          <w:color w:val="auto"/>
          <w:sz w:val="24"/>
          <w:u w:val="single"/>
          <w:shd w:val="clear" w:color="auto" w:fill="ffffff"/>
        </w:rPr>
        <w:t xml:space="preserve">（产品名称1）</w:t>
      </w:r>
      <w:r>
        <w:rPr>
          <w:rFonts w:hint="eastAsia" w:ascii="宋体" w:hAnsi="宋体" w:eastAsia="宋体" w:cs="宋体"/>
          <w:color w:val="auto"/>
          <w:sz w:val="24"/>
          <w:shd w:val="clear" w:color="auto" w:fill="ffffff"/>
        </w:rPr>
        <w:t xml:space="preserve">的</w:t>
      </w:r>
      <w:r>
        <w:rPr>
          <w:rStyle w:val="932"/>
          <w:rFonts w:hint="eastAsia" w:ascii="宋体" w:hAnsi="宋体" w:eastAsia="宋体" w:cs="宋体"/>
          <w:i w:val="0"/>
          <w:color w:val="auto"/>
          <w:sz w:val="24"/>
          <w:u w:val="single"/>
          <w:shd w:val="clear" w:color="auto" w:fill="ffffff"/>
        </w:rPr>
        <w:t xml:space="preserve">（关键工序）</w:t>
      </w:r>
      <w:r>
        <w:rPr>
          <w:rFonts w:hint="eastAsia" w:ascii="宋体" w:hAnsi="宋体" w:eastAsia="宋体" w:cs="宋体"/>
          <w:color w:val="auto"/>
          <w:sz w:val="24"/>
          <w:shd w:val="clear" w:color="auto" w:fill="ffffff"/>
        </w:rPr>
        <w:t xml:space="preserve">在中国境内完成。</w:t>
      </w:r>
      <w:r/>
    </w:p>
    <w:p>
      <w:pPr>
        <w:ind w:firstLine="420"/>
        <w:jc w:val="left"/>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w:t>
      </w:r>
      <w:r/>
    </w:p>
    <w:p>
      <w:pPr>
        <w:ind w:firstLine="420"/>
        <w:jc w:val="left"/>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方正魏碑_GBK" w:hAnsi="方正魏碑_GBK" w:eastAsia="方正魏碑_GBK" w:cs="方正魏碑_GBK"/>
          <w:color w:val="auto"/>
          <w:sz w:val="24"/>
        </w:rPr>
      </w:pPr>
      <w:r>
        <w:rPr>
          <w:rFonts w:ascii="方正魏碑_GBK" w:hAnsi="方正魏碑_GBK" w:eastAsia="方正魏碑_GBK" w:cs="方正魏碑_GBK"/>
          <w:color w:val="auto"/>
          <w:sz w:val="24"/>
        </w:rPr>
      </w:r>
      <w:r/>
    </w:p>
    <w:p>
      <w:pPr>
        <w:ind w:right="480" w:firstLine="3720"/>
        <w:jc w:val="left"/>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公司（单位）名称（盖章）：　        </w:t>
      </w:r>
      <w:r/>
    </w:p>
    <w:p>
      <w:pPr>
        <w:jc w:val="center"/>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                    </w:t>
      </w:r>
      <w:r>
        <w:rPr>
          <w:rFonts w:ascii="方正魏碑_GBK" w:hAnsi="方正魏碑_GBK" w:eastAsia="方正魏碑_GBK" w:cs="方正魏碑_GBK"/>
          <w:color w:val="auto"/>
          <w:sz w:val="24"/>
          <w:shd w:val="clear" w:color="auto" w:fill="ffffff"/>
        </w:rPr>
        <w:t xml:space="preserve">            </w:t>
      </w:r>
      <w:r>
        <w:rPr>
          <w:rFonts w:hint="eastAsia" w:ascii="方正魏碑_GBK" w:hAnsi="方正魏碑_GBK" w:eastAsia="方正魏碑_GBK" w:cs="方正魏碑_GBK"/>
          <w:color w:val="auto"/>
          <w:sz w:val="24"/>
          <w:shd w:val="clear" w:color="auto" w:fill="ffffff"/>
        </w:rPr>
        <w:t xml:space="preserve">日期：　   年　  月　  日         </w:t>
      </w:r>
      <w:r/>
    </w:p>
    <w:p>
      <w:pPr>
        <w:jc w:val="left"/>
        <w:spacing w:before="30" w:after="30" w:line="0" w:lineRule="atLeast"/>
        <w:widowControl/>
        <w:rPr>
          <w:rFonts w:ascii="方正魏碑_GBK" w:hAnsi="方正魏碑_GBK" w:eastAsia="方正魏碑_GBK" w:cs="方正魏碑_GBK"/>
          <w:color w:val="auto"/>
          <w:sz w:val="24"/>
        </w:rPr>
      </w:pPr>
      <w:r>
        <w:rPr>
          <w:rFonts w:hint="eastAsia" w:ascii="方正魏碑_GBK" w:hAnsi="方正魏碑_GBK" w:eastAsia="方正魏碑_GBK" w:cs="方正魏碑_GBK"/>
          <w:color w:val="auto"/>
          <w:sz w:val="24"/>
          <w:shd w:val="clear" w:color="auto" w:fill="ffffff"/>
        </w:rPr>
        <w:t xml:space="preserve">__________________</w:t>
      </w:r>
      <w:r/>
    </w:p>
    <w:p>
      <w:pPr>
        <w:jc w:val="left"/>
        <w:spacing w:before="30" w:after="30" w:line="0" w:lineRule="atLeast"/>
        <w:widowControl/>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1.产品如有型号，请在“产品名称”栏一并填写。</w:t>
      </w:r>
      <w:r/>
    </w:p>
    <w:p>
      <w:pPr>
        <w:jc w:val="left"/>
        <w:spacing w:before="30" w:after="30" w:line="0" w:lineRule="atLeast"/>
        <w:widowControl/>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2.生产厂名与厂址应与生产厂营业执照载明的相关信息保持一致。</w:t>
      </w:r>
      <w:r/>
    </w:p>
    <w:p>
      <w:pPr>
        <w:jc w:val="left"/>
        <w:spacing w:before="30" w:after="30" w:line="0" w:lineRule="atLeast"/>
        <w:widowControl/>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eastAsia="宋体" w:cs="宋体"/>
          <w:color w:val="auto"/>
          <w:sz w:val="22"/>
        </w:rPr>
      </w:pPr>
      <w:r>
        <w:rPr>
          <w:rFonts w:hint="eastAsia" w:ascii="宋体" w:hAnsi="宋体" w:eastAsia="宋体" w:cs="宋体"/>
          <w:color w:val="auto"/>
          <w:sz w:val="22"/>
          <w:shd w:val="clear" w:color="auto" w:fill="ffffff"/>
        </w:rPr>
        <w:t xml:space="preserve">4.该产品的关键组件要求实施前，“关键组件”栏可不填，下同。</w:t>
      </w:r>
      <w:r/>
    </w:p>
    <w:p>
      <w:pPr>
        <w:jc w:val="left"/>
        <w:spacing w:before="30" w:after="30" w:line="0" w:lineRule="atLeast"/>
        <w:widowControl/>
        <w:rPr>
          <w:rFonts w:hint="eastAsia" w:ascii="宋体" w:hAnsi="宋体" w:eastAsia="宋体" w:cs="宋体"/>
          <w:color w:val="auto"/>
          <w:sz w:val="22"/>
          <w:shd w:val="clear" w:color="auto" w:fill="ffffff"/>
        </w:rPr>
      </w:pPr>
      <w:r>
        <w:rPr>
          <w:rFonts w:hint="eastAsia" w:ascii="宋体" w:hAnsi="宋体" w:eastAsia="宋体" w:cs="宋体"/>
          <w:color w:val="auto"/>
          <w:sz w:val="22"/>
          <w:shd w:val="clear" w:color="auto" w:fill="ffffff"/>
        </w:rPr>
        <w:t xml:space="preserve">5.该产品的关键工序要求实施前，“关键工序”栏可不填，下同。</w:t>
      </w:r>
      <w:r/>
    </w:p>
    <w:p>
      <w:pPr>
        <w:jc w:val="left"/>
        <w:spacing w:before="30" w:after="30" w:line="0" w:lineRule="atLeast"/>
        <w:widowControl/>
        <w:rPr>
          <w:rFonts w:hint="eastAsia" w:ascii="宋体" w:hAnsi="宋体" w:eastAsia="宋体" w:cs="宋体"/>
          <w:color w:val="auto"/>
          <w:sz w:val="22"/>
          <w:shd w:val="clear" w:color="auto" w:fill="ffffff"/>
        </w:rPr>
      </w:pPr>
      <w:r>
        <w:rPr>
          <w:rFonts w:hint="eastAsia" w:ascii="宋体" w:hAnsi="宋体" w:eastAsia="宋体" w:cs="宋体"/>
          <w:color w:val="auto"/>
          <w:sz w:val="22"/>
          <w:shd w:val="clear" w:color="auto" w:fill="ffffff"/>
        </w:rPr>
        <w:t xml:space="preserve">6.用斜线划除的地方无需填写。</w:t>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pStyle w:val="1091"/>
        <w:jc w:val="right"/>
        <w:tabs>
          <w:tab w:val="left" w:pos="1484" w:leader="none"/>
        </w:tabs>
        <w:rPr>
          <w:rFonts w:hint="eastAsia" w:ascii="宋体" w:hAnsi="宋体" w:cs="宋体"/>
          <w:color w:val="auto"/>
          <w:sz w:val="24"/>
        </w:rPr>
      </w:pPr>
      <w:r>
        <w:rPr>
          <w:rFonts w:hint="eastAsia" w:ascii="宋体" w:hAnsi="宋体" w:cs="宋体"/>
          <w:color w:val="auto"/>
          <w:sz w:val="24"/>
        </w:rPr>
      </w:r>
      <w:r/>
    </w:p>
    <w:p>
      <w:pPr>
        <w:pStyle w:val="1091"/>
        <w:jc w:val="right"/>
        <w:tabs>
          <w:tab w:val="left" w:pos="1484" w:leader="none"/>
        </w:tabs>
        <w:rPr>
          <w:rFonts w:hint="eastAsia" w:ascii="宋体" w:hAnsi="宋体" w:cs="宋体"/>
          <w:color w:val="auto"/>
          <w:sz w:val="24"/>
        </w:rPr>
      </w:pPr>
      <w:r>
        <w:rPr>
          <w:rFonts w:hint="eastAsia" w:ascii="宋体" w:hAnsi="宋体" w:cs="宋体"/>
          <w:color w:val="auto"/>
          <w:sz w:val="24"/>
        </w:rPr>
      </w:r>
      <w:r/>
    </w:p>
    <w:p>
      <w:pPr>
        <w:pStyle w:val="1091"/>
        <w:jc w:val="right"/>
        <w:tabs>
          <w:tab w:val="left" w:pos="1484" w:leader="none"/>
        </w:tabs>
        <w:rPr>
          <w:rFonts w:hint="eastAsia" w:ascii="宋体" w:hAnsi="宋体" w:cs="宋体"/>
          <w:color w:val="auto"/>
          <w:sz w:val="24"/>
        </w:rPr>
      </w:pPr>
      <w:r>
        <w:rPr>
          <w:rFonts w:hint="eastAsia" w:ascii="宋体" w:hAnsi="宋体" w:cs="宋体"/>
          <w:color w:val="auto"/>
          <w:sz w:val="24"/>
        </w:rPr>
      </w:r>
      <w:r/>
    </w:p>
    <w:p>
      <w:pPr>
        <w:pStyle w:val="1091"/>
        <w:jc w:val="right"/>
        <w:tabs>
          <w:tab w:val="left" w:pos="1484" w:leader="none"/>
        </w:tabs>
        <w:rPr>
          <w:rFonts w:hint="eastAsia" w:ascii="宋体" w:hAnsi="宋体" w:cs="宋体"/>
          <w:color w:val="auto"/>
          <w:sz w:val="24"/>
        </w:rPr>
      </w:pPr>
      <w:r>
        <w:rPr>
          <w:rFonts w:hint="eastAsia" w:ascii="宋体" w:hAnsi="宋体" w:cs="宋体"/>
          <w:color w:val="auto"/>
          <w:sz w:val="24"/>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imes New Roman Regular">
    <w:panose1 w:val="02020603050405020304"/>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5">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0">
    <w:multiLevelType w:val="hybridMultilevel"/>
    <w:lvl w:ilvl="0">
      <w:start w:val="1"/>
      <w:numFmt w:val="decimal"/>
      <w:pStyle w:val="113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1">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11"/>
  </w:num>
  <w:num w:numId="5">
    <w:abstractNumId w:val="13"/>
  </w:num>
  <w:num w:numId="6">
    <w:abstractNumId w:val="5"/>
  </w:num>
  <w:num w:numId="7">
    <w:abstractNumId w:val="9"/>
  </w:num>
  <w:num w:numId="8">
    <w:abstractNumId w:val="4"/>
  </w:num>
  <w:num w:numId="9">
    <w:abstractNumId w:val="2"/>
  </w:num>
  <w:num w:numId="10">
    <w:abstractNumId w:val="1"/>
  </w:num>
  <w:num w:numId="11">
    <w:abstractNumId w:val="12"/>
  </w:num>
  <w:num w:numId="12">
    <w:abstractNumId w:val="15"/>
  </w:num>
  <w:num w:numId="13">
    <w:abstractNumId w:val="17"/>
  </w:num>
  <w:num w:numId="14">
    <w:abstractNumId w:val="8"/>
  </w:num>
  <w:num w:numId="15">
    <w:abstractNumId w:val="16"/>
  </w:num>
  <w:num w:numId="16">
    <w:abstractNumId w:val="6"/>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903"/>
    <w:link w:val="894"/>
    <w:uiPriority w:val="9"/>
    <w:rPr>
      <w:rFonts w:ascii="Arial" w:hAnsi="Arial" w:eastAsia="Arial" w:cs="Arial"/>
      <w:sz w:val="40"/>
      <w:szCs w:val="40"/>
    </w:rPr>
  </w:style>
  <w:style w:type="character" w:styleId="857">
    <w:name w:val="Heading 2 Char"/>
    <w:basedOn w:val="903"/>
    <w:link w:val="895"/>
    <w:uiPriority w:val="9"/>
    <w:rPr>
      <w:rFonts w:ascii="Arial" w:hAnsi="Arial" w:eastAsia="Arial" w:cs="Arial"/>
      <w:sz w:val="34"/>
    </w:rPr>
  </w:style>
  <w:style w:type="character" w:styleId="858">
    <w:name w:val="Heading 3 Char"/>
    <w:basedOn w:val="903"/>
    <w:link w:val="896"/>
    <w:uiPriority w:val="9"/>
    <w:rPr>
      <w:rFonts w:ascii="Arial" w:hAnsi="Arial" w:eastAsia="Arial" w:cs="Arial"/>
      <w:sz w:val="30"/>
      <w:szCs w:val="30"/>
    </w:rPr>
  </w:style>
  <w:style w:type="character" w:styleId="859">
    <w:name w:val="Heading 4 Char"/>
    <w:basedOn w:val="903"/>
    <w:link w:val="897"/>
    <w:uiPriority w:val="9"/>
    <w:rPr>
      <w:rFonts w:ascii="Arial" w:hAnsi="Arial" w:eastAsia="Arial" w:cs="Arial"/>
      <w:b/>
      <w:bCs/>
      <w:sz w:val="26"/>
      <w:szCs w:val="26"/>
    </w:rPr>
  </w:style>
  <w:style w:type="character" w:styleId="860">
    <w:name w:val="Heading 5 Char"/>
    <w:basedOn w:val="903"/>
    <w:link w:val="898"/>
    <w:uiPriority w:val="9"/>
    <w:rPr>
      <w:rFonts w:ascii="Arial" w:hAnsi="Arial" w:eastAsia="Arial" w:cs="Arial"/>
      <w:b/>
      <w:bCs/>
      <w:sz w:val="24"/>
      <w:szCs w:val="24"/>
    </w:rPr>
  </w:style>
  <w:style w:type="character" w:styleId="861">
    <w:name w:val="Heading 6 Char"/>
    <w:basedOn w:val="903"/>
    <w:link w:val="899"/>
    <w:uiPriority w:val="9"/>
    <w:rPr>
      <w:rFonts w:ascii="Arial" w:hAnsi="Arial" w:eastAsia="Arial" w:cs="Arial"/>
      <w:b/>
      <w:bCs/>
      <w:sz w:val="22"/>
      <w:szCs w:val="22"/>
    </w:rPr>
  </w:style>
  <w:style w:type="character" w:styleId="862">
    <w:name w:val="Heading 7 Char"/>
    <w:basedOn w:val="903"/>
    <w:link w:val="900"/>
    <w:uiPriority w:val="9"/>
    <w:rPr>
      <w:rFonts w:ascii="Arial" w:hAnsi="Arial" w:eastAsia="Arial" w:cs="Arial"/>
      <w:b/>
      <w:bCs/>
      <w:i/>
      <w:iCs/>
      <w:sz w:val="22"/>
      <w:szCs w:val="22"/>
    </w:rPr>
  </w:style>
  <w:style w:type="character" w:styleId="863">
    <w:name w:val="Heading 8 Char"/>
    <w:basedOn w:val="903"/>
    <w:link w:val="901"/>
    <w:uiPriority w:val="9"/>
    <w:rPr>
      <w:rFonts w:ascii="Arial" w:hAnsi="Arial" w:eastAsia="Arial" w:cs="Arial"/>
      <w:i/>
      <w:iCs/>
      <w:sz w:val="22"/>
      <w:szCs w:val="22"/>
    </w:rPr>
  </w:style>
  <w:style w:type="character" w:styleId="864">
    <w:name w:val="Heading 9 Char"/>
    <w:basedOn w:val="903"/>
    <w:link w:val="902"/>
    <w:uiPriority w:val="9"/>
    <w:rPr>
      <w:rFonts w:ascii="Arial" w:hAnsi="Arial" w:eastAsia="Arial" w:cs="Arial"/>
      <w:i/>
      <w:iCs/>
      <w:sz w:val="21"/>
      <w:szCs w:val="21"/>
    </w:rPr>
  </w:style>
  <w:style w:type="character" w:styleId="865">
    <w:name w:val="Title Char"/>
    <w:basedOn w:val="903"/>
    <w:link w:val="926"/>
    <w:uiPriority w:val="10"/>
    <w:rPr>
      <w:sz w:val="48"/>
      <w:szCs w:val="48"/>
    </w:rPr>
  </w:style>
  <w:style w:type="character" w:styleId="866">
    <w:name w:val="Subtitle Char"/>
    <w:basedOn w:val="903"/>
    <w:link w:val="919"/>
    <w:uiPriority w:val="11"/>
    <w:rPr>
      <w:sz w:val="24"/>
      <w:szCs w:val="24"/>
    </w:rPr>
  </w:style>
  <w:style w:type="character" w:styleId="867">
    <w:name w:val="Quote Char"/>
    <w:link w:val="951"/>
    <w:uiPriority w:val="29"/>
    <w:rPr>
      <w:i/>
    </w:rPr>
  </w:style>
  <w:style w:type="character" w:styleId="868">
    <w:name w:val="Intense Quote Char"/>
    <w:link w:val="953"/>
    <w:uiPriority w:val="30"/>
    <w:rPr>
      <w:i/>
    </w:rPr>
  </w:style>
  <w:style w:type="character" w:styleId="869">
    <w:name w:val="Header Char"/>
    <w:basedOn w:val="903"/>
    <w:link w:val="916"/>
    <w:uiPriority w:val="99"/>
  </w:style>
  <w:style w:type="character" w:styleId="870">
    <w:name w:val="Caption Char"/>
    <w:basedOn w:val="906"/>
    <w:link w:val="915"/>
    <w:uiPriority w:val="99"/>
  </w:style>
  <w:style w:type="table" w:styleId="871">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0">
    <w:name w:val="Footnote Text Char"/>
    <w:link w:val="920"/>
    <w:uiPriority w:val="99"/>
    <w:rPr>
      <w:sz w:val="18"/>
    </w:rPr>
  </w:style>
  <w:style w:type="character" w:styleId="891">
    <w:name w:val="Endnote Text Char"/>
    <w:link w:val="914"/>
    <w:uiPriority w:val="99"/>
    <w:rPr>
      <w:sz w:val="20"/>
    </w:rPr>
  </w:style>
  <w:style w:type="paragraph" w:styleId="892">
    <w:name w:val="TOC Heading"/>
    <w:uiPriority w:val="39"/>
    <w:unhideWhenUsed/>
  </w:style>
  <w:style w:type="paragraph" w:styleId="893" w:default="1">
    <w:name w:val="Normal"/>
    <w:link w:val="1209"/>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940"/>
    <w:uiPriority w:val="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941"/>
    <w:uiPriority w:val="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942"/>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943"/>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944"/>
    <w:uiPriority w:val="9"/>
    <w:unhideWhenUsed/>
    <w:qFormat/>
    <w:pPr>
      <w:keepLines/>
      <w:keepNext/>
      <w:spacing w:before="320" w:after="200"/>
      <w:outlineLvl w:val="4"/>
    </w:pPr>
    <w:rPr>
      <w:rFonts w:ascii="Arial" w:hAnsi="Arial" w:eastAsia="Arial" w:cs="Arial"/>
      <w:b/>
      <w:bCs/>
      <w:sz w:val="24"/>
    </w:rPr>
  </w:style>
  <w:style w:type="paragraph" w:styleId="899">
    <w:name w:val="Heading 6"/>
    <w:basedOn w:val="893"/>
    <w:next w:val="893"/>
    <w:link w:val="945"/>
    <w:uiPriority w:val="9"/>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947"/>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948"/>
    <w:uiPriority w:val="9"/>
    <w:unhideWhenUsed/>
    <w:qFormat/>
    <w:pPr>
      <w:keepLines/>
      <w:keepNext/>
      <w:spacing w:before="320" w:after="200"/>
      <w:outlineLvl w:val="8"/>
    </w:pPr>
    <w:rPr>
      <w:rFonts w:ascii="Arial" w:hAnsi="Arial" w:eastAsia="Arial" w:cs="Arial"/>
      <w:i/>
      <w:iCs/>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39"/>
    <w:unhideWhenUsed/>
    <w:qFormat/>
    <w:pPr>
      <w:ind w:left="1701" w:firstLine="0"/>
      <w:spacing w:after="57"/>
    </w:pPr>
  </w:style>
  <w:style w:type="paragraph" w:styleId="906">
    <w:name w:val="Caption"/>
    <w:basedOn w:val="893"/>
    <w:next w:val="8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7">
    <w:name w:val="Body Text"/>
    <w:basedOn w:val="893"/>
    <w:next w:val="908"/>
    <w:uiPriority w:val="0"/>
    <w:semiHidden/>
    <w:qFormat/>
    <w:rPr>
      <w:rFonts w:ascii="Arial" w:hAnsi="Arial" w:eastAsia="Arial" w:cs="Arial"/>
      <w:szCs w:val="21"/>
      <w:lang w:eastAsia="en-US"/>
    </w:rPr>
  </w:style>
  <w:style w:type="paragraph" w:styleId="908" w:customStyle="1">
    <w:name w:val="TOC 标题11"/>
    <w:next w:val="893"/>
    <w:uiPriority w:val="0"/>
    <w:qFormat/>
    <w:rPr>
      <w:rFonts w:ascii="宋体" w:hAnsi="宋体" w:eastAsia="宋体" w:cs="宋体"/>
      <w:sz w:val="32"/>
      <w:lang w:val="en-US" w:eastAsia="zh-CN" w:bidi="ar-SA"/>
    </w:rPr>
  </w:style>
  <w:style w:type="paragraph" w:styleId="909">
    <w:name w:val="Body Text Indent"/>
    <w:basedOn w:val="893"/>
    <w:next w:val="910"/>
    <w:uiPriority w:val="0"/>
    <w:qFormat/>
    <w:pPr>
      <w:ind w:firstLine="645"/>
    </w:pPr>
    <w:rPr>
      <w:rFonts w:ascii="楷体_GB2312" w:hAnsi="宋体" w:eastAsia="楷体_GB2312"/>
      <w:sz w:val="32"/>
      <w:szCs w:val="32"/>
    </w:rPr>
  </w:style>
  <w:style w:type="paragraph" w:styleId="910">
    <w:name w:val="envelope return"/>
    <w:basedOn w:val="893"/>
    <w:uiPriority w:val="99"/>
    <w:qFormat/>
    <w:rPr>
      <w:rFonts w:ascii="Arial" w:hAnsi="Arial"/>
    </w:rPr>
  </w:style>
  <w:style w:type="paragraph" w:styleId="911">
    <w:name w:val="toc 5"/>
    <w:basedOn w:val="893"/>
    <w:next w:val="893"/>
    <w:uiPriority w:val="39"/>
    <w:unhideWhenUsed/>
    <w:qFormat/>
    <w:pPr>
      <w:ind w:left="1134" w:firstLine="0"/>
      <w:spacing w:after="57"/>
    </w:pPr>
  </w:style>
  <w:style w:type="paragraph" w:styleId="912">
    <w:name w:val="toc 3"/>
    <w:basedOn w:val="893"/>
    <w:next w:val="893"/>
    <w:uiPriority w:val="39"/>
    <w:unhideWhenUsed/>
    <w:qFormat/>
    <w:pPr>
      <w:ind w:left="567" w:firstLine="0"/>
      <w:spacing w:after="57"/>
    </w:pPr>
  </w:style>
  <w:style w:type="paragraph" w:styleId="913">
    <w:name w:val="toc 8"/>
    <w:basedOn w:val="893"/>
    <w:next w:val="893"/>
    <w:uiPriority w:val="39"/>
    <w:unhideWhenUsed/>
    <w:qFormat/>
    <w:pPr>
      <w:ind w:left="1984" w:firstLine="0"/>
      <w:spacing w:after="57"/>
    </w:pPr>
  </w:style>
  <w:style w:type="paragraph" w:styleId="914">
    <w:name w:val="endnote text"/>
    <w:basedOn w:val="893"/>
    <w:link w:val="1084"/>
    <w:uiPriority w:val="99"/>
    <w:semiHidden/>
    <w:unhideWhenUsed/>
    <w:qFormat/>
    <w:pPr>
      <w:spacing w:line="240" w:lineRule="auto"/>
    </w:pPr>
    <w:rPr>
      <w:sz w:val="20"/>
    </w:rPr>
  </w:style>
  <w:style w:type="paragraph" w:styleId="915">
    <w:name w:val="Footer"/>
    <w:basedOn w:val="893"/>
    <w:link w:val="957"/>
    <w:uiPriority w:val="99"/>
    <w:unhideWhenUsed/>
    <w:qFormat/>
    <w:pPr>
      <w:spacing w:line="240" w:lineRule="auto"/>
      <w:tabs>
        <w:tab w:val="center" w:pos="7143" w:leader="none"/>
        <w:tab w:val="right" w:pos="14287" w:leader="none"/>
      </w:tabs>
    </w:pPr>
  </w:style>
  <w:style w:type="paragraph" w:styleId="916">
    <w:name w:val="Header"/>
    <w:basedOn w:val="893"/>
    <w:link w:val="955"/>
    <w:uiPriority w:val="99"/>
    <w:unhideWhenUsed/>
    <w:qFormat/>
    <w:pPr>
      <w:spacing w:line="240" w:lineRule="auto"/>
      <w:tabs>
        <w:tab w:val="center" w:pos="7143" w:leader="none"/>
        <w:tab w:val="right" w:pos="14287" w:leader="none"/>
      </w:tabs>
    </w:pPr>
  </w:style>
  <w:style w:type="paragraph" w:styleId="917">
    <w:name w:val="toc 1"/>
    <w:basedOn w:val="893"/>
    <w:next w:val="893"/>
    <w:uiPriority w:val="39"/>
    <w:unhideWhenUsed/>
    <w:qFormat/>
    <w:pPr>
      <w:ind w:firstLine="0"/>
      <w:spacing w:after="57"/>
    </w:pPr>
  </w:style>
  <w:style w:type="paragraph" w:styleId="918">
    <w:name w:val="toc 4"/>
    <w:basedOn w:val="893"/>
    <w:next w:val="893"/>
    <w:uiPriority w:val="39"/>
    <w:unhideWhenUsed/>
    <w:qFormat/>
    <w:pPr>
      <w:ind w:left="850" w:firstLine="0"/>
      <w:spacing w:after="57"/>
    </w:pPr>
  </w:style>
  <w:style w:type="paragraph" w:styleId="919">
    <w:name w:val="Subtitle"/>
    <w:basedOn w:val="893"/>
    <w:next w:val="893"/>
    <w:link w:val="950"/>
    <w:uiPriority w:val="11"/>
    <w:qFormat/>
    <w:pPr>
      <w:spacing w:before="200" w:after="200"/>
    </w:pPr>
    <w:rPr>
      <w:sz w:val="24"/>
    </w:rPr>
  </w:style>
  <w:style w:type="paragraph" w:styleId="920">
    <w:name w:val="footnote text"/>
    <w:basedOn w:val="893"/>
    <w:link w:val="1083"/>
    <w:uiPriority w:val="99"/>
    <w:semiHidden/>
    <w:unhideWhenUsed/>
    <w:qFormat/>
    <w:pPr>
      <w:spacing w:after="40" w:line="240" w:lineRule="auto"/>
    </w:pPr>
    <w:rPr>
      <w:sz w:val="18"/>
    </w:rPr>
  </w:style>
  <w:style w:type="paragraph" w:styleId="921">
    <w:name w:val="toc 6"/>
    <w:basedOn w:val="893"/>
    <w:next w:val="893"/>
    <w:uiPriority w:val="39"/>
    <w:unhideWhenUsed/>
    <w:qFormat/>
    <w:pPr>
      <w:ind w:left="1417" w:firstLine="0"/>
      <w:spacing w:after="57"/>
    </w:pPr>
  </w:style>
  <w:style w:type="paragraph" w:styleId="922">
    <w:name w:val="table of figures"/>
    <w:basedOn w:val="893"/>
    <w:next w:val="893"/>
    <w:uiPriority w:val="99"/>
    <w:unhideWhenUsed/>
    <w:qFormat/>
  </w:style>
  <w:style w:type="paragraph" w:styleId="923">
    <w:name w:val="toc 2"/>
    <w:basedOn w:val="893"/>
    <w:next w:val="893"/>
    <w:uiPriority w:val="39"/>
    <w:unhideWhenUsed/>
    <w:qFormat/>
    <w:pPr>
      <w:ind w:left="283" w:firstLine="0"/>
      <w:spacing w:after="57"/>
    </w:pPr>
  </w:style>
  <w:style w:type="paragraph" w:styleId="924">
    <w:name w:val="toc 9"/>
    <w:basedOn w:val="893"/>
    <w:next w:val="893"/>
    <w:uiPriority w:val="39"/>
    <w:unhideWhenUsed/>
    <w:qFormat/>
    <w:pPr>
      <w:ind w:left="2268" w:firstLine="0"/>
      <w:spacing w:after="57"/>
    </w:pPr>
  </w:style>
  <w:style w:type="paragraph" w:styleId="925">
    <w:name w:val="Normal (Web)"/>
    <w:basedOn w:val="893"/>
    <w:uiPriority w:val="99"/>
    <w:semiHidden/>
    <w:unhideWhenUsed/>
    <w:qFormat/>
    <w:pPr>
      <w:jc w:val="left"/>
      <w:spacing w:beforeAutospacing="1" w:afterAutospacing="1"/>
    </w:pPr>
    <w:rPr>
      <w:sz w:val="24"/>
    </w:rPr>
  </w:style>
  <w:style w:type="paragraph" w:styleId="926">
    <w:name w:val="Title"/>
    <w:basedOn w:val="893"/>
    <w:next w:val="893"/>
    <w:link w:val="949"/>
    <w:uiPriority w:val="10"/>
    <w:qFormat/>
    <w:pPr>
      <w:contextualSpacing/>
      <w:spacing w:before="300" w:after="200"/>
    </w:pPr>
    <w:rPr>
      <w:sz w:val="48"/>
      <w:szCs w:val="48"/>
    </w:rPr>
  </w:style>
  <w:style w:type="paragraph" w:styleId="927">
    <w:name w:val="Body Text First Indent 2"/>
    <w:basedOn w:val="909"/>
    <w:uiPriority w:val="0"/>
    <w:qFormat/>
    <w:pPr>
      <w:ind w:firstLine="200"/>
      <w:spacing w:line="360" w:lineRule="auto"/>
    </w:pPr>
    <w:rPr>
      <w:rFonts w:ascii="宋体" w:eastAsia="宋体"/>
      <w:sz w:val="21"/>
      <w:szCs w:val="20"/>
    </w:rPr>
  </w:style>
  <w:style w:type="table" w:styleId="9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Strong"/>
    <w:basedOn w:val="903"/>
    <w:uiPriority w:val="22"/>
    <w:qFormat/>
    <w:rPr>
      <w:b/>
    </w:rPr>
  </w:style>
  <w:style w:type="character" w:styleId="930">
    <w:name w:val="endnote reference"/>
    <w:uiPriority w:val="99"/>
    <w:semiHidden/>
    <w:unhideWhenUsed/>
    <w:qFormat/>
    <w:rPr>
      <w:vertAlign w:val="superscript"/>
    </w:rPr>
  </w:style>
  <w:style w:type="character" w:styleId="931">
    <w:name w:val="FollowedHyperlink"/>
    <w:basedOn w:val="903"/>
    <w:uiPriority w:val="99"/>
    <w:semiHidden/>
    <w:unhideWhenUsed/>
    <w:qFormat/>
    <w:rPr>
      <w:color w:val="800080"/>
      <w:u w:val="single"/>
    </w:rPr>
  </w:style>
  <w:style w:type="character" w:styleId="932">
    <w:name w:val="Emphasis"/>
    <w:basedOn w:val="903"/>
    <w:uiPriority w:val="20"/>
    <w:qFormat/>
    <w:rPr>
      <w:i/>
    </w:rPr>
  </w:style>
  <w:style w:type="character" w:styleId="933">
    <w:name w:val="Hyperlink"/>
    <w:uiPriority w:val="99"/>
    <w:unhideWhenUsed/>
    <w:qFormat/>
    <w:rPr>
      <w:color w:val="0000ff" w:themeColor="hyperlink"/>
      <w:u w:val="single"/>
      <w14:textFill>
        <w14:solidFill>
          <w14:schemeClr w14:val="hlink"/>
        </w14:solidFill>
      </w14:textFill>
    </w:rPr>
  </w:style>
  <w:style w:type="character" w:styleId="934">
    <w:name w:val="footnote reference"/>
    <w:uiPriority w:val="99"/>
    <w:unhideWhenUsed/>
    <w:qFormat/>
    <w:rPr>
      <w:vertAlign w:val="superscript"/>
    </w:rPr>
  </w:style>
  <w:style w:type="paragraph" w:styleId="935" w:customStyle="1">
    <w:name w:val="首行缩进"/>
    <w:basedOn w:val="893"/>
    <w:next w:val="893"/>
    <w:uiPriority w:val="0"/>
    <w:qFormat/>
    <w:pPr>
      <w:ind w:firstLine="480"/>
      <w:jc w:val="left"/>
      <w:spacing w:line="360" w:lineRule="auto"/>
    </w:pPr>
    <w:rPr>
      <w:rFonts w:ascii="宋体" w:hAnsi="宋体"/>
      <w:sz w:val="24"/>
    </w:rPr>
  </w:style>
  <w:style w:type="paragraph" w:styleId="936" w:customStyle="1">
    <w:name w:val="正文文本首行缩进 21"/>
    <w:basedOn w:val="937"/>
    <w:uiPriority w:val="0"/>
    <w:qFormat/>
    <w:pPr>
      <w:ind w:firstLine="420"/>
    </w:pPr>
  </w:style>
  <w:style w:type="paragraph" w:styleId="937" w:customStyle="1">
    <w:name w:val="正文文本缩进11"/>
    <w:basedOn w:val="893"/>
    <w:next w:val="938"/>
    <w:uiPriority w:val="0"/>
    <w:qFormat/>
    <w:pPr>
      <w:ind w:firstLine="645"/>
    </w:pPr>
    <w:rPr>
      <w:rFonts w:ascii="楷体_GB2312" w:eastAsia="楷体_GB2312" w:cs="宋体"/>
      <w:sz w:val="32"/>
      <w:szCs w:val="32"/>
    </w:rPr>
  </w:style>
  <w:style w:type="paragraph" w:styleId="938" w:customStyle="1">
    <w:name w:val="寄信人地址11"/>
    <w:basedOn w:val="893"/>
    <w:uiPriority w:val="0"/>
    <w:unhideWhenUsed/>
    <w:qFormat/>
    <w:pPr>
      <w:ind w:firstLine="480"/>
      <w:spacing w:line="360" w:lineRule="auto"/>
    </w:pPr>
    <w:rPr>
      <w:rFonts w:ascii="Arial" w:hAnsi="Arial" w:cs="Arial"/>
    </w:rPr>
  </w:style>
  <w:style w:type="paragraph" w:styleId="939" w:customStyle="1">
    <w:name w:val="正文1"/>
    <w:basedOn w:val="893"/>
    <w:next w:val="893"/>
    <w:uiPriority w:val="0"/>
    <w:qFormat/>
    <w:pPr>
      <w:ind w:left="420"/>
      <w:spacing w:line="300" w:lineRule="auto"/>
      <w:widowControl/>
    </w:pPr>
    <w:rPr>
      <w:szCs w:val="20"/>
    </w:rPr>
  </w:style>
  <w:style w:type="character" w:styleId="940" w:customStyle="1">
    <w:name w:val="标题 1 字符"/>
    <w:link w:val="894"/>
    <w:uiPriority w:val="9"/>
    <w:qFormat/>
    <w:rPr>
      <w:rFonts w:ascii="Arial" w:hAnsi="Arial" w:eastAsia="Arial" w:cs="Arial"/>
      <w:sz w:val="40"/>
      <w:szCs w:val="40"/>
    </w:rPr>
  </w:style>
  <w:style w:type="character" w:styleId="941" w:customStyle="1">
    <w:name w:val="标题 2 字符"/>
    <w:link w:val="895"/>
    <w:uiPriority w:val="9"/>
    <w:qFormat/>
    <w:rPr>
      <w:rFonts w:ascii="Arial" w:hAnsi="Arial" w:eastAsia="Arial" w:cs="Arial"/>
      <w:sz w:val="34"/>
    </w:rPr>
  </w:style>
  <w:style w:type="character" w:styleId="942" w:customStyle="1">
    <w:name w:val="标题 3 字符"/>
    <w:link w:val="896"/>
    <w:uiPriority w:val="9"/>
    <w:qFormat/>
    <w:rPr>
      <w:rFonts w:ascii="Arial" w:hAnsi="Arial" w:eastAsia="Arial" w:cs="Arial"/>
      <w:sz w:val="30"/>
      <w:szCs w:val="30"/>
    </w:rPr>
  </w:style>
  <w:style w:type="character" w:styleId="943" w:customStyle="1">
    <w:name w:val="标题 4 字符"/>
    <w:link w:val="897"/>
    <w:uiPriority w:val="9"/>
    <w:qFormat/>
    <w:rPr>
      <w:rFonts w:ascii="Arial" w:hAnsi="Arial" w:eastAsia="Arial" w:cs="Arial"/>
      <w:b/>
      <w:bCs/>
      <w:sz w:val="26"/>
      <w:szCs w:val="26"/>
    </w:rPr>
  </w:style>
  <w:style w:type="character" w:styleId="944" w:customStyle="1">
    <w:name w:val="标题 5 字符"/>
    <w:link w:val="898"/>
    <w:uiPriority w:val="9"/>
    <w:qFormat/>
    <w:rPr>
      <w:rFonts w:ascii="Arial" w:hAnsi="Arial" w:eastAsia="Arial" w:cs="Arial"/>
      <w:b/>
      <w:bCs/>
      <w:sz w:val="24"/>
      <w:szCs w:val="24"/>
    </w:rPr>
  </w:style>
  <w:style w:type="character" w:styleId="945" w:customStyle="1">
    <w:name w:val="标题 6 字符"/>
    <w:link w:val="899"/>
    <w:uiPriority w:val="9"/>
    <w:qFormat/>
    <w:rPr>
      <w:rFonts w:ascii="Arial" w:hAnsi="Arial" w:eastAsia="Arial" w:cs="Arial"/>
      <w:b/>
      <w:bCs/>
      <w:sz w:val="22"/>
      <w:szCs w:val="22"/>
    </w:rPr>
  </w:style>
  <w:style w:type="character" w:styleId="946" w:customStyle="1">
    <w:name w:val="标题 7 字符"/>
    <w:link w:val="900"/>
    <w:uiPriority w:val="9"/>
    <w:qFormat/>
    <w:rPr>
      <w:rFonts w:ascii="Arial" w:hAnsi="Arial" w:eastAsia="Arial" w:cs="Arial"/>
      <w:b/>
      <w:bCs/>
      <w:i/>
      <w:iCs/>
      <w:sz w:val="22"/>
      <w:szCs w:val="22"/>
    </w:rPr>
  </w:style>
  <w:style w:type="character" w:styleId="947" w:customStyle="1">
    <w:name w:val="标题 8 字符"/>
    <w:link w:val="901"/>
    <w:uiPriority w:val="9"/>
    <w:qFormat/>
    <w:rPr>
      <w:rFonts w:ascii="Arial" w:hAnsi="Arial" w:eastAsia="Arial" w:cs="Arial"/>
      <w:i/>
      <w:iCs/>
      <w:sz w:val="22"/>
      <w:szCs w:val="22"/>
    </w:rPr>
  </w:style>
  <w:style w:type="character" w:styleId="948" w:customStyle="1">
    <w:name w:val="标题 9 字符"/>
    <w:link w:val="902"/>
    <w:uiPriority w:val="9"/>
    <w:qFormat/>
    <w:rPr>
      <w:rFonts w:ascii="Arial" w:hAnsi="Arial" w:eastAsia="Arial" w:cs="Arial"/>
      <w:i/>
      <w:iCs/>
      <w:sz w:val="21"/>
      <w:szCs w:val="21"/>
    </w:rPr>
  </w:style>
  <w:style w:type="character" w:styleId="949" w:customStyle="1">
    <w:name w:val="标题 字符"/>
    <w:link w:val="926"/>
    <w:uiPriority w:val="10"/>
    <w:qFormat/>
    <w:rPr>
      <w:sz w:val="48"/>
      <w:szCs w:val="48"/>
    </w:rPr>
  </w:style>
  <w:style w:type="character" w:styleId="950" w:customStyle="1">
    <w:name w:val="副标题 字符"/>
    <w:link w:val="919"/>
    <w:uiPriority w:val="11"/>
    <w:qFormat/>
    <w:rPr>
      <w:sz w:val="24"/>
      <w:szCs w:val="24"/>
    </w:rPr>
  </w:style>
  <w:style w:type="paragraph" w:styleId="951">
    <w:name w:val="Quote"/>
    <w:basedOn w:val="893"/>
    <w:next w:val="893"/>
    <w:link w:val="952"/>
    <w:uiPriority w:val="29"/>
    <w:qFormat/>
    <w:pPr>
      <w:ind w:left="720" w:right="720"/>
    </w:pPr>
    <w:rPr>
      <w:i/>
    </w:rPr>
  </w:style>
  <w:style w:type="character" w:styleId="952" w:customStyle="1">
    <w:name w:val="引用 字符"/>
    <w:link w:val="951"/>
    <w:uiPriority w:val="29"/>
    <w:qFormat/>
    <w:rPr>
      <w:i/>
    </w:rPr>
  </w:style>
  <w:style w:type="paragraph" w:styleId="953">
    <w:name w:val="Intense Quote"/>
    <w:basedOn w:val="893"/>
    <w:next w:val="893"/>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页眉 字符"/>
    <w:link w:val="916"/>
    <w:uiPriority w:val="99"/>
    <w:qFormat/>
  </w:style>
  <w:style w:type="character" w:styleId="956" w:customStyle="1">
    <w:name w:val="Footer Char"/>
    <w:uiPriority w:val="99"/>
    <w:qFormat/>
  </w:style>
  <w:style w:type="character" w:styleId="957" w:customStyle="1">
    <w:name w:val="页脚 字符"/>
    <w:link w:val="915"/>
    <w:uiPriority w:val="99"/>
    <w:qFormat/>
  </w:style>
  <w:style w:type="table" w:styleId="9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脚注文本 字符"/>
    <w:link w:val="920"/>
    <w:uiPriority w:val="99"/>
    <w:qFormat/>
    <w:rPr>
      <w:sz w:val="18"/>
    </w:rPr>
  </w:style>
  <w:style w:type="character" w:styleId="1084" w:customStyle="1">
    <w:name w:val="尾注文本 字符"/>
    <w:link w:val="914"/>
    <w:uiPriority w:val="99"/>
    <w:qFormat/>
    <w:rPr>
      <w:sz w:val="20"/>
    </w:rPr>
  </w:style>
  <w:style w:type="paragraph" w:styleId="1085" w:customStyle="1">
    <w:name w:val="TOC 标题1"/>
    <w:uiPriority w:val="39"/>
    <w:unhideWhenUsed/>
    <w:qFormat/>
    <w:rPr>
      <w:rFonts w:ascii="Times New Roman" w:hAnsi="Times New Roman" w:eastAsia="宋体" w:cs="Times New Roman"/>
      <w:lang w:val="en-US" w:eastAsia="zh-CN" w:bidi="ar-SA"/>
    </w:rPr>
  </w:style>
  <w:style w:type="paragraph" w:styleId="1086" w:customStyle="1">
    <w:name w:val="标题 21"/>
    <w:basedOn w:val="893"/>
    <w:next w:val="893"/>
    <w:uiPriority w:val="0"/>
    <w:qFormat/>
    <w:pPr>
      <w:jc w:val="center"/>
      <w:keepLines/>
      <w:keepNext/>
      <w:spacing w:before="260" w:after="260" w:line="415" w:lineRule="auto"/>
      <w:outlineLvl w:val="1"/>
    </w:pPr>
    <w:rPr>
      <w:rFonts w:ascii="Arial" w:hAnsi="Arial" w:eastAsia="幼圆"/>
      <w:b/>
      <w:bCs/>
      <w:sz w:val="44"/>
      <w:szCs w:val="44"/>
    </w:rPr>
  </w:style>
  <w:style w:type="character" w:styleId="1087" w:customStyle="1">
    <w:name w:val="默认段落字体1"/>
    <w:link w:val="893"/>
    <w:uiPriority w:val="0"/>
    <w:semiHidden/>
    <w:qFormat/>
  </w:style>
  <w:style w:type="table" w:styleId="1088" w:customStyle="1">
    <w:name w:val="普通表格1"/>
    <w:uiPriority w:val="0"/>
    <w:semiHidden/>
    <w:qFormat/>
    <w:tblPr>
      <w:tblCellMar>
        <w:left w:w="0" w:type="dxa"/>
        <w:top w:w="0" w:type="dxa"/>
        <w:right w:w="0" w:type="dxa"/>
        <w:bottom w:w="0" w:type="dxa"/>
      </w:tblCellMar>
    </w:tblPr>
  </w:style>
  <w:style w:type="paragraph" w:styleId="1089" w:customStyle="1">
    <w:name w:val="正文缩进1"/>
    <w:basedOn w:val="893"/>
    <w:uiPriority w:val="0"/>
    <w:qFormat/>
    <w:pPr>
      <w:ind w:firstLine="420"/>
    </w:pPr>
    <w:rPr>
      <w:szCs w:val="21"/>
    </w:rPr>
  </w:style>
  <w:style w:type="paragraph" w:styleId="1090" w:customStyle="1">
    <w:name w:val="文档结构图1"/>
    <w:basedOn w:val="893"/>
    <w:uiPriority w:val="0"/>
    <w:qFormat/>
    <w:pPr>
      <w:shd w:val="clear" w:color="auto" w:fill="000080"/>
    </w:pPr>
    <w:rPr>
      <w:szCs w:val="21"/>
    </w:rPr>
  </w:style>
  <w:style w:type="paragraph" w:styleId="1091" w:customStyle="1">
    <w:name w:val="正文文本1"/>
    <w:basedOn w:val="893"/>
    <w:next w:val="893"/>
    <w:uiPriority w:val="0"/>
    <w:qFormat/>
    <w:pPr>
      <w:spacing w:after="120"/>
    </w:pPr>
  </w:style>
  <w:style w:type="paragraph" w:styleId="1092" w:customStyle="1">
    <w:name w:val="正文文本缩进1"/>
    <w:basedOn w:val="893"/>
    <w:next w:val="1093"/>
    <w:uiPriority w:val="0"/>
    <w:qFormat/>
    <w:pPr>
      <w:ind w:firstLine="645"/>
    </w:pPr>
    <w:rPr>
      <w:rFonts w:ascii="楷体_GB2312" w:hAnsi="宋体" w:eastAsia="楷体_GB2312"/>
      <w:sz w:val="32"/>
      <w:szCs w:val="32"/>
    </w:rPr>
  </w:style>
  <w:style w:type="paragraph" w:styleId="1093" w:customStyle="1">
    <w:name w:val="寄信人地址1"/>
    <w:basedOn w:val="893"/>
    <w:uiPriority w:val="99"/>
    <w:qFormat/>
    <w:rPr>
      <w:rFonts w:ascii="Arial" w:hAnsi="Arial"/>
    </w:rPr>
  </w:style>
  <w:style w:type="paragraph" w:styleId="1094" w:customStyle="1">
    <w:name w:val="日期1"/>
    <w:basedOn w:val="893"/>
    <w:next w:val="893"/>
    <w:uiPriority w:val="0"/>
    <w:qFormat/>
    <w:rPr>
      <w:sz w:val="24"/>
    </w:rPr>
  </w:style>
  <w:style w:type="paragraph" w:styleId="1095" w:customStyle="1">
    <w:name w:val="页脚1"/>
    <w:basedOn w:val="893"/>
    <w:uiPriority w:val="99"/>
    <w:qFormat/>
    <w:pPr>
      <w:jc w:val="left"/>
      <w:tabs>
        <w:tab w:val="center" w:pos="4153" w:leader="none"/>
        <w:tab w:val="right" w:pos="8306" w:leader="none"/>
      </w:tabs>
    </w:pPr>
    <w:rPr>
      <w:sz w:val="18"/>
      <w:szCs w:val="18"/>
    </w:rPr>
  </w:style>
  <w:style w:type="paragraph" w:styleId="1096" w:customStyle="1">
    <w:name w:val="页眉1"/>
    <w:basedOn w:val="893"/>
    <w:uiPriority w:val="99"/>
    <w:qFormat/>
    <w:pPr>
      <w:jc w:val="center"/>
      <w:tabs>
        <w:tab w:val="center" w:pos="4153" w:leader="none"/>
        <w:tab w:val="right" w:pos="8306" w:leader="none"/>
      </w:tabs>
      <w:pBdr>
        <w:bottom w:val="single" w:color="000000" w:sz="6" w:space="1"/>
      </w:pBdr>
    </w:pPr>
    <w:rPr>
      <w:sz w:val="18"/>
      <w:szCs w:val="18"/>
    </w:rPr>
  </w:style>
  <w:style w:type="paragraph" w:styleId="1097" w:customStyle="1">
    <w:name w:val="目录 11"/>
    <w:basedOn w:val="893"/>
    <w:next w:val="893"/>
    <w:uiPriority w:val="0"/>
    <w:qFormat/>
  </w:style>
  <w:style w:type="paragraph" w:styleId="1098" w:customStyle="1">
    <w:name w:val="目录 21"/>
    <w:basedOn w:val="893"/>
    <w:next w:val="893"/>
    <w:uiPriority w:val="0"/>
    <w:qFormat/>
    <w:pPr>
      <w:ind w:left="420"/>
    </w:pPr>
  </w:style>
  <w:style w:type="paragraph" w:styleId="1099" w:customStyle="1">
    <w:name w:val="普通(网站)1"/>
    <w:basedOn w:val="893"/>
    <w:uiPriority w:val="0"/>
    <w:qFormat/>
    <w:pPr>
      <w:jc w:val="left"/>
      <w:spacing w:before="100" w:beforeAutospacing="1" w:after="100" w:afterAutospacing="1"/>
    </w:pPr>
    <w:rPr>
      <w:sz w:val="24"/>
    </w:rPr>
  </w:style>
  <w:style w:type="paragraph" w:styleId="1100" w:customStyle="1">
    <w:name w:val="正文首行缩进1"/>
    <w:basedOn w:val="1091"/>
    <w:next w:val="893"/>
    <w:uiPriority w:val="99"/>
    <w:unhideWhenUsed/>
    <w:qFormat/>
    <w:pPr>
      <w:ind w:firstLine="420"/>
    </w:pPr>
  </w:style>
  <w:style w:type="paragraph" w:styleId="1101" w:customStyle="1">
    <w:name w:val="正文首行缩进 21"/>
    <w:basedOn w:val="1092"/>
    <w:uiPriority w:val="0"/>
    <w:qFormat/>
    <w:pPr>
      <w:ind w:firstLine="200"/>
      <w:spacing w:line="360" w:lineRule="auto"/>
    </w:pPr>
    <w:rPr>
      <w:rFonts w:ascii="宋体" w:eastAsia="宋体"/>
      <w:sz w:val="21"/>
      <w:szCs w:val="20"/>
    </w:rPr>
  </w:style>
  <w:style w:type="character" w:styleId="1102" w:customStyle="1">
    <w:name w:val="要点1"/>
    <w:basedOn w:val="1087"/>
    <w:uiPriority w:val="0"/>
    <w:qFormat/>
    <w:rPr>
      <w:b/>
      <w:bCs/>
    </w:rPr>
  </w:style>
  <w:style w:type="character" w:styleId="1103" w:customStyle="1">
    <w:name w:val="页码1"/>
    <w:uiPriority w:val="0"/>
    <w:qFormat/>
  </w:style>
  <w:style w:type="character" w:styleId="1104" w:customStyle="1">
    <w:name w:val="已访问的超链接1"/>
    <w:basedOn w:val="1087"/>
    <w:uiPriority w:val="0"/>
    <w:qFormat/>
    <w:rPr>
      <w:color w:val="800080"/>
      <w:u w:val="none"/>
    </w:rPr>
  </w:style>
  <w:style w:type="character" w:styleId="1105" w:customStyle="1">
    <w:name w:val="强调1"/>
    <w:basedOn w:val="1087"/>
    <w:uiPriority w:val="0"/>
    <w:qFormat/>
    <w:rPr>
      <w:b/>
      <w:bCs/>
    </w:rPr>
  </w:style>
  <w:style w:type="character" w:styleId="1106" w:customStyle="1">
    <w:name w:val="HTML 定义1"/>
    <w:basedOn w:val="1087"/>
    <w:uiPriority w:val="0"/>
    <w:qFormat/>
  </w:style>
  <w:style w:type="character" w:styleId="1107" w:customStyle="1">
    <w:name w:val="HTML 打字机1"/>
    <w:basedOn w:val="1087"/>
    <w:uiPriority w:val="0"/>
    <w:qFormat/>
    <w:rPr>
      <w:rFonts w:ascii="monospace" w:hAnsi="monospace" w:eastAsia="monospace" w:cs="monospace"/>
      <w:sz w:val="20"/>
    </w:rPr>
  </w:style>
  <w:style w:type="character" w:styleId="1108" w:customStyle="1">
    <w:name w:val="HTML 缩写1"/>
    <w:basedOn w:val="1087"/>
    <w:uiPriority w:val="0"/>
    <w:qFormat/>
  </w:style>
  <w:style w:type="character" w:styleId="1109" w:customStyle="1">
    <w:name w:val="HTML 变量1"/>
    <w:basedOn w:val="1087"/>
    <w:uiPriority w:val="0"/>
    <w:qFormat/>
  </w:style>
  <w:style w:type="character" w:styleId="1110" w:customStyle="1">
    <w:name w:val="超链接1"/>
    <w:basedOn w:val="1087"/>
    <w:uiPriority w:val="0"/>
    <w:qFormat/>
    <w:rPr>
      <w:color w:val="0000ff"/>
      <w:u w:val="none"/>
    </w:rPr>
  </w:style>
  <w:style w:type="character" w:styleId="1111" w:customStyle="1">
    <w:name w:val="HTML 代码1"/>
    <w:basedOn w:val="1087"/>
    <w:uiPriority w:val="0"/>
    <w:qFormat/>
    <w:rPr>
      <w:rFonts w:ascii="monospace" w:hAnsi="monospace" w:eastAsia="monospace" w:cs="monospace"/>
      <w:sz w:val="20"/>
    </w:rPr>
  </w:style>
  <w:style w:type="character" w:styleId="1112" w:customStyle="1">
    <w:name w:val="HTML 引文1"/>
    <w:basedOn w:val="1087"/>
    <w:uiPriority w:val="0"/>
    <w:qFormat/>
  </w:style>
  <w:style w:type="character" w:styleId="1113" w:customStyle="1">
    <w:name w:val="HTML 键盘1"/>
    <w:basedOn w:val="1087"/>
    <w:uiPriority w:val="0"/>
    <w:qFormat/>
    <w:rPr>
      <w:rFonts w:ascii="monospace" w:hAnsi="monospace" w:eastAsia="monospace" w:cs="monospace"/>
      <w:sz w:val="20"/>
    </w:rPr>
  </w:style>
  <w:style w:type="character" w:styleId="1114" w:customStyle="1">
    <w:name w:val="HTML 样本1"/>
    <w:basedOn w:val="1087"/>
    <w:uiPriority w:val="0"/>
    <w:qFormat/>
    <w:rPr>
      <w:rFonts w:ascii="monospace" w:hAnsi="monospace" w:eastAsia="monospace" w:cs="monospace"/>
    </w:rPr>
  </w:style>
  <w:style w:type="paragraph" w:styleId="1115" w:customStyle="1">
    <w:name w:val="普通正文"/>
    <w:basedOn w:val="893"/>
    <w:uiPriority w:val="0"/>
    <w:qFormat/>
    <w:pPr>
      <w:ind w:firstLine="480"/>
      <w:jc w:val="left"/>
      <w:spacing w:before="120" w:after="120" w:line="360" w:lineRule="auto"/>
    </w:pPr>
    <w:rPr>
      <w:rFonts w:ascii="Arial" w:hAnsi="Arial"/>
      <w:sz w:val="24"/>
    </w:rPr>
  </w:style>
  <w:style w:type="paragraph" w:styleId="1116" w:customStyle="1">
    <w:name w:val="WPSOffice手动目录 1"/>
    <w:uiPriority w:val="0"/>
    <w:qFormat/>
    <w:rPr>
      <w:rFonts w:ascii="Times New Roman" w:hAnsi="Times New Roman" w:eastAsia="宋体" w:cs="Times New Roman"/>
      <w:lang w:val="en-US" w:eastAsia="zh-CN" w:bidi="ar-SA"/>
    </w:rPr>
  </w:style>
  <w:style w:type="character" w:styleId="1117" w:customStyle="1">
    <w:name w:val="标题 4 Char"/>
    <w:uiPriority w:val="9"/>
    <w:qFormat/>
    <w:rPr>
      <w:rFonts w:ascii="Cambria" w:hAnsi="Cambria" w:eastAsia="宋体" w:cs="Times New Roman"/>
      <w:b/>
      <w:bCs/>
      <w:sz w:val="28"/>
      <w:szCs w:val="28"/>
    </w:rPr>
  </w:style>
  <w:style w:type="paragraph" w:styleId="1118" w:customStyle="1">
    <w:name w:val="Normal_2"/>
    <w:uiPriority w:val="0"/>
    <w:qFormat/>
    <w:rPr>
      <w:rFonts w:ascii="Times New Roman" w:hAnsi="Times New Roman" w:eastAsia="Times New Roman" w:cs="Times New Roman"/>
      <w:sz w:val="24"/>
      <w:szCs w:val="24"/>
      <w:lang w:val="en-US" w:eastAsia="zh-CN" w:bidi="ar-SA"/>
    </w:rPr>
  </w:style>
  <w:style w:type="paragraph" w:styleId="1119" w:customStyle="1">
    <w:name w:val="Normal_3"/>
    <w:uiPriority w:val="0"/>
    <w:qFormat/>
    <w:rPr>
      <w:rFonts w:ascii="Times New Roman" w:hAnsi="Times New Roman" w:eastAsia="Times New Roman" w:cs="Times New Roman"/>
      <w:sz w:val="24"/>
      <w:szCs w:val="24"/>
      <w:lang w:val="en-US" w:eastAsia="zh-CN" w:bidi="ar-SA"/>
    </w:rPr>
  </w:style>
  <w:style w:type="paragraph" w:styleId="1120" w:customStyle="1">
    <w:name w:val="Normal_5"/>
    <w:uiPriority w:val="0"/>
    <w:qFormat/>
    <w:rPr>
      <w:rFonts w:ascii="Times New Roman" w:hAnsi="Times New Roman" w:eastAsia="Times New Roman" w:cs="Times New Roman"/>
      <w:sz w:val="24"/>
      <w:szCs w:val="24"/>
      <w:lang w:val="en-US" w:eastAsia="zh-CN" w:bidi="ar-SA"/>
    </w:rPr>
  </w:style>
  <w:style w:type="paragraph" w:styleId="1121" w:customStyle="1">
    <w:name w:val="Normal_6"/>
    <w:uiPriority w:val="0"/>
    <w:qFormat/>
    <w:rPr>
      <w:rFonts w:ascii="Times New Roman" w:hAnsi="Times New Roman" w:eastAsia="Times New Roman" w:cs="Times New Roman"/>
      <w:sz w:val="24"/>
      <w:szCs w:val="24"/>
      <w:lang w:val="en-US" w:eastAsia="zh-CN" w:bidi="ar-SA"/>
    </w:rPr>
  </w:style>
  <w:style w:type="paragraph" w:styleId="1122" w:customStyle="1">
    <w:name w:val="Normal_12"/>
    <w:uiPriority w:val="0"/>
    <w:qFormat/>
    <w:rPr>
      <w:rFonts w:ascii="Times New Roman" w:hAnsi="Times New Roman" w:eastAsia="Times New Roman" w:cs="Times New Roman"/>
      <w:sz w:val="24"/>
      <w:szCs w:val="24"/>
      <w:lang w:val="en-US" w:eastAsia="zh-CN" w:bidi="ar-SA"/>
    </w:rPr>
  </w:style>
  <w:style w:type="paragraph" w:styleId="1123" w:customStyle="1">
    <w:name w:val="Normal_0_0"/>
    <w:uiPriority w:val="0"/>
    <w:qFormat/>
    <w:rPr>
      <w:rFonts w:ascii="Times New Roman" w:hAnsi="Times New Roman" w:eastAsia="Times New Roman" w:cs="Times New Roman"/>
      <w:sz w:val="24"/>
      <w:szCs w:val="24"/>
      <w:lang w:val="en-US" w:eastAsia="zh-CN" w:bidi="ar-SA"/>
    </w:rPr>
  </w:style>
  <w:style w:type="paragraph" w:styleId="1124" w:customStyle="1">
    <w:name w:val="Normal_7"/>
    <w:uiPriority w:val="0"/>
    <w:qFormat/>
    <w:rPr>
      <w:rFonts w:ascii="Times New Roman" w:hAnsi="Times New Roman" w:eastAsia="Times New Roman" w:cs="Times New Roman"/>
      <w:sz w:val="24"/>
      <w:szCs w:val="24"/>
      <w:lang w:val="en-US" w:eastAsia="zh-CN" w:bidi="ar-SA"/>
    </w:rPr>
  </w:style>
  <w:style w:type="paragraph" w:styleId="1125" w:customStyle="1">
    <w:name w:val="Normal_0"/>
    <w:next w:val="1126"/>
    <w:uiPriority w:val="0"/>
    <w:qFormat/>
    <w:rPr>
      <w:rFonts w:ascii="Times New Roman" w:hAnsi="Times New Roman" w:eastAsia="Times New Roman" w:cs="Times New Roman"/>
      <w:sz w:val="24"/>
      <w:szCs w:val="24"/>
      <w:lang w:val="en-US" w:eastAsia="zh-CN" w:bidi="ar-SA"/>
    </w:rPr>
  </w:style>
  <w:style w:type="paragraph" w:styleId="1126" w:customStyle="1">
    <w:name w:val="首行缩进_0"/>
    <w:basedOn w:val="1127"/>
    <w:uiPriority w:val="0"/>
    <w:qFormat/>
    <w:pPr>
      <w:ind w:firstLine="480"/>
      <w:jc w:val="left"/>
      <w:spacing w:line="360" w:lineRule="auto"/>
    </w:pPr>
    <w:rPr>
      <w:rFonts w:ascii="宋体" w:hAnsi="宋体"/>
      <w:sz w:val="24"/>
    </w:rPr>
  </w:style>
  <w:style w:type="paragraph" w:styleId="1127" w:customStyle="1">
    <w:name w:val="Normal_13"/>
    <w:next w:val="1126"/>
    <w:uiPriority w:val="0"/>
    <w:qFormat/>
    <w:rPr>
      <w:rFonts w:ascii="Times New Roman" w:hAnsi="Times New Roman" w:eastAsia="Times New Roman" w:cs="Times New Roman"/>
      <w:sz w:val="24"/>
      <w:szCs w:val="24"/>
      <w:lang w:val="en-US" w:eastAsia="zh-CN" w:bidi="ar-SA"/>
    </w:rPr>
  </w:style>
  <w:style w:type="paragraph" w:styleId="1128" w:customStyle="1">
    <w:name w:val="Normal_9"/>
    <w:next w:val="1126"/>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Normal_0_0_0"/>
    <w:uiPriority w:val="0"/>
    <w:qFormat/>
    <w:rPr>
      <w:rFonts w:ascii="Times New Roman" w:hAnsi="Times New Roman" w:eastAsia="Times New Roman" w:cs="Times New Roman"/>
      <w:sz w:val="24"/>
      <w:szCs w:val="24"/>
      <w:lang w:val="en-US" w:eastAsia="zh-CN" w:bidi="ar-SA"/>
    </w:rPr>
  </w:style>
  <w:style w:type="paragraph" w:styleId="1130" w:customStyle="1">
    <w:name w:val="正文 A"/>
    <w:next w:val="1131"/>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31" w:customStyle="1">
    <w:name w:val="段"/>
    <w:next w:val="893"/>
    <w:uiPriority w:val="0"/>
    <w:qFormat/>
    <w:pPr>
      <w:ind w:firstLine="200"/>
      <w:jc w:val="both"/>
    </w:pPr>
    <w:rPr>
      <w:rFonts w:ascii="宋体" w:hAnsi="Times New Roman" w:eastAsia="宋体" w:cs="Times New Roman"/>
      <w:sz w:val="21"/>
      <w:szCs w:val="22"/>
      <w:lang w:val="en-US" w:eastAsia="zh-CN" w:bidi="ar-SA"/>
    </w:rPr>
  </w:style>
  <w:style w:type="paragraph" w:styleId="1132" w:customStyle="1">
    <w:name w:val="样式1"/>
    <w:basedOn w:val="893"/>
    <w:uiPriority w:val="0"/>
    <w:qFormat/>
    <w:pPr>
      <w:numPr>
        <w:ilvl w:val="0"/>
        <w:numId w:val="1"/>
      </w:numPr>
      <w:ind w:firstLine="0"/>
    </w:pPr>
    <w:rPr>
      <w:rFonts w:ascii="宋体" w:hAnsi="宋体" w:cs="宋体"/>
      <w:szCs w:val="21"/>
    </w:rPr>
  </w:style>
  <w:style w:type="paragraph" w:styleId="1133">
    <w:name w:val="List Paragraph"/>
    <w:basedOn w:val="893"/>
    <w:uiPriority w:val="34"/>
    <w:qFormat/>
    <w:pPr>
      <w:ind w:firstLine="420"/>
    </w:pPr>
  </w:style>
  <w:style w:type="paragraph" w:styleId="1134" w:customStyle="1">
    <w:name w:val="Normal_0_2"/>
    <w:uiPriority w:val="0"/>
    <w:qFormat/>
    <w:rPr>
      <w:rFonts w:ascii="Times New Roman" w:hAnsi="Times New Roman" w:eastAsia="Times New Roman" w:cs="Times New Roman"/>
      <w:sz w:val="24"/>
      <w:szCs w:val="24"/>
      <w:lang w:val="en-US" w:eastAsia="zh-CN" w:bidi="ar-SA"/>
    </w:rPr>
  </w:style>
  <w:style w:type="paragraph" w:styleId="1135" w:customStyle="1">
    <w:name w:val="Normal_1_1"/>
    <w:uiPriority w:val="0"/>
    <w:qFormat/>
    <w:rPr>
      <w:rFonts w:ascii="Times New Roman" w:hAnsi="Times New Roman" w:eastAsia="Times New Roman" w:cs="Times New Roman"/>
      <w:sz w:val="24"/>
      <w:szCs w:val="24"/>
      <w:lang w:val="en-US" w:eastAsia="zh-CN" w:bidi="ar-SA"/>
    </w:rPr>
  </w:style>
  <w:style w:type="paragraph" w:styleId="1136" w:customStyle="1">
    <w:name w:val="Normal_0_1_0"/>
    <w:uiPriority w:val="0"/>
    <w:qFormat/>
    <w:rPr>
      <w:rFonts w:ascii="Times New Roman" w:hAnsi="Times New Roman" w:eastAsia="Times New Roman" w:cs="Times New Roman"/>
      <w:sz w:val="24"/>
      <w:szCs w:val="24"/>
      <w:lang w:val="en-US" w:eastAsia="zh-CN" w:bidi="ar-SA"/>
    </w:rPr>
  </w:style>
  <w:style w:type="paragraph" w:styleId="1137" w:customStyle="1">
    <w:name w:val="Normal_0_4"/>
    <w:uiPriority w:val="0"/>
    <w:qFormat/>
    <w:rPr>
      <w:rFonts w:ascii="Times New Roman" w:hAnsi="Times New Roman" w:eastAsia="Times New Roman" w:cs="Times New Roman"/>
      <w:sz w:val="24"/>
      <w:szCs w:val="24"/>
      <w:lang w:val="en-US" w:eastAsia="zh-CN" w:bidi="ar-SA"/>
    </w:rPr>
  </w:style>
  <w:style w:type="character" w:styleId="1138" w:customStyle="1">
    <w:name w:val="hover"/>
    <w:basedOn w:val="1087"/>
    <w:uiPriority w:val="0"/>
    <w:qFormat/>
  </w:style>
  <w:style w:type="character" w:styleId="1139" w:customStyle="1">
    <w:name w:val="hover1"/>
    <w:basedOn w:val="1087"/>
    <w:uiPriority w:val="0"/>
    <w:qFormat/>
    <w:rPr>
      <w:color w:val="2590eb"/>
    </w:rPr>
  </w:style>
  <w:style w:type="character" w:styleId="1140" w:customStyle="1">
    <w:name w:val="hover2"/>
    <w:basedOn w:val="1087"/>
    <w:uiPriority w:val="0"/>
    <w:qFormat/>
    <w:rPr>
      <w:color w:val="2590eb"/>
    </w:rPr>
  </w:style>
  <w:style w:type="character" w:styleId="1141" w:customStyle="1">
    <w:name w:val="mini-outputtext1"/>
    <w:basedOn w:val="1087"/>
    <w:uiPriority w:val="0"/>
    <w:qFormat/>
  </w:style>
  <w:style w:type="paragraph" w:styleId="1142" w:customStyle="1">
    <w:name w:val="Normal_18_0"/>
    <w:uiPriority w:val="0"/>
    <w:qFormat/>
    <w:rPr>
      <w:rFonts w:ascii="Times New Roman" w:hAnsi="Times New Roman" w:eastAsia="Times New Roman" w:cs="Times New Roman"/>
      <w:sz w:val="24"/>
      <w:szCs w:val="24"/>
      <w:lang w:val="en-US" w:eastAsia="zh-CN" w:bidi="ar-SA"/>
    </w:rPr>
  </w:style>
  <w:style w:type="paragraph" w:styleId="1143" w:customStyle="1">
    <w:name w:val="Normal_24"/>
    <w:uiPriority w:val="0"/>
    <w:qFormat/>
    <w:rPr>
      <w:rFonts w:ascii="Times New Roman" w:hAnsi="Times New Roman" w:eastAsia="Times New Roman" w:cs="Times New Roman"/>
      <w:sz w:val="24"/>
      <w:szCs w:val="24"/>
      <w:lang w:val="en-US" w:eastAsia="zh-CN" w:bidi="ar-SA"/>
    </w:rPr>
  </w:style>
  <w:style w:type="paragraph" w:styleId="1144" w:customStyle="1">
    <w:name w:val="Normal_27"/>
    <w:uiPriority w:val="0"/>
    <w:qFormat/>
    <w:rPr>
      <w:rFonts w:ascii="Times New Roman" w:hAnsi="Times New Roman" w:eastAsia="Times New Roman" w:cs="Times New Roman"/>
      <w:sz w:val="24"/>
      <w:szCs w:val="24"/>
      <w:lang w:val="en-US" w:eastAsia="zh-CN" w:bidi="ar-SA"/>
    </w:rPr>
  </w:style>
  <w:style w:type="paragraph" w:styleId="1145" w:customStyle="1">
    <w:name w:val="Normal_43"/>
    <w:uiPriority w:val="0"/>
    <w:qFormat/>
    <w:rPr>
      <w:rFonts w:ascii="Times New Roman" w:hAnsi="Times New Roman" w:eastAsia="Times New Roman" w:cs="Times New Roman"/>
      <w:sz w:val="24"/>
      <w:szCs w:val="24"/>
      <w:lang w:val="en-US" w:eastAsia="zh-CN" w:bidi="ar-SA"/>
    </w:rPr>
  </w:style>
  <w:style w:type="paragraph" w:styleId="1146" w:customStyle="1">
    <w:name w:val="Normal_6_1"/>
    <w:uiPriority w:val="0"/>
    <w:qFormat/>
    <w:rPr>
      <w:rFonts w:ascii="Times New Roman" w:hAnsi="Times New Roman" w:eastAsia="Times New Roman" w:cs="Times New Roman"/>
      <w:sz w:val="24"/>
      <w:szCs w:val="24"/>
      <w:lang w:val="en-US" w:eastAsia="zh-CN" w:bidi="ar-SA"/>
    </w:rPr>
  </w:style>
  <w:style w:type="paragraph" w:styleId="1147" w:customStyle="1">
    <w:name w:val="Normal_0_1"/>
    <w:uiPriority w:val="0"/>
    <w:qFormat/>
    <w:rPr>
      <w:rFonts w:ascii="Times New Roman" w:hAnsi="Times New Roman" w:eastAsia="Times New Roman" w:cs="Times New Roman"/>
      <w:sz w:val="24"/>
      <w:szCs w:val="24"/>
      <w:lang w:val="en-US" w:eastAsia="zh-CN" w:bidi="ar-SA"/>
    </w:rPr>
  </w:style>
  <w:style w:type="paragraph" w:styleId="1148" w:customStyle="1">
    <w:name w:val="Normal_23"/>
    <w:uiPriority w:val="0"/>
    <w:qFormat/>
    <w:rPr>
      <w:rFonts w:ascii="Times New Roman" w:hAnsi="Times New Roman" w:eastAsia="Times New Roman" w:cs="Times New Roman"/>
      <w:sz w:val="24"/>
      <w:szCs w:val="24"/>
      <w:lang w:val="en-US" w:eastAsia="zh-CN" w:bidi="ar-SA"/>
    </w:rPr>
  </w:style>
  <w:style w:type="paragraph" w:styleId="1149" w:customStyle="1">
    <w:name w:val="p0"/>
    <w:basedOn w:val="893"/>
    <w:uiPriority w:val="99"/>
    <w:qFormat/>
    <w:pPr>
      <w:widowControl/>
    </w:pPr>
    <w:rPr>
      <w:rFonts w:ascii="Calibri" w:hAnsi="Calibri" w:cs="宋体"/>
      <w:szCs w:val="21"/>
    </w:rPr>
  </w:style>
  <w:style w:type="paragraph" w:styleId="1150" w:customStyle="1">
    <w:name w:val="Normal_2_0"/>
    <w:uiPriority w:val="0"/>
    <w:qFormat/>
    <w:rPr>
      <w:rFonts w:ascii="Times New Roman" w:hAnsi="Times New Roman" w:eastAsia="Times New Roman" w:cs="Times New Roman"/>
      <w:sz w:val="24"/>
      <w:szCs w:val="24"/>
      <w:lang w:val="en-US" w:eastAsia="zh-CN" w:bidi="ar-SA"/>
    </w:rPr>
  </w:style>
  <w:style w:type="paragraph" w:styleId="1151" w:customStyle="1">
    <w:name w:val="Normal_4_0"/>
    <w:uiPriority w:val="0"/>
    <w:qFormat/>
    <w:rPr>
      <w:rFonts w:ascii="Times New Roman" w:hAnsi="Times New Roman" w:eastAsia="Times New Roman" w:cs="Times New Roman"/>
      <w:sz w:val="24"/>
      <w:szCs w:val="24"/>
      <w:lang w:val="en-US" w:eastAsia="zh-CN" w:bidi="ar-SA"/>
    </w:rPr>
  </w:style>
  <w:style w:type="paragraph" w:styleId="1152" w:customStyle="1">
    <w:name w:val="Normal_5_0"/>
    <w:uiPriority w:val="0"/>
    <w:qFormat/>
    <w:rPr>
      <w:rFonts w:ascii="Times New Roman" w:hAnsi="Times New Roman" w:eastAsia="Times New Roman" w:cs="Times New Roman"/>
      <w:sz w:val="24"/>
      <w:szCs w:val="24"/>
      <w:lang w:val="en-US" w:eastAsia="zh-CN" w:bidi="ar-SA"/>
    </w:rPr>
  </w:style>
  <w:style w:type="table" w:styleId="1153" w:customStyle="1">
    <w:name w:val="TableGrid1"/>
    <w:uiPriority w:val="0"/>
    <w:qFormat/>
    <w:tblPr>
      <w:tblCellMar>
        <w:left w:w="0" w:type="dxa"/>
        <w:top w:w="0" w:type="dxa"/>
        <w:right w:w="0" w:type="dxa"/>
        <w:bottom w:w="0" w:type="dxa"/>
      </w:tblCellMar>
    </w:tblPr>
  </w:style>
  <w:style w:type="paragraph" w:styleId="1154">
    <w:name w:val="No Spacing"/>
    <w:uiPriority w:val="1"/>
    <w:qFormat/>
    <w:pPr>
      <w:jc w:val="both"/>
      <w:widowControl w:val="off"/>
    </w:pPr>
    <w:rPr>
      <w:rFonts w:ascii="Calibri" w:hAnsi="Calibri" w:eastAsia="宋体" w:cs="Times New Roman"/>
      <w:sz w:val="21"/>
      <w:szCs w:val="22"/>
      <w:lang w:val="en-US" w:eastAsia="zh-CN" w:bidi="ar-SA"/>
    </w:rPr>
  </w:style>
  <w:style w:type="paragraph" w:styleId="1155" w:customStyle="1">
    <w:name w:val="Normal_25"/>
    <w:uiPriority w:val="0"/>
    <w:qFormat/>
    <w:rPr>
      <w:rFonts w:ascii="Times New Roman" w:hAnsi="Times New Roman" w:eastAsia="Times New Roman" w:cs="Times New Roman"/>
      <w:sz w:val="24"/>
      <w:szCs w:val="24"/>
      <w:lang w:val="en-US" w:eastAsia="zh-CN" w:bidi="ar-SA"/>
    </w:rPr>
  </w:style>
  <w:style w:type="paragraph" w:styleId="1156" w:customStyle="1">
    <w:name w:val="Normal_26"/>
    <w:uiPriority w:val="0"/>
    <w:qFormat/>
    <w:rPr>
      <w:rFonts w:ascii="Times New Roman" w:hAnsi="Times New Roman" w:eastAsia="Times New Roman" w:cs="Times New Roman"/>
      <w:sz w:val="24"/>
      <w:szCs w:val="24"/>
      <w:lang w:val="en-US" w:eastAsia="zh-CN" w:bidi="ar-SA"/>
    </w:rPr>
  </w:style>
  <w:style w:type="paragraph" w:styleId="115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58" w:customStyle="1">
    <w:name w:val="Normal_30"/>
    <w:uiPriority w:val="0"/>
    <w:qFormat/>
    <w:rPr>
      <w:rFonts w:ascii="Times New Roman" w:hAnsi="Times New Roman" w:eastAsia="Times New Roman" w:cs="Times New Roman"/>
      <w:sz w:val="24"/>
      <w:szCs w:val="24"/>
      <w:lang w:val="en-US" w:eastAsia="zh-CN" w:bidi="ar-SA"/>
    </w:rPr>
  </w:style>
  <w:style w:type="paragraph" w:styleId="1159" w:customStyle="1">
    <w:name w:val="WPSOffice手动目录 2"/>
    <w:uiPriority w:val="0"/>
    <w:qFormat/>
    <w:rPr>
      <w:rFonts w:ascii="Times New Roman" w:hAnsi="Times New Roman" w:eastAsia="宋体" w:cs="Times New Roman"/>
      <w:lang w:val="en-US" w:eastAsia="zh-CN" w:bidi="ar-SA"/>
    </w:rPr>
  </w:style>
  <w:style w:type="paragraph" w:styleId="1160" w:customStyle="1">
    <w:name w:val="WPSOffice手动目录 3"/>
    <w:uiPriority w:val="0"/>
    <w:qFormat/>
    <w:rPr>
      <w:rFonts w:ascii="Times New Roman" w:hAnsi="Times New Roman" w:eastAsia="宋体" w:cs="Times New Roman"/>
      <w:lang w:val="en-US" w:eastAsia="zh-CN" w:bidi="ar-SA"/>
    </w:rPr>
  </w:style>
  <w:style w:type="paragraph" w:styleId="1161" w:customStyle="1">
    <w:name w:val="p0_0"/>
    <w:basedOn w:val="1125"/>
    <w:uiPriority w:val="0"/>
    <w:qFormat/>
    <w:rPr>
      <w:szCs w:val="21"/>
    </w:rPr>
  </w:style>
  <w:style w:type="paragraph" w:styleId="1162" w:customStyle="1">
    <w:name w:val="标题 41"/>
    <w:basedOn w:val="893"/>
    <w:next w:val="893"/>
    <w:uiPriority w:val="0"/>
    <w:qFormat/>
    <w:pPr>
      <w:keepLines/>
      <w:keepNext/>
      <w:spacing w:before="280" w:after="290" w:line="376" w:lineRule="auto"/>
      <w:outlineLvl w:val="3"/>
    </w:pPr>
    <w:rPr>
      <w:rFonts w:ascii="Arial" w:hAnsi="Arial" w:eastAsia="黑体"/>
      <w:b/>
      <w:bCs/>
      <w:sz w:val="28"/>
      <w:szCs w:val="28"/>
    </w:rPr>
  </w:style>
  <w:style w:type="character" w:styleId="1163" w:customStyle="1">
    <w:name w:val="默认段落字体11"/>
    <w:link w:val="893"/>
    <w:uiPriority w:val="0"/>
    <w:semiHidden/>
    <w:qFormat/>
    <w:rPr>
      <w:rFonts w:ascii="Times New Roman" w:hAnsi="Times New Roman" w:eastAsia="宋体" w:cs="Times New Roman"/>
      <w:sz w:val="21"/>
      <w:szCs w:val="24"/>
      <w:lang w:val="en-US" w:eastAsia="zh-CN" w:bidi="ar-SA"/>
    </w:rPr>
  </w:style>
  <w:style w:type="paragraph" w:styleId="1164" w:customStyle="1">
    <w:name w:val="Normal_9_0"/>
    <w:uiPriority w:val="0"/>
    <w:qFormat/>
    <w:rPr>
      <w:rFonts w:ascii="Times New Roman" w:hAnsi="Times New Roman" w:eastAsia="Times New Roman" w:cs="Times New Roman"/>
      <w:sz w:val="24"/>
      <w:szCs w:val="24"/>
      <w:lang w:val="en-US" w:eastAsia="zh-CN" w:bidi="ar-SA"/>
    </w:rPr>
  </w:style>
  <w:style w:type="paragraph" w:styleId="1165" w:customStyle="1">
    <w:name w:val="Normal_11_0"/>
    <w:uiPriority w:val="0"/>
    <w:qFormat/>
    <w:rPr>
      <w:rFonts w:ascii="Times New Roman" w:hAnsi="Times New Roman" w:eastAsia="Times New Roman" w:cs="Times New Roman"/>
      <w:sz w:val="24"/>
      <w:szCs w:val="24"/>
      <w:lang w:val="en-US" w:eastAsia="zh-CN" w:bidi="ar-SA"/>
    </w:rPr>
  </w:style>
  <w:style w:type="paragraph" w:styleId="116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67" w:customStyle="1">
    <w:name w:val="Normal_28"/>
    <w:uiPriority w:val="0"/>
    <w:qFormat/>
    <w:rPr>
      <w:rFonts w:ascii="Times New Roman" w:hAnsi="Times New Roman" w:eastAsia="Times New Roman" w:cs="Times New Roman"/>
      <w:sz w:val="24"/>
      <w:szCs w:val="24"/>
      <w:lang w:val="en-US" w:eastAsia="zh-CN" w:bidi="ar-SA"/>
    </w:rPr>
  </w:style>
  <w:style w:type="paragraph" w:styleId="1168" w:customStyle="1">
    <w:name w:val="Normal_0_3"/>
    <w:uiPriority w:val="0"/>
    <w:qFormat/>
    <w:rPr>
      <w:rFonts w:ascii="Times New Roman" w:hAnsi="Times New Roman" w:eastAsia="Times New Roman" w:cs="Times New Roman"/>
      <w:sz w:val="24"/>
      <w:szCs w:val="24"/>
      <w:lang w:val="en-US" w:eastAsia="zh-CN" w:bidi="ar-SA"/>
    </w:rPr>
  </w:style>
  <w:style w:type="paragraph" w:styleId="1169" w:customStyle="1">
    <w:name w:val="Normal_14"/>
    <w:uiPriority w:val="0"/>
    <w:qFormat/>
    <w:rPr>
      <w:rFonts w:ascii="Times New Roman" w:hAnsi="Times New Roman" w:eastAsia="Times New Roman" w:cs="Times New Roman"/>
      <w:sz w:val="24"/>
      <w:szCs w:val="24"/>
      <w:lang w:val="en-US" w:eastAsia="zh-CN" w:bidi="ar-SA"/>
    </w:rPr>
  </w:style>
  <w:style w:type="paragraph" w:styleId="1170" w:customStyle="1">
    <w:name w:val="Normal_1"/>
    <w:uiPriority w:val="0"/>
    <w:qFormat/>
    <w:rPr>
      <w:rFonts w:ascii="Times New Roman" w:hAnsi="Times New Roman" w:eastAsia="Times New Roman" w:cs="Times New Roman"/>
      <w:sz w:val="24"/>
      <w:szCs w:val="24"/>
      <w:lang w:val="en-US" w:eastAsia="zh-CN" w:bidi="ar-SA"/>
    </w:rPr>
  </w:style>
  <w:style w:type="paragraph" w:styleId="1171" w:customStyle="1">
    <w:name w:val="Normal_2_1"/>
    <w:uiPriority w:val="0"/>
    <w:qFormat/>
    <w:rPr>
      <w:rFonts w:ascii="Times New Roman" w:hAnsi="Times New Roman" w:eastAsia="Times New Roman" w:cs="Times New Roman"/>
      <w:sz w:val="24"/>
      <w:szCs w:val="24"/>
      <w:lang w:val="en-US" w:eastAsia="zh-CN" w:bidi="ar-SA"/>
    </w:rPr>
  </w:style>
  <w:style w:type="paragraph" w:styleId="1172" w:customStyle="1">
    <w:name w:val="Normal_1_2"/>
    <w:uiPriority w:val="0"/>
    <w:qFormat/>
    <w:rPr>
      <w:rFonts w:ascii="Times New Roman" w:hAnsi="Times New Roman" w:eastAsia="Times New Roman" w:cs="Times New Roman"/>
      <w:sz w:val="24"/>
      <w:szCs w:val="24"/>
      <w:lang w:val="en-US" w:eastAsia="zh-CN" w:bidi="ar-SA"/>
    </w:rPr>
  </w:style>
  <w:style w:type="paragraph" w:styleId="1173" w:customStyle="1">
    <w:name w:val="Normal_6_0"/>
    <w:uiPriority w:val="0"/>
    <w:qFormat/>
    <w:rPr>
      <w:rFonts w:ascii="Times New Roman" w:hAnsi="Times New Roman" w:eastAsia="Times New Roman" w:cs="Times New Roman"/>
      <w:sz w:val="24"/>
      <w:szCs w:val="24"/>
      <w:lang w:val="en-US" w:eastAsia="zh-CN" w:bidi="ar-SA"/>
    </w:rPr>
  </w:style>
  <w:style w:type="paragraph" w:styleId="1174" w:customStyle="1">
    <w:name w:val="Normal_39"/>
    <w:uiPriority w:val="0"/>
    <w:qFormat/>
    <w:rPr>
      <w:rFonts w:ascii="Times New Roman" w:hAnsi="Times New Roman" w:eastAsia="Times New Roman" w:cs="Times New Roman"/>
      <w:sz w:val="24"/>
      <w:szCs w:val="24"/>
      <w:lang w:val="en-US" w:eastAsia="zh-CN" w:bidi="ar-SA"/>
    </w:rPr>
  </w:style>
  <w:style w:type="paragraph" w:styleId="1175" w:customStyle="1">
    <w:name w:val="Normal_41"/>
    <w:uiPriority w:val="0"/>
    <w:qFormat/>
    <w:rPr>
      <w:rFonts w:ascii="Times New Roman" w:hAnsi="Times New Roman" w:eastAsia="Times New Roman" w:cs="Times New Roman"/>
      <w:sz w:val="24"/>
      <w:szCs w:val="24"/>
      <w:lang w:val="en-US" w:eastAsia="zh-CN" w:bidi="ar-SA"/>
    </w:rPr>
  </w:style>
  <w:style w:type="paragraph" w:styleId="1176" w:customStyle="1">
    <w:name w:val="Normal_21"/>
    <w:uiPriority w:val="0"/>
    <w:qFormat/>
    <w:rPr>
      <w:rFonts w:ascii="Calibri" w:hAnsi="Calibri" w:eastAsia="Times New Roman" w:cs="Times New Roman"/>
      <w:sz w:val="24"/>
      <w:szCs w:val="24"/>
      <w:lang w:val="en-US" w:eastAsia="zh-CN" w:bidi="ar-SA"/>
    </w:rPr>
  </w:style>
  <w:style w:type="paragraph" w:styleId="1177" w:customStyle="1">
    <w:name w:val="Normal_16"/>
    <w:uiPriority w:val="0"/>
    <w:qFormat/>
    <w:rPr>
      <w:rFonts w:ascii="Calibri" w:hAnsi="Calibri" w:eastAsia="Times New Roman" w:cs="Times New Roman"/>
      <w:sz w:val="24"/>
      <w:szCs w:val="24"/>
      <w:lang w:val="en-US" w:eastAsia="zh-CN" w:bidi="ar-SA"/>
    </w:rPr>
  </w:style>
  <w:style w:type="character" w:styleId="1178" w:customStyle="1">
    <w:name w:val="默认段落字体12"/>
    <w:uiPriority w:val="1"/>
    <w:unhideWhenUsed/>
    <w:qFormat/>
  </w:style>
  <w:style w:type="paragraph" w:styleId="1179" w:customStyle="1">
    <w:name w:val="Normal_22"/>
    <w:uiPriority w:val="0"/>
    <w:qFormat/>
    <w:rPr>
      <w:rFonts w:ascii="Times New Roman" w:hAnsi="Times New Roman" w:eastAsia="Times New Roman" w:cs="Times New Roman"/>
      <w:sz w:val="24"/>
      <w:szCs w:val="24"/>
      <w:lang w:val="en-US" w:eastAsia="zh-CN" w:bidi="ar-SA"/>
    </w:rPr>
  </w:style>
  <w:style w:type="character" w:styleId="1180" w:customStyle="1">
    <w:name w:val="font31"/>
    <w:basedOn w:val="903"/>
    <w:uiPriority w:val="0"/>
    <w:qFormat/>
    <w:rPr>
      <w:rFonts w:hint="eastAsia" w:ascii="宋体" w:hAnsi="宋体" w:eastAsia="宋体" w:cs="宋体"/>
      <w:color w:val="000000"/>
      <w:sz w:val="24"/>
      <w:szCs w:val="24"/>
      <w:u w:val="none"/>
    </w:rPr>
  </w:style>
  <w:style w:type="character" w:styleId="1181" w:customStyle="1">
    <w:name w:val="font61"/>
    <w:basedOn w:val="903"/>
    <w:uiPriority w:val="0"/>
    <w:qFormat/>
    <w:rPr>
      <w:rFonts w:hint="eastAsia" w:ascii="宋体" w:hAnsi="宋体" w:eastAsia="宋体" w:cs="宋体"/>
      <w:color w:val="000000"/>
      <w:sz w:val="24"/>
      <w:szCs w:val="24"/>
      <w:u w:val="none"/>
    </w:rPr>
  </w:style>
  <w:style w:type="character" w:styleId="1182" w:customStyle="1">
    <w:name w:val="font21"/>
    <w:basedOn w:val="903"/>
    <w:uiPriority w:val="0"/>
    <w:qFormat/>
    <w:rPr>
      <w:rFonts w:hint="eastAsia" w:ascii="宋体" w:hAnsi="宋体" w:eastAsia="宋体" w:cs="宋体"/>
      <w:color w:val="000000"/>
      <w:sz w:val="22"/>
      <w:szCs w:val="22"/>
      <w:u w:val="none"/>
    </w:rPr>
  </w:style>
  <w:style w:type="paragraph" w:styleId="1183" w:customStyle="1">
    <w:name w:val="msonormal"/>
    <w:basedOn w:val="893"/>
    <w:uiPriority w:val="0"/>
    <w:qFormat/>
    <w:pPr>
      <w:ind w:firstLine="0"/>
      <w:jc w:val="left"/>
      <w:spacing w:before="100" w:beforeAutospacing="1" w:after="100" w:afterAutospacing="1" w:line="240" w:lineRule="auto"/>
      <w:widowControl/>
    </w:pPr>
    <w:rPr>
      <w:rFonts w:ascii="宋体" w:hAnsi="宋体" w:cs="宋体"/>
      <w:sz w:val="24"/>
    </w:rPr>
  </w:style>
  <w:style w:type="paragraph" w:styleId="1184" w:customStyle="1">
    <w:name w:val="font5"/>
    <w:basedOn w:val="893"/>
    <w:uiPriority w:val="0"/>
    <w:qFormat/>
    <w:pPr>
      <w:ind w:firstLine="0"/>
      <w:jc w:val="left"/>
      <w:spacing w:before="100" w:beforeAutospacing="1" w:after="100" w:afterAutospacing="1" w:line="240" w:lineRule="auto"/>
      <w:widowControl/>
    </w:pPr>
    <w:rPr>
      <w:rFonts w:ascii="宋体" w:hAnsi="宋体" w:cs="宋体"/>
      <w:sz w:val="18"/>
      <w:szCs w:val="18"/>
    </w:rPr>
  </w:style>
  <w:style w:type="paragraph" w:styleId="1185" w:customStyle="1">
    <w:name w:val="font6"/>
    <w:basedOn w:val="893"/>
    <w:uiPriority w:val="0"/>
    <w:qFormat/>
    <w:pPr>
      <w:ind w:firstLine="0"/>
      <w:jc w:val="left"/>
      <w:spacing w:before="100" w:beforeAutospacing="1" w:after="100" w:afterAutospacing="1" w:line="240" w:lineRule="auto"/>
      <w:widowControl/>
    </w:pPr>
    <w:rPr>
      <w:rFonts w:ascii="宋体" w:hAnsi="宋体" w:cs="宋体"/>
      <w:color w:val="000000"/>
      <w:sz w:val="18"/>
      <w:szCs w:val="18"/>
    </w:rPr>
  </w:style>
  <w:style w:type="paragraph" w:styleId="1186" w:customStyle="1">
    <w:name w:val="xl65"/>
    <w:basedOn w:val="893"/>
    <w:uiPriority w:val="0"/>
    <w:qFormat/>
    <w:pPr>
      <w:ind w:firstLine="0"/>
      <w:jc w:val="left"/>
      <w:spacing w:before="100" w:beforeAutospacing="1" w:after="100" w:afterAutospacing="1" w:line="240" w:lineRule="auto"/>
      <w:widowControl/>
    </w:pPr>
    <w:rPr>
      <w:rFonts w:ascii="宋体" w:hAnsi="宋体" w:cs="宋体"/>
      <w:sz w:val="20"/>
      <w:szCs w:val="20"/>
    </w:rPr>
  </w:style>
  <w:style w:type="paragraph" w:styleId="1187" w:customStyle="1">
    <w:name w:val="xl66"/>
    <w:basedOn w:val="893"/>
    <w:uiPriority w:val="0"/>
    <w:qFormat/>
    <w:pPr>
      <w:ind w:firstLine="0"/>
      <w:jc w:val="left"/>
      <w:spacing w:before="100" w:beforeAutospacing="1" w:after="100" w:afterAutospacing="1" w:line="240" w:lineRule="auto"/>
      <w:widowControl/>
    </w:pPr>
    <w:rPr>
      <w:rFonts w:ascii="宋体" w:hAnsi="宋体" w:cs="宋体"/>
      <w:sz w:val="24"/>
    </w:rPr>
  </w:style>
  <w:style w:type="paragraph" w:styleId="1188" w:customStyle="1">
    <w:name w:val="xl67"/>
    <w:basedOn w:val="893"/>
    <w:uiPriority w:val="0"/>
    <w:qFormat/>
    <w:pPr>
      <w:ind w:firstLine="0"/>
      <w:jc w:val="left"/>
      <w:spacing w:before="100" w:beforeAutospacing="1" w:after="100" w:afterAutospacing="1" w:line="240" w:lineRule="auto"/>
      <w:widowControl/>
    </w:pPr>
    <w:rPr>
      <w:rFonts w:ascii="宋体" w:hAnsi="宋体" w:cs="宋体"/>
      <w:sz w:val="24"/>
    </w:rPr>
  </w:style>
  <w:style w:type="paragraph" w:styleId="1189" w:customStyle="1">
    <w:name w:val="xl68"/>
    <w:basedOn w:val="893"/>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0" w:customStyle="1">
    <w:name w:val="xl69"/>
    <w:basedOn w:val="893"/>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1" w:customStyle="1">
    <w:name w:val="xl70"/>
    <w:basedOn w:val="893"/>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2" w:customStyle="1">
    <w:name w:val="xl71"/>
    <w:basedOn w:val="893"/>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3" w:customStyle="1">
    <w:name w:val="xl72"/>
    <w:basedOn w:val="893"/>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4" w:customStyle="1">
    <w:name w:val="xl73"/>
    <w:basedOn w:val="893"/>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5" w:customStyle="1">
    <w:name w:val="xl74"/>
    <w:basedOn w:val="893"/>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6" w:customStyle="1">
    <w:name w:val="xl75"/>
    <w:basedOn w:val="893"/>
    <w:uiPriority w:val="0"/>
    <w:qFormat/>
    <w:pPr>
      <w:ind w:firstLine="0"/>
      <w:jc w:val="left"/>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7" w:customStyle="1">
    <w:name w:val="xl76"/>
    <w:basedOn w:val="893"/>
    <w:uiPriority w:val="0"/>
    <w:qFormat/>
    <w:pPr>
      <w:ind w:firstLine="0"/>
      <w:jc w:val="left"/>
      <w:spacing w:before="100" w:beforeAutospacing="1" w:after="100" w:afterAutospacing="1" w:line="24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8" w:customStyle="1">
    <w:name w:val="xl77"/>
    <w:basedOn w:val="893"/>
    <w:uiPriority w:val="0"/>
    <w:qFormat/>
    <w:pPr>
      <w:ind w:firstLine="0"/>
      <w:jc w:val="left"/>
      <w:spacing w:before="100" w:beforeAutospacing="1" w:after="100" w:afterAutospacing="1" w:line="24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9" w:customStyle="1">
    <w:name w:val="xl78"/>
    <w:basedOn w:val="893"/>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0" w:customStyle="1">
    <w:name w:val="xl79"/>
    <w:basedOn w:val="893"/>
    <w:uiPriority w:val="0"/>
    <w:qFormat/>
    <w:pPr>
      <w:ind w:firstLine="0"/>
      <w:jc w:val="righ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1" w:customStyle="1">
    <w:name w:val="xl80"/>
    <w:basedOn w:val="893"/>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2" w:customStyle="1">
    <w:name w:val="xl81"/>
    <w:basedOn w:val="893"/>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203" w:customStyle="1">
    <w:name w:val="xl82"/>
    <w:basedOn w:val="893"/>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204"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205" w:customStyle="1">
    <w:name w:val="正文首行缩进111"/>
    <w:basedOn w:val="893"/>
    <w:next w:val="893"/>
    <w:uiPriority w:val="0"/>
    <w:qFormat/>
    <w:pPr>
      <w:ind w:firstLine="420"/>
      <w:spacing w:line="240" w:lineRule="auto"/>
    </w:pPr>
    <w:rPr>
      <w:rFonts w:ascii="Calibri" w:hAnsi="Calibri"/>
      <w:sz w:val="24"/>
    </w:rPr>
  </w:style>
  <w:style w:type="paragraph" w:styleId="1206"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207" w:customStyle="1">
    <w:name w:val="font51"/>
    <w:basedOn w:val="903"/>
    <w:uiPriority w:val="0"/>
    <w:qFormat/>
    <w:rPr>
      <w:rFonts w:hint="eastAsia" w:ascii="宋体" w:hAnsi="宋体" w:eastAsia="宋体" w:cs="宋体"/>
      <w:color w:val="000000"/>
      <w:sz w:val="18"/>
      <w:szCs w:val="18"/>
      <w:u w:val="none"/>
    </w:rPr>
  </w:style>
  <w:style w:type="paragraph" w:styleId="1208" w:customStyle="1">
    <w:name w:val="Normal_31"/>
    <w:uiPriority w:val="0"/>
    <w:qFormat/>
    <w:rPr>
      <w:rFonts w:hint="default" w:ascii="Calibri" w:hAnsi="Calibri" w:eastAsia="Times New Roman" w:cs="Times New Roman"/>
      <w:sz w:val="24"/>
      <w:szCs w:val="24"/>
      <w:lang w:val="en-US" w:eastAsia="zh-CN" w:bidi="ar-SA"/>
    </w:rPr>
  </w:style>
  <w:style w:type="character" w:styleId="1209" w:customStyle="1">
    <w:name w:val="10"/>
    <w:link w:val="893"/>
    <w:uiPriority w:val="0"/>
    <w:qFormat/>
    <w:rPr>
      <w:rFonts w:ascii="Times New Roman" w:hAnsi="Times New Roman" w:cs="Times New Roman"/>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17</cp:revision>
  <dcterms:created xsi:type="dcterms:W3CDTF">2026-05-13T01:45:00Z</dcterms:created>
  <dcterms:modified xsi:type="dcterms:W3CDTF">2026-06-01T08:04:49Z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685C66C9680749BFB20CE804EE7A9622_13</vt:lpwstr>
  </property>
  <property fmtid="{D5CDD505-2E9C-101B-9397-08002B2CF9AE}" pid="4" name="KSOTemplateDocerSaveRecord">
    <vt:lpwstr>eyJoZGlkIjoiMjI5MWM3YTgzZGRlMDdhM2IzYTFiZTU0YTMyMTQwYWMifQ==</vt:lpwstr>
  </property>
</Properties>
</file>