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4E67">
      <w:pPr>
        <w:spacing w:line="360" w:lineRule="auto"/>
        <w:jc w:val="center"/>
        <w:rPr>
          <w:rFonts w:hint="eastAsia" w:ascii="宋体" w:hAnsi="宋体" w:eastAsia="宋体" w:cs="宋体"/>
          <w:sz w:val="36"/>
          <w:szCs w:val="36"/>
          <w:highlight w:val="none"/>
        </w:rPr>
      </w:pPr>
      <w:r>
        <w:rPr>
          <w:rFonts w:hint="eastAsia" w:ascii="宋体" w:hAnsi="宋体" w:eastAsia="宋体" w:cs="宋体"/>
          <w:b/>
          <w:sz w:val="36"/>
          <w:szCs w:val="36"/>
          <w:highlight w:val="none"/>
        </w:rPr>
        <w:t>采购需求</w:t>
      </w:r>
    </w:p>
    <w:p w14:paraId="38B7B34F">
      <w:pPr>
        <w:spacing w:line="360" w:lineRule="auto"/>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一、项目概述</w:t>
      </w:r>
    </w:p>
    <w:p w14:paraId="4EF76C88">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w:t>
      </w:r>
      <w:r>
        <w:rPr>
          <w:rFonts w:hint="eastAsia" w:ascii="宋体" w:hAnsi="宋体" w:eastAsia="宋体" w:cs="宋体"/>
          <w:color w:val="auto"/>
          <w:sz w:val="22"/>
          <w:szCs w:val="22"/>
          <w:highlight w:val="none"/>
          <w:lang w:val="en-US" w:eastAsia="zh-CN"/>
        </w:rPr>
        <w:t>物资</w:t>
      </w:r>
      <w:r>
        <w:rPr>
          <w:rFonts w:hint="eastAsia" w:ascii="宋体" w:hAnsi="宋体" w:eastAsia="宋体" w:cs="宋体"/>
          <w:color w:val="auto"/>
          <w:sz w:val="22"/>
          <w:szCs w:val="22"/>
          <w:highlight w:val="none"/>
        </w:rPr>
        <w:t>储备品种如下述所述。现拟通过采购，选择合格的</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w:t>
      </w:r>
    </w:p>
    <w:p w14:paraId="37933919">
      <w:pPr>
        <w:pStyle w:val="3"/>
        <w:spacing w:line="360" w:lineRule="auto"/>
        <w:ind w:left="0" w:firstLine="442" w:firstLineChars="200"/>
        <w:rPr>
          <w:rFonts w:hint="eastAsia" w:ascii="宋体" w:hAnsi="宋体" w:eastAsia="宋体" w:cs="宋体"/>
          <w:b/>
          <w:color w:val="auto"/>
          <w:sz w:val="22"/>
          <w:szCs w:val="22"/>
          <w:highlight w:val="none"/>
          <w:vertAlign w:val="baseline"/>
        </w:rPr>
      </w:pPr>
      <w:r>
        <w:rPr>
          <w:rFonts w:hint="eastAsia" w:ascii="宋体" w:hAnsi="宋体" w:eastAsia="宋体" w:cs="宋体"/>
          <w:b/>
          <w:color w:val="auto"/>
          <w:sz w:val="22"/>
          <w:szCs w:val="22"/>
          <w:highlight w:val="none"/>
        </w:rPr>
        <w:t>二、</w:t>
      </w:r>
      <w:r>
        <w:rPr>
          <w:rFonts w:hint="eastAsia" w:ascii="宋体" w:hAnsi="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清单</w:t>
      </w:r>
    </w:p>
    <w:tbl>
      <w:tblPr>
        <w:tblStyle w:val="5"/>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51"/>
        <w:gridCol w:w="1025"/>
        <w:gridCol w:w="1499"/>
        <w:gridCol w:w="1467"/>
        <w:gridCol w:w="1489"/>
      </w:tblGrid>
      <w:tr w14:paraId="5866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EB67A43">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序号</w:t>
            </w:r>
          </w:p>
        </w:tc>
        <w:tc>
          <w:tcPr>
            <w:tcW w:w="1702" w:type="dxa"/>
            <w:vAlign w:val="center"/>
          </w:tcPr>
          <w:p w14:paraId="4F304DD9">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物资名称</w:t>
            </w:r>
          </w:p>
        </w:tc>
        <w:tc>
          <w:tcPr>
            <w:tcW w:w="1050" w:type="dxa"/>
            <w:vAlign w:val="center"/>
          </w:tcPr>
          <w:p w14:paraId="6E654DDE">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单位</w:t>
            </w:r>
          </w:p>
        </w:tc>
        <w:tc>
          <w:tcPr>
            <w:tcW w:w="1543" w:type="dxa"/>
            <w:vAlign w:val="center"/>
          </w:tcPr>
          <w:p w14:paraId="63BB861A">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实物采购数量</w:t>
            </w:r>
          </w:p>
        </w:tc>
        <w:tc>
          <w:tcPr>
            <w:tcW w:w="1510" w:type="dxa"/>
            <w:vAlign w:val="center"/>
          </w:tcPr>
          <w:p w14:paraId="3F1ABDC2">
            <w:pPr>
              <w:pStyle w:val="3"/>
              <w:spacing w:line="360" w:lineRule="auto"/>
              <w:ind w:left="0" w:leftChars="0" w:firstLine="0" w:firstLineChars="0"/>
              <w:jc w:val="center"/>
              <w:rPr>
                <w:rFonts w:hint="default"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核心产品</w:t>
            </w:r>
          </w:p>
        </w:tc>
        <w:tc>
          <w:tcPr>
            <w:tcW w:w="1532" w:type="dxa"/>
            <w:vAlign w:val="center"/>
          </w:tcPr>
          <w:p w14:paraId="3B284B7D">
            <w:pPr>
              <w:pStyle w:val="3"/>
              <w:spacing w:line="360" w:lineRule="auto"/>
              <w:ind w:left="0" w:leftChars="0" w:firstLine="0" w:firstLineChars="0"/>
              <w:jc w:val="center"/>
              <w:rPr>
                <w:rFonts w:hint="default" w:ascii="宋体" w:hAnsi="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是否进口产品</w:t>
            </w:r>
          </w:p>
        </w:tc>
      </w:tr>
      <w:tr w14:paraId="3DAF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B6F0271">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02" w:type="dxa"/>
            <w:vAlign w:val="center"/>
          </w:tcPr>
          <w:p w14:paraId="00CB3C7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应急电源</w:t>
            </w:r>
          </w:p>
        </w:tc>
        <w:tc>
          <w:tcPr>
            <w:tcW w:w="1050" w:type="dxa"/>
            <w:vAlign w:val="center"/>
          </w:tcPr>
          <w:p w14:paraId="5CD59D7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3E1CB4A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510" w:type="dxa"/>
            <w:vMerge w:val="restart"/>
            <w:vAlign w:val="center"/>
          </w:tcPr>
          <w:p w14:paraId="0F3357F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应急电源</w:t>
            </w:r>
          </w:p>
        </w:tc>
        <w:tc>
          <w:tcPr>
            <w:tcW w:w="1532" w:type="dxa"/>
            <w:vAlign w:val="center"/>
          </w:tcPr>
          <w:p w14:paraId="006ACB9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5AA8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10A8B0C">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02" w:type="dxa"/>
            <w:vAlign w:val="center"/>
          </w:tcPr>
          <w:p w14:paraId="673E60E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便携式静音发电机</w:t>
            </w:r>
          </w:p>
        </w:tc>
        <w:tc>
          <w:tcPr>
            <w:tcW w:w="1050" w:type="dxa"/>
            <w:vAlign w:val="center"/>
          </w:tcPr>
          <w:p w14:paraId="09E0E9A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w:t>
            </w:r>
          </w:p>
        </w:tc>
        <w:tc>
          <w:tcPr>
            <w:tcW w:w="1543" w:type="dxa"/>
            <w:vAlign w:val="center"/>
          </w:tcPr>
          <w:p w14:paraId="14BECFB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510" w:type="dxa"/>
            <w:vMerge w:val="continue"/>
            <w:vAlign w:val="center"/>
          </w:tcPr>
          <w:p w14:paraId="10A78640">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39BE98D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4853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5AC07314">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02" w:type="dxa"/>
            <w:vAlign w:val="center"/>
          </w:tcPr>
          <w:p w14:paraId="6ED6476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智能充电平台</w:t>
            </w:r>
          </w:p>
        </w:tc>
        <w:tc>
          <w:tcPr>
            <w:tcW w:w="1050" w:type="dxa"/>
            <w:vAlign w:val="center"/>
          </w:tcPr>
          <w:p w14:paraId="6F6D0BA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6456C5C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510" w:type="dxa"/>
            <w:vMerge w:val="continue"/>
            <w:vAlign w:val="center"/>
          </w:tcPr>
          <w:p w14:paraId="5E0FE7E5">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658E729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bl>
    <w:p w14:paraId="377EBD90">
      <w:pPr>
        <w:pStyle w:val="2"/>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三、技术指标：</w:t>
      </w:r>
    </w:p>
    <w:p w14:paraId="590B33B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（一）应急电源</w:t>
      </w:r>
    </w:p>
    <w:p w14:paraId="246151C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1、采用磷酸铁锂电池，满足振动、加速度冲击、跌落测试，测试后不起火、不爆炸、不漏液。电池系统安全保护：过压充电、过流充电、欠压放电、过载控制、短路控制、过热控制等。电池容量≥2048Wh</w:t>
      </w:r>
    </w:p>
    <w:p w14:paraId="7276AA7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2、额定功率≥2400W。输出口≥2个type-c，2个USB，4个五孔插座，1个车充输出，2个DC输出。</w:t>
      </w:r>
    </w:p>
    <w:p w14:paraId="4457823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 xml:space="preserve"> 3、材质：金属</w:t>
      </w:r>
    </w:p>
    <w:p w14:paraId="4AA4DF6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4、具备蓝牙、WIFI功能，功能使用时可在液晶显示屏上显示对应图标</w:t>
      </w:r>
    </w:p>
    <w:p w14:paraId="0461ACD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5、产品重量≤26kg，外形尺寸≤500×300×350cm。</w:t>
      </w:r>
    </w:p>
    <w:p w14:paraId="02574AEA">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sz w:val="24"/>
          <w:szCs w:val="24"/>
          <w:highlight w:val="none"/>
          <w:lang w:val="en-US" w:eastAsia="zh-CN"/>
        </w:rPr>
        <w:t>▲6、提供第三方检测机构出具带CNAS或CMA的检测报告，报告中要体现产品的短路、过度充电等检测数据。</w:t>
      </w:r>
    </w:p>
    <w:p w14:paraId="4114C64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lang w:val="en-US" w:eastAsia="zh-CN"/>
        </w:rPr>
      </w:pPr>
      <w:r>
        <w:rPr>
          <w:rFonts w:hint="eastAsia" w:ascii="宋体" w:hAnsi="宋体" w:eastAsia="宋体" w:cstheme="minorBidi"/>
          <w:b/>
          <w:sz w:val="24"/>
          <w:szCs w:val="24"/>
          <w:highlight w:val="none"/>
          <w:lang w:val="en-US" w:eastAsia="zh-CN" w:bidi="ar-SA"/>
        </w:rPr>
        <w:t>（二）</w:t>
      </w:r>
      <w:r>
        <w:rPr>
          <w:rFonts w:hint="eastAsia" w:ascii="宋体" w:hAnsi="宋体" w:eastAsia="宋体"/>
          <w:b/>
          <w:sz w:val="24"/>
          <w:szCs w:val="24"/>
          <w:highlight w:val="none"/>
          <w:lang w:val="en-US" w:eastAsia="zh-CN"/>
        </w:rPr>
        <w:t>便携式静音发电机</w:t>
      </w:r>
    </w:p>
    <w:p w14:paraId="779398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▲1、额定功率≥2kw，最大功率≥2.2kw</w:t>
      </w:r>
    </w:p>
    <w:p w14:paraId="2E868BC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▲2、排量≤98cc</w:t>
      </w:r>
    </w:p>
    <w:p w14:paraId="7A108BB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3、启动方式：手启动，拉绳寿命不低于1万次</w:t>
      </w:r>
    </w:p>
    <w:p w14:paraId="044CED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4、燃油：汽油，92#（含）以上</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油箱容积≥4.5L</w:t>
      </w:r>
    </w:p>
    <w:p w14:paraId="0F8EF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5</w:t>
      </w:r>
      <w:r>
        <w:rPr>
          <w:rFonts w:hint="eastAsia" w:ascii="宋体" w:hAnsi="宋体" w:eastAsia="宋体" w:cs="Times New Roman"/>
          <w:sz w:val="22"/>
          <w:szCs w:val="22"/>
          <w:highlight w:val="none"/>
          <w:lang w:val="en-US" w:eastAsia="zh-CN"/>
        </w:rPr>
        <w:t>、满负荷持续工作时间≥4.5h</w:t>
      </w:r>
    </w:p>
    <w:p w14:paraId="0C0AB87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6</w:t>
      </w:r>
      <w:r>
        <w:rPr>
          <w:rFonts w:hint="eastAsia" w:ascii="宋体" w:hAnsi="宋体" w:eastAsia="宋体" w:cs="Times New Roman"/>
          <w:sz w:val="22"/>
          <w:szCs w:val="22"/>
          <w:highlight w:val="none"/>
          <w:lang w:val="en-US" w:eastAsia="zh-CN"/>
        </w:rPr>
        <w:t>、输出方式≥1个220V输出接口,≥1个直流5V USB输出接口,≥1个直流12V/8A</w:t>
      </w:r>
    </w:p>
    <w:p w14:paraId="4868032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7</w:t>
      </w:r>
      <w:r>
        <w:rPr>
          <w:rFonts w:hint="eastAsia" w:ascii="宋体" w:hAnsi="宋体" w:eastAsia="宋体" w:cs="Times New Roman"/>
          <w:sz w:val="22"/>
          <w:szCs w:val="22"/>
          <w:highlight w:val="none"/>
          <w:lang w:val="en-US" w:eastAsia="zh-CN"/>
        </w:rPr>
        <w:t>、波变率THD≤2%</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热态绝缘电阻＞500MΩ</w:t>
      </w:r>
    </w:p>
    <w:p w14:paraId="020B979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8</w:t>
      </w:r>
      <w:r>
        <w:rPr>
          <w:rFonts w:hint="eastAsia" w:ascii="宋体" w:hAnsi="宋体" w:eastAsia="宋体" w:cs="Times New Roman"/>
          <w:sz w:val="22"/>
          <w:szCs w:val="22"/>
          <w:highlight w:val="none"/>
          <w:lang w:val="en-US" w:eastAsia="zh-CN"/>
        </w:rPr>
        <w:t>、频率恢复时间≤0.14s</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电压恢复时间≤1.72s</w:t>
      </w:r>
    </w:p>
    <w:p w14:paraId="24E90DF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9</w:t>
      </w:r>
      <w:r>
        <w:rPr>
          <w:rFonts w:hint="eastAsia" w:ascii="宋体" w:hAnsi="宋体" w:eastAsia="宋体" w:cs="Times New Roman"/>
          <w:sz w:val="22"/>
          <w:szCs w:val="22"/>
          <w:highlight w:val="none"/>
          <w:lang w:val="en-US" w:eastAsia="zh-CN"/>
        </w:rPr>
        <w:t>、噪声7米≤62.5dB</w:t>
      </w:r>
    </w:p>
    <w:p w14:paraId="759DC23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10</w:t>
      </w:r>
      <w:r>
        <w:rPr>
          <w:rFonts w:hint="eastAsia" w:ascii="宋体" w:hAnsi="宋体" w:eastAsia="宋体" w:cs="Times New Roman"/>
          <w:sz w:val="22"/>
          <w:szCs w:val="22"/>
          <w:highlight w:val="none"/>
          <w:lang w:val="en-US" w:eastAsia="zh-CN"/>
        </w:rPr>
        <w:t>、符合国家标准50HZ，最大功率时不低于49HZ</w:t>
      </w:r>
    </w:p>
    <w:p w14:paraId="475A05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11</w:t>
      </w:r>
      <w:r>
        <w:rPr>
          <w:rFonts w:hint="eastAsia" w:ascii="宋体" w:hAnsi="宋体" w:eastAsia="宋体" w:cs="Times New Roman"/>
          <w:sz w:val="22"/>
          <w:szCs w:val="22"/>
          <w:highlight w:val="none"/>
          <w:lang w:val="en-US" w:eastAsia="zh-CN"/>
        </w:rPr>
        <w:t>、电机类型：有刷同步发电机</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发电机具有过载，断路，缺机油指示灯报警和漏电保护等保护功能</w:t>
      </w:r>
    </w:p>
    <w:p w14:paraId="729C9C8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12</w:t>
      </w:r>
      <w:r>
        <w:rPr>
          <w:rFonts w:hint="eastAsia" w:ascii="宋体" w:hAnsi="宋体" w:eastAsia="宋体" w:cs="Times New Roman"/>
          <w:sz w:val="22"/>
          <w:szCs w:val="22"/>
          <w:highlight w:val="none"/>
          <w:lang w:val="en-US" w:eastAsia="zh-CN"/>
        </w:rPr>
        <w:t>、尺寸≤500*285*455mm</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净重≤21kg</w:t>
      </w:r>
      <w:r>
        <w:rPr>
          <w:rFonts w:hint="eastAsia" w:ascii="宋体" w:hAnsi="宋体" w:cs="Times New Roman"/>
          <w:sz w:val="22"/>
          <w:szCs w:val="22"/>
          <w:highlight w:val="none"/>
          <w:lang w:val="en-US" w:eastAsia="zh-CN"/>
        </w:rPr>
        <w:t>。</w:t>
      </w:r>
      <w:r>
        <w:rPr>
          <w:rFonts w:hint="eastAsia" w:ascii="宋体" w:hAnsi="宋体" w:eastAsia="宋体" w:cs="Times New Roman"/>
          <w:sz w:val="22"/>
          <w:szCs w:val="22"/>
          <w:highlight w:val="none"/>
          <w:lang w:val="en-US" w:eastAsia="zh-CN"/>
        </w:rPr>
        <w:t>可两台并联，功率达4kW，配备专用电缆线连接</w:t>
      </w:r>
    </w:p>
    <w:p w14:paraId="4E5B04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以上标▲参数需要提供带CMA或者CNAS章的第三方检测机构出具的检测报告复印件。</w:t>
      </w:r>
    </w:p>
    <w:p w14:paraId="3E2F3F4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 w:val="21"/>
          <w:szCs w:val="21"/>
          <w:highlight w:val="none"/>
          <w:lang w:val="en-US" w:eastAsia="zh-CN"/>
        </w:rPr>
      </w:pPr>
    </w:p>
    <w:p w14:paraId="58172114">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4"/>
          <w:szCs w:val="24"/>
          <w:highlight w:val="none"/>
          <w:lang w:val="en-US" w:eastAsia="zh-CN" w:bidi="ar-SA"/>
        </w:rPr>
      </w:pPr>
      <w:r>
        <w:rPr>
          <w:rFonts w:hint="eastAsia" w:ascii="宋体" w:hAnsi="宋体" w:eastAsia="宋体" w:cs="Times New Roman"/>
          <w:b/>
          <w:bCs/>
          <w:sz w:val="24"/>
          <w:szCs w:val="24"/>
          <w:highlight w:val="none"/>
          <w:lang w:val="en-US" w:eastAsia="zh-CN" w:bidi="ar-SA"/>
        </w:rPr>
        <w:t>（三）智能充电平台</w:t>
      </w:r>
    </w:p>
    <w:p w14:paraId="79D92C55">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1、外形尺寸≤850*500*1800mm(宽*深*高）</w:t>
      </w:r>
    </w:p>
    <w:p w14:paraId="5386BAB8">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2、箱体材质冷轧钢厚度≥0.8mm。</w:t>
      </w:r>
    </w:p>
    <w:p w14:paraId="42465042">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3、输入电压AC220V  50HZ，额定功率≥1800W</w:t>
      </w:r>
    </w:p>
    <w:p w14:paraId="6C247F2C">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▲4、具备高温保护、短路保护、超功率保护、定时设置、温控散热、烟雾报警器、全氟己酮灭火、照明灯光。</w:t>
      </w:r>
    </w:p>
    <w:p w14:paraId="09798E31">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▲5、充电模块≥3层</w:t>
      </w:r>
    </w:p>
    <w:p w14:paraId="5EB26E7F">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第一、二层≥11个五孔插座、2个USB插座。</w:t>
      </w:r>
    </w:p>
    <w:p w14:paraId="76EA95FC">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第三层≥4个五孔插座。</w:t>
      </w:r>
    </w:p>
    <w:p w14:paraId="7276C33D">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 xml:space="preserve"> 6、外置配置：1个防水排插，可提供多用接头充电线；可根据用户需求进行模块化定制。</w:t>
      </w:r>
    </w:p>
    <w:p w14:paraId="01D261B1">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 xml:space="preserve"> 7、显示屏≥4.3寸工业触控屏、电压、电流、功率、温度实施显示。</w:t>
      </w:r>
    </w:p>
    <w:p w14:paraId="23CFDF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highlight w:val="none"/>
        </w:rPr>
      </w:pPr>
      <w:r>
        <w:rPr>
          <w:rFonts w:hint="eastAsia" w:ascii="宋体" w:hAnsi="宋体" w:eastAsia="宋体" w:cs="Times New Roman"/>
          <w:sz w:val="22"/>
          <w:szCs w:val="22"/>
          <w:highlight w:val="none"/>
          <w:lang w:val="en-US" w:eastAsia="zh-CN"/>
        </w:rPr>
        <w:t>以上标▲参数需要提供产品设计图纸来作证</w:t>
      </w:r>
      <w:r>
        <w:rPr>
          <w:rFonts w:hint="eastAsia" w:ascii="宋体" w:hAnsi="宋体" w:cs="Times New Roman"/>
          <w:sz w:val="22"/>
          <w:szCs w:val="22"/>
          <w:highlight w:val="none"/>
          <w:lang w:val="en-US" w:eastAsia="zh-CN"/>
        </w:rPr>
        <w:t>。</w:t>
      </w:r>
    </w:p>
    <w:p w14:paraId="3874B5B7">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sz w:val="22"/>
          <w:highlight w:val="none"/>
        </w:rPr>
      </w:pPr>
    </w:p>
    <w:p w14:paraId="62678144">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710275AA">
      <w:pPr>
        <w:rPr>
          <w:rFonts w:hint="default" w:ascii="宋体" w:hAnsi="宋体" w:eastAsia="宋体" w:cs="Times New Roman"/>
          <w:sz w:val="21"/>
          <w:szCs w:val="21"/>
          <w:highlight w:val="none"/>
          <w:lang w:val="en-US" w:eastAsia="zh-CN"/>
        </w:rPr>
      </w:pPr>
    </w:p>
    <w:p w14:paraId="5BE5DE60">
      <w:pPr>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br w:type="page"/>
      </w:r>
    </w:p>
    <w:p w14:paraId="49D26788">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合同履约</w:t>
      </w:r>
      <w:r>
        <w:rPr>
          <w:rFonts w:hint="eastAsia" w:ascii="宋体" w:hAnsi="宋体" w:eastAsia="宋体" w:cs="宋体"/>
          <w:b/>
          <w:sz w:val="24"/>
          <w:szCs w:val="24"/>
          <w:highlight w:val="none"/>
        </w:rPr>
        <w:t>时间和地点</w:t>
      </w:r>
    </w:p>
    <w:p w14:paraId="74364141">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sz w:val="22"/>
          <w:highlight w:val="none"/>
          <w:lang w:eastAsia="zh-CN"/>
        </w:rPr>
      </w:pPr>
      <w:r>
        <w:rPr>
          <w:rFonts w:hint="eastAsia" w:ascii="宋体" w:hAnsi="宋体" w:eastAsia="宋体" w:cs="宋体"/>
          <w:sz w:val="22"/>
          <w:highlight w:val="none"/>
        </w:rPr>
        <w:t>合同履行期限：</w:t>
      </w:r>
      <w:r>
        <w:rPr>
          <w:rFonts w:hint="eastAsia" w:ascii="宋体" w:hAnsi="宋体" w:cs="宋体"/>
          <w:sz w:val="22"/>
          <w:highlight w:val="none"/>
          <w:lang w:eastAsia="zh-CN"/>
        </w:rPr>
        <w:t>自合同签订之日起20天内完成全部物资的生产或采购并运输至镇江市市级应急物资储备库。</w:t>
      </w:r>
    </w:p>
    <w:p w14:paraId="6D439CDD">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供货地点：送达采购人指定地点</w:t>
      </w:r>
      <w:r>
        <w:rPr>
          <w:rFonts w:hint="eastAsia" w:ascii="宋体" w:hAnsi="宋体" w:eastAsia="宋体" w:cs="宋体"/>
          <w:sz w:val="22"/>
          <w:highlight w:val="none"/>
          <w:lang w:eastAsia="zh-CN"/>
        </w:rPr>
        <w:t>：</w:t>
      </w:r>
      <w:r>
        <w:rPr>
          <w:rFonts w:hint="eastAsia" w:ascii="宋体" w:hAnsi="宋体" w:eastAsia="宋体" w:cs="宋体"/>
          <w:sz w:val="22"/>
          <w:highlight w:val="none"/>
          <w:u w:val="single"/>
          <w:lang w:eastAsia="zh-CN"/>
        </w:rPr>
        <w:t>镇江市市级应急物资储备库</w:t>
      </w:r>
      <w:r>
        <w:rPr>
          <w:rFonts w:hint="eastAsia" w:ascii="宋体" w:hAnsi="宋体" w:eastAsia="宋体" w:cs="宋体"/>
          <w:sz w:val="22"/>
          <w:highlight w:val="none"/>
        </w:rPr>
        <w:t>。</w:t>
      </w:r>
    </w:p>
    <w:p w14:paraId="521971F0">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包装和运输要求</w:t>
      </w:r>
    </w:p>
    <w:p w14:paraId="6D17AD77">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（一）外包装</w:t>
      </w:r>
    </w:p>
    <w:p w14:paraId="784A64D4">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1、标志：供货时外包装袋需标注产品名称、数量、重量、生产批号、承制单位名称、镇江储备字样以及采购人批准的</w:t>
      </w:r>
      <w:r>
        <w:rPr>
          <w:rFonts w:hint="eastAsia" w:ascii="宋体" w:hAnsi="宋体" w:eastAsia="宋体" w:cs="宋体"/>
          <w:sz w:val="22"/>
          <w:highlight w:val="none"/>
          <w:lang w:eastAsia="zh-CN"/>
        </w:rPr>
        <w:t>logo</w:t>
      </w:r>
      <w:r>
        <w:rPr>
          <w:rFonts w:hint="eastAsia" w:ascii="宋体" w:hAnsi="宋体" w:eastAsia="宋体" w:cs="宋体"/>
          <w:sz w:val="22"/>
          <w:highlight w:val="none"/>
        </w:rPr>
        <w:t>标识。其产品名称、承制方名称为黑体字，其余为宋体字，字体大小适宜，布局合理。具体相关标志要求在中标后根据采购人要求实施。</w:t>
      </w:r>
    </w:p>
    <w:p w14:paraId="69A91E18">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2、外包装：包装材料应防潮、防水、防老化、结实可靠。外包装袋由供应商负责免费提供，一般为牛津布，特别产品不适合牛津布包装的，供应商可提供其他包装袋，使用纸盒包装的，应选择环保纸盒。招标文件技术指标另有要求的，则按要求执行。</w:t>
      </w:r>
    </w:p>
    <w:p w14:paraId="24113030">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3、运输与贮存：运输与贮存中严禁露天存放，应防止雨淋、日晒、油污、重压。运输根据合同要求执行。</w:t>
      </w:r>
    </w:p>
    <w:p w14:paraId="60ABD01F">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除合同另有规定外，供应商提供的全部货物均应按标准保护措施进行包装。由于供应商对合同货物包装不善、标记不明、防护措施不当或在合同货物装箱前保管不良，致使合同货物遭到损坏或丢失，供应商应负责免费修理或更换，并承担由此给采购人造成的一切损失。</w:t>
      </w:r>
    </w:p>
    <w:p w14:paraId="3E536389">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（二）货物要求</w:t>
      </w:r>
    </w:p>
    <w:p w14:paraId="7306AC0F">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1、未作说明的产品颜色，中标后应根据采购人要求执行。</w:t>
      </w:r>
    </w:p>
    <w:p w14:paraId="3102D3D7">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2、货物应能确保在正常的使用过程中安全、可靠并符合国家颁布的货物、质量、技术、安全等标准。上述技术指标中如引用的规范、标准，如有最新规范、标准颁布的，均按最新规范、标准执行。</w:t>
      </w:r>
    </w:p>
    <w:p w14:paraId="1F806C1E">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报价产品应是全新的、未使用过的、原包装未拆封的商品，完全符合采购规定的质量、规格、性能的相应要求。所提供货物质量必须符合国家相关标准，必须满足本次采购的要求。所有报价的产品，各项技术应当符合国家（强制性）标准及各项规范要求；国家没有相应标准、规范的，可使用行业标准、规定；非标准设备按招标约定的技术要求和规范。如质量出现问题，中标方负责“三包”，费用由中标供应商负责。</w:t>
      </w:r>
    </w:p>
    <w:p w14:paraId="45EA42B5">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4、中标供应商在交货时，须提供满足采购人验收要求的证明材料，否则采购人有权拒绝接受产品。</w:t>
      </w:r>
    </w:p>
    <w:p w14:paraId="0A7E33FD">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5、本次采购的供货范围，除包括上述货物外，还应包括货物使用所必需的配件。</w:t>
      </w:r>
    </w:p>
    <w:p w14:paraId="0972DF1F">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、售后服务要求</w:t>
      </w:r>
    </w:p>
    <w:p w14:paraId="2FFC729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1、中标供应商货物经过双方检验认可后，签署验收报告，除特别要求外免费质量保证期供应商须承诺不低于</w:t>
      </w:r>
      <w:r>
        <w:rPr>
          <w:rFonts w:hint="eastAsia" w:ascii="宋体" w:hAnsi="宋体" w:eastAsia="宋体" w:cs="宋体"/>
          <w:sz w:val="22"/>
          <w:highlight w:val="none"/>
          <w:lang w:eastAsia="zh-CN"/>
        </w:rPr>
        <w:t>三</w:t>
      </w:r>
      <w:r>
        <w:rPr>
          <w:rFonts w:hint="eastAsia" w:ascii="宋体" w:hAnsi="宋体" w:eastAsia="宋体" w:cs="宋体"/>
          <w:b/>
          <w:sz w:val="22"/>
          <w:highlight w:val="none"/>
        </w:rPr>
        <w:t>年</w:t>
      </w:r>
      <w:r>
        <w:rPr>
          <w:rFonts w:hint="eastAsia" w:ascii="宋体" w:hAnsi="宋体" w:eastAsia="宋体" w:cs="宋体"/>
          <w:sz w:val="22"/>
          <w:highlight w:val="none"/>
        </w:rPr>
        <w:t>，质量保证期自货物验收合格之日起算，由中标供应商提供货物保修文件。</w:t>
      </w:r>
    </w:p>
    <w:p w14:paraId="05F36F0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在质保期内出现质量问题，中标供应商需在2小时内响应，8小时内赶到现场提供免费服务,并在2天内完成修复或更换，无法修复或经过两次修复仍出现质量问题，予以换货，造成采购人的损失，由中标供应商负责，采购人应尽快以书面形式或口头通知中标供应商，并向中标供应商提出索赔。如中标供应商在接到通知后3天内没有答复或处理问题，则视为中标供应商承认质量问题并承担由此而发生的一切费用。</w:t>
      </w:r>
    </w:p>
    <w:p w14:paraId="395FE8F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3、中标供应商须提供全面使用、维护培训。</w:t>
      </w:r>
    </w:p>
    <w:p w14:paraId="1E3FCF82">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4、质保期满以后，中标供应商应按同类货物的优惠价格提供保修服务。</w:t>
      </w:r>
    </w:p>
    <w:p w14:paraId="20251E32">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、其他要求</w:t>
      </w:r>
    </w:p>
    <w:p w14:paraId="1796BD0D">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（一）特别说明：</w:t>
      </w:r>
    </w:p>
    <w:p w14:paraId="63151105">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1、供应商根据按照招标文件提供的技术条款偏离表格式对技术指标逐条进行应答，如果以其中某些条款不响应时，应在文件中逐条列出，未列出的视同响应。</w:t>
      </w:r>
    </w:p>
    <w:p w14:paraId="747210B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供应商所投报的货物应能够至少达到以上技术参数要求，同时明确所投货物的型号、规格和外形、尺寸、安装尺寸、重量及一些必须说明的技术参数，以及使用的材料的清单，同时明确生产厂家、型号规格等，并提供详细的技术参数及性能说明书。</w:t>
      </w:r>
    </w:p>
    <w:p w14:paraId="7FD2B6B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3、采购人有权不定期对中标标的物的生产过程等进行查看,如果发现中标供应商存在违反本次采购标的物要求的,采购人有权终止合同履行,相关损失由中标供应商承担。</w:t>
      </w:r>
    </w:p>
    <w:p w14:paraId="3FD09B74">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（二）报价要求</w:t>
      </w:r>
    </w:p>
    <w:p w14:paraId="47FE980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投标总报价一次报定，包括全部产品及其备品、备件和专用工具费用、印刷标志、仓储费、税费及包装、运至最终目的地的运输、保险、检测验收、卸载、安装、调试、维修、技术支持与培训、售后服务与维保及相关劳务支出等工作所发生的全部费用以及供应商企业利润、税金和政策性文件规定及合同包含的所有风险、责任等各项应有费用。</w:t>
      </w:r>
    </w:p>
    <w:p w14:paraId="17BC150E">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（三）安装、检验与质量保证</w:t>
      </w:r>
    </w:p>
    <w:p w14:paraId="75F9010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1、安装</w:t>
      </w:r>
    </w:p>
    <w:p w14:paraId="61A0306B">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1.1如有需要安装的货物，中标供应商必须派技术人员到现场安装，并检查安装质量。</w:t>
      </w:r>
    </w:p>
    <w:p w14:paraId="7340568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1.2中标供应商应负责现场安装人员的安全管理并提供安装中全部所需的工具。</w:t>
      </w:r>
    </w:p>
    <w:p w14:paraId="3ACAA104">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2、验收依据</w:t>
      </w:r>
    </w:p>
    <w:p w14:paraId="6BEB8DA8">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2.1招标文件、中标供应商的投标文件、双方签订的合同文件及其附件。</w:t>
      </w:r>
    </w:p>
    <w:p w14:paraId="50A50E5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2.2中国政府颁布的相关国家标准和行业标准。</w:t>
      </w:r>
    </w:p>
    <w:p w14:paraId="2227733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3、涉及非供应商本厂生产的产品，需在交货时提供原厂对本批次产品的厂方质保文件，如不能提供，采购人将不予验收。</w:t>
      </w:r>
    </w:p>
    <w:p w14:paraId="59B935E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4、如双方对验收结果有分歧，则以第三方权威检验机构的检验结果为准，检验费用由有过失的一方支付。</w:t>
      </w:r>
    </w:p>
    <w:p w14:paraId="09B8E1FA">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5、质量保证</w:t>
      </w:r>
    </w:p>
    <w:p w14:paraId="3C8ABBA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5.1中标供应商保证合同货物是全新的，配件为原装的，完全符合国家有关质量标准和合同规定的质量、规格和性能的要求，并有货物“合格证”或“产品质量保证书”，严禁提供假冒伪劣货物，一经发现，采购人有权解除本合同，且因此而产生的一切费用和责任由中标供应商承担。</w:t>
      </w:r>
    </w:p>
    <w:p w14:paraId="63D6BCA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5.2 履行中标供应商在其投标文件中的服务承诺。</w:t>
      </w:r>
    </w:p>
    <w:p w14:paraId="597E3054">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5.3若货物验收时货物质量不能满足要求，采购人有权要求更换，同时有权提出索赔，所产生的一切费用（含所有检验费用）由中标供应商承担。</w:t>
      </w:r>
    </w:p>
    <w:p w14:paraId="7E8400BD">
      <w:pPr>
        <w:widowControl/>
        <w:spacing w:line="360" w:lineRule="auto"/>
        <w:ind w:firstLine="440"/>
        <w:jc w:val="left"/>
        <w:rPr>
          <w:rFonts w:hint="eastAsia" w:ascii="宋体" w:hAnsi="宋体" w:eastAsia="宋体" w:cs="宋体"/>
          <w:b/>
          <w:bCs/>
          <w:sz w:val="22"/>
          <w:highlight w:val="none"/>
        </w:rPr>
      </w:pPr>
      <w:r>
        <w:rPr>
          <w:rFonts w:hint="eastAsia" w:ascii="宋体" w:hAnsi="宋体" w:cs="宋体"/>
          <w:b/>
          <w:bCs/>
          <w:sz w:val="22"/>
          <w:highlight w:val="none"/>
          <w:lang w:eastAsia="zh-CN"/>
        </w:rPr>
        <w:t>注：</w:t>
      </w:r>
      <w:r>
        <w:rPr>
          <w:rFonts w:hint="eastAsia" w:ascii="宋体" w:hAnsi="宋体" w:eastAsia="宋体" w:cs="宋体"/>
          <w:b/>
          <w:bCs/>
          <w:sz w:val="22"/>
          <w:highlight w:val="none"/>
        </w:rPr>
        <w:t>上述技术要求中如出现具体产品的品牌、型号、参数等，仅供供应商更好地理</w:t>
      </w:r>
      <w:bookmarkStart w:id="0" w:name="_GoBack"/>
      <w:bookmarkEnd w:id="0"/>
      <w:r>
        <w:rPr>
          <w:rFonts w:hint="eastAsia" w:ascii="宋体" w:hAnsi="宋体" w:eastAsia="宋体" w:cs="宋体"/>
          <w:b/>
          <w:bCs/>
          <w:sz w:val="22"/>
          <w:highlight w:val="none"/>
        </w:rPr>
        <w:t>解采购人对设备的需求，不能理解为唯一指定，只要优或相当于其技术参数及功能要求的，均可视为响应。如有疑问请与采购人联系。</w:t>
      </w:r>
    </w:p>
    <w:p w14:paraId="25F57138">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pacing w:val="0"/>
          <w:sz w:val="24"/>
          <w:szCs w:val="24"/>
          <w:highlight w:val="none"/>
          <w:lang w:val="en-US" w:eastAsia="zh-CN" w:bidi="ar-SA"/>
        </w:rPr>
      </w:pPr>
      <w:r>
        <w:rPr>
          <w:rFonts w:hint="eastAsia" w:ascii="宋体" w:hAnsi="宋体" w:eastAsia="宋体" w:cs="宋体"/>
          <w:b/>
          <w:spacing w:val="0"/>
          <w:sz w:val="24"/>
          <w:szCs w:val="24"/>
          <w:highlight w:val="none"/>
          <w:lang w:val="en-US" w:eastAsia="zh-CN" w:bidi="ar-SA"/>
        </w:rPr>
        <w:t>八、付款方式：</w:t>
      </w:r>
    </w:p>
    <w:p w14:paraId="7FBFB33F">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val="0"/>
          <w:bCs w:val="0"/>
          <w:sz w:val="22"/>
          <w:highlight w:val="none"/>
          <w:lang w:eastAsia="zh-CN"/>
        </w:rPr>
      </w:pPr>
      <w:r>
        <w:rPr>
          <w:rFonts w:hint="eastAsia" w:ascii="宋体" w:hAnsi="宋体" w:eastAsia="宋体" w:cs="宋体"/>
          <w:b w:val="0"/>
          <w:bCs w:val="0"/>
          <w:sz w:val="22"/>
          <w:highlight w:val="none"/>
          <w:lang w:val="en-US" w:eastAsia="zh-CN"/>
        </w:rPr>
        <w:t>1.</w:t>
      </w:r>
      <w:r>
        <w:rPr>
          <w:rFonts w:hint="eastAsia" w:ascii="宋体" w:hAnsi="宋体" w:eastAsia="宋体" w:cs="宋体"/>
          <w:b w:val="0"/>
          <w:bCs w:val="0"/>
          <w:sz w:val="22"/>
          <w:highlight w:val="none"/>
          <w:lang w:eastAsia="zh-CN"/>
        </w:rPr>
        <w:t>合同签订且采购人收到供应商开具的发票后10个工作日内，支付供应商合同款的30%；</w:t>
      </w:r>
    </w:p>
    <w:p w14:paraId="532C8581">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highlight w:val="none"/>
          <w:lang w:val="en-US" w:eastAsia="zh-CN"/>
        </w:rPr>
      </w:pPr>
      <w:r>
        <w:rPr>
          <w:rFonts w:hint="eastAsia" w:ascii="宋体" w:hAnsi="宋体" w:eastAsia="宋体" w:cs="宋体"/>
          <w:b w:val="0"/>
          <w:bCs w:val="0"/>
          <w:sz w:val="22"/>
          <w:highlight w:val="none"/>
          <w:lang w:val="en-US" w:eastAsia="zh-CN"/>
        </w:rPr>
        <w:t>2.全部物资生产完成，供应商运至采购人指定的仓储地点，并经采购人验收合格后，在供应商向采购人提供正规发票后20日内，采购人支付供应商合同款剩余尾款。</w:t>
      </w:r>
    </w:p>
    <w:p w14:paraId="34132DBD">
      <w:pPr>
        <w:widowControl/>
        <w:spacing w:line="360" w:lineRule="auto"/>
        <w:ind w:firstLine="440" w:firstLineChars="200"/>
        <w:jc w:val="left"/>
        <w:rPr>
          <w:rFonts w:hint="eastAsia" w:ascii="宋体" w:hAnsi="宋体" w:eastAsia="宋体" w:cs="宋体"/>
          <w:color w:val="FF0000"/>
          <w:sz w:val="32"/>
          <w:szCs w:val="32"/>
          <w:highlight w:val="none"/>
          <w:u w:val="single"/>
        </w:rPr>
      </w:pPr>
      <w:r>
        <w:rPr>
          <w:rFonts w:hint="eastAsia" w:ascii="宋体" w:hAnsi="宋体" w:eastAsia="宋体" w:cs="宋体"/>
          <w:sz w:val="22"/>
          <w:highlight w:val="none"/>
          <w:lang w:eastAsia="zh-CN"/>
        </w:rPr>
        <w:t>因财政付款安排导致付款时间调整或延误的，不视为采购人违约。</w:t>
      </w:r>
    </w:p>
    <w:p w14:paraId="687AC3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184A3ECA"/>
    <w:rsid w:val="2A997113"/>
    <w:rsid w:val="32B5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cstheme="minorBidi"/>
      <w:sz w:val="28"/>
      <w:szCs w:val="22"/>
    </w:rPr>
  </w:style>
  <w:style w:type="paragraph" w:styleId="3">
    <w:name w:val="index 4"/>
    <w:basedOn w:val="1"/>
    <w:next w:val="1"/>
    <w:unhideWhenUsed/>
    <w:qFormat/>
    <w:uiPriority w:val="0"/>
    <w:pPr>
      <w:ind w:left="600"/>
    </w:pPr>
  </w:style>
  <w:style w:type="table" w:styleId="5">
    <w:name w:val="Table Grid"/>
    <w:basedOn w:val="4"/>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Style1"/>
    <w:basedOn w:val="1"/>
    <w:autoRedefine/>
    <w:qFormat/>
    <w:uiPriority w:val="0"/>
    <w:pPr>
      <w:tabs>
        <w:tab w:val="left" w:pos="-720"/>
      </w:tabs>
    </w:pPr>
    <w:rPr>
      <w:spacing w:val="-3"/>
      <w:sz w:val="24"/>
      <w:lang w:val="en-AU"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2026-06-29T03:18:06Z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AFE9BC197AC6496F9453F2F5D712BA15_12</vt:lpwstr>
  </property>
  <property fmtid="{D5CDD505-2E9C-101B-9397-08002B2CF9AE}" pid="4" name="KSOTemplateDocerSaveRecord">
    <vt:lpwstr>eyJoZGlkIjoiZGQ5MzE1N2E1NmVhOTRiZGU4ZjNhZWZmZGYxMjZhNjkiLCJ1c2VySWQiOiIxNjYxMjk5OTMzIn0=</vt:lpwstr>
  </property>
</Properties>
</file>